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55856" w:rsidRPr="00F80570" w:rsidRDefault="00F619BD" w:rsidP="00AF7273">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Military assistance on request</w:t>
      </w:r>
      <w:r w:rsidR="00455856" w:rsidRPr="00F80570">
        <w:rPr>
          <w:rFonts w:ascii="Times New Roman" w:hAnsi="Times New Roman" w:cs="Times New Roman"/>
          <w:b/>
          <w:bCs/>
          <w:sz w:val="28"/>
          <w:szCs w:val="28"/>
        </w:rPr>
        <w:t xml:space="preserve"> and </w:t>
      </w:r>
      <w:r w:rsidR="00455856">
        <w:rPr>
          <w:rFonts w:ascii="Times New Roman" w:hAnsi="Times New Roman" w:cs="Times New Roman"/>
          <w:b/>
          <w:bCs/>
          <w:sz w:val="28"/>
          <w:szCs w:val="28"/>
        </w:rPr>
        <w:t>general r</w:t>
      </w:r>
      <w:r w:rsidR="00455856" w:rsidRPr="00F80570">
        <w:rPr>
          <w:rFonts w:ascii="Times New Roman" w:hAnsi="Times New Roman" w:cs="Times New Roman"/>
          <w:b/>
          <w:bCs/>
          <w:sz w:val="28"/>
          <w:szCs w:val="28"/>
        </w:rPr>
        <w:t xml:space="preserve">easons </w:t>
      </w:r>
      <w:r w:rsidR="00455856">
        <w:rPr>
          <w:rFonts w:ascii="Times New Roman" w:hAnsi="Times New Roman" w:cs="Times New Roman"/>
          <w:b/>
          <w:bCs/>
          <w:sz w:val="28"/>
          <w:szCs w:val="28"/>
        </w:rPr>
        <w:t>a</w:t>
      </w:r>
      <w:r w:rsidR="00455856" w:rsidRPr="00F80570">
        <w:rPr>
          <w:rFonts w:ascii="Times New Roman" w:hAnsi="Times New Roman" w:cs="Times New Roman"/>
          <w:b/>
          <w:bCs/>
          <w:sz w:val="28"/>
          <w:szCs w:val="28"/>
        </w:rPr>
        <w:t xml:space="preserve">gainst </w:t>
      </w:r>
      <w:r w:rsidR="00455856">
        <w:rPr>
          <w:rFonts w:ascii="Times New Roman" w:hAnsi="Times New Roman" w:cs="Times New Roman"/>
          <w:b/>
          <w:bCs/>
          <w:sz w:val="28"/>
          <w:szCs w:val="28"/>
        </w:rPr>
        <w:t>f</w:t>
      </w:r>
      <w:r w:rsidR="00455856" w:rsidRPr="00F80570">
        <w:rPr>
          <w:rFonts w:ascii="Times New Roman" w:hAnsi="Times New Roman" w:cs="Times New Roman"/>
          <w:b/>
          <w:bCs/>
          <w:sz w:val="28"/>
          <w:szCs w:val="28"/>
        </w:rPr>
        <w:t xml:space="preserve">orce: </w:t>
      </w:r>
      <w:r w:rsidR="00455856">
        <w:rPr>
          <w:rFonts w:ascii="Times New Roman" w:hAnsi="Times New Roman" w:cs="Times New Roman"/>
          <w:b/>
          <w:bCs/>
          <w:sz w:val="28"/>
          <w:szCs w:val="28"/>
        </w:rPr>
        <w:t>c</w:t>
      </w:r>
      <w:r w:rsidR="00455856" w:rsidRPr="00F80570">
        <w:rPr>
          <w:rFonts w:ascii="Times New Roman" w:hAnsi="Times New Roman" w:cs="Times New Roman"/>
          <w:b/>
          <w:bCs/>
          <w:sz w:val="28"/>
          <w:szCs w:val="28"/>
        </w:rPr>
        <w:t xml:space="preserve">onsent as a </w:t>
      </w:r>
      <w:r>
        <w:rPr>
          <w:rFonts w:ascii="Times New Roman" w:hAnsi="Times New Roman" w:cs="Times New Roman"/>
          <w:b/>
          <w:bCs/>
          <w:sz w:val="28"/>
          <w:szCs w:val="28"/>
        </w:rPr>
        <w:t xml:space="preserve">justification for the use </w:t>
      </w:r>
      <w:r w:rsidR="00455856" w:rsidRPr="00F80570">
        <w:rPr>
          <w:rFonts w:ascii="Times New Roman" w:hAnsi="Times New Roman" w:cs="Times New Roman"/>
          <w:b/>
          <w:bCs/>
          <w:sz w:val="28"/>
          <w:szCs w:val="28"/>
        </w:rPr>
        <w:t xml:space="preserve">of </w:t>
      </w:r>
      <w:r w:rsidR="00455856">
        <w:rPr>
          <w:rFonts w:ascii="Times New Roman" w:hAnsi="Times New Roman" w:cs="Times New Roman"/>
          <w:b/>
          <w:bCs/>
          <w:sz w:val="28"/>
          <w:szCs w:val="28"/>
        </w:rPr>
        <w:t>f</w:t>
      </w:r>
      <w:r w:rsidR="00455856" w:rsidRPr="00F80570">
        <w:rPr>
          <w:rFonts w:ascii="Times New Roman" w:hAnsi="Times New Roman" w:cs="Times New Roman"/>
          <w:b/>
          <w:bCs/>
          <w:sz w:val="28"/>
          <w:szCs w:val="28"/>
        </w:rPr>
        <w:t>orce</w:t>
      </w:r>
    </w:p>
    <w:p w:rsidR="00455856" w:rsidRDefault="00455856" w:rsidP="00AF7273">
      <w:pPr>
        <w:spacing w:line="360" w:lineRule="auto"/>
        <w:rPr>
          <w:rFonts w:ascii="Times New Roman" w:hAnsi="Times New Roman" w:cs="Times New Roman"/>
        </w:rPr>
      </w:pPr>
      <w:r w:rsidRPr="00F80570">
        <w:rPr>
          <w:rFonts w:ascii="Times New Roman" w:hAnsi="Times New Roman" w:cs="Times New Roman"/>
          <w:iCs/>
        </w:rPr>
        <w:t>Federica I Paddeu</w:t>
      </w:r>
      <w:r w:rsidRPr="00F80570">
        <w:rPr>
          <w:rStyle w:val="FootnoteReference"/>
          <w:rFonts w:ascii="Times New Roman" w:hAnsi="Times New Roman" w:cs="Times New Roman"/>
        </w:rPr>
        <w:footnoteReference w:customMarkFollows="1" w:id="1"/>
        <w:t>*</w:t>
      </w:r>
    </w:p>
    <w:p w:rsidR="00455856" w:rsidRDefault="00455856" w:rsidP="00AF7273">
      <w:pPr>
        <w:spacing w:line="360" w:lineRule="auto"/>
        <w:rPr>
          <w:rFonts w:ascii="Times New Roman" w:hAnsi="Times New Roman" w:cs="Times New Roman"/>
          <w:sz w:val="20"/>
          <w:szCs w:val="20"/>
        </w:rPr>
      </w:pPr>
      <w:r w:rsidRPr="00F80570">
        <w:rPr>
          <w:rFonts w:ascii="Times New Roman" w:hAnsi="Times New Roman" w:cs="Times New Roman"/>
          <w:sz w:val="20"/>
          <w:szCs w:val="20"/>
        </w:rPr>
        <w:t xml:space="preserve">Derek </w:t>
      </w:r>
      <w:proofErr w:type="spellStart"/>
      <w:r w:rsidRPr="00F80570">
        <w:rPr>
          <w:rFonts w:ascii="Times New Roman" w:hAnsi="Times New Roman" w:cs="Times New Roman"/>
          <w:sz w:val="20"/>
          <w:szCs w:val="20"/>
        </w:rPr>
        <w:t>Bowett</w:t>
      </w:r>
      <w:proofErr w:type="spellEnd"/>
      <w:r w:rsidRPr="00F80570">
        <w:rPr>
          <w:rFonts w:ascii="Times New Roman" w:hAnsi="Times New Roman" w:cs="Times New Roman"/>
          <w:sz w:val="20"/>
          <w:szCs w:val="20"/>
        </w:rPr>
        <w:t xml:space="preserve"> Fellow in Law, Queens’ College, and Fellow, </w:t>
      </w:r>
      <w:proofErr w:type="spellStart"/>
      <w:r w:rsidRPr="00F80570">
        <w:rPr>
          <w:rFonts w:ascii="Times New Roman" w:hAnsi="Times New Roman" w:cs="Times New Roman"/>
          <w:sz w:val="20"/>
          <w:szCs w:val="20"/>
        </w:rPr>
        <w:t>Lauterpacht</w:t>
      </w:r>
      <w:proofErr w:type="spellEnd"/>
      <w:r w:rsidRPr="00F80570">
        <w:rPr>
          <w:rFonts w:ascii="Times New Roman" w:hAnsi="Times New Roman" w:cs="Times New Roman"/>
          <w:sz w:val="20"/>
          <w:szCs w:val="20"/>
        </w:rPr>
        <w:t xml:space="preserve"> Centre for International Law, University of Cambridge</w:t>
      </w:r>
      <w:r>
        <w:rPr>
          <w:rFonts w:ascii="Times New Roman" w:hAnsi="Times New Roman" w:cs="Times New Roman"/>
          <w:sz w:val="20"/>
          <w:szCs w:val="20"/>
        </w:rPr>
        <w:t>, Cambridge, UK</w:t>
      </w:r>
    </w:p>
    <w:p w:rsidR="00455856" w:rsidRPr="00F80570" w:rsidRDefault="00455856" w:rsidP="00AF7273">
      <w:pPr>
        <w:spacing w:line="360" w:lineRule="auto"/>
        <w:rPr>
          <w:rStyle w:val="FootnoteReference"/>
          <w:rFonts w:ascii="Times New Roman" w:hAnsi="Times New Roman" w:cs="Times New Roman"/>
          <w:sz w:val="20"/>
          <w:szCs w:val="20"/>
        </w:rPr>
      </w:pPr>
      <w:r>
        <w:rPr>
          <w:rFonts w:ascii="Times New Roman" w:hAnsi="Times New Roman" w:cs="Times New Roman"/>
          <w:sz w:val="20"/>
          <w:szCs w:val="20"/>
        </w:rPr>
        <w:t xml:space="preserve">CONTACT: </w:t>
      </w:r>
      <w:hyperlink r:id="rId7" w:history="1">
        <w:r w:rsidRPr="00AD2063">
          <w:rPr>
            <w:rStyle w:val="Hyperlink"/>
            <w:rFonts w:ascii="Times New Roman" w:hAnsi="Times New Roman" w:cs="Times New Roman"/>
            <w:sz w:val="20"/>
            <w:szCs w:val="20"/>
          </w:rPr>
          <w:t>fip20@cam.ac.uk</w:t>
        </w:r>
      </w:hyperlink>
    </w:p>
    <w:p w:rsidR="00455856" w:rsidRDefault="00455856" w:rsidP="00AF7273">
      <w:pPr>
        <w:pStyle w:val="TOC1"/>
        <w:rPr>
          <w:lang w:val="en-US"/>
        </w:rPr>
      </w:pPr>
    </w:p>
    <w:p w:rsidR="00455856" w:rsidRDefault="00455856" w:rsidP="00AF7273">
      <w:pPr>
        <w:rPr>
          <w:b/>
          <w:bCs/>
          <w:lang w:val="en-US"/>
        </w:rPr>
      </w:pPr>
      <w:r w:rsidRPr="00F80570">
        <w:rPr>
          <w:b/>
          <w:bCs/>
          <w:lang w:val="en-US"/>
        </w:rPr>
        <w:t>ABSTRACT</w:t>
      </w:r>
    </w:p>
    <w:p w:rsidR="00455856" w:rsidRPr="00C203C8" w:rsidRDefault="00455856" w:rsidP="003D7583">
      <w:pPr>
        <w:ind w:left="709" w:right="709"/>
        <w:jc w:val="both"/>
        <w:rPr>
          <w:rFonts w:ascii="Times New Roman" w:hAnsi="Times New Roman" w:cs="Times New Roman"/>
          <w:lang w:val="en-US"/>
        </w:rPr>
      </w:pPr>
      <w:r w:rsidRPr="00C203C8">
        <w:rPr>
          <w:rFonts w:ascii="Times New Roman" w:hAnsi="Times New Roman" w:cs="Times New Roman"/>
          <w:lang w:val="en-US"/>
        </w:rPr>
        <w:t xml:space="preserve">Is consent a </w:t>
      </w:r>
      <w:proofErr w:type="spellStart"/>
      <w:r w:rsidRPr="00C203C8">
        <w:rPr>
          <w:rFonts w:ascii="Times New Roman" w:hAnsi="Times New Roman" w:cs="Times New Roman"/>
          <w:lang w:val="en-US"/>
        </w:rPr>
        <w:t>defence</w:t>
      </w:r>
      <w:proofErr w:type="spellEnd"/>
      <w:r w:rsidRPr="00C203C8">
        <w:rPr>
          <w:rFonts w:ascii="Times New Roman" w:hAnsi="Times New Roman" w:cs="Times New Roman"/>
          <w:lang w:val="en-US"/>
        </w:rPr>
        <w:t xml:space="preserve"> or </w:t>
      </w:r>
      <w:r w:rsidR="003D7583">
        <w:rPr>
          <w:rFonts w:ascii="Times New Roman" w:hAnsi="Times New Roman" w:cs="Times New Roman"/>
          <w:lang w:val="en-US"/>
        </w:rPr>
        <w:t>part of the</w:t>
      </w:r>
      <w:r w:rsidRPr="00C203C8">
        <w:rPr>
          <w:rFonts w:ascii="Times New Roman" w:hAnsi="Times New Roman" w:cs="Times New Roman"/>
          <w:lang w:val="en-US"/>
        </w:rPr>
        <w:t xml:space="preserve"> </w:t>
      </w:r>
      <w:r w:rsidR="003D7583">
        <w:rPr>
          <w:rFonts w:ascii="Times New Roman" w:hAnsi="Times New Roman" w:cs="Times New Roman"/>
          <w:lang w:val="en-US"/>
        </w:rPr>
        <w:t xml:space="preserve">definition </w:t>
      </w:r>
      <w:r w:rsidRPr="00C203C8">
        <w:rPr>
          <w:rFonts w:ascii="Times New Roman" w:hAnsi="Times New Roman" w:cs="Times New Roman"/>
          <w:lang w:val="en-US"/>
        </w:rPr>
        <w:t xml:space="preserve">of the prohibition of force? The mainstream answer has been to read (non)consent into the definition of the prohibition. The rule would </w:t>
      </w:r>
      <w:r w:rsidR="003D7583">
        <w:rPr>
          <w:rFonts w:ascii="Times New Roman" w:hAnsi="Times New Roman" w:cs="Times New Roman"/>
          <w:lang w:val="en-US"/>
        </w:rPr>
        <w:t>thus prohibit only non-consensual force</w:t>
      </w:r>
      <w:r w:rsidRPr="00C203C8">
        <w:rPr>
          <w:rFonts w:ascii="Times New Roman" w:hAnsi="Times New Roman" w:cs="Times New Roman"/>
          <w:lang w:val="en-US"/>
        </w:rPr>
        <w:t xml:space="preserve">. </w:t>
      </w:r>
      <w:r w:rsidR="003D7583">
        <w:rPr>
          <w:rFonts w:ascii="Times New Roman" w:hAnsi="Times New Roman" w:cs="Times New Roman"/>
          <w:lang w:val="en-US"/>
        </w:rPr>
        <w:t xml:space="preserve">In this article, I challenge this approach. This </w:t>
      </w:r>
      <w:r w:rsidRPr="00C203C8">
        <w:rPr>
          <w:rFonts w:ascii="Times New Roman" w:hAnsi="Times New Roman" w:cs="Times New Roman"/>
          <w:lang w:val="en-US"/>
        </w:rPr>
        <w:t xml:space="preserve">approach </w:t>
      </w:r>
      <w:r>
        <w:rPr>
          <w:rFonts w:ascii="Times New Roman" w:hAnsi="Times New Roman" w:cs="Times New Roman"/>
          <w:lang w:val="en-US"/>
        </w:rPr>
        <w:t>implies</w:t>
      </w:r>
      <w:r w:rsidRPr="00C203C8">
        <w:rPr>
          <w:rFonts w:ascii="Times New Roman" w:hAnsi="Times New Roman" w:cs="Times New Roman"/>
          <w:lang w:val="en-US"/>
        </w:rPr>
        <w:t xml:space="preserve"> that there is no general reason against force in international society, that consensual force is not harmful and does not call for justification. </w:t>
      </w:r>
      <w:r w:rsidR="003D7583">
        <w:rPr>
          <w:rFonts w:ascii="Times New Roman" w:hAnsi="Times New Roman" w:cs="Times New Roman"/>
          <w:lang w:val="en-US"/>
        </w:rPr>
        <w:t>And yet, t</w:t>
      </w:r>
      <w:r>
        <w:rPr>
          <w:rFonts w:ascii="Times New Roman" w:hAnsi="Times New Roman" w:cs="Times New Roman"/>
          <w:lang w:val="en-US"/>
        </w:rPr>
        <w:t xml:space="preserve">he use of force, </w:t>
      </w:r>
      <w:r w:rsidR="003D7583">
        <w:rPr>
          <w:rFonts w:ascii="Times New Roman" w:hAnsi="Times New Roman" w:cs="Times New Roman"/>
          <w:lang w:val="en-US"/>
        </w:rPr>
        <w:t xml:space="preserve">whether </w:t>
      </w:r>
      <w:r>
        <w:rPr>
          <w:rFonts w:ascii="Times New Roman" w:hAnsi="Times New Roman" w:cs="Times New Roman"/>
          <w:lang w:val="en-US"/>
        </w:rPr>
        <w:t>internal or international,</w:t>
      </w:r>
      <w:r w:rsidR="003D7583">
        <w:rPr>
          <w:rFonts w:ascii="Times New Roman" w:hAnsi="Times New Roman" w:cs="Times New Roman"/>
          <w:lang w:val="en-US"/>
        </w:rPr>
        <w:t xml:space="preserve"> always</w:t>
      </w:r>
      <w:r>
        <w:rPr>
          <w:rFonts w:ascii="Times New Roman" w:hAnsi="Times New Roman" w:cs="Times New Roman"/>
          <w:lang w:val="en-US"/>
        </w:rPr>
        <w:t xml:space="preserve"> harms or threatens harm to international peace</w:t>
      </w:r>
      <w:r w:rsidR="003D7583">
        <w:rPr>
          <w:rFonts w:ascii="Times New Roman" w:hAnsi="Times New Roman" w:cs="Times New Roman"/>
          <w:lang w:val="en-US"/>
        </w:rPr>
        <w:t xml:space="preserve"> -</w:t>
      </w:r>
      <w:r>
        <w:rPr>
          <w:rFonts w:ascii="Times New Roman" w:hAnsi="Times New Roman" w:cs="Times New Roman"/>
          <w:lang w:val="en-US"/>
        </w:rPr>
        <w:t xml:space="preserve"> the paramount purpose of the United Nations</w:t>
      </w:r>
      <w:r w:rsidR="003D7583">
        <w:rPr>
          <w:rFonts w:ascii="Times New Roman" w:hAnsi="Times New Roman" w:cs="Times New Roman"/>
          <w:lang w:val="en-US"/>
        </w:rPr>
        <w:t xml:space="preserve">, so that maintaining international peace must count as a general reason against force. Moreover, </w:t>
      </w:r>
      <w:r w:rsidRPr="00C203C8">
        <w:rPr>
          <w:rFonts w:ascii="Times New Roman" w:hAnsi="Times New Roman" w:cs="Times New Roman"/>
          <w:lang w:val="en-US"/>
        </w:rPr>
        <w:t xml:space="preserve">international actors offer and expect justifications </w:t>
      </w:r>
      <w:r w:rsidR="003D7583">
        <w:rPr>
          <w:rFonts w:ascii="Times New Roman" w:hAnsi="Times New Roman" w:cs="Times New Roman"/>
          <w:lang w:val="en-US"/>
        </w:rPr>
        <w:t xml:space="preserve">whenever force is used, including with consent. </w:t>
      </w:r>
      <w:r w:rsidRPr="00C203C8">
        <w:rPr>
          <w:rFonts w:ascii="Times New Roman" w:hAnsi="Times New Roman" w:cs="Times New Roman"/>
          <w:lang w:val="en-US"/>
        </w:rPr>
        <w:t xml:space="preserve">To reflect the general reason against force, the prohibition must </w:t>
      </w:r>
      <w:r>
        <w:rPr>
          <w:rFonts w:ascii="Times New Roman" w:hAnsi="Times New Roman" w:cs="Times New Roman"/>
          <w:lang w:val="en-US"/>
        </w:rPr>
        <w:t>exclude</w:t>
      </w:r>
      <w:r w:rsidRPr="00C203C8">
        <w:rPr>
          <w:rFonts w:ascii="Times New Roman" w:hAnsi="Times New Roman" w:cs="Times New Roman"/>
          <w:lang w:val="en-US"/>
        </w:rPr>
        <w:t xml:space="preserve"> </w:t>
      </w:r>
      <w:r>
        <w:rPr>
          <w:rFonts w:ascii="Times New Roman" w:hAnsi="Times New Roman" w:cs="Times New Roman"/>
          <w:lang w:val="en-US"/>
        </w:rPr>
        <w:t xml:space="preserve">consent from </w:t>
      </w:r>
      <w:r w:rsidRPr="00C203C8">
        <w:rPr>
          <w:rFonts w:ascii="Times New Roman" w:hAnsi="Times New Roman" w:cs="Times New Roman"/>
          <w:lang w:val="en-US"/>
        </w:rPr>
        <w:t xml:space="preserve">its definition. Consent </w:t>
      </w:r>
      <w:r>
        <w:rPr>
          <w:rFonts w:ascii="Times New Roman" w:hAnsi="Times New Roman" w:cs="Times New Roman"/>
          <w:lang w:val="en-US"/>
        </w:rPr>
        <w:t xml:space="preserve">must be </w:t>
      </w:r>
      <w:r w:rsidRPr="00C203C8">
        <w:rPr>
          <w:rFonts w:ascii="Times New Roman" w:hAnsi="Times New Roman" w:cs="Times New Roman"/>
          <w:lang w:val="en-US"/>
        </w:rPr>
        <w:t xml:space="preserve">recast as a </w:t>
      </w:r>
      <w:proofErr w:type="spellStart"/>
      <w:r w:rsidRPr="00C203C8">
        <w:rPr>
          <w:rFonts w:ascii="Times New Roman" w:hAnsi="Times New Roman" w:cs="Times New Roman"/>
          <w:lang w:val="en-US"/>
        </w:rPr>
        <w:t>defence</w:t>
      </w:r>
      <w:proofErr w:type="spellEnd"/>
      <w:r w:rsidRPr="00C203C8">
        <w:rPr>
          <w:rFonts w:ascii="Times New Roman" w:hAnsi="Times New Roman" w:cs="Times New Roman"/>
          <w:lang w:val="en-US"/>
        </w:rPr>
        <w:t>.</w:t>
      </w:r>
    </w:p>
    <w:p w:rsidR="00455856" w:rsidRPr="005726D8" w:rsidRDefault="00455856" w:rsidP="00AF7273">
      <w:pPr>
        <w:rPr>
          <w:rFonts w:ascii="Times New Roman" w:hAnsi="Times New Roman" w:cs="Times New Roman"/>
          <w:b/>
          <w:bCs/>
          <w:lang w:val="en-US"/>
        </w:rPr>
      </w:pPr>
    </w:p>
    <w:p w:rsidR="00455856" w:rsidRDefault="00455856" w:rsidP="00AF7273">
      <w:pPr>
        <w:rPr>
          <w:rFonts w:ascii="Times New Roman" w:hAnsi="Times New Roman" w:cs="Times New Roman"/>
          <w:b/>
          <w:bCs/>
          <w:lang w:val="en-US"/>
        </w:rPr>
      </w:pPr>
      <w:r w:rsidRPr="005726D8">
        <w:rPr>
          <w:rFonts w:ascii="Times New Roman" w:hAnsi="Times New Roman" w:cs="Times New Roman"/>
          <w:b/>
          <w:bCs/>
          <w:lang w:val="en-US"/>
        </w:rPr>
        <w:t>KEYWORDS</w:t>
      </w:r>
      <w:r>
        <w:rPr>
          <w:rFonts w:ascii="Times New Roman" w:hAnsi="Times New Roman" w:cs="Times New Roman"/>
          <w:b/>
          <w:bCs/>
          <w:lang w:val="en-US"/>
        </w:rPr>
        <w:t xml:space="preserve"> </w:t>
      </w:r>
    </w:p>
    <w:p w:rsidR="00455856" w:rsidRPr="005726D8" w:rsidRDefault="00455856" w:rsidP="00AF7273">
      <w:pPr>
        <w:rPr>
          <w:rFonts w:ascii="Times New Roman" w:hAnsi="Times New Roman" w:cs="Times New Roman"/>
          <w:b/>
          <w:bCs/>
          <w:lang w:val="en-US"/>
        </w:rPr>
      </w:pPr>
      <w:r w:rsidRPr="005726D8">
        <w:rPr>
          <w:rFonts w:ascii="Times New Roman" w:hAnsi="Times New Roman" w:cs="Times New Roman"/>
          <w:lang w:val="en-US"/>
        </w:rPr>
        <w:t>use</w:t>
      </w:r>
      <w:r>
        <w:rPr>
          <w:rFonts w:ascii="Times New Roman" w:hAnsi="Times New Roman" w:cs="Times New Roman"/>
          <w:lang w:val="en-US"/>
        </w:rPr>
        <w:t xml:space="preserve"> of force; consent; intervention by invitation; exceptions; </w:t>
      </w:r>
      <w:proofErr w:type="spellStart"/>
      <w:r>
        <w:rPr>
          <w:rFonts w:ascii="Times New Roman" w:hAnsi="Times New Roman" w:cs="Times New Roman"/>
          <w:lang w:val="en-US"/>
        </w:rPr>
        <w:t>defences</w:t>
      </w:r>
      <w:proofErr w:type="spellEnd"/>
    </w:p>
    <w:p w:rsidR="00455856" w:rsidRPr="00F80570" w:rsidRDefault="00455856" w:rsidP="00AF7273">
      <w:pPr>
        <w:spacing w:line="360" w:lineRule="auto"/>
        <w:rPr>
          <w:rFonts w:ascii="Times New Roman" w:hAnsi="Times New Roman" w:cs="Times New Roman"/>
          <w:lang w:val="en-US"/>
        </w:rPr>
      </w:pPr>
    </w:p>
    <w:p w:rsidR="00455856" w:rsidRPr="00095D02" w:rsidRDefault="00095D02" w:rsidP="00095D02">
      <w:pPr>
        <w:spacing w:line="360" w:lineRule="auto"/>
        <w:jc w:val="right"/>
        <w:rPr>
          <w:rFonts w:ascii="Times New Roman" w:hAnsi="Times New Roman" w:cs="Times New Roman"/>
        </w:rPr>
      </w:pPr>
      <w:r>
        <w:rPr>
          <w:rFonts w:ascii="Times New Roman" w:hAnsi="Times New Roman" w:cs="Times New Roman"/>
        </w:rPr>
        <w:t>‘[J]</w:t>
      </w:r>
      <w:r w:rsidRPr="00095D02">
        <w:rPr>
          <w:rFonts w:ascii="Times New Roman" w:hAnsi="Times New Roman" w:cs="Times New Roman"/>
        </w:rPr>
        <w:t>justification is called for only when one also has some reason </w:t>
      </w:r>
      <w:r w:rsidRPr="00095D02">
        <w:rPr>
          <w:rFonts w:ascii="Times New Roman" w:hAnsi="Times New Roman" w:cs="Times New Roman"/>
          <w:i/>
          <w:iCs/>
        </w:rPr>
        <w:t>not</w:t>
      </w:r>
      <w:r w:rsidRPr="00095D02">
        <w:rPr>
          <w:rFonts w:ascii="Times New Roman" w:hAnsi="Times New Roman" w:cs="Times New Roman"/>
        </w:rPr>
        <w:t> to act</w:t>
      </w:r>
      <w:r>
        <w:rPr>
          <w:rFonts w:ascii="Times New Roman" w:hAnsi="Times New Roman" w:cs="Times New Roman"/>
        </w:rPr>
        <w:t xml:space="preserve"> …</w:t>
      </w:r>
      <w:r w:rsidRPr="00095D02">
        <w:rPr>
          <w:rFonts w:ascii="Times New Roman" w:hAnsi="Times New Roman" w:cs="Times New Roman"/>
        </w:rPr>
        <w:t xml:space="preserve"> as on</w:t>
      </w:r>
      <w:r>
        <w:rPr>
          <w:rFonts w:ascii="Times New Roman" w:hAnsi="Times New Roman" w:cs="Times New Roman"/>
        </w:rPr>
        <w:t xml:space="preserve">e </w:t>
      </w:r>
      <w:r w:rsidRPr="00095D02">
        <w:rPr>
          <w:rFonts w:ascii="Times New Roman" w:hAnsi="Times New Roman" w:cs="Times New Roman"/>
        </w:rPr>
        <w:t>does</w:t>
      </w:r>
      <w:r>
        <w:rPr>
          <w:rFonts w:ascii="Times New Roman" w:hAnsi="Times New Roman" w:cs="Times New Roman"/>
        </w:rPr>
        <w:t>’</w:t>
      </w:r>
      <w:r w:rsidR="00455856" w:rsidRPr="00F80570">
        <w:rPr>
          <w:rFonts w:ascii="Times New Roman" w:hAnsi="Times New Roman" w:cs="Times New Roman"/>
          <w:lang w:val="en-US"/>
        </w:rPr>
        <w:t>.</w:t>
      </w:r>
      <w:r w:rsidR="00455856" w:rsidRPr="00F80570">
        <w:rPr>
          <w:rStyle w:val="FootnoteReference"/>
          <w:rFonts w:ascii="Times New Roman" w:hAnsi="Times New Roman" w:cs="Times New Roman"/>
        </w:rPr>
        <w:footnoteReference w:id="2"/>
      </w:r>
    </w:p>
    <w:p w:rsidR="00455856" w:rsidRPr="00F80570" w:rsidRDefault="00455856" w:rsidP="00AF7273">
      <w:pPr>
        <w:spacing w:line="360" w:lineRule="auto"/>
        <w:jc w:val="right"/>
        <w:rPr>
          <w:rFonts w:ascii="Times New Roman" w:hAnsi="Times New Roman" w:cs="Times New Roman"/>
          <w:lang w:val="en-US"/>
        </w:rPr>
      </w:pPr>
      <w:r w:rsidRPr="00F80570">
        <w:rPr>
          <w:rFonts w:ascii="Times New Roman" w:hAnsi="Times New Roman" w:cs="Times New Roman"/>
          <w:lang w:val="en-US"/>
        </w:rPr>
        <w:t>John Gardner</w:t>
      </w:r>
    </w:p>
    <w:p w:rsidR="00455856" w:rsidRPr="00F80570" w:rsidRDefault="00455856" w:rsidP="00AF7273">
      <w:pPr>
        <w:spacing w:line="360" w:lineRule="auto"/>
        <w:jc w:val="right"/>
        <w:rPr>
          <w:rFonts w:ascii="Times New Roman" w:hAnsi="Times New Roman" w:cs="Times New Roman"/>
        </w:rPr>
      </w:pPr>
    </w:p>
    <w:p w:rsidR="00455856" w:rsidRPr="0070747C" w:rsidRDefault="00455856" w:rsidP="00AF7273">
      <w:pPr>
        <w:pStyle w:val="Heading1"/>
        <w:numPr>
          <w:ilvl w:val="0"/>
          <w:numId w:val="18"/>
        </w:numPr>
        <w:spacing w:line="360" w:lineRule="auto"/>
        <w:rPr>
          <w:rFonts w:ascii="Times New Roman" w:hAnsi="Times New Roman" w:cs="Times New Roman"/>
          <w:sz w:val="24"/>
          <w:szCs w:val="24"/>
        </w:rPr>
      </w:pPr>
      <w:bookmarkStart w:id="0" w:name="_Toc46390725"/>
      <w:r w:rsidRPr="0070747C">
        <w:rPr>
          <w:rFonts w:ascii="Times New Roman" w:hAnsi="Times New Roman" w:cs="Times New Roman"/>
          <w:sz w:val="24"/>
          <w:szCs w:val="24"/>
        </w:rPr>
        <w:t>Introduction</w:t>
      </w:r>
      <w:bookmarkEnd w:id="0"/>
    </w:p>
    <w:p w:rsidR="00455856"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Consent, it is said, ‘</w:t>
      </w:r>
      <w:r w:rsidRPr="00F80570">
        <w:rPr>
          <w:rFonts w:ascii="Times New Roman" w:hAnsi="Times New Roman" w:cs="Times New Roman"/>
        </w:rPr>
        <w:t>turns a trespass into a dinner party; a battery into a handshake; a theft into a gift; an invasion of privacy into an intimate moment; a commercial appropriation of name and likeness into a biography.’</w:t>
      </w:r>
      <w:r w:rsidRPr="00F80570">
        <w:rPr>
          <w:rFonts w:ascii="Times New Roman" w:hAnsi="Times New Roman" w:cs="Times New Roman"/>
          <w:vertAlign w:val="superscript"/>
        </w:rPr>
        <w:footnoteReference w:id="3"/>
      </w:r>
      <w:r w:rsidRPr="00F80570">
        <w:rPr>
          <w:rFonts w:ascii="Times New Roman" w:hAnsi="Times New Roman" w:cs="Times New Roman"/>
        </w:rPr>
        <w:t xml:space="preserve"> The same holds true in international law. </w:t>
      </w:r>
      <w:r w:rsidRPr="00F80570">
        <w:rPr>
          <w:rFonts w:ascii="Times New Roman" w:hAnsi="Times New Roman" w:cs="Times New Roman"/>
          <w:lang w:val="en-US"/>
        </w:rPr>
        <w:t xml:space="preserve">Thus, the consent of the territorial </w:t>
      </w:r>
      <w:r w:rsidR="00EB3E7A">
        <w:rPr>
          <w:rFonts w:ascii="Times New Roman" w:hAnsi="Times New Roman" w:cs="Times New Roman"/>
          <w:lang w:val="en-US"/>
        </w:rPr>
        <w:t>s</w:t>
      </w:r>
      <w:r w:rsidRPr="00F80570">
        <w:rPr>
          <w:rFonts w:ascii="Times New Roman" w:hAnsi="Times New Roman" w:cs="Times New Roman"/>
          <w:lang w:val="en-US"/>
        </w:rPr>
        <w:t>tate turns an intervention into aid</w:t>
      </w:r>
      <w:r w:rsidR="00EB3E7A">
        <w:rPr>
          <w:rFonts w:ascii="Times New Roman" w:hAnsi="Times New Roman" w:cs="Times New Roman"/>
          <w:lang w:val="en-US"/>
        </w:rPr>
        <w:t>,</w:t>
      </w:r>
      <w:r w:rsidRPr="00F80570">
        <w:rPr>
          <w:rFonts w:ascii="Times New Roman" w:hAnsi="Times New Roman" w:cs="Times New Roman"/>
          <w:lang w:val="en-US"/>
        </w:rPr>
        <w:t xml:space="preserve"> and an exercise of extraterritorial jurisdiction </w:t>
      </w:r>
      <w:r w:rsidRPr="00F80570">
        <w:rPr>
          <w:rFonts w:ascii="Times New Roman" w:hAnsi="Times New Roman" w:cs="Times New Roman"/>
          <w:lang w:val="en-US"/>
        </w:rPr>
        <w:lastRenderedPageBreak/>
        <w:t>into cooperation.</w:t>
      </w:r>
      <w:r w:rsidRPr="00F80570">
        <w:rPr>
          <w:rFonts w:ascii="Times New Roman" w:hAnsi="Times New Roman" w:cs="Times New Roman"/>
          <w:vertAlign w:val="superscript"/>
          <w:lang w:val="en-US"/>
        </w:rPr>
        <w:footnoteReference w:id="4"/>
      </w:r>
      <w:r w:rsidRPr="00F80570">
        <w:rPr>
          <w:rFonts w:ascii="Times New Roman" w:hAnsi="Times New Roman" w:cs="Times New Roman"/>
          <w:lang w:val="en-US"/>
        </w:rPr>
        <w:t xml:space="preserve"> Consent renders lawful that which would otherwise be unlawful. This is the ‘legal magic’ of consent, to paraphrase moral philosopher Heidi Hurd.</w:t>
      </w:r>
      <w:r w:rsidRPr="00F80570">
        <w:rPr>
          <w:rFonts w:ascii="Times New Roman" w:hAnsi="Times New Roman" w:cs="Times New Roman"/>
          <w:vertAlign w:val="superscript"/>
          <w:lang w:val="en-US"/>
        </w:rPr>
        <w:footnoteReference w:id="5"/>
      </w:r>
      <w:r w:rsidRPr="00F80570">
        <w:rPr>
          <w:rFonts w:ascii="Times New Roman" w:hAnsi="Times New Roman" w:cs="Times New Roman"/>
          <w:lang w:val="en-US"/>
        </w:rPr>
        <w:t xml:space="preserve"> </w:t>
      </w:r>
    </w:p>
    <w:p w:rsidR="00455856"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It is consent, too, that turns an otherwise prohibited use of force into a permissible one. Indeed, while the use of force is prohibited in international law, it is unanimously agreed that consensual force – albeit within</w:t>
      </w:r>
      <w:r w:rsidR="00EB3E7A">
        <w:rPr>
          <w:rFonts w:ascii="Times New Roman" w:hAnsi="Times New Roman" w:cs="Times New Roman"/>
          <w:lang w:val="en-US"/>
        </w:rPr>
        <w:t xml:space="preserve"> certain</w:t>
      </w:r>
      <w:r w:rsidRPr="00F80570">
        <w:rPr>
          <w:rFonts w:ascii="Times New Roman" w:hAnsi="Times New Roman" w:cs="Times New Roman"/>
          <w:lang w:val="en-US"/>
        </w:rPr>
        <w:t xml:space="preserve"> limits – is permitted.</w:t>
      </w:r>
      <w:r w:rsidRPr="00F80570">
        <w:rPr>
          <w:rFonts w:ascii="Times New Roman" w:hAnsi="Times New Roman" w:cs="Times New Roman"/>
          <w:vertAlign w:val="superscript"/>
          <w:lang w:val="en-US"/>
        </w:rPr>
        <w:footnoteReference w:id="6"/>
      </w:r>
      <w:r w:rsidRPr="00F80570">
        <w:rPr>
          <w:rFonts w:ascii="Times New Roman" w:hAnsi="Times New Roman" w:cs="Times New Roman"/>
          <w:lang w:val="en-US"/>
        </w:rPr>
        <w:t xml:space="preserve"> </w:t>
      </w:r>
      <w:r>
        <w:rPr>
          <w:rFonts w:ascii="Times New Roman" w:hAnsi="Times New Roman" w:cs="Times New Roman"/>
          <w:lang w:val="en-US"/>
        </w:rPr>
        <w:t xml:space="preserve"> </w:t>
      </w:r>
      <w:r w:rsidRPr="00F80570">
        <w:rPr>
          <w:rFonts w:ascii="Times New Roman" w:hAnsi="Times New Roman" w:cs="Times New Roman"/>
          <w:lang w:val="en-US"/>
        </w:rPr>
        <w:t xml:space="preserve">The use of consensual force is not unusual in practice. In the last decade, as will be seen later, there were no fewer than eight instances of </w:t>
      </w:r>
      <w:r>
        <w:rPr>
          <w:rFonts w:ascii="Times New Roman" w:hAnsi="Times New Roman" w:cs="Times New Roman"/>
          <w:lang w:val="en-US"/>
        </w:rPr>
        <w:t>s</w:t>
      </w:r>
      <w:r w:rsidRPr="00F80570">
        <w:rPr>
          <w:rFonts w:ascii="Times New Roman" w:hAnsi="Times New Roman" w:cs="Times New Roman"/>
          <w:lang w:val="en-US"/>
        </w:rPr>
        <w:t>tates using force</w:t>
      </w:r>
      <w:r>
        <w:rPr>
          <w:rFonts w:ascii="Times New Roman" w:hAnsi="Times New Roman" w:cs="Times New Roman"/>
          <w:lang w:val="en-US"/>
        </w:rPr>
        <w:t xml:space="preserve">, either individually or through </w:t>
      </w:r>
      <w:proofErr w:type="spellStart"/>
      <w:r>
        <w:rPr>
          <w:rFonts w:ascii="Times New Roman" w:hAnsi="Times New Roman" w:cs="Times New Roman"/>
          <w:lang w:val="en-US"/>
        </w:rPr>
        <w:t>organisations</w:t>
      </w:r>
      <w:proofErr w:type="spellEnd"/>
      <w:r>
        <w:rPr>
          <w:rFonts w:ascii="Times New Roman" w:hAnsi="Times New Roman" w:cs="Times New Roman"/>
          <w:lang w:val="en-US"/>
        </w:rPr>
        <w:t>,</w:t>
      </w:r>
      <w:r w:rsidRPr="00F80570">
        <w:rPr>
          <w:rFonts w:ascii="Times New Roman" w:hAnsi="Times New Roman" w:cs="Times New Roman"/>
          <w:lang w:val="en-US"/>
        </w:rPr>
        <w:t xml:space="preserve"> with the consent of another </w:t>
      </w:r>
      <w:r>
        <w:rPr>
          <w:rFonts w:ascii="Times New Roman" w:hAnsi="Times New Roman" w:cs="Times New Roman"/>
          <w:lang w:val="en-US"/>
        </w:rPr>
        <w:t>s</w:t>
      </w:r>
      <w:r w:rsidRPr="00F80570">
        <w:rPr>
          <w:rFonts w:ascii="Times New Roman" w:hAnsi="Times New Roman" w:cs="Times New Roman"/>
          <w:lang w:val="en-US"/>
        </w:rPr>
        <w:t xml:space="preserve">tate. But how does consent operate its ‘magic’ in relation to the prohibition of force? As noted by David </w:t>
      </w:r>
      <w:proofErr w:type="spellStart"/>
      <w:r w:rsidRPr="00F80570">
        <w:rPr>
          <w:rFonts w:ascii="Times New Roman" w:hAnsi="Times New Roman" w:cs="Times New Roman"/>
          <w:lang w:val="en-US"/>
        </w:rPr>
        <w:t>Wippman</w:t>
      </w:r>
      <w:proofErr w:type="spellEnd"/>
      <w:r w:rsidRPr="00F80570">
        <w:rPr>
          <w:rFonts w:ascii="Times New Roman" w:hAnsi="Times New Roman" w:cs="Times New Roman"/>
          <w:lang w:val="en-US"/>
        </w:rPr>
        <w:t>, the ‘theoretical basis for the rule that consent may validate an otherwise wrongful intervention is not entirely clear.’</w:t>
      </w:r>
      <w:r w:rsidRPr="00F80570">
        <w:rPr>
          <w:rFonts w:ascii="Times New Roman" w:hAnsi="Times New Roman" w:cs="Times New Roman"/>
          <w:vertAlign w:val="superscript"/>
          <w:lang w:val="en-US"/>
        </w:rPr>
        <w:footnoteReference w:id="7"/>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The mainstream answer to this question found in the international law scholarship involves casting the </w:t>
      </w:r>
      <w:r>
        <w:rPr>
          <w:rFonts w:ascii="Times New Roman" w:hAnsi="Times New Roman" w:cs="Times New Roman"/>
          <w:lang w:val="en-US"/>
        </w:rPr>
        <w:t>fact</w:t>
      </w:r>
      <w:r w:rsidRPr="00F80570">
        <w:rPr>
          <w:rFonts w:ascii="Times New Roman" w:hAnsi="Times New Roman" w:cs="Times New Roman"/>
          <w:lang w:val="en-US"/>
        </w:rPr>
        <w:t xml:space="preserve"> of (non)consent as a definitional requirement of the prohibition on the use of force. On this view, the rule would state, in relevant part, that ‘the use of non-consensual force is prohibited’. This is an elegant solution which, at once, </w:t>
      </w:r>
      <w:r>
        <w:rPr>
          <w:rFonts w:ascii="Times New Roman" w:hAnsi="Times New Roman" w:cs="Times New Roman"/>
          <w:lang w:val="en-US"/>
        </w:rPr>
        <w:t>manages to address a number of associated problems</w:t>
      </w:r>
      <w:r w:rsidRPr="00F80570">
        <w:rPr>
          <w:rFonts w:ascii="Times New Roman" w:hAnsi="Times New Roman" w:cs="Times New Roman"/>
          <w:lang w:val="en-US"/>
        </w:rPr>
        <w:t xml:space="preserve">. First, this solution accommodates the perceived differences between consent and the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the law of </w:t>
      </w:r>
      <w:r w:rsidR="00AF7273">
        <w:rPr>
          <w:rFonts w:ascii="Times New Roman" w:hAnsi="Times New Roman" w:cs="Times New Roman"/>
          <w:lang w:val="en-US"/>
        </w:rPr>
        <w:t>s</w:t>
      </w:r>
      <w:r w:rsidRPr="00F80570">
        <w:rPr>
          <w:rFonts w:ascii="Times New Roman" w:hAnsi="Times New Roman" w:cs="Times New Roman"/>
          <w:lang w:val="en-US"/>
        </w:rPr>
        <w:t xml:space="preserve">tate responsibility: where consent involves conduct which is </w:t>
      </w:r>
      <w:r w:rsidRPr="00F80570">
        <w:rPr>
          <w:rFonts w:ascii="Times New Roman" w:hAnsi="Times New Roman" w:cs="Times New Roman"/>
          <w:i/>
          <w:lang w:val="en-US"/>
        </w:rPr>
        <w:t>ab initio</w:t>
      </w:r>
      <w:r w:rsidRPr="00F80570">
        <w:rPr>
          <w:rFonts w:ascii="Times New Roman" w:hAnsi="Times New Roman" w:cs="Times New Roman"/>
          <w:lang w:val="en-US"/>
        </w:rPr>
        <w:t xml:space="preserve"> or ‘perfectly’ lawful, as it is excluded from the scope of the relevant rule, other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would involve conduct which is </w:t>
      </w:r>
      <w:r w:rsidRPr="00F80570">
        <w:rPr>
          <w:rFonts w:ascii="Times New Roman" w:hAnsi="Times New Roman" w:cs="Times New Roman"/>
          <w:i/>
          <w:lang w:val="en-US"/>
        </w:rPr>
        <w:t>prima facie</w:t>
      </w:r>
      <w:r w:rsidRPr="00F80570">
        <w:rPr>
          <w:rFonts w:ascii="Times New Roman" w:hAnsi="Times New Roman" w:cs="Times New Roman"/>
          <w:lang w:val="en-US"/>
        </w:rPr>
        <w:t xml:space="preserve"> wrongful as they would amount to conduct which, in principle</w:t>
      </w:r>
      <w:r>
        <w:rPr>
          <w:rFonts w:ascii="Times New Roman" w:hAnsi="Times New Roman" w:cs="Times New Roman"/>
          <w:lang w:val="en-US"/>
        </w:rPr>
        <w:t xml:space="preserve"> or at first blush</w:t>
      </w:r>
      <w:r w:rsidRPr="00F80570">
        <w:rPr>
          <w:rFonts w:ascii="Times New Roman" w:hAnsi="Times New Roman" w:cs="Times New Roman"/>
          <w:lang w:val="en-US"/>
        </w:rPr>
        <w:t>, violated the relevant rule.</w:t>
      </w:r>
      <w:r w:rsidRPr="00F80570">
        <w:rPr>
          <w:rStyle w:val="FootnoteReference"/>
          <w:rFonts w:ascii="Times New Roman" w:hAnsi="Times New Roman" w:cs="Times New Roman"/>
          <w:lang w:val="en-US"/>
        </w:rPr>
        <w:footnoteReference w:id="8"/>
      </w:r>
      <w:r w:rsidRPr="00F80570">
        <w:rPr>
          <w:rFonts w:ascii="Times New Roman" w:hAnsi="Times New Roman" w:cs="Times New Roman"/>
          <w:lang w:val="en-US"/>
        </w:rPr>
        <w:t xml:space="preserve"> Second, it can be </w:t>
      </w:r>
      <w:r w:rsidRPr="00F80570">
        <w:rPr>
          <w:rFonts w:ascii="Times New Roman" w:hAnsi="Times New Roman" w:cs="Times New Roman"/>
          <w:lang w:val="en-US"/>
        </w:rPr>
        <w:lastRenderedPageBreak/>
        <w:t>reconciled with the</w:t>
      </w:r>
      <w:r>
        <w:rPr>
          <w:rFonts w:ascii="Times New Roman" w:hAnsi="Times New Roman" w:cs="Times New Roman"/>
          <w:lang w:val="en-US"/>
        </w:rPr>
        <w:t xml:space="preserve"> United Nations (‘UN’)</w:t>
      </w:r>
      <w:r w:rsidRPr="00F80570">
        <w:rPr>
          <w:rFonts w:ascii="Times New Roman" w:hAnsi="Times New Roman" w:cs="Times New Roman"/>
          <w:lang w:val="en-US"/>
        </w:rPr>
        <w:t xml:space="preserve"> Charter system: in the absence of an express provision in this regard, this solution </w:t>
      </w:r>
      <w:r>
        <w:rPr>
          <w:rFonts w:ascii="Times New Roman" w:hAnsi="Times New Roman" w:cs="Times New Roman"/>
          <w:lang w:val="en-US"/>
        </w:rPr>
        <w:t>can anchor</w:t>
      </w:r>
      <w:r w:rsidRPr="00F80570">
        <w:rPr>
          <w:rFonts w:ascii="Times New Roman" w:hAnsi="Times New Roman" w:cs="Times New Roman"/>
          <w:lang w:val="en-US"/>
        </w:rPr>
        <w:t xml:space="preserve"> </w:t>
      </w:r>
      <w:r w:rsidR="00AF7273">
        <w:rPr>
          <w:rFonts w:ascii="Times New Roman" w:hAnsi="Times New Roman" w:cs="Times New Roman"/>
          <w:lang w:val="en-US"/>
        </w:rPr>
        <w:t xml:space="preserve">the </w:t>
      </w:r>
      <w:r w:rsidRPr="00F80570">
        <w:rPr>
          <w:rFonts w:ascii="Times New Roman" w:hAnsi="Times New Roman" w:cs="Times New Roman"/>
          <w:lang w:val="en-US"/>
        </w:rPr>
        <w:t xml:space="preserve">exception </w:t>
      </w:r>
      <w:r>
        <w:rPr>
          <w:rFonts w:ascii="Times New Roman" w:hAnsi="Times New Roman" w:cs="Times New Roman"/>
          <w:lang w:val="en-US"/>
        </w:rPr>
        <w:t>to</w:t>
      </w:r>
      <w:r w:rsidRPr="00F80570">
        <w:rPr>
          <w:rFonts w:ascii="Times New Roman" w:hAnsi="Times New Roman" w:cs="Times New Roman"/>
          <w:lang w:val="en-US"/>
        </w:rPr>
        <w:t xml:space="preserve"> the words of Article 2(4) of the Charter itself. Third, it bypasses the (potential) peremptory status of the prohibition of force: indeed, if the prohibition of force were a peremptory rule then it would be immune from derogation by way of the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the law of responsibility – including consent.</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In this </w:t>
      </w:r>
      <w:r>
        <w:rPr>
          <w:rFonts w:ascii="Times New Roman" w:hAnsi="Times New Roman" w:cs="Times New Roman"/>
          <w:lang w:val="en-US"/>
        </w:rPr>
        <w:t>article</w:t>
      </w:r>
      <w:r w:rsidRPr="00F80570">
        <w:rPr>
          <w:rFonts w:ascii="Times New Roman" w:hAnsi="Times New Roman" w:cs="Times New Roman"/>
          <w:lang w:val="en-US"/>
        </w:rPr>
        <w:t xml:space="preserve"> I challenge this mainstream approach. Relying on legal-theoretical developments on the concepts of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 argue that the formulation of the rule-exception relationship suggested by the mainstream approach reveals background presuppositions and implications which are </w:t>
      </w:r>
      <w:r>
        <w:rPr>
          <w:rFonts w:ascii="Times New Roman" w:hAnsi="Times New Roman" w:cs="Times New Roman"/>
          <w:lang w:val="en-US"/>
        </w:rPr>
        <w:t>incompatible with the Charter system</w:t>
      </w:r>
      <w:r w:rsidRPr="00F80570">
        <w:rPr>
          <w:rFonts w:ascii="Times New Roman" w:hAnsi="Times New Roman" w:cs="Times New Roman"/>
          <w:lang w:val="en-US"/>
        </w:rPr>
        <w:t xml:space="preserve"> </w:t>
      </w:r>
      <w:r>
        <w:rPr>
          <w:rFonts w:ascii="Times New Roman" w:hAnsi="Times New Roman" w:cs="Times New Roman"/>
          <w:lang w:val="en-US"/>
        </w:rPr>
        <w:t xml:space="preserve">and </w:t>
      </w:r>
      <w:r w:rsidRPr="00F80570">
        <w:rPr>
          <w:rFonts w:ascii="Times New Roman" w:hAnsi="Times New Roman" w:cs="Times New Roman"/>
          <w:lang w:val="en-US"/>
        </w:rPr>
        <w:t xml:space="preserve">the international legal practice and discourse </w:t>
      </w:r>
      <w:r>
        <w:rPr>
          <w:rFonts w:ascii="Times New Roman" w:hAnsi="Times New Roman" w:cs="Times New Roman"/>
          <w:lang w:val="en-US"/>
        </w:rPr>
        <w:t xml:space="preserve">international actors </w:t>
      </w:r>
      <w:r w:rsidRPr="00F80570">
        <w:rPr>
          <w:rFonts w:ascii="Times New Roman" w:hAnsi="Times New Roman" w:cs="Times New Roman"/>
          <w:lang w:val="en-US"/>
        </w:rPr>
        <w:t xml:space="preserve">in relation to the use of consensual force. </w:t>
      </w:r>
      <w:r>
        <w:rPr>
          <w:rFonts w:ascii="Times New Roman" w:hAnsi="Times New Roman" w:cs="Times New Roman"/>
          <w:lang w:val="en-US"/>
        </w:rPr>
        <w:t>Indeed, a</w:t>
      </w:r>
      <w:r w:rsidRPr="00F80570">
        <w:rPr>
          <w:rFonts w:ascii="Times New Roman" w:hAnsi="Times New Roman" w:cs="Times New Roman"/>
          <w:lang w:val="en-US"/>
        </w:rPr>
        <w:t xml:space="preserve"> legal system that banned </w:t>
      </w:r>
      <w:r w:rsidRPr="00F80570">
        <w:rPr>
          <w:rFonts w:ascii="Times New Roman" w:hAnsi="Times New Roman" w:cs="Times New Roman"/>
          <w:i/>
          <w:lang w:val="en-US"/>
        </w:rPr>
        <w:t xml:space="preserve">non-consensual force </w:t>
      </w:r>
      <w:r w:rsidRPr="00F80570">
        <w:rPr>
          <w:rFonts w:ascii="Times New Roman" w:hAnsi="Times New Roman" w:cs="Times New Roman"/>
          <w:iCs/>
          <w:lang w:val="en-US"/>
        </w:rPr>
        <w:t>only</w:t>
      </w:r>
      <w:r w:rsidRPr="00F80570">
        <w:rPr>
          <w:rFonts w:ascii="Times New Roman" w:hAnsi="Times New Roman" w:cs="Times New Roman"/>
          <w:lang w:val="en-US"/>
        </w:rPr>
        <w:t xml:space="preserve">, as opposed to </w:t>
      </w:r>
      <w:r w:rsidRPr="00F80570">
        <w:rPr>
          <w:rFonts w:ascii="Times New Roman" w:hAnsi="Times New Roman" w:cs="Times New Roman"/>
          <w:i/>
          <w:lang w:val="en-US"/>
        </w:rPr>
        <w:t xml:space="preserve">force </w:t>
      </w:r>
      <w:r w:rsidRPr="00F80570">
        <w:rPr>
          <w:rFonts w:ascii="Times New Roman" w:hAnsi="Times New Roman" w:cs="Times New Roman"/>
          <w:iCs/>
          <w:lang w:val="en-US"/>
        </w:rPr>
        <w:t>as such</w:t>
      </w:r>
      <w:r w:rsidRPr="00F80570">
        <w:rPr>
          <w:rFonts w:ascii="Times New Roman" w:hAnsi="Times New Roman" w:cs="Times New Roman"/>
          <w:lang w:val="en-US"/>
        </w:rPr>
        <w:t xml:space="preserve">, </w:t>
      </w:r>
      <w:r>
        <w:rPr>
          <w:rFonts w:ascii="Times New Roman" w:hAnsi="Times New Roman" w:cs="Times New Roman"/>
          <w:lang w:val="en-US"/>
        </w:rPr>
        <w:t xml:space="preserve">like the one endorsed by the mainstream view, would imply </w:t>
      </w:r>
      <w:r w:rsidRPr="00F80570">
        <w:rPr>
          <w:rFonts w:ascii="Times New Roman" w:hAnsi="Times New Roman" w:cs="Times New Roman"/>
          <w:lang w:val="en-US"/>
        </w:rPr>
        <w:t xml:space="preserve">that the harm that was the subject of the prohibition is not the fact of force as such but rather the absence of consent. </w:t>
      </w:r>
      <w:r>
        <w:rPr>
          <w:rFonts w:ascii="Times New Roman" w:hAnsi="Times New Roman" w:cs="Times New Roman"/>
          <w:lang w:val="en-US"/>
        </w:rPr>
        <w:t xml:space="preserve">It would imply, as I will argue, that force is not harmful because it is force, it is harmful because it is non-consensual. </w:t>
      </w:r>
      <w:r w:rsidRPr="00F80570">
        <w:rPr>
          <w:rFonts w:ascii="Times New Roman" w:hAnsi="Times New Roman" w:cs="Times New Roman"/>
          <w:lang w:val="en-US"/>
        </w:rPr>
        <w:t>In such a legal system there would be no general reason against</w:t>
      </w:r>
      <w:r w:rsidRPr="00F80570">
        <w:rPr>
          <w:rFonts w:ascii="Times New Roman" w:hAnsi="Times New Roman" w:cs="Times New Roman"/>
          <w:i/>
          <w:lang w:val="en-US"/>
        </w:rPr>
        <w:t xml:space="preserve"> </w:t>
      </w:r>
      <w:r w:rsidRPr="00F80570">
        <w:rPr>
          <w:rFonts w:ascii="Times New Roman" w:hAnsi="Times New Roman" w:cs="Times New Roman"/>
          <w:lang w:val="en-US"/>
        </w:rPr>
        <w:t>force,</w:t>
      </w:r>
      <w:r>
        <w:rPr>
          <w:rFonts w:ascii="Times New Roman" w:hAnsi="Times New Roman" w:cs="Times New Roman"/>
          <w:lang w:val="en-US"/>
        </w:rPr>
        <w:t xml:space="preserve"> applicable to all instances in which force was used and which required justifications to be overcome,</w:t>
      </w:r>
      <w:r w:rsidRPr="00F80570">
        <w:rPr>
          <w:rFonts w:ascii="Times New Roman" w:hAnsi="Times New Roman" w:cs="Times New Roman"/>
          <w:lang w:val="en-US"/>
        </w:rPr>
        <w:t xml:space="preserve"> but only a limited reason against non-consensual force</w:t>
      </w:r>
      <w:r>
        <w:rPr>
          <w:rFonts w:ascii="Times New Roman" w:hAnsi="Times New Roman" w:cs="Times New Roman"/>
          <w:lang w:val="en-US"/>
        </w:rPr>
        <w:t>, which was not applicable to instances of consent and, therefore,</w:t>
      </w:r>
      <w:r w:rsidR="00AF7273">
        <w:rPr>
          <w:rFonts w:ascii="Times New Roman" w:hAnsi="Times New Roman" w:cs="Times New Roman"/>
          <w:lang w:val="en-US"/>
        </w:rPr>
        <w:t xml:space="preserve"> did not </w:t>
      </w:r>
      <w:r>
        <w:rPr>
          <w:rFonts w:ascii="Times New Roman" w:hAnsi="Times New Roman" w:cs="Times New Roman"/>
          <w:lang w:val="en-US"/>
        </w:rPr>
        <w:t>require justification.</w:t>
      </w:r>
      <w:r w:rsidRPr="00F80570">
        <w:rPr>
          <w:rFonts w:ascii="Times New Roman" w:hAnsi="Times New Roman" w:cs="Times New Roman"/>
          <w:vertAlign w:val="superscript"/>
          <w:lang w:val="en-US"/>
        </w:rPr>
        <w:footnoteReference w:id="9"/>
      </w:r>
      <w:r w:rsidR="00AF7273">
        <w:rPr>
          <w:rFonts w:ascii="Times New Roman" w:hAnsi="Times New Roman" w:cs="Times New Roman"/>
          <w:lang w:val="en-US"/>
        </w:rPr>
        <w:t xml:space="preserve"> The use of consensual force would be, that is, unobjectionable.</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5508F8" w:rsidP="00592295">
      <w:pPr>
        <w:spacing w:line="360" w:lineRule="auto"/>
        <w:ind w:firstLine="720"/>
        <w:jc w:val="both"/>
        <w:rPr>
          <w:rFonts w:ascii="Times New Roman" w:hAnsi="Times New Roman" w:cs="Times New Roman"/>
          <w:lang w:val="en-US"/>
        </w:rPr>
      </w:pPr>
      <w:r>
        <w:rPr>
          <w:rFonts w:ascii="Times New Roman" w:hAnsi="Times New Roman" w:cs="Times New Roman"/>
          <w:lang w:val="en-US"/>
        </w:rPr>
        <w:t xml:space="preserve">And yet, </w:t>
      </w:r>
      <w:r w:rsidR="00AF7273">
        <w:rPr>
          <w:rFonts w:ascii="Times New Roman" w:hAnsi="Times New Roman" w:cs="Times New Roman"/>
          <w:lang w:val="en-US"/>
        </w:rPr>
        <w:t xml:space="preserve">resort to force </w:t>
      </w:r>
      <w:r w:rsidR="00AF7273">
        <w:rPr>
          <w:rFonts w:ascii="Times New Roman" w:hAnsi="Times New Roman" w:cs="Times New Roman"/>
          <w:i/>
          <w:iCs/>
          <w:lang w:val="en-US"/>
        </w:rPr>
        <w:t xml:space="preserve">is </w:t>
      </w:r>
      <w:r>
        <w:rPr>
          <w:rFonts w:ascii="Times New Roman" w:hAnsi="Times New Roman" w:cs="Times New Roman"/>
          <w:i/>
          <w:iCs/>
          <w:lang w:val="en-US"/>
        </w:rPr>
        <w:t xml:space="preserve">– </w:t>
      </w:r>
      <w:r>
        <w:rPr>
          <w:rFonts w:ascii="Times New Roman" w:hAnsi="Times New Roman" w:cs="Times New Roman"/>
          <w:lang w:val="en-US"/>
        </w:rPr>
        <w:t xml:space="preserve">or should be – always </w:t>
      </w:r>
      <w:r w:rsidR="00AF7273">
        <w:rPr>
          <w:rFonts w:ascii="Times New Roman" w:hAnsi="Times New Roman" w:cs="Times New Roman"/>
          <w:lang w:val="en-US"/>
        </w:rPr>
        <w:t>objectionable, for force is harmful. It causes devastation and death, on a large scale, regardless of its legal permissibility.</w:t>
      </w:r>
      <w:r>
        <w:rPr>
          <w:rFonts w:ascii="Times New Roman" w:hAnsi="Times New Roman" w:cs="Times New Roman"/>
          <w:lang w:val="en-US"/>
        </w:rPr>
        <w:t xml:space="preserve"> In his report </w:t>
      </w:r>
      <w:r w:rsidR="0056618C">
        <w:rPr>
          <w:rFonts w:ascii="Times New Roman" w:hAnsi="Times New Roman" w:cs="Times New Roman"/>
          <w:lang w:val="en-US"/>
        </w:rPr>
        <w:t>‘</w:t>
      </w:r>
      <w:r w:rsidRPr="0056618C">
        <w:rPr>
          <w:rFonts w:ascii="Times New Roman" w:hAnsi="Times New Roman" w:cs="Times New Roman"/>
          <w:lang w:val="en-US"/>
        </w:rPr>
        <w:t>In larger freedom</w:t>
      </w:r>
      <w:r w:rsidR="0056618C">
        <w:rPr>
          <w:rFonts w:ascii="Times New Roman" w:hAnsi="Times New Roman" w:cs="Times New Roman"/>
          <w:lang w:val="en-US"/>
        </w:rPr>
        <w:t>’</w:t>
      </w:r>
      <w:r>
        <w:rPr>
          <w:rFonts w:ascii="Times New Roman" w:hAnsi="Times New Roman" w:cs="Times New Roman"/>
          <w:lang w:val="en-US"/>
        </w:rPr>
        <w:t>,</w:t>
      </w:r>
      <w:r w:rsidR="00AF7273">
        <w:rPr>
          <w:rFonts w:ascii="Times New Roman" w:hAnsi="Times New Roman" w:cs="Times New Roman"/>
          <w:lang w:val="en-US"/>
        </w:rPr>
        <w:t xml:space="preserve"> </w:t>
      </w:r>
      <w:r>
        <w:rPr>
          <w:rFonts w:ascii="Times New Roman" w:hAnsi="Times New Roman" w:cs="Times New Roman"/>
          <w:lang w:val="en-US"/>
        </w:rPr>
        <w:t>f</w:t>
      </w:r>
      <w:r w:rsidR="00455856" w:rsidRPr="00F80570">
        <w:rPr>
          <w:rFonts w:ascii="Times New Roman" w:hAnsi="Times New Roman" w:cs="Times New Roman"/>
          <w:lang w:val="en-US"/>
        </w:rPr>
        <w:t>ormer UN Secretary General (‘UNSG’) Kofi Annan</w:t>
      </w:r>
      <w:r w:rsidR="00AF7273">
        <w:rPr>
          <w:rFonts w:ascii="Times New Roman" w:hAnsi="Times New Roman" w:cs="Times New Roman"/>
          <w:lang w:val="en-US"/>
        </w:rPr>
        <w:t xml:space="preserve"> noted that</w:t>
      </w:r>
      <w:r w:rsidR="00455856" w:rsidRPr="00F80570">
        <w:rPr>
          <w:rFonts w:ascii="Times New Roman" w:hAnsi="Times New Roman" w:cs="Times New Roman"/>
          <w:lang w:val="en-US"/>
        </w:rPr>
        <w:t xml:space="preserve"> armed conflicts, internal or international as they may be, </w:t>
      </w:r>
      <w:proofErr w:type="spellStart"/>
      <w:r w:rsidR="00455856" w:rsidRPr="00F80570">
        <w:rPr>
          <w:rFonts w:ascii="Times New Roman" w:hAnsi="Times New Roman" w:cs="Times New Roman"/>
          <w:lang w:val="en-US"/>
        </w:rPr>
        <w:t>‘cause</w:t>
      </w:r>
      <w:proofErr w:type="spellEnd"/>
      <w:r w:rsidR="00455856" w:rsidRPr="00F80570">
        <w:rPr>
          <w:rFonts w:ascii="Times New Roman" w:hAnsi="Times New Roman" w:cs="Times New Roman"/>
          <w:lang w:val="en-US"/>
        </w:rPr>
        <w:t xml:space="preserve"> death or lessen life chances on a large scale. All of them can undermine States as the basic unit of the international legal system.’</w:t>
      </w:r>
      <w:r w:rsidR="00455856" w:rsidRPr="00F80570">
        <w:rPr>
          <w:rStyle w:val="FootnoteReference"/>
          <w:rFonts w:ascii="Times New Roman" w:hAnsi="Times New Roman" w:cs="Times New Roman"/>
          <w:lang w:val="en-US"/>
        </w:rPr>
        <w:footnoteReference w:id="10"/>
      </w:r>
      <w:r w:rsidR="00455856">
        <w:rPr>
          <w:rFonts w:ascii="Times New Roman" w:hAnsi="Times New Roman" w:cs="Times New Roman"/>
          <w:lang w:val="en-US"/>
        </w:rPr>
        <w:t xml:space="preserve"> The use of force</w:t>
      </w:r>
      <w:r w:rsidR="00AF7273">
        <w:rPr>
          <w:rFonts w:ascii="Times New Roman" w:hAnsi="Times New Roman" w:cs="Times New Roman"/>
          <w:lang w:val="en-US"/>
        </w:rPr>
        <w:t>, in short,</w:t>
      </w:r>
      <w:r w:rsidR="00455856">
        <w:rPr>
          <w:rFonts w:ascii="Times New Roman" w:hAnsi="Times New Roman" w:cs="Times New Roman"/>
          <w:lang w:val="en-US"/>
        </w:rPr>
        <w:t xml:space="preserve"> is harmful </w:t>
      </w:r>
      <w:r w:rsidR="00455856" w:rsidRPr="00D91848">
        <w:rPr>
          <w:rFonts w:ascii="Times New Roman" w:hAnsi="Times New Roman" w:cs="Times New Roman"/>
          <w:i/>
          <w:iCs/>
          <w:lang w:val="en-US"/>
        </w:rPr>
        <w:t>because</w:t>
      </w:r>
      <w:r w:rsidR="00455856">
        <w:rPr>
          <w:rFonts w:ascii="Times New Roman" w:hAnsi="Times New Roman" w:cs="Times New Roman"/>
          <w:lang w:val="en-US"/>
        </w:rPr>
        <w:t xml:space="preserve"> it is force. The well-being and flourishing of states, as well as their peoples, </w:t>
      </w:r>
      <w:r>
        <w:rPr>
          <w:rFonts w:ascii="Times New Roman" w:hAnsi="Times New Roman" w:cs="Times New Roman"/>
          <w:lang w:val="en-US"/>
        </w:rPr>
        <w:t xml:space="preserve">thus </w:t>
      </w:r>
      <w:r w:rsidR="00455856">
        <w:rPr>
          <w:rFonts w:ascii="Times New Roman" w:hAnsi="Times New Roman" w:cs="Times New Roman"/>
          <w:lang w:val="en-US"/>
        </w:rPr>
        <w:t>depend on the maintenance of international peace</w:t>
      </w:r>
      <w:r>
        <w:rPr>
          <w:rFonts w:ascii="Times New Roman" w:hAnsi="Times New Roman" w:cs="Times New Roman"/>
          <w:lang w:val="en-US"/>
        </w:rPr>
        <w:t xml:space="preserve">. </w:t>
      </w:r>
      <w:r w:rsidR="00592295">
        <w:rPr>
          <w:rFonts w:ascii="Times New Roman" w:hAnsi="Times New Roman" w:cs="Times New Roman"/>
          <w:lang w:val="en-US"/>
        </w:rPr>
        <w:t xml:space="preserve">The maintenance of international peace, but in its negative content as absence of war and its positive content, is harmed by the use of force. </w:t>
      </w:r>
      <w:r w:rsidR="00455856">
        <w:rPr>
          <w:rFonts w:ascii="Times New Roman" w:hAnsi="Times New Roman" w:cs="Times New Roman"/>
          <w:lang w:val="en-US"/>
        </w:rPr>
        <w:t xml:space="preserve">As such, the maintenance of international </w:t>
      </w:r>
      <w:r w:rsidR="00455856">
        <w:rPr>
          <w:rFonts w:ascii="Times New Roman" w:hAnsi="Times New Roman" w:cs="Times New Roman"/>
          <w:lang w:val="en-US"/>
        </w:rPr>
        <w:lastRenderedPageBreak/>
        <w:t xml:space="preserve">peace must count as a reason against </w:t>
      </w:r>
      <w:r>
        <w:rPr>
          <w:rFonts w:ascii="Times New Roman" w:hAnsi="Times New Roman" w:cs="Times New Roman"/>
          <w:lang w:val="en-US"/>
        </w:rPr>
        <w:t xml:space="preserve">force applicable </w:t>
      </w:r>
      <w:r w:rsidR="00455856">
        <w:rPr>
          <w:rFonts w:ascii="Times New Roman" w:hAnsi="Times New Roman" w:cs="Times New Roman"/>
          <w:i/>
          <w:iCs/>
          <w:lang w:val="en-US"/>
        </w:rPr>
        <w:t>all instances</w:t>
      </w:r>
      <w:r w:rsidR="00455856">
        <w:rPr>
          <w:rFonts w:ascii="Times New Roman" w:hAnsi="Times New Roman" w:cs="Times New Roman"/>
          <w:lang w:val="en-US"/>
        </w:rPr>
        <w:t xml:space="preserve"> </w:t>
      </w:r>
      <w:r>
        <w:rPr>
          <w:rFonts w:ascii="Times New Roman" w:hAnsi="Times New Roman" w:cs="Times New Roman"/>
          <w:lang w:val="en-US"/>
        </w:rPr>
        <w:t>in which states resort to force</w:t>
      </w:r>
      <w:r w:rsidR="007360E1">
        <w:rPr>
          <w:rFonts w:ascii="Times New Roman" w:hAnsi="Times New Roman" w:cs="Times New Roman"/>
          <w:lang w:val="en-US"/>
        </w:rPr>
        <w:t>;</w:t>
      </w:r>
      <w:r w:rsidR="00592295">
        <w:rPr>
          <w:rFonts w:ascii="Times New Roman" w:hAnsi="Times New Roman" w:cs="Times New Roman"/>
          <w:lang w:val="en-US"/>
        </w:rPr>
        <w:t xml:space="preserve"> it must count, that is, as a general reason against force.</w:t>
      </w:r>
      <w:r w:rsidR="00455856">
        <w:rPr>
          <w:rFonts w:ascii="Times New Roman" w:hAnsi="Times New Roman" w:cs="Times New Roman"/>
          <w:lang w:val="en-US"/>
        </w:rPr>
        <w:t xml:space="preserve"> Indeed, the maintenance of international peace is </w:t>
      </w:r>
      <w:r w:rsidR="00455856" w:rsidRPr="00F80570">
        <w:rPr>
          <w:rFonts w:ascii="Times New Roman" w:hAnsi="Times New Roman" w:cs="Times New Roman"/>
          <w:lang w:val="en-US"/>
        </w:rPr>
        <w:t>the paramount purpose of the UN</w:t>
      </w:r>
      <w:r w:rsidR="00455856">
        <w:rPr>
          <w:rFonts w:ascii="Times New Roman" w:hAnsi="Times New Roman" w:cs="Times New Roman"/>
          <w:lang w:val="en-US"/>
        </w:rPr>
        <w:t xml:space="preserve"> and is </w:t>
      </w:r>
      <w:r w:rsidR="00455856" w:rsidRPr="00F80570">
        <w:rPr>
          <w:rFonts w:ascii="Times New Roman" w:hAnsi="Times New Roman" w:cs="Times New Roman"/>
          <w:lang w:val="en-US"/>
        </w:rPr>
        <w:t xml:space="preserve">referred to in Article 2(4) of the Charter. </w:t>
      </w:r>
      <w:r w:rsidR="00455856">
        <w:rPr>
          <w:rFonts w:ascii="Times New Roman" w:hAnsi="Times New Roman" w:cs="Times New Roman"/>
          <w:lang w:val="en-US"/>
        </w:rPr>
        <w:t xml:space="preserve">This is not to say that all instances of force are always wrongful. General reasons against an action </w:t>
      </w:r>
      <w:r w:rsidR="00455856" w:rsidRPr="00F80570">
        <w:rPr>
          <w:rFonts w:ascii="Times New Roman" w:hAnsi="Times New Roman" w:cs="Times New Roman"/>
          <w:lang w:val="en-US"/>
        </w:rPr>
        <w:t>need not be conclusive</w:t>
      </w:r>
      <w:r w:rsidR="00A67BF3">
        <w:rPr>
          <w:rFonts w:ascii="Times New Roman" w:hAnsi="Times New Roman" w:cs="Times New Roman"/>
          <w:lang w:val="en-US"/>
        </w:rPr>
        <w:t xml:space="preserve"> </w:t>
      </w:r>
      <w:r w:rsidR="00455856" w:rsidRPr="00F80570">
        <w:rPr>
          <w:rFonts w:ascii="Times New Roman" w:hAnsi="Times New Roman" w:cs="Times New Roman"/>
          <w:lang w:val="en-US"/>
        </w:rPr>
        <w:t xml:space="preserve">– they can be </w:t>
      </w:r>
      <w:r w:rsidR="00455856" w:rsidRPr="00F80570">
        <w:rPr>
          <w:rFonts w:ascii="Times New Roman" w:hAnsi="Times New Roman" w:cs="Times New Roman"/>
          <w:i/>
          <w:iCs/>
          <w:lang w:val="en-US"/>
        </w:rPr>
        <w:t>prima facie</w:t>
      </w:r>
      <w:r w:rsidR="00455856">
        <w:rPr>
          <w:rFonts w:ascii="Times New Roman" w:hAnsi="Times New Roman" w:cs="Times New Roman"/>
          <w:lang w:val="en-US"/>
        </w:rPr>
        <w:t xml:space="preserve"> </w:t>
      </w:r>
      <w:r w:rsidR="00B65C32">
        <w:rPr>
          <w:rFonts w:ascii="Times New Roman" w:hAnsi="Times New Roman" w:cs="Times New Roman"/>
          <w:lang w:val="en-US"/>
        </w:rPr>
        <w:t>as they</w:t>
      </w:r>
      <w:r w:rsidR="00455856" w:rsidRPr="00F80570">
        <w:rPr>
          <w:rFonts w:ascii="Times New Roman" w:hAnsi="Times New Roman" w:cs="Times New Roman"/>
          <w:lang w:val="en-US"/>
        </w:rPr>
        <w:t xml:space="preserve"> can be </w:t>
      </w:r>
      <w:r w:rsidR="00B65C32">
        <w:rPr>
          <w:rFonts w:ascii="Times New Roman" w:hAnsi="Times New Roman" w:cs="Times New Roman"/>
          <w:lang w:val="en-US"/>
        </w:rPr>
        <w:t xml:space="preserve">overcome </w:t>
      </w:r>
      <w:r w:rsidR="00455856" w:rsidRPr="00F80570">
        <w:rPr>
          <w:rFonts w:ascii="Times New Roman" w:hAnsi="Times New Roman" w:cs="Times New Roman"/>
          <w:lang w:val="en-US"/>
        </w:rPr>
        <w:t xml:space="preserve">by other factors and considerations. </w:t>
      </w:r>
      <w:r w:rsidR="00A67BF3">
        <w:rPr>
          <w:rFonts w:ascii="Times New Roman" w:hAnsi="Times New Roman" w:cs="Times New Roman"/>
          <w:lang w:val="en-US"/>
        </w:rPr>
        <w:t>I</w:t>
      </w:r>
      <w:r w:rsidR="00455856" w:rsidRPr="00F80570">
        <w:rPr>
          <w:rFonts w:ascii="Times New Roman" w:hAnsi="Times New Roman" w:cs="Times New Roman"/>
          <w:lang w:val="en-US"/>
        </w:rPr>
        <w:t xml:space="preserve">f </w:t>
      </w:r>
      <w:r w:rsidR="00A67BF3">
        <w:rPr>
          <w:rFonts w:ascii="Times New Roman" w:hAnsi="Times New Roman" w:cs="Times New Roman"/>
          <w:lang w:val="en-US"/>
        </w:rPr>
        <w:t>there is a general reason against force, then consent must operate as a factor that overcomes that general reason. And if this is the case, then</w:t>
      </w:r>
      <w:r w:rsidR="00455856" w:rsidRPr="00F80570">
        <w:rPr>
          <w:rFonts w:ascii="Times New Roman" w:hAnsi="Times New Roman" w:cs="Times New Roman"/>
          <w:lang w:val="en-US"/>
        </w:rPr>
        <w:t xml:space="preserve"> consent cannot be a definitional element of the prohibition</w:t>
      </w:r>
      <w:r w:rsidR="00455856">
        <w:rPr>
          <w:rFonts w:ascii="Times New Roman" w:hAnsi="Times New Roman" w:cs="Times New Roman"/>
          <w:lang w:val="en-US"/>
        </w:rPr>
        <w:t xml:space="preserve">, for such a definition would provide only limited reasons against force. Consent must, instead, operate as a </w:t>
      </w:r>
      <w:proofErr w:type="spellStart"/>
      <w:r w:rsidR="00455856">
        <w:rPr>
          <w:rFonts w:ascii="Times New Roman" w:hAnsi="Times New Roman" w:cs="Times New Roman"/>
          <w:lang w:val="en-US"/>
        </w:rPr>
        <w:t>defence</w:t>
      </w:r>
      <w:proofErr w:type="spellEnd"/>
      <w:r w:rsidR="00455856">
        <w:rPr>
          <w:rFonts w:ascii="Times New Roman" w:hAnsi="Times New Roman" w:cs="Times New Roman"/>
          <w:lang w:val="en-US"/>
        </w:rPr>
        <w:t>.</w:t>
      </w:r>
    </w:p>
    <w:p w:rsidR="00455856" w:rsidRPr="00F80570" w:rsidRDefault="00455856" w:rsidP="00AF7273">
      <w:pPr>
        <w:spacing w:line="360" w:lineRule="auto"/>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In addition to this introduction, the </w:t>
      </w:r>
      <w:r>
        <w:rPr>
          <w:rFonts w:ascii="Times New Roman" w:hAnsi="Times New Roman" w:cs="Times New Roman"/>
          <w:lang w:val="en-US"/>
        </w:rPr>
        <w:t>article</w:t>
      </w:r>
      <w:r w:rsidRPr="00F80570">
        <w:rPr>
          <w:rFonts w:ascii="Times New Roman" w:hAnsi="Times New Roman" w:cs="Times New Roman"/>
          <w:lang w:val="en-US"/>
        </w:rPr>
        <w:t xml:space="preserve"> proceeds in </w:t>
      </w:r>
      <w:r>
        <w:rPr>
          <w:rFonts w:ascii="Times New Roman" w:hAnsi="Times New Roman" w:cs="Times New Roman"/>
          <w:lang w:val="en-US"/>
        </w:rPr>
        <w:t>five</w:t>
      </w:r>
      <w:r w:rsidRPr="00F80570">
        <w:rPr>
          <w:rFonts w:ascii="Times New Roman" w:hAnsi="Times New Roman" w:cs="Times New Roman"/>
          <w:lang w:val="en-US"/>
        </w:rPr>
        <w:t xml:space="preserve"> steps. Section 2  lays down the theoretical framework upon which the argument is built. To this end, it reviews jurisprudential developments on the concepts of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and their differences, and locates the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the law of </w:t>
      </w:r>
      <w:r>
        <w:rPr>
          <w:rFonts w:ascii="Times New Roman" w:hAnsi="Times New Roman" w:cs="Times New Roman"/>
          <w:lang w:val="en-US"/>
        </w:rPr>
        <w:t>s</w:t>
      </w:r>
      <w:r w:rsidRPr="00F80570">
        <w:rPr>
          <w:rFonts w:ascii="Times New Roman" w:hAnsi="Times New Roman" w:cs="Times New Roman"/>
          <w:lang w:val="en-US"/>
        </w:rPr>
        <w:t xml:space="preserve">tate responsibility within this framework. Section </w:t>
      </w:r>
      <w:r>
        <w:rPr>
          <w:rFonts w:ascii="Times New Roman" w:hAnsi="Times New Roman" w:cs="Times New Roman"/>
          <w:lang w:val="en-US"/>
        </w:rPr>
        <w:t>3</w:t>
      </w:r>
      <w:r w:rsidRPr="00F80570">
        <w:rPr>
          <w:rFonts w:ascii="Times New Roman" w:hAnsi="Times New Roman" w:cs="Times New Roman"/>
          <w:lang w:val="en-US"/>
        </w:rPr>
        <w:t xml:space="preserve"> addresses the mainstream approach to the relationship between the prohibition of force and the permission of consensual force (hereafter, ‘permission of consent’ or ‘exception of consent’). The section will review the arguments put forward in support of this model and assess the implications and presuppositions of such model. In Section </w:t>
      </w:r>
      <w:r>
        <w:rPr>
          <w:rFonts w:ascii="Times New Roman" w:hAnsi="Times New Roman" w:cs="Times New Roman"/>
          <w:lang w:val="en-US"/>
        </w:rPr>
        <w:t>4</w:t>
      </w:r>
      <w:r w:rsidRPr="00F80570">
        <w:rPr>
          <w:rFonts w:ascii="Times New Roman" w:hAnsi="Times New Roman" w:cs="Times New Roman"/>
          <w:lang w:val="en-US"/>
        </w:rPr>
        <w:t xml:space="preserve">, the </w:t>
      </w:r>
      <w:r>
        <w:rPr>
          <w:rFonts w:ascii="Times New Roman" w:hAnsi="Times New Roman" w:cs="Times New Roman"/>
          <w:lang w:val="en-US"/>
        </w:rPr>
        <w:t>article</w:t>
      </w:r>
      <w:r w:rsidRPr="00F80570">
        <w:rPr>
          <w:rFonts w:ascii="Times New Roman" w:hAnsi="Times New Roman" w:cs="Times New Roman"/>
          <w:lang w:val="en-US"/>
        </w:rPr>
        <w:t xml:space="preserve"> makes the case for a different understanding of the relation between the prohibition of force and the permission of consensual force: the prohibition articulate</w:t>
      </w:r>
      <w:r w:rsidR="005B235C">
        <w:rPr>
          <w:rFonts w:ascii="Times New Roman" w:hAnsi="Times New Roman" w:cs="Times New Roman"/>
          <w:lang w:val="en-US"/>
        </w:rPr>
        <w:t>s</w:t>
      </w:r>
      <w:r w:rsidRPr="00F80570">
        <w:rPr>
          <w:rFonts w:ascii="Times New Roman" w:hAnsi="Times New Roman" w:cs="Times New Roman"/>
          <w:lang w:val="en-US"/>
        </w:rPr>
        <w:t xml:space="preserve"> a general reason against force and, to this end, consent must be extracted from its definition. Consent </w:t>
      </w:r>
      <w:r w:rsidR="005B235C">
        <w:rPr>
          <w:rFonts w:ascii="Times New Roman" w:hAnsi="Times New Roman" w:cs="Times New Roman"/>
          <w:lang w:val="en-US"/>
        </w:rPr>
        <w:t>must</w:t>
      </w:r>
      <w:r w:rsidRPr="00F80570">
        <w:rPr>
          <w:rFonts w:ascii="Times New Roman" w:hAnsi="Times New Roman" w:cs="Times New Roman"/>
          <w:lang w:val="en-US"/>
        </w:rPr>
        <w:t xml:space="preserve">, instead, be seen as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to the prohibition of force. Section </w:t>
      </w:r>
      <w:r>
        <w:rPr>
          <w:rFonts w:ascii="Times New Roman" w:hAnsi="Times New Roman" w:cs="Times New Roman"/>
          <w:lang w:val="en-US"/>
        </w:rPr>
        <w:t>5</w:t>
      </w:r>
      <w:r w:rsidRPr="00F80570">
        <w:rPr>
          <w:rFonts w:ascii="Times New Roman" w:hAnsi="Times New Roman" w:cs="Times New Roman"/>
          <w:lang w:val="en-US"/>
        </w:rPr>
        <w:t xml:space="preserve"> offers responses to potential objections. Section </w:t>
      </w:r>
      <w:r>
        <w:rPr>
          <w:rFonts w:ascii="Times New Roman" w:hAnsi="Times New Roman" w:cs="Times New Roman"/>
          <w:lang w:val="en-US"/>
        </w:rPr>
        <w:t>6</w:t>
      </w:r>
      <w:r w:rsidRPr="00F80570">
        <w:rPr>
          <w:rFonts w:ascii="Times New Roman" w:hAnsi="Times New Roman" w:cs="Times New Roman"/>
          <w:lang w:val="en-US"/>
        </w:rPr>
        <w:t xml:space="preserve"> concludes.</w:t>
      </w:r>
    </w:p>
    <w:p w:rsidR="00455856" w:rsidRPr="00F80570" w:rsidRDefault="00455856" w:rsidP="00AF7273">
      <w:pPr>
        <w:spacing w:line="360" w:lineRule="auto"/>
        <w:ind w:firstLine="720"/>
        <w:jc w:val="both"/>
        <w:rPr>
          <w:rFonts w:ascii="Times New Roman" w:hAnsi="Times New Roman" w:cs="Times New Roman"/>
          <w:lang w:val="en-US"/>
        </w:rPr>
      </w:pPr>
    </w:p>
    <w:p w:rsidR="00455856" w:rsidRDefault="00455856" w:rsidP="00E56A9D">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Before proceeding, a clarification and </w:t>
      </w:r>
      <w:r>
        <w:rPr>
          <w:rFonts w:ascii="Times New Roman" w:hAnsi="Times New Roman" w:cs="Times New Roman"/>
          <w:lang w:val="en-US"/>
        </w:rPr>
        <w:t>two</w:t>
      </w:r>
      <w:r w:rsidRPr="00F80570">
        <w:rPr>
          <w:rFonts w:ascii="Times New Roman" w:hAnsi="Times New Roman" w:cs="Times New Roman"/>
          <w:lang w:val="en-US"/>
        </w:rPr>
        <w:t xml:space="preserve"> caveats are necessary. First, as to the clarification, this </w:t>
      </w:r>
      <w:r>
        <w:rPr>
          <w:rFonts w:ascii="Times New Roman" w:hAnsi="Times New Roman" w:cs="Times New Roman"/>
          <w:lang w:val="en-US"/>
        </w:rPr>
        <w:t>article</w:t>
      </w:r>
      <w:r w:rsidRPr="00F80570">
        <w:rPr>
          <w:rFonts w:ascii="Times New Roman" w:hAnsi="Times New Roman" w:cs="Times New Roman"/>
          <w:lang w:val="en-US"/>
        </w:rPr>
        <w:t xml:space="preserve"> will not consider the specific requirements and conditions that make a </w:t>
      </w:r>
      <w:r>
        <w:rPr>
          <w:rFonts w:ascii="Times New Roman" w:hAnsi="Times New Roman" w:cs="Times New Roman"/>
          <w:lang w:val="en-US"/>
        </w:rPr>
        <w:t>s</w:t>
      </w:r>
      <w:r w:rsidRPr="00F80570">
        <w:rPr>
          <w:rFonts w:ascii="Times New Roman" w:hAnsi="Times New Roman" w:cs="Times New Roman"/>
          <w:lang w:val="en-US"/>
        </w:rPr>
        <w:t xml:space="preserve">tate’s consent to the use of force by another </w:t>
      </w:r>
      <w:r>
        <w:rPr>
          <w:rFonts w:ascii="Times New Roman" w:hAnsi="Times New Roman" w:cs="Times New Roman"/>
          <w:lang w:val="en-US"/>
        </w:rPr>
        <w:t>s</w:t>
      </w:r>
      <w:r w:rsidRPr="00F80570">
        <w:rPr>
          <w:rFonts w:ascii="Times New Roman" w:hAnsi="Times New Roman" w:cs="Times New Roman"/>
          <w:lang w:val="en-US"/>
        </w:rPr>
        <w:t xml:space="preserve">tate in its territory valid. It will assume, for the sake of the argument, that these conditions are met. Second, this </w:t>
      </w:r>
      <w:r>
        <w:rPr>
          <w:rFonts w:ascii="Times New Roman" w:hAnsi="Times New Roman" w:cs="Times New Roman"/>
          <w:lang w:val="en-US"/>
        </w:rPr>
        <w:t>article</w:t>
      </w:r>
      <w:r w:rsidRPr="00F80570">
        <w:rPr>
          <w:rFonts w:ascii="Times New Roman" w:hAnsi="Times New Roman" w:cs="Times New Roman"/>
          <w:lang w:val="en-US"/>
        </w:rPr>
        <w:t xml:space="preserve"> does not address all the difficulties raised by the exceptions to the prohibition of force or, indeed, the problems raised by the recognition that peremptory rules are subject to exceptions more generally. Many of these have already been thoughtfully addressed in the literature, and there is little I could add to these contributions in this </w:t>
      </w:r>
      <w:r>
        <w:rPr>
          <w:rFonts w:ascii="Times New Roman" w:hAnsi="Times New Roman" w:cs="Times New Roman"/>
          <w:lang w:val="en-US"/>
        </w:rPr>
        <w:t>article</w:t>
      </w:r>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11"/>
      </w:r>
      <w:r w:rsidRPr="00F80570">
        <w:rPr>
          <w:rFonts w:ascii="Times New Roman" w:hAnsi="Times New Roman" w:cs="Times New Roman"/>
          <w:lang w:val="en-US"/>
        </w:rPr>
        <w:t xml:space="preserve"> Lastly, a word on the type of situation of consensual </w:t>
      </w:r>
      <w:r w:rsidRPr="00F80570">
        <w:rPr>
          <w:rFonts w:ascii="Times New Roman" w:hAnsi="Times New Roman" w:cs="Times New Roman"/>
          <w:lang w:val="en-US"/>
        </w:rPr>
        <w:lastRenderedPageBreak/>
        <w:t xml:space="preserve">force considered in this </w:t>
      </w:r>
      <w:r>
        <w:rPr>
          <w:rFonts w:ascii="Times New Roman" w:hAnsi="Times New Roman" w:cs="Times New Roman"/>
          <w:lang w:val="en-US"/>
        </w:rPr>
        <w:t>article</w:t>
      </w:r>
      <w:r w:rsidRPr="00F80570">
        <w:rPr>
          <w:rFonts w:ascii="Times New Roman" w:hAnsi="Times New Roman" w:cs="Times New Roman"/>
          <w:lang w:val="en-US"/>
        </w:rPr>
        <w:t xml:space="preserve">. By ‘consensual force’ I mean situations in which there is actual (or threatened) physical violence by one or more </w:t>
      </w:r>
      <w:r>
        <w:rPr>
          <w:rFonts w:ascii="Times New Roman" w:hAnsi="Times New Roman" w:cs="Times New Roman"/>
          <w:lang w:val="en-US"/>
        </w:rPr>
        <w:t>s</w:t>
      </w:r>
      <w:r w:rsidRPr="00F80570">
        <w:rPr>
          <w:rFonts w:ascii="Times New Roman" w:hAnsi="Times New Roman" w:cs="Times New Roman"/>
          <w:lang w:val="en-US"/>
        </w:rPr>
        <w:t>tates: with aircraft, navies</w:t>
      </w:r>
      <w:r>
        <w:rPr>
          <w:rFonts w:ascii="Times New Roman" w:hAnsi="Times New Roman" w:cs="Times New Roman"/>
          <w:lang w:val="en-US"/>
        </w:rPr>
        <w:t>,</w:t>
      </w:r>
      <w:r w:rsidRPr="00F80570">
        <w:rPr>
          <w:rFonts w:ascii="Times New Roman" w:hAnsi="Times New Roman" w:cs="Times New Roman"/>
          <w:lang w:val="en-US"/>
        </w:rPr>
        <w:t xml:space="preserve"> boots on the ground</w:t>
      </w:r>
      <w:r>
        <w:rPr>
          <w:rFonts w:ascii="Times New Roman" w:hAnsi="Times New Roman" w:cs="Times New Roman"/>
          <w:lang w:val="en-US"/>
        </w:rPr>
        <w:t>, and so on</w:t>
      </w:r>
      <w:r w:rsidRPr="00F80570">
        <w:rPr>
          <w:rFonts w:ascii="Times New Roman" w:hAnsi="Times New Roman" w:cs="Times New Roman"/>
          <w:lang w:val="en-US"/>
        </w:rPr>
        <w:t>. The archetypal situation is that of a State X which, at the request of State Y, sends troops and engages in hostilities in the territory of State Y.</w:t>
      </w:r>
      <w:r w:rsidR="00E56A9D">
        <w:rPr>
          <w:rFonts w:ascii="Times New Roman" w:hAnsi="Times New Roman" w:cs="Times New Roman"/>
          <w:lang w:val="en-US"/>
        </w:rPr>
        <w:t xml:space="preserve"> This situation includes instances of intervention in internal conflicts, as well as to interventions in civil wars to the extent that they are considered permissible (if at all). </w:t>
      </w:r>
      <w:r w:rsidRPr="00F80570">
        <w:rPr>
          <w:rFonts w:ascii="Times New Roman" w:hAnsi="Times New Roman" w:cs="Times New Roman"/>
          <w:lang w:val="en-US"/>
        </w:rPr>
        <w:t>The argument does</w:t>
      </w:r>
      <w:r w:rsidR="002647A0">
        <w:rPr>
          <w:rFonts w:ascii="Times New Roman" w:hAnsi="Times New Roman" w:cs="Times New Roman"/>
          <w:lang w:val="en-US"/>
        </w:rPr>
        <w:t xml:space="preserve"> not, however, </w:t>
      </w:r>
      <w:r w:rsidRPr="00F80570">
        <w:rPr>
          <w:rFonts w:ascii="Times New Roman" w:hAnsi="Times New Roman" w:cs="Times New Roman"/>
          <w:lang w:val="en-US"/>
        </w:rPr>
        <w:t xml:space="preserve">extend to other non-hostile situations which can be classified as consensual force, such as the presence of foreign military bases in the territory of a </w:t>
      </w:r>
      <w:r>
        <w:rPr>
          <w:rFonts w:ascii="Times New Roman" w:hAnsi="Times New Roman" w:cs="Times New Roman"/>
          <w:lang w:val="en-US"/>
        </w:rPr>
        <w:t>s</w:t>
      </w:r>
      <w:r w:rsidRPr="00F80570">
        <w:rPr>
          <w:rFonts w:ascii="Times New Roman" w:hAnsi="Times New Roman" w:cs="Times New Roman"/>
          <w:lang w:val="en-US"/>
        </w:rPr>
        <w:t xml:space="preserve">tate, or the undertaking of joint military training by multiple </w:t>
      </w:r>
      <w:r>
        <w:rPr>
          <w:rFonts w:ascii="Times New Roman" w:hAnsi="Times New Roman" w:cs="Times New Roman"/>
          <w:lang w:val="en-US"/>
        </w:rPr>
        <w:t>s</w:t>
      </w:r>
      <w:r w:rsidRPr="00F80570">
        <w:rPr>
          <w:rFonts w:ascii="Times New Roman" w:hAnsi="Times New Roman" w:cs="Times New Roman"/>
          <w:lang w:val="en-US"/>
        </w:rPr>
        <w:t>tates.</w:t>
      </w:r>
      <w:r w:rsidRPr="00F80570">
        <w:rPr>
          <w:rStyle w:val="FootnoteReference"/>
          <w:rFonts w:ascii="Times New Roman" w:hAnsi="Times New Roman" w:cs="Times New Roman"/>
          <w:lang w:val="en-US"/>
        </w:rPr>
        <w:footnoteReference w:id="12"/>
      </w:r>
    </w:p>
    <w:p w:rsidR="00455856" w:rsidRPr="0070747C" w:rsidRDefault="00455856" w:rsidP="00AF7273">
      <w:pPr>
        <w:pStyle w:val="Heading1"/>
        <w:numPr>
          <w:ilvl w:val="0"/>
          <w:numId w:val="18"/>
        </w:numPr>
        <w:spacing w:line="360" w:lineRule="auto"/>
        <w:rPr>
          <w:rFonts w:ascii="Times New Roman" w:hAnsi="Times New Roman" w:cs="Times New Roman"/>
          <w:sz w:val="24"/>
          <w:szCs w:val="24"/>
        </w:rPr>
      </w:pPr>
      <w:bookmarkStart w:id="1" w:name="_Toc40702423"/>
      <w:bookmarkStart w:id="2" w:name="_Toc46390726"/>
      <w:r w:rsidRPr="0070747C">
        <w:rPr>
          <w:rFonts w:ascii="Times New Roman" w:hAnsi="Times New Roman" w:cs="Times New Roman"/>
          <w:sz w:val="24"/>
          <w:szCs w:val="24"/>
        </w:rPr>
        <w:t xml:space="preserve">Rules and exceptions, offences and </w:t>
      </w:r>
      <w:proofErr w:type="spellStart"/>
      <w:r w:rsidRPr="0070747C">
        <w:rPr>
          <w:rFonts w:ascii="Times New Roman" w:hAnsi="Times New Roman" w:cs="Times New Roman"/>
          <w:sz w:val="24"/>
          <w:szCs w:val="24"/>
        </w:rPr>
        <w:t>defences</w:t>
      </w:r>
      <w:bookmarkEnd w:id="1"/>
      <w:bookmarkEnd w:id="2"/>
      <w:proofErr w:type="spellEnd"/>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 common feature of rules, in law and elsewhere, is that they are subject to exceptions.</w:t>
      </w:r>
      <w:r w:rsidRPr="00F80570">
        <w:rPr>
          <w:rFonts w:ascii="Times New Roman" w:hAnsi="Times New Roman" w:cs="Times New Roman"/>
          <w:vertAlign w:val="superscript"/>
          <w:lang w:val="en-US"/>
        </w:rPr>
        <w:footnoteReference w:id="13"/>
      </w:r>
      <w:r w:rsidRPr="00F80570">
        <w:rPr>
          <w:rFonts w:ascii="Times New Roman" w:hAnsi="Times New Roman" w:cs="Times New Roman"/>
          <w:lang w:val="en-US"/>
        </w:rPr>
        <w:t xml:space="preserve"> The relation between rules and exceptions, or to put it in terms commonly used in domestic law, between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has been considered at some length by both domestic law scholars and legal theorists. These works have considered the issue in both general terms, as well as in relation to specific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It is nevertheless worth noting, given the subject of this </w:t>
      </w:r>
      <w:r>
        <w:rPr>
          <w:rFonts w:ascii="Times New Roman" w:hAnsi="Times New Roman" w:cs="Times New Roman"/>
          <w:lang w:val="en-US"/>
        </w:rPr>
        <w:t>article</w:t>
      </w:r>
      <w:r w:rsidRPr="00F80570">
        <w:rPr>
          <w:rFonts w:ascii="Times New Roman" w:hAnsi="Times New Roman" w:cs="Times New Roman"/>
          <w:lang w:val="en-US"/>
        </w:rPr>
        <w:t xml:space="preserve">, that the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consent has presented no more and no less challenges than other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this debate. For the question addressed in these works is not whether this or that token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is an element of the offence, but rather whether it is possible to sustain, conceptually or in some other general way, a difference between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This issue has, nevertheless, remained for the most part invisible in international legal literature.</w:t>
      </w:r>
      <w:r w:rsidRPr="00F80570">
        <w:rPr>
          <w:rFonts w:ascii="Times New Roman" w:hAnsi="Times New Roman" w:cs="Times New Roman"/>
          <w:vertAlign w:val="superscript"/>
          <w:lang w:val="en-US"/>
        </w:rPr>
        <w:footnoteReference w:id="14"/>
      </w:r>
    </w:p>
    <w:p w:rsidR="00455856" w:rsidRPr="00F80570" w:rsidRDefault="00455856" w:rsidP="00AF7273">
      <w:pPr>
        <w:spacing w:line="360" w:lineRule="auto"/>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There are two alternative approaches to the relation between rules and exceptions. The first is to do away with exceptions entirely, and simply restate rules so as to incorporate the </w:t>
      </w:r>
      <w:r w:rsidRPr="00F80570">
        <w:rPr>
          <w:rFonts w:ascii="Times New Roman" w:hAnsi="Times New Roman" w:cs="Times New Roman"/>
          <w:lang w:val="en-US"/>
        </w:rPr>
        <w:lastRenderedPageBreak/>
        <w:t>absence of the facts that constitute the exceptions in their definitions (or, in logical terms, into their antecedents). All exceptions would be recast as qualifications on the material or substantive scope of rules. A rule that said ‘if X then Y’ and had exceptions for ‘X1’ and ‘X2’ could be reformulated as stating ‘if X, and not X1 or X2, then Y’. The exception(s) thus become negative element(s) of the definition of the rule. This approach will be referred to here as the ‘intrinsic model’, in the understanding, however, that the adjective ‘intrinsic’ is not intended to denote anything inherent or essential about the model. The second approach is to maintain a separation between the rule and the exception: thus, we would have a rule stating ‘if X then Y’ and then exception(s) stating ‘if X1 then not Y’ and ‘if X2 then not Y’. This approach will be referred to as the ‘extrinsic’ model.</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This section begins by reviewing each of these two models (sections </w:t>
      </w:r>
      <w:r>
        <w:rPr>
          <w:rFonts w:ascii="Times New Roman" w:hAnsi="Times New Roman" w:cs="Times New Roman"/>
          <w:lang w:val="en-US"/>
        </w:rPr>
        <w:t>2</w:t>
      </w:r>
      <w:r w:rsidRPr="00F80570">
        <w:rPr>
          <w:rFonts w:ascii="Times New Roman" w:hAnsi="Times New Roman" w:cs="Times New Roman"/>
          <w:lang w:val="en-US"/>
        </w:rPr>
        <w:t xml:space="preserve">.1 and </w:t>
      </w:r>
      <w:r>
        <w:rPr>
          <w:rFonts w:ascii="Times New Roman" w:hAnsi="Times New Roman" w:cs="Times New Roman"/>
          <w:lang w:val="en-US"/>
        </w:rPr>
        <w:t>2</w:t>
      </w:r>
      <w:r w:rsidRPr="00F80570">
        <w:rPr>
          <w:rFonts w:ascii="Times New Roman" w:hAnsi="Times New Roman" w:cs="Times New Roman"/>
          <w:lang w:val="en-US"/>
        </w:rPr>
        <w:t xml:space="preserve">.2, respectively). As will be seen, the models present a false dichotomy insofar as both are possible and, indeed, both models perform important functions in legal orders (section </w:t>
      </w:r>
      <w:r>
        <w:rPr>
          <w:rFonts w:ascii="Times New Roman" w:hAnsi="Times New Roman" w:cs="Times New Roman"/>
          <w:lang w:val="en-US"/>
        </w:rPr>
        <w:t>2</w:t>
      </w:r>
      <w:r w:rsidRPr="00F80570">
        <w:rPr>
          <w:rFonts w:ascii="Times New Roman" w:hAnsi="Times New Roman" w:cs="Times New Roman"/>
          <w:lang w:val="en-US"/>
        </w:rPr>
        <w:t xml:space="preserve">.3). This section closes with a consideration of the model of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international law (section </w:t>
      </w:r>
      <w:r>
        <w:rPr>
          <w:rFonts w:ascii="Times New Roman" w:hAnsi="Times New Roman" w:cs="Times New Roman"/>
          <w:lang w:val="en-US"/>
        </w:rPr>
        <w:t>2</w:t>
      </w:r>
      <w:r w:rsidRPr="00F80570">
        <w:rPr>
          <w:rFonts w:ascii="Times New Roman" w:hAnsi="Times New Roman" w:cs="Times New Roman"/>
          <w:lang w:val="en-US"/>
        </w:rPr>
        <w:t xml:space="preserve">.4). The theoretical framework outlined in this section will then serve as the basis for the analysis of the relation between the prohibition of force and the permission of consent in international law, in Sections </w:t>
      </w:r>
      <w:r>
        <w:rPr>
          <w:rFonts w:ascii="Times New Roman" w:hAnsi="Times New Roman" w:cs="Times New Roman"/>
          <w:lang w:val="en-US"/>
        </w:rPr>
        <w:t>3</w:t>
      </w:r>
      <w:r w:rsidRPr="00F80570">
        <w:rPr>
          <w:rFonts w:ascii="Times New Roman" w:hAnsi="Times New Roman" w:cs="Times New Roman"/>
          <w:lang w:val="en-US"/>
        </w:rPr>
        <w:t xml:space="preserve"> and </w:t>
      </w:r>
      <w:r>
        <w:rPr>
          <w:rFonts w:ascii="Times New Roman" w:hAnsi="Times New Roman" w:cs="Times New Roman"/>
          <w:lang w:val="en-US"/>
        </w:rPr>
        <w:t>4</w:t>
      </w:r>
      <w:r w:rsidRPr="00F80570">
        <w:rPr>
          <w:rFonts w:ascii="Times New Roman" w:hAnsi="Times New Roman" w:cs="Times New Roman"/>
          <w:lang w:val="en-US"/>
        </w:rPr>
        <w:t>.</w:t>
      </w:r>
    </w:p>
    <w:p w:rsidR="00455856" w:rsidRPr="00D55BF6" w:rsidRDefault="00455856" w:rsidP="00AF7273">
      <w:pPr>
        <w:pStyle w:val="Heading2"/>
      </w:pPr>
      <w:bookmarkStart w:id="3" w:name="_Toc40702424"/>
      <w:bookmarkStart w:id="4" w:name="_Toc46390727"/>
      <w:r>
        <w:t>2</w:t>
      </w:r>
      <w:r w:rsidRPr="00D55BF6">
        <w:t>.1. Intrinsic model: Exceptions as negative rule-elements</w:t>
      </w:r>
      <w:bookmarkEnd w:id="3"/>
      <w:bookmarkEnd w:id="4"/>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‘There are no exceptions as self-subsisting concepts’, said Glanville Williams.</w:t>
      </w:r>
      <w:r w:rsidRPr="00F80570">
        <w:rPr>
          <w:rFonts w:ascii="Times New Roman" w:hAnsi="Times New Roman" w:cs="Times New Roman"/>
          <w:vertAlign w:val="superscript"/>
          <w:lang w:val="en-US"/>
        </w:rPr>
        <w:footnoteReference w:id="15"/>
      </w:r>
      <w:r w:rsidRPr="00F80570">
        <w:rPr>
          <w:rFonts w:ascii="Times New Roman" w:hAnsi="Times New Roman" w:cs="Times New Roman"/>
          <w:lang w:val="en-US"/>
        </w:rPr>
        <w:t xml:space="preserve"> Exceptions, he went on, distinct from rules are ‘inconceivable’.</w:t>
      </w:r>
      <w:r w:rsidRPr="00F80570">
        <w:rPr>
          <w:rFonts w:ascii="Times New Roman" w:hAnsi="Times New Roman" w:cs="Times New Roman"/>
          <w:vertAlign w:val="superscript"/>
          <w:lang w:val="en-US"/>
        </w:rPr>
        <w:footnoteReference w:id="16"/>
      </w:r>
      <w:r w:rsidRPr="00F80570">
        <w:rPr>
          <w:rFonts w:ascii="Times New Roman" w:hAnsi="Times New Roman" w:cs="Times New Roman"/>
          <w:lang w:val="en-US"/>
        </w:rPr>
        <w:t xml:space="preserve"> Liability depends not just on the proof of the elements of the offence but </w:t>
      </w:r>
      <w:r w:rsidRPr="00F80570">
        <w:rPr>
          <w:rFonts w:ascii="Times New Roman" w:hAnsi="Times New Roman" w:cs="Times New Roman"/>
          <w:i/>
          <w:lang w:val="en-US"/>
        </w:rPr>
        <w:t>also</w:t>
      </w:r>
      <w:r w:rsidRPr="00F80570">
        <w:rPr>
          <w:rFonts w:ascii="Times New Roman" w:hAnsi="Times New Roman" w:cs="Times New Roman"/>
          <w:lang w:val="en-US"/>
        </w:rPr>
        <w:t xml:space="preserve"> on the proof of the absence of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Thus, to be guilty of murder one need not just have committed the killing (the </w:t>
      </w:r>
      <w:r w:rsidRPr="00F80570">
        <w:rPr>
          <w:rFonts w:ascii="Times New Roman" w:hAnsi="Times New Roman" w:cs="Times New Roman"/>
          <w:i/>
          <w:lang w:val="en-US"/>
        </w:rPr>
        <w:t xml:space="preserve">actus </w:t>
      </w:r>
      <w:proofErr w:type="spellStart"/>
      <w:r w:rsidRPr="00F80570">
        <w:rPr>
          <w:rFonts w:ascii="Times New Roman" w:hAnsi="Times New Roman" w:cs="Times New Roman"/>
          <w:i/>
          <w:lang w:val="en-US"/>
        </w:rPr>
        <w:t>reus</w:t>
      </w:r>
      <w:proofErr w:type="spellEnd"/>
      <w:r w:rsidRPr="00F80570">
        <w:rPr>
          <w:rFonts w:ascii="Times New Roman" w:hAnsi="Times New Roman" w:cs="Times New Roman"/>
          <w:lang w:val="en-US"/>
        </w:rPr>
        <w:t>) with the intention to, at least, cause grievous bodily harm (</w:t>
      </w:r>
      <w:proofErr w:type="spellStart"/>
      <w:r w:rsidRPr="00F80570">
        <w:rPr>
          <w:rFonts w:ascii="Times New Roman" w:hAnsi="Times New Roman" w:cs="Times New Roman"/>
          <w:i/>
          <w:lang w:val="en-US"/>
        </w:rPr>
        <w:t>mens</w:t>
      </w:r>
      <w:proofErr w:type="spellEnd"/>
      <w:r w:rsidRPr="00F80570">
        <w:rPr>
          <w:rFonts w:ascii="Times New Roman" w:hAnsi="Times New Roman" w:cs="Times New Roman"/>
          <w:i/>
          <w:lang w:val="en-US"/>
        </w:rPr>
        <w:t xml:space="preserve"> rea</w:t>
      </w:r>
      <w:r w:rsidRPr="00F80570">
        <w:rPr>
          <w:rFonts w:ascii="Times New Roman" w:hAnsi="Times New Roman" w:cs="Times New Roman"/>
          <w:lang w:val="en-US"/>
        </w:rPr>
        <w:t xml:space="preserve">), but must also have done so without </w:t>
      </w:r>
      <w:proofErr w:type="spellStart"/>
      <w:r w:rsidRPr="00F80570">
        <w:rPr>
          <w:rFonts w:ascii="Times New Roman" w:hAnsi="Times New Roman" w:cs="Times New Roman"/>
          <w:lang w:val="en-US"/>
        </w:rPr>
        <w:t>self-defence</w:t>
      </w:r>
      <w:proofErr w:type="spellEnd"/>
      <w:r w:rsidRPr="00F80570">
        <w:rPr>
          <w:rFonts w:ascii="Times New Roman" w:hAnsi="Times New Roman" w:cs="Times New Roman"/>
          <w:lang w:val="en-US"/>
        </w:rPr>
        <w:t xml:space="preserve">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If this is the case, then all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must be construed as elements of the definitions of offences – all exceptions, in other words, are incorporated into the rule definition. The ‘offence package’, in Williams’s terms, thus incorporates all elements of the offence </w:t>
      </w:r>
      <w:proofErr w:type="spellStart"/>
      <w:r w:rsidRPr="00F80570">
        <w:rPr>
          <w:rFonts w:ascii="Times New Roman" w:hAnsi="Times New Roman" w:cs="Times New Roman"/>
          <w:i/>
          <w:lang w:val="en-US"/>
        </w:rPr>
        <w:t>stricto</w:t>
      </w:r>
      <w:proofErr w:type="spellEnd"/>
      <w:r w:rsidRPr="00F80570">
        <w:rPr>
          <w:rFonts w:ascii="Times New Roman" w:hAnsi="Times New Roman" w:cs="Times New Roman"/>
          <w:i/>
          <w:lang w:val="en-US"/>
        </w:rPr>
        <w:t xml:space="preserve"> </w:t>
      </w:r>
      <w:proofErr w:type="spellStart"/>
      <w:r w:rsidRPr="00F80570">
        <w:rPr>
          <w:rFonts w:ascii="Times New Roman" w:hAnsi="Times New Roman" w:cs="Times New Roman"/>
          <w:i/>
          <w:lang w:val="en-US"/>
        </w:rPr>
        <w:t>sensu</w:t>
      </w:r>
      <w:proofErr w:type="spellEnd"/>
      <w:r w:rsidRPr="00F80570">
        <w:rPr>
          <w:rFonts w:ascii="Times New Roman" w:hAnsi="Times New Roman" w:cs="Times New Roman"/>
          <w:lang w:val="en-US"/>
        </w:rPr>
        <w:t xml:space="preserve"> as well as all possible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w:t>
      </w:r>
      <w:r w:rsidRPr="00F80570">
        <w:rPr>
          <w:rFonts w:ascii="Times New Roman" w:hAnsi="Times New Roman" w:cs="Times New Roman"/>
          <w:vertAlign w:val="superscript"/>
          <w:lang w:val="en-US"/>
        </w:rPr>
        <w:footnoteReference w:id="17"/>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lastRenderedPageBreak/>
        <w:tab/>
        <w:t>This approach is, according to Williams, dictated by legal logic. To prove his point he relied on an ‘old squib’:</w:t>
      </w:r>
      <w:r w:rsidRPr="00F80570">
        <w:rPr>
          <w:rFonts w:ascii="Times New Roman" w:hAnsi="Times New Roman" w:cs="Times New Roman"/>
          <w:vertAlign w:val="superscript"/>
          <w:lang w:val="en-US"/>
        </w:rPr>
        <w:footnoteReference w:id="18"/>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The Germans in Greek</w:t>
      </w: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Are badly to seek.</w:t>
      </w: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All, save only for Hermann—</w:t>
      </w: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And Hermann’s a German!</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Which proposition is true? If all Germans are poor in Greek (premise 1), and Hermann’s a German, then he is poor in Greek. And yet, Hermann is an exception so he is proficient in Greek (premise 2). The two propositions cannot be reconciled and, in Williams’s view, the only way to resolve this paradox is to use the exception to qualify the first premise: ‘All Germans, except for Hermann, are poor in Greek’. This example shows that ‘a rule that is subject to an exception is only partly true if it is stated without the exception’ and that the exception is ‘rationally regarded, part and parcel of the rule.’</w:t>
      </w:r>
      <w:r w:rsidRPr="00F80570">
        <w:rPr>
          <w:rFonts w:ascii="Times New Roman" w:hAnsi="Times New Roman" w:cs="Times New Roman"/>
          <w:vertAlign w:val="superscript"/>
          <w:lang w:val="en-US"/>
        </w:rPr>
        <w:footnoteReference w:id="19"/>
      </w:r>
      <w:r w:rsidRPr="00F80570">
        <w:rPr>
          <w:rFonts w:ascii="Times New Roman" w:hAnsi="Times New Roman" w:cs="Times New Roman"/>
          <w:lang w:val="en-US"/>
        </w:rPr>
        <w:t xml:space="preserve"> Indeed, in Williams’s view, many offences, when stated without their exceptions, are absurd statements. For example, it would be absurd to say that ‘driving a vehicle’ is a crime, or that ‘sexual penetration’ is a crime: the crimes are ‘driving a vehicle without a license’ and ‘sexual penetration without consent’.</w:t>
      </w:r>
      <w:r>
        <w:rPr>
          <w:rFonts w:ascii="Times New Roman" w:hAnsi="Times New Roman" w:cs="Times New Roman"/>
          <w:lang w:val="en-US"/>
        </w:rPr>
        <w:t xml:space="preserve"> </w:t>
      </w:r>
      <w:r w:rsidRPr="00F80570">
        <w:rPr>
          <w:rFonts w:ascii="Times New Roman" w:hAnsi="Times New Roman" w:cs="Times New Roman"/>
          <w:lang w:val="en-US"/>
        </w:rPr>
        <w:t>Furthermore, as noted by Julius Stone, there is no logical ‘difference between a quality of a class as contained in the definition of the class and a quality of a class as contained in an exception to the class.’</w:t>
      </w:r>
      <w:r w:rsidRPr="00F80570">
        <w:rPr>
          <w:rFonts w:ascii="Times New Roman" w:hAnsi="Times New Roman" w:cs="Times New Roman"/>
          <w:vertAlign w:val="superscript"/>
          <w:lang w:val="en-US"/>
        </w:rPr>
        <w:footnoteReference w:id="20"/>
      </w:r>
      <w:r w:rsidRPr="00F80570">
        <w:rPr>
          <w:rFonts w:ascii="Times New Roman" w:hAnsi="Times New Roman" w:cs="Times New Roman"/>
          <w:lang w:val="en-US"/>
        </w:rPr>
        <w:t xml:space="preserve"> He went on:</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left="720"/>
        <w:jc w:val="both"/>
        <w:rPr>
          <w:rFonts w:ascii="Times New Roman" w:hAnsi="Times New Roman" w:cs="Times New Roman"/>
          <w:lang w:val="en-US"/>
        </w:rPr>
      </w:pPr>
      <w:r w:rsidRPr="00F80570">
        <w:rPr>
          <w:rFonts w:ascii="Times New Roman" w:hAnsi="Times New Roman" w:cs="Times New Roman"/>
          <w:lang w:val="en-US"/>
        </w:rPr>
        <w:t>Every qualification of a class can equally be stated without any change of meaning as an exception to a class not so qualified. Thus the proposition ‘All animals have four legs except gorillas’, and the proposition ‘All animals which are not gorillas have four legs’, are, as far as their meanings are concerned, identical.</w:t>
      </w:r>
      <w:r w:rsidRPr="00F80570">
        <w:rPr>
          <w:rFonts w:ascii="Times New Roman" w:hAnsi="Times New Roman" w:cs="Times New Roman"/>
          <w:vertAlign w:val="superscript"/>
          <w:lang w:val="en-US"/>
        </w:rPr>
        <w:footnoteReference w:id="21"/>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iCs/>
          <w:lang w:val="en-US"/>
        </w:rPr>
      </w:pPr>
      <w:r w:rsidRPr="00F80570">
        <w:rPr>
          <w:rFonts w:ascii="Times New Roman" w:hAnsi="Times New Roman" w:cs="Times New Roman"/>
          <w:lang w:val="en-US"/>
        </w:rPr>
        <w:t xml:space="preserve">There would be, that is, no difference between saying that: ‘non-defensive killing is prohibited’ (internally qualified rule) and saying that: ‘killing is prohibited’ (rule), ‘except in </w:t>
      </w:r>
      <w:proofErr w:type="spellStart"/>
      <w:r w:rsidRPr="00F80570">
        <w:rPr>
          <w:rFonts w:ascii="Times New Roman" w:hAnsi="Times New Roman" w:cs="Times New Roman"/>
          <w:lang w:val="en-US"/>
        </w:rPr>
        <w:t>self-defence</w:t>
      </w:r>
      <w:proofErr w:type="spellEnd"/>
      <w:r w:rsidRPr="00F80570">
        <w:rPr>
          <w:rFonts w:ascii="Times New Roman" w:hAnsi="Times New Roman" w:cs="Times New Roman"/>
          <w:lang w:val="en-US"/>
        </w:rPr>
        <w:t xml:space="preserve">’ (exception). Given that the two formulations have the same meaning, and that offences stated </w:t>
      </w:r>
      <w:r w:rsidRPr="00F80570">
        <w:rPr>
          <w:rFonts w:ascii="Times New Roman" w:hAnsi="Times New Roman" w:cs="Times New Roman"/>
          <w:lang w:val="en-US"/>
        </w:rPr>
        <w:lastRenderedPageBreak/>
        <w:t xml:space="preserve">without their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may constitute absurd statements, it follows that </w:t>
      </w:r>
      <w:r w:rsidRPr="00074054">
        <w:rPr>
          <w:rFonts w:ascii="Times New Roman" w:hAnsi="Times New Roman" w:cs="Times New Roman"/>
          <w:iCs/>
          <w:lang w:val="en-US"/>
        </w:rPr>
        <w:t xml:space="preserve">all exceptions or </w:t>
      </w:r>
      <w:proofErr w:type="spellStart"/>
      <w:r w:rsidRPr="00074054">
        <w:rPr>
          <w:rFonts w:ascii="Times New Roman" w:hAnsi="Times New Roman" w:cs="Times New Roman"/>
          <w:iCs/>
          <w:lang w:val="en-US"/>
        </w:rPr>
        <w:t>defences</w:t>
      </w:r>
      <w:proofErr w:type="spellEnd"/>
      <w:r w:rsidRPr="00074054">
        <w:rPr>
          <w:rFonts w:ascii="Times New Roman" w:hAnsi="Times New Roman" w:cs="Times New Roman"/>
          <w:iCs/>
          <w:lang w:val="en-US"/>
        </w:rPr>
        <w:t xml:space="preserve"> must be incorporated into the definition of the offence.</w:t>
      </w:r>
    </w:p>
    <w:p w:rsidR="00455856" w:rsidRPr="00D55BF6" w:rsidRDefault="00455856" w:rsidP="00AF7273">
      <w:pPr>
        <w:pStyle w:val="Heading2"/>
      </w:pPr>
      <w:bookmarkStart w:id="5" w:name="_Toc40702425"/>
      <w:bookmarkStart w:id="6" w:name="_Toc46390728"/>
      <w:r>
        <w:t>2</w:t>
      </w:r>
      <w:r w:rsidRPr="00D55BF6">
        <w:t>.2. Extrinsic model: Self-standing</w:t>
      </w:r>
      <w:bookmarkEnd w:id="5"/>
      <w:r w:rsidRPr="00D55BF6">
        <w:t xml:space="preserve"> </w:t>
      </w:r>
      <w:proofErr w:type="spellStart"/>
      <w:r w:rsidRPr="00D55BF6">
        <w:t>defences</w:t>
      </w:r>
      <w:bookmarkEnd w:id="6"/>
      <w:proofErr w:type="spellEnd"/>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And yet, for other commentators the intrinsic model would ‘miss something important about the difference’ between the two formulations.</w:t>
      </w:r>
      <w:r w:rsidRPr="00F80570">
        <w:rPr>
          <w:rFonts w:ascii="Times New Roman" w:hAnsi="Times New Roman" w:cs="Times New Roman"/>
          <w:vertAlign w:val="superscript"/>
          <w:lang w:val="en-US"/>
        </w:rPr>
        <w:footnoteReference w:id="22"/>
      </w:r>
      <w:r w:rsidRPr="00F80570">
        <w:rPr>
          <w:rFonts w:ascii="Times New Roman" w:hAnsi="Times New Roman" w:cs="Times New Roman"/>
          <w:lang w:val="en-US"/>
        </w:rPr>
        <w:t xml:space="preserve"> Stone himself admitted as much when he said that even if the distinction between rules and exceptions ‘does not represent any distinction in meaning, it may still remain a valid distinction for legal purposes.’</w:t>
      </w:r>
      <w:r w:rsidRPr="00F80570">
        <w:rPr>
          <w:rFonts w:ascii="Times New Roman" w:hAnsi="Times New Roman" w:cs="Times New Roman"/>
          <w:vertAlign w:val="superscript"/>
          <w:lang w:val="en-US"/>
        </w:rPr>
        <w:footnoteReference w:id="23"/>
      </w:r>
      <w:r w:rsidRPr="00F80570">
        <w:rPr>
          <w:rFonts w:ascii="Times New Roman" w:hAnsi="Times New Roman" w:cs="Times New Roman"/>
          <w:lang w:val="en-US"/>
        </w:rPr>
        <w:t xml:space="preserve"> For there is something ‘special’ about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24"/>
      </w:r>
      <w:r w:rsidRPr="00F80570">
        <w:rPr>
          <w:rFonts w:ascii="Times New Roman" w:hAnsi="Times New Roman" w:cs="Times New Roman"/>
          <w:lang w:val="en-US"/>
        </w:rPr>
        <w:t xml:space="preserve"> The difficulty has been that of articulating what this something special is.</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A first, perhaps obvious, answer to this question is procedural: there is an important difference in terms of probative burdens. Whereas the claimant must prove the elements of the rule or offence, the respondent must prove the elements of the exception or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This holds true in private law and also, though to a lesser extent, in criminal law.</w:t>
      </w:r>
      <w:r w:rsidRPr="00F80570">
        <w:rPr>
          <w:rFonts w:ascii="Times New Roman" w:hAnsi="Times New Roman" w:cs="Times New Roman"/>
          <w:vertAlign w:val="superscript"/>
          <w:lang w:val="en-US"/>
        </w:rPr>
        <w:footnoteReference w:id="25"/>
      </w:r>
      <w:r w:rsidRPr="00F80570">
        <w:rPr>
          <w:rFonts w:ascii="Times New Roman" w:hAnsi="Times New Roman" w:cs="Times New Roman"/>
          <w:lang w:val="en-US"/>
        </w:rPr>
        <w:t xml:space="preserve"> This same allocation of the burdens may be gleaned from the practice of international courts and tribunals.</w:t>
      </w:r>
      <w:r w:rsidRPr="00F80570">
        <w:rPr>
          <w:rFonts w:ascii="Times New Roman" w:hAnsi="Times New Roman" w:cs="Times New Roman"/>
          <w:vertAlign w:val="superscript"/>
          <w:lang w:val="en-US"/>
        </w:rPr>
        <w:footnoteReference w:id="26"/>
      </w:r>
      <w:r w:rsidRPr="00F80570">
        <w:rPr>
          <w:rFonts w:ascii="Times New Roman" w:hAnsi="Times New Roman" w:cs="Times New Roman"/>
          <w:lang w:val="en-US"/>
        </w:rPr>
        <w:t xml:space="preserve"> And indeed, some theorists have based their arguments about the distinctiveness of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precisely on the basis of who bears the burden: where proof of the absence of any given fact is exculpatory, then that fact ought to be qualified as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w:t>
      </w:r>
      <w:r w:rsidRPr="00F80570">
        <w:rPr>
          <w:rFonts w:ascii="Times New Roman" w:hAnsi="Times New Roman" w:cs="Times New Roman"/>
          <w:vertAlign w:val="superscript"/>
          <w:lang w:val="en-US"/>
        </w:rPr>
        <w:footnoteReference w:id="27"/>
      </w:r>
      <w:r w:rsidRPr="00F80570">
        <w:rPr>
          <w:rFonts w:ascii="Times New Roman" w:hAnsi="Times New Roman" w:cs="Times New Roman"/>
          <w:lang w:val="en-US"/>
        </w:rPr>
        <w:t xml:space="preserve"> While there is of course much to be said about this line of argument, it will not be pursued here as it is not clear how useful this approach may be in international law given that international courts and tribunals are often reluctant to explicitly assign burdens of proof. </w:t>
      </w:r>
      <w:r w:rsidR="00074054">
        <w:rPr>
          <w:rFonts w:ascii="Times New Roman" w:hAnsi="Times New Roman" w:cs="Times New Roman"/>
          <w:lang w:val="en-US"/>
        </w:rPr>
        <w:t>In</w:t>
      </w:r>
      <w:r w:rsidRPr="00F80570">
        <w:rPr>
          <w:rFonts w:ascii="Times New Roman" w:hAnsi="Times New Roman" w:cs="Times New Roman"/>
          <w:lang w:val="en-US"/>
        </w:rPr>
        <w:t xml:space="preserve"> the only case involving consensual force to </w:t>
      </w:r>
      <w:r w:rsidRPr="00F80570">
        <w:rPr>
          <w:rFonts w:ascii="Times New Roman" w:hAnsi="Times New Roman" w:cs="Times New Roman"/>
          <w:lang w:val="en-US"/>
        </w:rPr>
        <w:lastRenderedPageBreak/>
        <w:t xml:space="preserve">be decided by the ICJ, </w:t>
      </w:r>
      <w:r>
        <w:rPr>
          <w:rFonts w:ascii="Times New Roman" w:hAnsi="Times New Roman" w:cs="Times New Roman"/>
          <w:i/>
          <w:iCs/>
          <w:lang w:val="en-US"/>
        </w:rPr>
        <w:t>DRC v Uganda</w:t>
      </w:r>
      <w:r>
        <w:rPr>
          <w:rFonts w:ascii="Times New Roman" w:hAnsi="Times New Roman" w:cs="Times New Roman"/>
          <w:lang w:val="en-US"/>
        </w:rPr>
        <w:t>,</w:t>
      </w:r>
      <w:r>
        <w:rPr>
          <w:rFonts w:ascii="Times New Roman" w:hAnsi="Times New Roman" w:cs="Times New Roman"/>
          <w:i/>
          <w:iCs/>
          <w:lang w:val="en-US"/>
        </w:rPr>
        <w:t xml:space="preserve"> </w:t>
      </w:r>
      <w:r w:rsidRPr="00F80570">
        <w:rPr>
          <w:rFonts w:ascii="Times New Roman" w:hAnsi="Times New Roman" w:cs="Times New Roman"/>
          <w:lang w:val="en-US"/>
        </w:rPr>
        <w:t>the Court’s judgment is silent on the burden of proof in respect of consent despite the extensive pleadings of the parties on this issue.</w:t>
      </w:r>
      <w:r w:rsidRPr="00F80570">
        <w:rPr>
          <w:rStyle w:val="FootnoteReference"/>
          <w:rFonts w:ascii="Times New Roman" w:hAnsi="Times New Roman" w:cs="Times New Roman"/>
          <w:lang w:val="en-US"/>
        </w:rPr>
        <w:footnoteReference w:id="28"/>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A common approach to the distinction between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the literature is a substantive one. This approach takes as a starting point a conception of rules as norms that guide behavior and which do this by providing actors with reasons for (or against) action. On this view, permissive and mandatory rules provide reasons for action. For example, that a </w:t>
      </w:r>
      <w:r w:rsidR="00074054">
        <w:rPr>
          <w:rFonts w:ascii="Times New Roman" w:hAnsi="Times New Roman" w:cs="Times New Roman"/>
          <w:lang w:val="en-US"/>
        </w:rPr>
        <w:t>s</w:t>
      </w:r>
      <w:r w:rsidRPr="00F80570">
        <w:rPr>
          <w:rFonts w:ascii="Times New Roman" w:hAnsi="Times New Roman" w:cs="Times New Roman"/>
          <w:lang w:val="en-US"/>
        </w:rPr>
        <w:t xml:space="preserve">tate is permitted to regulate economic activity in its Exclusive Economic Zone counts as a reason to do so. Prohibitive rules, instead, provide reasons against action. For example, that a </w:t>
      </w:r>
      <w:r w:rsidR="00074054">
        <w:rPr>
          <w:rFonts w:ascii="Times New Roman" w:hAnsi="Times New Roman" w:cs="Times New Roman"/>
          <w:lang w:val="en-US"/>
        </w:rPr>
        <w:t>s</w:t>
      </w:r>
      <w:r w:rsidRPr="00F80570">
        <w:rPr>
          <w:rFonts w:ascii="Times New Roman" w:hAnsi="Times New Roman" w:cs="Times New Roman"/>
          <w:lang w:val="en-US"/>
        </w:rPr>
        <w:t xml:space="preserve">tate is prohibited from exercising jurisdiction over foreign </w:t>
      </w:r>
      <w:r w:rsidR="00074054">
        <w:rPr>
          <w:rFonts w:ascii="Times New Roman" w:hAnsi="Times New Roman" w:cs="Times New Roman"/>
          <w:lang w:val="en-US"/>
        </w:rPr>
        <w:t>s</w:t>
      </w:r>
      <w:r w:rsidRPr="00F80570">
        <w:rPr>
          <w:rFonts w:ascii="Times New Roman" w:hAnsi="Times New Roman" w:cs="Times New Roman"/>
          <w:lang w:val="en-US"/>
        </w:rPr>
        <w:t>tates counts as a reason against it. For present purposes, it is important to distinguish between two types of reasons for (or against) action:</w:t>
      </w:r>
    </w:p>
    <w:p w:rsidR="00455856" w:rsidRPr="00F80570" w:rsidRDefault="00455856" w:rsidP="00AF7273">
      <w:pPr>
        <w:pStyle w:val="ListParagraph"/>
        <w:numPr>
          <w:ilvl w:val="0"/>
          <w:numId w:val="13"/>
        </w:num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First, reasons may be </w:t>
      </w:r>
      <w:r w:rsidRPr="00F80570">
        <w:rPr>
          <w:rFonts w:ascii="Times New Roman" w:hAnsi="Times New Roman" w:cs="Times New Roman"/>
          <w:u w:val="single"/>
          <w:lang w:val="en-US"/>
        </w:rPr>
        <w:t>conclusive</w:t>
      </w:r>
      <w:r w:rsidRPr="00F80570">
        <w:rPr>
          <w:rFonts w:ascii="Times New Roman" w:hAnsi="Times New Roman" w:cs="Times New Roman"/>
          <w:lang w:val="en-US"/>
        </w:rPr>
        <w:t xml:space="preserve"> when they determine what an agent ought to do, and there are no overriding reasons.</w:t>
      </w:r>
      <w:r w:rsidRPr="00F80570">
        <w:rPr>
          <w:rStyle w:val="FootnoteReference"/>
          <w:rFonts w:ascii="Times New Roman" w:hAnsi="Times New Roman" w:cs="Times New Roman"/>
          <w:lang w:val="en-US"/>
        </w:rPr>
        <w:footnoteReference w:id="29"/>
      </w:r>
    </w:p>
    <w:p w:rsidR="00455856" w:rsidRPr="00F80570" w:rsidRDefault="00455856" w:rsidP="00AF7273">
      <w:pPr>
        <w:pStyle w:val="ListParagraph"/>
        <w:numPr>
          <w:ilvl w:val="0"/>
          <w:numId w:val="13"/>
        </w:num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Second, reasons may be </w:t>
      </w:r>
      <w:r w:rsidRPr="00F80570">
        <w:rPr>
          <w:rFonts w:ascii="Times New Roman" w:hAnsi="Times New Roman" w:cs="Times New Roman"/>
          <w:i/>
          <w:u w:val="single"/>
          <w:lang w:val="en-US"/>
        </w:rPr>
        <w:t>prima facie</w:t>
      </w:r>
      <w:r w:rsidRPr="00F80570">
        <w:rPr>
          <w:rFonts w:ascii="Times New Roman" w:hAnsi="Times New Roman" w:cs="Times New Roman"/>
          <w:lang w:val="en-US"/>
        </w:rPr>
        <w:t xml:space="preserve"> when they are overridden by other countervailing reasons.</w:t>
      </w:r>
      <w:r w:rsidRPr="00F80570">
        <w:rPr>
          <w:rStyle w:val="FootnoteReference"/>
          <w:rFonts w:ascii="Times New Roman" w:hAnsi="Times New Roman" w:cs="Times New Roman"/>
          <w:lang w:val="en-US"/>
        </w:rPr>
        <w:footnoteReference w:id="30"/>
      </w:r>
    </w:p>
    <w:p w:rsidR="00455856" w:rsidRPr="00F80570" w:rsidRDefault="00455856" w:rsidP="00AF7273">
      <w:pPr>
        <w:spacing w:line="360" w:lineRule="auto"/>
        <w:ind w:left="60"/>
        <w:jc w:val="both"/>
        <w:rPr>
          <w:rFonts w:ascii="Times New Roman" w:hAnsi="Times New Roman" w:cs="Times New Roman"/>
          <w:lang w:val="en-US"/>
        </w:rPr>
      </w:pPr>
    </w:p>
    <w:p w:rsidR="00455856" w:rsidRPr="00F80570" w:rsidRDefault="00455856" w:rsidP="00AF7273">
      <w:pPr>
        <w:spacing w:line="360" w:lineRule="auto"/>
        <w:ind w:left="60" w:firstLine="660"/>
        <w:jc w:val="both"/>
        <w:rPr>
          <w:rFonts w:ascii="Times New Roman" w:hAnsi="Times New Roman" w:cs="Times New Roman"/>
          <w:lang w:val="en-US"/>
        </w:rPr>
      </w:pPr>
      <w:r w:rsidRPr="00F80570">
        <w:rPr>
          <w:rFonts w:ascii="Times New Roman" w:hAnsi="Times New Roman" w:cs="Times New Roman"/>
          <w:lang w:val="en-US"/>
        </w:rPr>
        <w:t>Countervailing reasons must, in turn, be distinguished from cancelling conditions. Reasons can be overridden ‘only by a fact which is itself a reason for contradictory action’.</w:t>
      </w:r>
      <w:r w:rsidRPr="00F80570">
        <w:rPr>
          <w:rStyle w:val="FootnoteReference"/>
          <w:rFonts w:ascii="Times New Roman" w:hAnsi="Times New Roman" w:cs="Times New Roman"/>
          <w:lang w:val="en-US"/>
        </w:rPr>
        <w:footnoteReference w:id="31"/>
      </w:r>
      <w:r w:rsidRPr="00F80570">
        <w:rPr>
          <w:rFonts w:ascii="Times New Roman" w:hAnsi="Times New Roman" w:cs="Times New Roman"/>
          <w:lang w:val="en-US"/>
        </w:rPr>
        <w:t xml:space="preserve"> Sometimes, however, there are facts which are not themselves reasons for contradictory action and yet the reason for action does not apply. Think, for example, of a promise to meet for lunch with a friend. Having to take an injured person to hospital is a reason to not keep the appointment with the friend. It is a reason than can override the reason to keep the promise. But the fact that the friend has released us from the promise is ‘a reason for nothing at all and yet it cancels the reason’ to meet them for lunch.</w:t>
      </w:r>
      <w:r w:rsidRPr="00F80570">
        <w:rPr>
          <w:rStyle w:val="FootnoteReference"/>
          <w:rFonts w:ascii="Times New Roman" w:hAnsi="Times New Roman" w:cs="Times New Roman"/>
          <w:lang w:val="en-US"/>
        </w:rPr>
        <w:footnoteReference w:id="32"/>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Kenneth Campbell first employed practical reasons to map out the distinction between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33"/>
      </w:r>
      <w:r w:rsidRPr="00F80570">
        <w:rPr>
          <w:rFonts w:ascii="Times New Roman" w:hAnsi="Times New Roman" w:cs="Times New Roman"/>
          <w:lang w:val="en-US"/>
        </w:rPr>
        <w:t xml:space="preserve"> As Campbell explained:</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left="720"/>
        <w:jc w:val="both"/>
        <w:rPr>
          <w:rFonts w:ascii="Times New Roman" w:hAnsi="Times New Roman" w:cs="Times New Roman"/>
          <w:lang w:val="en-US"/>
        </w:rPr>
      </w:pPr>
      <w:r w:rsidRPr="00F80570">
        <w:rPr>
          <w:rFonts w:ascii="Times New Roman" w:hAnsi="Times New Roman" w:cs="Times New Roman"/>
          <w:lang w:val="en-US"/>
        </w:rPr>
        <w:lastRenderedPageBreak/>
        <w:t xml:space="preserve">Take any set of rules which completely defines the incidence of liability in respect of any act. That subset which completely defines the scope of that against which the law takes there to be </w:t>
      </w:r>
      <w:r w:rsidRPr="00F80570">
        <w:rPr>
          <w:rFonts w:ascii="Times New Roman" w:hAnsi="Times New Roman" w:cs="Times New Roman"/>
          <w:i/>
          <w:lang w:val="en-US"/>
        </w:rPr>
        <w:t>prima facie</w:t>
      </w:r>
      <w:r w:rsidRPr="00F80570">
        <w:rPr>
          <w:rFonts w:ascii="Times New Roman" w:hAnsi="Times New Roman" w:cs="Times New Roman"/>
          <w:lang w:val="en-US"/>
        </w:rPr>
        <w:t xml:space="preserve"> reason is the offence part. That subset which completely defines the scope of exonerating conditions is the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part.</w:t>
      </w:r>
      <w:r w:rsidRPr="00F80570">
        <w:rPr>
          <w:rFonts w:ascii="Times New Roman" w:hAnsi="Times New Roman" w:cs="Times New Roman"/>
          <w:vertAlign w:val="superscript"/>
          <w:lang w:val="en-US"/>
        </w:rPr>
        <w:footnoteReference w:id="34"/>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The distinction between offence and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therefore, tracks the distinction between reasons for and against action. The offence gives a </w:t>
      </w:r>
      <w:r w:rsidRPr="00F80570">
        <w:rPr>
          <w:rFonts w:ascii="Times New Roman" w:hAnsi="Times New Roman" w:cs="Times New Roman"/>
          <w:i/>
          <w:lang w:val="en-US"/>
        </w:rPr>
        <w:t>prima facie</w:t>
      </w:r>
      <w:r w:rsidRPr="00F80570">
        <w:rPr>
          <w:rFonts w:ascii="Times New Roman" w:hAnsi="Times New Roman" w:cs="Times New Roman"/>
          <w:lang w:val="en-US"/>
        </w:rPr>
        <w:t xml:space="preserve"> reason against a specified conduct. A </w:t>
      </w:r>
      <w:r w:rsidRPr="00F80570">
        <w:rPr>
          <w:rFonts w:ascii="Times New Roman" w:hAnsi="Times New Roman" w:cs="Times New Roman"/>
          <w:i/>
          <w:lang w:val="en-US"/>
        </w:rPr>
        <w:t>prima facie</w:t>
      </w:r>
      <w:r w:rsidRPr="00F80570">
        <w:rPr>
          <w:rFonts w:ascii="Times New Roman" w:hAnsi="Times New Roman" w:cs="Times New Roman"/>
          <w:lang w:val="en-US"/>
        </w:rPr>
        <w:t xml:space="preserve"> reason is a reason that may be, but need not be, a conclusive reason against action. Namely, it is a reason that can be defeated by a countervailing reason.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turn, provide those countervailing reasons which, when available, can outweigh the </w:t>
      </w:r>
      <w:r w:rsidRPr="00F80570">
        <w:rPr>
          <w:rFonts w:ascii="Times New Roman" w:hAnsi="Times New Roman" w:cs="Times New Roman"/>
          <w:i/>
          <w:lang w:val="en-US"/>
        </w:rPr>
        <w:t>prima facie</w:t>
      </w:r>
      <w:r w:rsidRPr="00F80570">
        <w:rPr>
          <w:rFonts w:ascii="Times New Roman" w:hAnsi="Times New Roman" w:cs="Times New Roman"/>
          <w:lang w:val="en-US"/>
        </w:rPr>
        <w:t xml:space="preserve"> reasons given by the offence. T</w:t>
      </w:r>
      <w:r>
        <w:rPr>
          <w:rFonts w:ascii="Times New Roman" w:hAnsi="Times New Roman" w:cs="Times New Roman"/>
          <w:lang w:val="en-US"/>
        </w:rPr>
        <w:t xml:space="preserve">ake </w:t>
      </w:r>
      <w:r w:rsidRPr="00F80570">
        <w:rPr>
          <w:rFonts w:ascii="Times New Roman" w:hAnsi="Times New Roman" w:cs="Times New Roman"/>
          <w:lang w:val="en-US"/>
        </w:rPr>
        <w:t xml:space="preserve">the crime of murder. The offence definition provides a reason </w:t>
      </w:r>
      <w:r w:rsidRPr="00236E6D">
        <w:rPr>
          <w:rFonts w:ascii="Times New Roman" w:hAnsi="Times New Roman" w:cs="Times New Roman"/>
          <w:iCs/>
          <w:lang w:val="en-US"/>
        </w:rPr>
        <w:t>against</w:t>
      </w:r>
      <w:r w:rsidRPr="00F80570">
        <w:rPr>
          <w:rFonts w:ascii="Times New Roman" w:hAnsi="Times New Roman" w:cs="Times New Roman"/>
          <w:lang w:val="en-US"/>
        </w:rPr>
        <w:t xml:space="preserve"> killing. All else being equal, this offence would provide a conclusive reason against action. Self-</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however, could provide a countervailing reason. In the conflict between the reasons against killing (the offence of murder) and the countervailing reason (</w:t>
      </w:r>
      <w:proofErr w:type="spellStart"/>
      <w:r w:rsidRPr="00F80570">
        <w:rPr>
          <w:rFonts w:ascii="Times New Roman" w:hAnsi="Times New Roman" w:cs="Times New Roman"/>
          <w:lang w:val="en-US"/>
        </w:rPr>
        <w:t>self-defence</w:t>
      </w:r>
      <w:proofErr w:type="spellEnd"/>
      <w:r w:rsidRPr="00F80570">
        <w:rPr>
          <w:rFonts w:ascii="Times New Roman" w:hAnsi="Times New Roman" w:cs="Times New Roman"/>
          <w:lang w:val="en-US"/>
        </w:rPr>
        <w:t>), the former is defeated by the latter. A victim who kills her (unjust) aggressor does not, all things considered, have a reason against killing.</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While this account is widely accepted, there are significant disagreements on the type of reasons afforded by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particular justificatory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35"/>
      </w:r>
      <w:r w:rsidRPr="00F80570">
        <w:rPr>
          <w:rFonts w:ascii="Times New Roman" w:hAnsi="Times New Roman" w:cs="Times New Roman"/>
          <w:lang w:val="en-US"/>
        </w:rPr>
        <w:t xml:space="preserve"> Do they override the reason against action, or do they cancel that reason? Campbell’s account treats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as overrides, as illustrated in this example:</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left="720"/>
        <w:jc w:val="both"/>
        <w:rPr>
          <w:rFonts w:ascii="Times New Roman" w:hAnsi="Times New Roman" w:cs="Times New Roman"/>
          <w:lang w:val="en-US"/>
        </w:rPr>
      </w:pPr>
      <w:r w:rsidRPr="00F80570">
        <w:rPr>
          <w:rFonts w:ascii="Times New Roman" w:hAnsi="Times New Roman" w:cs="Times New Roman"/>
          <w:lang w:val="en-US"/>
        </w:rPr>
        <w:t xml:space="preserve">Suppose someone kills a terrorist who is about to detonate a bomb which will certainly kill dozens of people. His action is certainly permissible, and probably more than just that. So long, however, as the law takes the view that the life, even of that terrorist, was something of value then it </w:t>
      </w:r>
      <w:proofErr w:type="spellStart"/>
      <w:r w:rsidRPr="00F80570">
        <w:rPr>
          <w:rFonts w:ascii="Times New Roman" w:hAnsi="Times New Roman" w:cs="Times New Roman"/>
          <w:lang w:val="en-US"/>
        </w:rPr>
        <w:t>recognises</w:t>
      </w:r>
      <w:proofErr w:type="spellEnd"/>
      <w:r w:rsidRPr="00F80570">
        <w:rPr>
          <w:rFonts w:ascii="Times New Roman" w:hAnsi="Times New Roman" w:cs="Times New Roman"/>
          <w:lang w:val="en-US"/>
        </w:rPr>
        <w:t xml:space="preserve"> the existence of some reason against the action, albeit one which was clearly overridden.</w:t>
      </w:r>
      <w:r w:rsidRPr="00F80570">
        <w:rPr>
          <w:rFonts w:ascii="Times New Roman" w:hAnsi="Times New Roman" w:cs="Times New Roman"/>
          <w:vertAlign w:val="superscript"/>
          <w:lang w:val="en-US"/>
        </w:rPr>
        <w:footnoteReference w:id="36"/>
      </w:r>
      <w:r w:rsidRPr="00F80570">
        <w:rPr>
          <w:rFonts w:ascii="Times New Roman" w:hAnsi="Times New Roman" w:cs="Times New Roman"/>
          <w:lang w:val="en-US"/>
        </w:rPr>
        <w:t xml:space="preserve">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One important aspect of this understanding is that the overridden reasons do not go away, they continue to exist in the background. In the words of John Gardner:</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left="720"/>
        <w:jc w:val="both"/>
        <w:rPr>
          <w:rFonts w:ascii="Times New Roman" w:hAnsi="Times New Roman" w:cs="Times New Roman"/>
          <w:lang w:val="en-US"/>
        </w:rPr>
      </w:pPr>
      <w:r w:rsidRPr="00F80570">
        <w:rPr>
          <w:rFonts w:ascii="Times New Roman" w:hAnsi="Times New Roman" w:cs="Times New Roman"/>
          <w:lang w:val="en-US"/>
        </w:rPr>
        <w:t xml:space="preserve">When someone pleads a justification, she is claiming that the reasons in </w:t>
      </w:r>
      <w:proofErr w:type="spellStart"/>
      <w:r w:rsidRPr="00F80570">
        <w:rPr>
          <w:rFonts w:ascii="Times New Roman" w:hAnsi="Times New Roman" w:cs="Times New Roman"/>
          <w:lang w:val="en-US"/>
        </w:rPr>
        <w:t>favour</w:t>
      </w:r>
      <w:proofErr w:type="spellEnd"/>
      <w:r w:rsidRPr="00F80570">
        <w:rPr>
          <w:rFonts w:ascii="Times New Roman" w:hAnsi="Times New Roman" w:cs="Times New Roman"/>
          <w:lang w:val="en-US"/>
        </w:rPr>
        <w:t xml:space="preserve"> of doing as she did stand undefeated by the reasons against. The reasons against are those that make what she did an offence. They have not gone away. They still make it an offence. But the reasons in </w:t>
      </w:r>
      <w:proofErr w:type="spellStart"/>
      <w:r w:rsidRPr="00F80570">
        <w:rPr>
          <w:rFonts w:ascii="Times New Roman" w:hAnsi="Times New Roman" w:cs="Times New Roman"/>
          <w:lang w:val="en-US"/>
        </w:rPr>
        <w:t>favour</w:t>
      </w:r>
      <w:proofErr w:type="spellEnd"/>
      <w:r w:rsidRPr="00F80570">
        <w:rPr>
          <w:rFonts w:ascii="Times New Roman" w:hAnsi="Times New Roman" w:cs="Times New Roman"/>
          <w:lang w:val="en-US"/>
        </w:rPr>
        <w:t xml:space="preserve"> prevail, and make it a justified offence (and hence one for which she should be acquitted).</w:t>
      </w:r>
      <w:r w:rsidRPr="00F80570">
        <w:rPr>
          <w:rStyle w:val="FootnoteReference"/>
          <w:rFonts w:ascii="Times New Roman" w:hAnsi="Times New Roman" w:cs="Times New Roman"/>
          <w:lang w:val="en-US"/>
        </w:rPr>
        <w:footnoteReference w:id="37"/>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Conduct that falls within the offence definition, then, is conduct that there are reasons not to engage in – even if these reasons are defeated</w:t>
      </w:r>
      <w:r w:rsidR="00074054">
        <w:rPr>
          <w:rFonts w:ascii="Times New Roman" w:hAnsi="Times New Roman" w:cs="Times New Roman"/>
          <w:lang w:val="en-US"/>
        </w:rPr>
        <w:t xml:space="preserve"> in the circumstances</w:t>
      </w:r>
      <w:r w:rsidRPr="00F80570">
        <w:rPr>
          <w:rFonts w:ascii="Times New Roman" w:hAnsi="Times New Roman" w:cs="Times New Roman"/>
          <w:lang w:val="en-US"/>
        </w:rPr>
        <w:t xml:space="preserve">. The implication is that, as noted by Gardner, the conduct constitutes a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wrong. Both Campbell and Gardner understand this to be a substantive concept and not (just) an evidential one.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wrongs do not mean that something is wrong on first impression, or at first blush</w:t>
      </w:r>
      <w:r w:rsidR="00074054">
        <w:rPr>
          <w:rFonts w:ascii="Times New Roman" w:hAnsi="Times New Roman" w:cs="Times New Roman"/>
          <w:lang w:val="en-US"/>
        </w:rPr>
        <w:t>, until all the relevant information has been obtained and assessed</w:t>
      </w:r>
      <w:r w:rsidRPr="00F80570">
        <w:rPr>
          <w:rFonts w:ascii="Times New Roman" w:hAnsi="Times New Roman" w:cs="Times New Roman"/>
          <w:lang w:val="en-US"/>
        </w:rPr>
        <w:t xml:space="preserve">. It means that it is conduct that there are </w:t>
      </w:r>
      <w:r w:rsidRPr="00F80570">
        <w:rPr>
          <w:rFonts w:ascii="Times New Roman" w:hAnsi="Times New Roman" w:cs="Times New Roman"/>
          <w:i/>
          <w:lang w:val="en-US"/>
        </w:rPr>
        <w:t>existing</w:t>
      </w:r>
      <w:r w:rsidRPr="00F80570">
        <w:rPr>
          <w:rFonts w:ascii="Times New Roman" w:hAnsi="Times New Roman" w:cs="Times New Roman"/>
          <w:lang w:val="en-US"/>
        </w:rPr>
        <w:t xml:space="preserve"> reasons not to engage in.</w:t>
      </w:r>
      <w:r w:rsidRPr="00F80570">
        <w:rPr>
          <w:rStyle w:val="FootnoteReference"/>
          <w:rFonts w:ascii="Times New Roman" w:hAnsi="Times New Roman" w:cs="Times New Roman"/>
          <w:lang w:val="en-US"/>
        </w:rPr>
        <w:footnoteReference w:id="38"/>
      </w:r>
      <w:r w:rsidRPr="00F80570">
        <w:rPr>
          <w:rFonts w:ascii="Times New Roman" w:hAnsi="Times New Roman" w:cs="Times New Roman"/>
          <w:lang w:val="en-US"/>
        </w:rPr>
        <w:t xml:space="preserve"> To be </w:t>
      </w:r>
      <w:r w:rsidR="00074054">
        <w:rPr>
          <w:rFonts w:ascii="Times New Roman" w:hAnsi="Times New Roman" w:cs="Times New Roman"/>
          <w:lang w:val="en-US"/>
        </w:rPr>
        <w:t>clear,</w:t>
      </w:r>
      <w:r w:rsidRPr="00F80570">
        <w:rPr>
          <w:rFonts w:ascii="Times New Roman" w:hAnsi="Times New Roman" w:cs="Times New Roman"/>
          <w:lang w:val="en-US"/>
        </w:rPr>
        <w:t xml:space="preserve">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wrongs are not legal wrongs. The conduct is still legally permissible, if only in an all-things-considered sense. But being a </w:t>
      </w:r>
      <w:r w:rsidRPr="00F80570">
        <w:rPr>
          <w:rFonts w:ascii="Times New Roman" w:hAnsi="Times New Roman" w:cs="Times New Roman"/>
          <w:i/>
          <w:iCs/>
          <w:lang w:val="en-US"/>
        </w:rPr>
        <w:t xml:space="preserve">prima facie </w:t>
      </w:r>
      <w:r w:rsidRPr="00F80570">
        <w:rPr>
          <w:rFonts w:ascii="Times New Roman" w:hAnsi="Times New Roman" w:cs="Times New Roman"/>
          <w:lang w:val="en-US"/>
        </w:rPr>
        <w:t>wrong, justified conduct carries some normative consequences. These are encapsulated in Gardner’s ‘remainders thesis’ pursuant to which ‘justified action still leaves a remainder of conflicting reasons that were, regrettably, not conformed to.’</w:t>
      </w:r>
      <w:r w:rsidRPr="00F80570">
        <w:rPr>
          <w:rStyle w:val="FootnoteReference"/>
          <w:rFonts w:ascii="Times New Roman" w:hAnsi="Times New Roman" w:cs="Times New Roman"/>
          <w:lang w:val="en-US"/>
        </w:rPr>
        <w:footnoteReference w:id="39"/>
      </w:r>
      <w:r w:rsidRPr="00F80570">
        <w:rPr>
          <w:rFonts w:ascii="Times New Roman" w:hAnsi="Times New Roman" w:cs="Times New Roman"/>
          <w:lang w:val="en-US"/>
        </w:rPr>
        <w:t xml:space="preserve"> The justified wrong is, on this view, an unwelcome turn of events and it would have been better had it not occurred at all. </w:t>
      </w:r>
      <w:r w:rsidRPr="00F80570">
        <w:rPr>
          <w:rFonts w:ascii="Times New Roman" w:hAnsi="Times New Roman" w:cs="Times New Roman"/>
          <w:i/>
          <w:lang w:val="en-US"/>
        </w:rPr>
        <w:t>Prima facie</w:t>
      </w:r>
      <w:r w:rsidRPr="00F80570">
        <w:rPr>
          <w:rFonts w:ascii="Times New Roman" w:hAnsi="Times New Roman" w:cs="Times New Roman"/>
          <w:lang w:val="en-US"/>
        </w:rPr>
        <w:t xml:space="preserve"> wrongs are therefore regrettable and call for justification.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This implication has not been readily accepted by other theorists. As Andrew </w:t>
      </w:r>
      <w:proofErr w:type="spellStart"/>
      <w:r w:rsidRPr="00F80570">
        <w:rPr>
          <w:rFonts w:ascii="Times New Roman" w:hAnsi="Times New Roman" w:cs="Times New Roman"/>
          <w:lang w:val="en-US"/>
        </w:rPr>
        <w:t>Simester</w:t>
      </w:r>
      <w:proofErr w:type="spellEnd"/>
      <w:r w:rsidRPr="00F80570">
        <w:rPr>
          <w:rFonts w:ascii="Times New Roman" w:hAnsi="Times New Roman" w:cs="Times New Roman"/>
          <w:lang w:val="en-US"/>
        </w:rPr>
        <w:t xml:space="preserve"> noted, the idea of justified wrongs is one that most [criminal] lawyers would be uncomfortable with.</w:t>
      </w:r>
      <w:r w:rsidRPr="00F80570">
        <w:rPr>
          <w:rStyle w:val="FootnoteReference"/>
          <w:rFonts w:ascii="Times New Roman" w:hAnsi="Times New Roman" w:cs="Times New Roman"/>
          <w:lang w:val="en-US"/>
        </w:rPr>
        <w:footnoteReference w:id="40"/>
      </w:r>
      <w:r w:rsidRPr="00F80570">
        <w:rPr>
          <w:rFonts w:ascii="Times New Roman" w:hAnsi="Times New Roman" w:cs="Times New Roman"/>
          <w:lang w:val="en-US"/>
        </w:rPr>
        <w:t xml:space="preserve"> Other scholars, like Miriam Gur-Aye, have argued that Gardner’s account may well work for some justificatory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but not for all. If Campbell’s terrorist bombing case </w:t>
      </w:r>
      <w:r w:rsidR="00074054">
        <w:rPr>
          <w:rFonts w:ascii="Times New Roman" w:hAnsi="Times New Roman" w:cs="Times New Roman"/>
          <w:lang w:val="en-US"/>
        </w:rPr>
        <w:t>were</w:t>
      </w:r>
      <w:r w:rsidRPr="00F80570">
        <w:rPr>
          <w:rFonts w:ascii="Times New Roman" w:hAnsi="Times New Roman" w:cs="Times New Roman"/>
          <w:lang w:val="en-US"/>
        </w:rPr>
        <w:t xml:space="preserve"> </w:t>
      </w:r>
      <w:proofErr w:type="spellStart"/>
      <w:r w:rsidRPr="00F80570">
        <w:rPr>
          <w:rFonts w:ascii="Times New Roman" w:hAnsi="Times New Roman" w:cs="Times New Roman"/>
          <w:lang w:val="en-US"/>
        </w:rPr>
        <w:t>analysed</w:t>
      </w:r>
      <w:proofErr w:type="spellEnd"/>
      <w:r w:rsidRPr="00F80570">
        <w:rPr>
          <w:rFonts w:ascii="Times New Roman" w:hAnsi="Times New Roman" w:cs="Times New Roman"/>
          <w:lang w:val="en-US"/>
        </w:rPr>
        <w:t xml:space="preserve"> in terms of </w:t>
      </w:r>
      <w:proofErr w:type="spellStart"/>
      <w:r w:rsidRPr="00F80570">
        <w:rPr>
          <w:rFonts w:ascii="Times New Roman" w:hAnsi="Times New Roman" w:cs="Times New Roman"/>
          <w:lang w:val="en-US"/>
        </w:rPr>
        <w:t>self-defence</w:t>
      </w:r>
      <w:proofErr w:type="spellEnd"/>
      <w:r w:rsidRPr="00F80570">
        <w:rPr>
          <w:rFonts w:ascii="Times New Roman" w:hAnsi="Times New Roman" w:cs="Times New Roman"/>
          <w:lang w:val="en-US"/>
        </w:rPr>
        <w:t xml:space="preserve">, we could say that the terrorist had forfeited his right to life by his actions. When the police, for example, kill him in </w:t>
      </w:r>
      <w:proofErr w:type="spellStart"/>
      <w:r w:rsidRPr="00F80570">
        <w:rPr>
          <w:rFonts w:ascii="Times New Roman" w:hAnsi="Times New Roman" w:cs="Times New Roman"/>
          <w:lang w:val="en-US"/>
        </w:rPr>
        <w:t>self-defence</w:t>
      </w:r>
      <w:proofErr w:type="spellEnd"/>
      <w:r w:rsidRPr="00F80570">
        <w:rPr>
          <w:rFonts w:ascii="Times New Roman" w:hAnsi="Times New Roman" w:cs="Times New Roman"/>
          <w:lang w:val="en-US"/>
        </w:rPr>
        <w:t xml:space="preserve"> they do not wrong him. The reason not to kill the terrorist (his right to life) has been cancelled by his own actions. But if we </w:t>
      </w:r>
      <w:proofErr w:type="spellStart"/>
      <w:r w:rsidRPr="00F80570">
        <w:rPr>
          <w:rFonts w:ascii="Times New Roman" w:hAnsi="Times New Roman" w:cs="Times New Roman"/>
          <w:lang w:val="en-US"/>
        </w:rPr>
        <w:t>analyse</w:t>
      </w:r>
      <w:r w:rsidR="00074054">
        <w:rPr>
          <w:rFonts w:ascii="Times New Roman" w:hAnsi="Times New Roman" w:cs="Times New Roman"/>
          <w:lang w:val="en-US"/>
        </w:rPr>
        <w:t>d</w:t>
      </w:r>
      <w:proofErr w:type="spellEnd"/>
      <w:r w:rsidRPr="00F80570">
        <w:rPr>
          <w:rFonts w:ascii="Times New Roman" w:hAnsi="Times New Roman" w:cs="Times New Roman"/>
          <w:lang w:val="en-US"/>
        </w:rPr>
        <w:t xml:space="preserve"> the same case along the lines of the necessity (lesser-evils)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then the terrorist’s right to life </w:t>
      </w:r>
      <w:r w:rsidR="00074054">
        <w:rPr>
          <w:rFonts w:ascii="Times New Roman" w:hAnsi="Times New Roman" w:cs="Times New Roman"/>
          <w:lang w:val="en-US"/>
        </w:rPr>
        <w:t>would remain</w:t>
      </w:r>
      <w:r w:rsidRPr="00F80570">
        <w:rPr>
          <w:rFonts w:ascii="Times New Roman" w:hAnsi="Times New Roman" w:cs="Times New Roman"/>
          <w:lang w:val="en-US"/>
        </w:rPr>
        <w:t xml:space="preserve"> intact. When the police kill him, they do something </w:t>
      </w:r>
      <w:r w:rsidRPr="00F80570">
        <w:rPr>
          <w:rFonts w:ascii="Times New Roman" w:hAnsi="Times New Roman" w:cs="Times New Roman"/>
          <w:lang w:val="en-US"/>
        </w:rPr>
        <w:lastRenderedPageBreak/>
        <w:t xml:space="preserve">permissible, but something that nonetheless harms him: the reason against killing is overridden by other considerations, but not thereby cancelled. So it may be that while some justificatory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defeat the reasons against performing the action (they are countervailing reasons), others cancel that reason.</w:t>
      </w:r>
      <w:r w:rsidRPr="00F80570">
        <w:rPr>
          <w:rStyle w:val="FootnoteReference"/>
          <w:rFonts w:ascii="Times New Roman" w:hAnsi="Times New Roman" w:cs="Times New Roman"/>
          <w:lang w:val="en-US"/>
        </w:rPr>
        <w:footnoteReference w:id="41"/>
      </w:r>
      <w:r w:rsidRPr="00F80570">
        <w:rPr>
          <w:rFonts w:ascii="Times New Roman" w:hAnsi="Times New Roman" w:cs="Times New Roman"/>
          <w:lang w:val="en-US"/>
        </w:rPr>
        <w:t xml:space="preserve"> One might query whether a cancelling condition is not better seen as an element of the offence: after all, it implies that the reason against action is not, in fact, general for it does not apply to a certain range of cases.</w:t>
      </w:r>
      <w:r w:rsidRPr="00F80570">
        <w:rPr>
          <w:rStyle w:val="FootnoteReference"/>
          <w:rFonts w:ascii="Times New Roman" w:hAnsi="Times New Roman" w:cs="Times New Roman"/>
          <w:lang w:val="en-US"/>
        </w:rPr>
        <w:footnoteReference w:id="42"/>
      </w:r>
      <w:r w:rsidRPr="00F80570">
        <w:rPr>
          <w:rFonts w:ascii="Times New Roman" w:hAnsi="Times New Roman" w:cs="Times New Roman"/>
          <w:lang w:val="en-US"/>
        </w:rPr>
        <w:t xml:space="preserve"> But there may still be a difference: so long as there is a reason not to perform the action</w:t>
      </w:r>
      <w:r w:rsidR="00074054">
        <w:rPr>
          <w:rFonts w:ascii="Times New Roman" w:hAnsi="Times New Roman" w:cs="Times New Roman"/>
          <w:lang w:val="en-US"/>
        </w:rPr>
        <w:t xml:space="preserve">, </w:t>
      </w:r>
      <w:r w:rsidRPr="00F80570">
        <w:rPr>
          <w:rFonts w:ascii="Times New Roman" w:hAnsi="Times New Roman" w:cs="Times New Roman"/>
          <w:lang w:val="en-US"/>
        </w:rPr>
        <w:t xml:space="preserve">that action will call for justification even if it is not a </w:t>
      </w:r>
      <w:r w:rsidRPr="00F80570">
        <w:rPr>
          <w:rFonts w:ascii="Times New Roman" w:hAnsi="Times New Roman" w:cs="Times New Roman"/>
          <w:i/>
          <w:lang w:val="en-US"/>
        </w:rPr>
        <w:t xml:space="preserve">prima facie </w:t>
      </w:r>
      <w:r w:rsidRPr="00F80570">
        <w:rPr>
          <w:rFonts w:ascii="Times New Roman" w:hAnsi="Times New Roman" w:cs="Times New Roman"/>
          <w:lang w:val="en-US"/>
        </w:rPr>
        <w:t>wrong</w:t>
      </w:r>
      <w:r>
        <w:rPr>
          <w:rFonts w:ascii="Times New Roman" w:hAnsi="Times New Roman" w:cs="Times New Roman"/>
          <w:lang w:val="en-US"/>
        </w:rPr>
        <w:t xml:space="preserve"> in a substantive sense</w:t>
      </w:r>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43"/>
      </w:r>
      <w:r w:rsidRPr="00F80570">
        <w:rPr>
          <w:rFonts w:ascii="Times New Roman" w:hAnsi="Times New Roman" w:cs="Times New Roman"/>
          <w:lang w:val="en-US"/>
        </w:rPr>
        <w:t xml:space="preserve"> </w:t>
      </w:r>
    </w:p>
    <w:p w:rsidR="00455856" w:rsidRPr="00F80570" w:rsidRDefault="00455856" w:rsidP="00AF7273">
      <w:pPr>
        <w:spacing w:line="360" w:lineRule="auto"/>
        <w:jc w:val="both"/>
        <w:rPr>
          <w:rFonts w:ascii="Times New Roman" w:hAnsi="Times New Roman" w:cs="Times New Roman"/>
          <w:lang w:val="en-US"/>
        </w:rPr>
      </w:pPr>
    </w:p>
    <w:p w:rsidR="00455856" w:rsidRPr="00236E6D"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On this view, then,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are distinct from the rules to which they apply for they affect the reasons for or against action underlying those rules. </w:t>
      </w:r>
      <w:proofErr w:type="spellStart"/>
      <w:r>
        <w:rPr>
          <w:rFonts w:ascii="Times New Roman" w:hAnsi="Times New Roman" w:cs="Times New Roman"/>
          <w:lang w:val="en-US"/>
        </w:rPr>
        <w:t>Defences</w:t>
      </w:r>
      <w:proofErr w:type="spellEnd"/>
      <w:r>
        <w:rPr>
          <w:rFonts w:ascii="Times New Roman" w:hAnsi="Times New Roman" w:cs="Times New Roman"/>
          <w:lang w:val="en-US"/>
        </w:rPr>
        <w:t xml:space="preserve"> </w:t>
      </w:r>
      <w:r w:rsidR="00074054">
        <w:rPr>
          <w:rFonts w:ascii="Times New Roman" w:hAnsi="Times New Roman" w:cs="Times New Roman"/>
          <w:lang w:val="en-US"/>
        </w:rPr>
        <w:t xml:space="preserve">provide </w:t>
      </w:r>
      <w:r>
        <w:rPr>
          <w:rFonts w:ascii="Times New Roman" w:hAnsi="Times New Roman" w:cs="Times New Roman"/>
          <w:lang w:val="en-US"/>
        </w:rPr>
        <w:t xml:space="preserve">the means to overcome the reasons against action. </w:t>
      </w:r>
      <w:r w:rsidR="00074054">
        <w:rPr>
          <w:rFonts w:ascii="Times New Roman" w:hAnsi="Times New Roman" w:cs="Times New Roman"/>
          <w:lang w:val="en-US"/>
        </w:rPr>
        <w:t>T</w:t>
      </w:r>
      <w:r w:rsidRPr="00F80570">
        <w:rPr>
          <w:rFonts w:ascii="Times New Roman" w:hAnsi="Times New Roman" w:cs="Times New Roman"/>
          <w:lang w:val="en-US"/>
        </w:rPr>
        <w:t xml:space="preserve">his </w:t>
      </w:r>
      <w:r>
        <w:rPr>
          <w:rFonts w:ascii="Times New Roman" w:hAnsi="Times New Roman" w:cs="Times New Roman"/>
          <w:lang w:val="en-US"/>
        </w:rPr>
        <w:t>article</w:t>
      </w:r>
      <w:r w:rsidRPr="00F80570">
        <w:rPr>
          <w:rFonts w:ascii="Times New Roman" w:hAnsi="Times New Roman" w:cs="Times New Roman"/>
          <w:lang w:val="en-US"/>
        </w:rPr>
        <w:t xml:space="preserve"> will not consider whether consent acts as a </w:t>
      </w:r>
      <w:r w:rsidR="00074054">
        <w:rPr>
          <w:rFonts w:ascii="Times New Roman" w:hAnsi="Times New Roman" w:cs="Times New Roman"/>
          <w:lang w:val="en-US"/>
        </w:rPr>
        <w:t>factor</w:t>
      </w:r>
      <w:r w:rsidRPr="00F80570">
        <w:rPr>
          <w:rFonts w:ascii="Times New Roman" w:hAnsi="Times New Roman" w:cs="Times New Roman"/>
          <w:lang w:val="en-US"/>
        </w:rPr>
        <w:t xml:space="preserve"> </w:t>
      </w:r>
      <w:r w:rsidR="00074054">
        <w:rPr>
          <w:rFonts w:ascii="Times New Roman" w:hAnsi="Times New Roman" w:cs="Times New Roman"/>
          <w:lang w:val="en-US"/>
        </w:rPr>
        <w:t>that</w:t>
      </w:r>
      <w:r w:rsidRPr="00F80570">
        <w:rPr>
          <w:rFonts w:ascii="Times New Roman" w:hAnsi="Times New Roman" w:cs="Times New Roman"/>
          <w:lang w:val="en-US"/>
        </w:rPr>
        <w:t xml:space="preserve"> overrides or cancels the reason against action</w:t>
      </w:r>
      <w:r w:rsidR="00074054">
        <w:rPr>
          <w:rFonts w:ascii="Times New Roman" w:hAnsi="Times New Roman" w:cs="Times New Roman"/>
          <w:lang w:val="en-US"/>
        </w:rPr>
        <w:t>,</w:t>
      </w:r>
      <w:r w:rsidR="00996BA9">
        <w:rPr>
          <w:rStyle w:val="FootnoteReference"/>
          <w:rFonts w:ascii="Times New Roman" w:hAnsi="Times New Roman" w:cs="Times New Roman"/>
          <w:lang w:val="en-US"/>
        </w:rPr>
        <w:footnoteReference w:id="44"/>
      </w:r>
      <w:r w:rsidR="00074054">
        <w:rPr>
          <w:rFonts w:ascii="Times New Roman" w:hAnsi="Times New Roman" w:cs="Times New Roman"/>
          <w:lang w:val="en-US"/>
        </w:rPr>
        <w:t xml:space="preserve"> important as this question is</w:t>
      </w:r>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45"/>
      </w:r>
      <w:r w:rsidRPr="00F80570">
        <w:rPr>
          <w:rFonts w:ascii="Times New Roman" w:hAnsi="Times New Roman" w:cs="Times New Roman"/>
          <w:lang w:val="en-US"/>
        </w:rPr>
        <w:t xml:space="preserve"> For the argument presented here it is enough to show that consent is needed to </w:t>
      </w:r>
      <w:r w:rsidRPr="00F80570">
        <w:rPr>
          <w:rFonts w:ascii="Times New Roman" w:hAnsi="Times New Roman" w:cs="Times New Roman"/>
          <w:i/>
          <w:iCs/>
          <w:lang w:val="en-US"/>
        </w:rPr>
        <w:t>overcome</w:t>
      </w:r>
      <w:r w:rsidRPr="00F80570">
        <w:rPr>
          <w:rStyle w:val="FootnoteReference"/>
          <w:rFonts w:ascii="Times New Roman" w:hAnsi="Times New Roman" w:cs="Times New Roman"/>
          <w:lang w:val="en-US"/>
        </w:rPr>
        <w:footnoteReference w:id="46"/>
      </w:r>
      <w:r w:rsidRPr="00F80570">
        <w:rPr>
          <w:rFonts w:ascii="Times New Roman" w:hAnsi="Times New Roman" w:cs="Times New Roman"/>
          <w:lang w:val="en-US"/>
        </w:rPr>
        <w:t xml:space="preserve"> a reason against the use of force – regardless of how consent does this (either by overriding or cancelling the reason against force).</w:t>
      </w:r>
      <w:r>
        <w:rPr>
          <w:rFonts w:ascii="Times New Roman" w:hAnsi="Times New Roman" w:cs="Times New Roman"/>
          <w:lang w:val="en-US"/>
        </w:rPr>
        <w:t xml:space="preserve"> For the same reason, no position will be taken on whether conduct that there are reasons not to perform is a substantive </w:t>
      </w:r>
      <w:r>
        <w:rPr>
          <w:rFonts w:ascii="Times New Roman" w:hAnsi="Times New Roman" w:cs="Times New Roman"/>
          <w:i/>
          <w:iCs/>
          <w:lang w:val="en-US"/>
        </w:rPr>
        <w:t xml:space="preserve">prima facie </w:t>
      </w:r>
      <w:r>
        <w:rPr>
          <w:rFonts w:ascii="Times New Roman" w:hAnsi="Times New Roman" w:cs="Times New Roman"/>
          <w:lang w:val="en-US"/>
        </w:rPr>
        <w:t xml:space="preserve">wrong. For present purposes, it is sufficient that it is a </w:t>
      </w:r>
      <w:r w:rsidRPr="00236E6D">
        <w:rPr>
          <w:rFonts w:ascii="Times New Roman" w:hAnsi="Times New Roman" w:cs="Times New Roman"/>
          <w:i/>
          <w:iCs/>
          <w:lang w:val="en-US"/>
        </w:rPr>
        <w:t>prima facie</w:t>
      </w:r>
      <w:r>
        <w:rPr>
          <w:rFonts w:ascii="Times New Roman" w:hAnsi="Times New Roman" w:cs="Times New Roman"/>
          <w:lang w:val="en-US"/>
        </w:rPr>
        <w:t xml:space="preserve"> wrong in an evidential sense: namely, at first blush, before all else has been considered.</w:t>
      </w:r>
    </w:p>
    <w:p w:rsidR="00455856" w:rsidRPr="00F80570" w:rsidRDefault="00455856" w:rsidP="00AF7273">
      <w:pPr>
        <w:pStyle w:val="Heading2"/>
      </w:pPr>
      <w:bookmarkStart w:id="7" w:name="_Toc40702426"/>
      <w:bookmarkStart w:id="8" w:name="_Toc46390729"/>
      <w:r>
        <w:t>2</w:t>
      </w:r>
      <w:r w:rsidRPr="00F80570">
        <w:t>.3. Intrinsic or extrinsic exceptions?</w:t>
      </w:r>
      <w:bookmarkEnd w:id="7"/>
      <w:bookmarkEnd w:id="8"/>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If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are indeed different, then how to choose what elements must be considered to fall within the offence definition and what elements fall within the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Two difficulties (at least) present themselves in this analysis.</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First, what is written in the statute book is not </w:t>
      </w:r>
      <w:r w:rsidR="009E3353">
        <w:rPr>
          <w:rFonts w:ascii="Times New Roman" w:hAnsi="Times New Roman" w:cs="Times New Roman"/>
          <w:lang w:val="en-US"/>
        </w:rPr>
        <w:t xml:space="preserve">always </w:t>
      </w:r>
      <w:r w:rsidRPr="00F80570">
        <w:rPr>
          <w:rFonts w:ascii="Times New Roman" w:hAnsi="Times New Roman" w:cs="Times New Roman"/>
          <w:lang w:val="en-US"/>
        </w:rPr>
        <w:t xml:space="preserve">determinative of the content of any given norm. Whether the elements of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are included in the same, or in a different, provision as the offence is likely to be an accident of legislative drafting and not necessarily reflective of a conceptual choice.</w:t>
      </w:r>
      <w:r w:rsidRPr="00F80570">
        <w:rPr>
          <w:rStyle w:val="FootnoteReference"/>
          <w:rFonts w:ascii="Times New Roman" w:hAnsi="Times New Roman" w:cs="Times New Roman"/>
          <w:lang w:val="en-US"/>
        </w:rPr>
        <w:footnoteReference w:id="47"/>
      </w:r>
      <w:r w:rsidRPr="00F80570">
        <w:rPr>
          <w:rFonts w:ascii="Times New Roman" w:hAnsi="Times New Roman" w:cs="Times New Roman"/>
          <w:lang w:val="en-US"/>
        </w:rPr>
        <w:t xml:space="preserve"> </w:t>
      </w:r>
      <w:r w:rsidRPr="00F80570">
        <w:rPr>
          <w:rFonts w:ascii="Times New Roman" w:hAnsi="Times New Roman" w:cs="Times New Roman"/>
        </w:rPr>
        <w:t xml:space="preserve">Unless this is what appears from the intention of the drafters, </w:t>
      </w:r>
      <w:r w:rsidRPr="00F80570">
        <w:rPr>
          <w:rFonts w:ascii="Times New Roman" w:hAnsi="Times New Roman" w:cs="Times New Roman"/>
          <w:lang w:val="en-US"/>
        </w:rPr>
        <w:t>the accidents of legislative drafting cannot, therefore, provide an answer to the question of allocation.</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Second, the distinction between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is an analytical framework and so cannot, of itself, provide the answer as to where to locate any given </w:t>
      </w:r>
      <w:r>
        <w:rPr>
          <w:rFonts w:ascii="Times New Roman" w:hAnsi="Times New Roman" w:cs="Times New Roman"/>
          <w:lang w:val="en-US"/>
        </w:rPr>
        <w:t>factor or consideration</w:t>
      </w:r>
      <w:r w:rsidRPr="00F80570">
        <w:rPr>
          <w:rFonts w:ascii="Times New Roman" w:hAnsi="Times New Roman" w:cs="Times New Roman"/>
          <w:lang w:val="en-US"/>
        </w:rPr>
        <w:t>. There are no commonly agreed set of principles or criteria to rely upon in this regard. For George Fletcher, for example, the minimum that can be required is that the offence reflect ‘a coherent moral norm in a given society at a given time’.</w:t>
      </w:r>
      <w:r w:rsidRPr="00F80570">
        <w:rPr>
          <w:rStyle w:val="FootnoteReference"/>
          <w:rFonts w:ascii="Times New Roman" w:hAnsi="Times New Roman" w:cs="Times New Roman"/>
          <w:lang w:val="en-US"/>
        </w:rPr>
        <w:footnoteReference w:id="48"/>
      </w:r>
      <w:r w:rsidRPr="00F80570">
        <w:rPr>
          <w:rFonts w:ascii="Times New Roman" w:hAnsi="Times New Roman" w:cs="Times New Roman"/>
          <w:lang w:val="en-US"/>
        </w:rPr>
        <w:t xml:space="preserve"> The answer is, therefore, </w:t>
      </w:r>
      <w:r w:rsidR="009E3353">
        <w:rPr>
          <w:rFonts w:ascii="Times New Roman" w:hAnsi="Times New Roman" w:cs="Times New Roman"/>
          <w:lang w:val="en-US"/>
        </w:rPr>
        <w:t xml:space="preserve">normative or, to some extent, </w:t>
      </w:r>
      <w:r w:rsidRPr="00F80570">
        <w:rPr>
          <w:rFonts w:ascii="Times New Roman" w:hAnsi="Times New Roman" w:cs="Times New Roman"/>
          <w:lang w:val="en-US"/>
        </w:rPr>
        <w:t>extra-legal.</w:t>
      </w:r>
      <w:r w:rsidRPr="00F80570">
        <w:rPr>
          <w:rFonts w:ascii="Times New Roman" w:hAnsi="Times New Roman" w:cs="Times New Roman"/>
          <w:vertAlign w:val="superscript"/>
          <w:lang w:val="en-US"/>
        </w:rPr>
        <w:footnoteReference w:id="49"/>
      </w:r>
      <w:r w:rsidRPr="00F80570">
        <w:rPr>
          <w:rFonts w:ascii="Times New Roman" w:hAnsi="Times New Roman" w:cs="Times New Roman"/>
          <w:lang w:val="en-US"/>
        </w:rPr>
        <w:t xml:space="preserve"> Campbell provides the following example to illustrate the point. Consider a legislature that wished to </w:t>
      </w:r>
      <w:proofErr w:type="spellStart"/>
      <w:r w:rsidRPr="00F80570">
        <w:rPr>
          <w:rFonts w:ascii="Times New Roman" w:hAnsi="Times New Roman" w:cs="Times New Roman"/>
          <w:lang w:val="en-US"/>
        </w:rPr>
        <w:t>criminalise</w:t>
      </w:r>
      <w:proofErr w:type="spellEnd"/>
      <w:r w:rsidRPr="00F80570">
        <w:rPr>
          <w:rFonts w:ascii="Times New Roman" w:hAnsi="Times New Roman" w:cs="Times New Roman"/>
          <w:lang w:val="en-US"/>
        </w:rPr>
        <w:t xml:space="preserve"> the operation of radio receivers without a license. It would have two options in this respect: it could define the crime as ‘operating a radio receiver without a license’, or it could define the crime as ‘operating a radio’ and then allow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‘possessing a license’. The decision between the two will depend on whether the legislator ‘regards there as being a </w:t>
      </w:r>
      <w:r w:rsidRPr="00F80570">
        <w:rPr>
          <w:rFonts w:ascii="Times New Roman" w:hAnsi="Times New Roman" w:cs="Times New Roman"/>
          <w:i/>
          <w:lang w:val="en-US"/>
        </w:rPr>
        <w:t>prima facie</w:t>
      </w:r>
      <w:r w:rsidRPr="00F80570">
        <w:rPr>
          <w:rFonts w:ascii="Times New Roman" w:hAnsi="Times New Roman" w:cs="Times New Roman"/>
          <w:lang w:val="en-US"/>
        </w:rPr>
        <w:t xml:space="preserve"> reason against all instances of operating a radio receiver, with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if one possesses a license; or whether he takes the view that there is a reason against operating a radio receiver only if one does so without a license.’</w:t>
      </w:r>
      <w:r w:rsidRPr="00F80570">
        <w:rPr>
          <w:rStyle w:val="FootnoteReference"/>
          <w:rFonts w:ascii="Times New Roman" w:hAnsi="Times New Roman" w:cs="Times New Roman"/>
          <w:lang w:val="en-US"/>
        </w:rPr>
        <w:footnoteReference w:id="50"/>
      </w:r>
      <w:r w:rsidRPr="00F80570">
        <w:rPr>
          <w:rFonts w:ascii="Times New Roman" w:hAnsi="Times New Roman" w:cs="Times New Roman"/>
          <w:lang w:val="en-US"/>
        </w:rPr>
        <w:t xml:space="preserve"> Now, different societies may approach this issue differently. Most societies might consider that operating radios as such is not wrong – the wrong being only the operation of radio receivers without licenses, because, according to Campbell, this deprives the </w:t>
      </w:r>
      <w:r>
        <w:rPr>
          <w:rFonts w:ascii="Times New Roman" w:hAnsi="Times New Roman" w:cs="Times New Roman"/>
          <w:lang w:val="en-US"/>
        </w:rPr>
        <w:t>s</w:t>
      </w:r>
      <w:r w:rsidRPr="00F80570">
        <w:rPr>
          <w:rFonts w:ascii="Times New Roman" w:hAnsi="Times New Roman" w:cs="Times New Roman"/>
          <w:lang w:val="en-US"/>
        </w:rPr>
        <w:t>tate of revenue or, one might add, because it takes up a certain wavelength which is considered to be a public good. But a different society, perhaps a repressive one in which information was tightly controlled by the government, might consider that operating radios is itself the wrong</w:t>
      </w:r>
      <w:r>
        <w:rPr>
          <w:rFonts w:ascii="Times New Roman" w:hAnsi="Times New Roman" w:cs="Times New Roman"/>
          <w:lang w:val="en-US"/>
        </w:rPr>
        <w:t>.</w:t>
      </w:r>
    </w:p>
    <w:p w:rsidR="00455856" w:rsidRPr="00F80570" w:rsidRDefault="00455856" w:rsidP="00AF7273">
      <w:pPr>
        <w:spacing w:line="360" w:lineRule="auto"/>
        <w:jc w:val="both"/>
        <w:rPr>
          <w:rFonts w:ascii="Times New Roman" w:hAnsi="Times New Roman" w:cs="Times New Roman"/>
          <w:lang w:val="en-US"/>
        </w:rPr>
      </w:pPr>
    </w:p>
    <w:p w:rsidR="00455856"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lastRenderedPageBreak/>
        <w:t xml:space="preserve">The problem with this approach is that the value judgments upon which the choice is made (namely, those </w:t>
      </w:r>
      <w:r w:rsidR="009E3353">
        <w:rPr>
          <w:rFonts w:ascii="Times New Roman" w:hAnsi="Times New Roman" w:cs="Times New Roman"/>
          <w:lang w:val="en-US"/>
        </w:rPr>
        <w:t xml:space="preserve">normative or </w:t>
      </w:r>
      <w:r w:rsidRPr="00F80570">
        <w:rPr>
          <w:rFonts w:ascii="Times New Roman" w:hAnsi="Times New Roman" w:cs="Times New Roman"/>
          <w:lang w:val="en-US"/>
        </w:rPr>
        <w:t>extra-legal considerations) are frequently opaque.</w:t>
      </w:r>
      <w:r w:rsidRPr="00F80570">
        <w:rPr>
          <w:rFonts w:ascii="Times New Roman" w:hAnsi="Times New Roman" w:cs="Times New Roman"/>
          <w:vertAlign w:val="superscript"/>
          <w:lang w:val="en-US"/>
        </w:rPr>
        <w:footnoteReference w:id="51"/>
      </w:r>
      <w:r w:rsidRPr="00F80570">
        <w:rPr>
          <w:rFonts w:ascii="Times New Roman" w:hAnsi="Times New Roman" w:cs="Times New Roman"/>
          <w:lang w:val="en-US"/>
        </w:rPr>
        <w:t xml:space="preserve"> To get around this difficulty, Campbell suggests employing the notions of offence and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as a way of bringing to the surface the implications and presuppositions of each of the two models – intrinsic and extrinsic – and this, he says, may help in our decision as to where any given element must go: whether in the rule or in the </w:t>
      </w:r>
      <w:proofErr w:type="spellStart"/>
      <w:r w:rsidR="009E3353">
        <w:rPr>
          <w:rFonts w:ascii="Times New Roman" w:hAnsi="Times New Roman" w:cs="Times New Roman"/>
          <w:lang w:val="en-US"/>
        </w:rPr>
        <w:t>defence</w:t>
      </w:r>
      <w:proofErr w:type="spellEnd"/>
      <w:r w:rsidRPr="00F80570">
        <w:rPr>
          <w:rFonts w:ascii="Times New Roman" w:hAnsi="Times New Roman" w:cs="Times New Roman"/>
          <w:lang w:val="en-US"/>
        </w:rPr>
        <w:t xml:space="preserve">. This solution can be illustrated by reference to two crimes which allow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consent: rape and battery.</w:t>
      </w:r>
      <w:r w:rsidRPr="00F80570">
        <w:rPr>
          <w:rStyle w:val="FootnoteReference"/>
          <w:rFonts w:ascii="Times New Roman" w:hAnsi="Times New Roman" w:cs="Times New Roman"/>
          <w:lang w:val="en-US"/>
        </w:rPr>
        <w:footnoteReference w:id="52"/>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Rape is usually defined following the intrinsic model: the offence definition includes an element of non-consent. The offence thus </w:t>
      </w:r>
      <w:proofErr w:type="spellStart"/>
      <w:r w:rsidRPr="00F80570">
        <w:rPr>
          <w:rFonts w:ascii="Times New Roman" w:hAnsi="Times New Roman" w:cs="Times New Roman"/>
          <w:lang w:val="en-US"/>
        </w:rPr>
        <w:t>criminalises</w:t>
      </w:r>
      <w:proofErr w:type="spellEnd"/>
      <w:r w:rsidRPr="00F80570">
        <w:rPr>
          <w:rFonts w:ascii="Times New Roman" w:hAnsi="Times New Roman" w:cs="Times New Roman"/>
          <w:lang w:val="en-US"/>
        </w:rPr>
        <w:t xml:space="preserve"> ‘non-consensual sexual intercourse’. Battery, instead, is </w:t>
      </w:r>
      <w:r>
        <w:rPr>
          <w:rFonts w:ascii="Times New Roman" w:hAnsi="Times New Roman" w:cs="Times New Roman"/>
          <w:lang w:val="en-US"/>
        </w:rPr>
        <w:t xml:space="preserve">often </w:t>
      </w:r>
      <w:r w:rsidRPr="00F80570">
        <w:rPr>
          <w:rFonts w:ascii="Times New Roman" w:hAnsi="Times New Roman" w:cs="Times New Roman"/>
          <w:lang w:val="en-US"/>
        </w:rPr>
        <w:t xml:space="preserve">defined following the extrinsic model. The offence here would </w:t>
      </w:r>
      <w:proofErr w:type="spellStart"/>
      <w:r w:rsidRPr="00F80570">
        <w:rPr>
          <w:rFonts w:ascii="Times New Roman" w:hAnsi="Times New Roman" w:cs="Times New Roman"/>
          <w:lang w:val="en-US"/>
        </w:rPr>
        <w:t>criminalise</w:t>
      </w:r>
      <w:proofErr w:type="spellEnd"/>
      <w:r w:rsidRPr="00F80570">
        <w:rPr>
          <w:rFonts w:ascii="Times New Roman" w:hAnsi="Times New Roman" w:cs="Times New Roman"/>
          <w:lang w:val="en-US"/>
        </w:rPr>
        <w:t xml:space="preserve"> the intentional or reckless infliction of unlawful personal violence on the victim,</w:t>
      </w:r>
      <w:r w:rsidRPr="00F80570">
        <w:rPr>
          <w:rStyle w:val="FootnoteReference"/>
          <w:rFonts w:ascii="Times New Roman" w:hAnsi="Times New Roman" w:cs="Times New Roman"/>
          <w:lang w:val="en-US"/>
        </w:rPr>
        <w:footnoteReference w:id="53"/>
      </w:r>
      <w:r w:rsidRPr="00F80570">
        <w:rPr>
          <w:rFonts w:ascii="Times New Roman" w:hAnsi="Times New Roman" w:cs="Times New Roman"/>
          <w:lang w:val="en-US"/>
        </w:rPr>
        <w:t xml:space="preserve"> and consent can be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to a charge of battery.</w:t>
      </w:r>
      <w:r w:rsidRPr="00F80570">
        <w:rPr>
          <w:rStyle w:val="FootnoteReference"/>
          <w:rFonts w:ascii="Times New Roman" w:hAnsi="Times New Roman" w:cs="Times New Roman"/>
          <w:lang w:val="en-US"/>
        </w:rPr>
        <w:footnoteReference w:id="54"/>
      </w:r>
      <w:r w:rsidRPr="00F80570">
        <w:rPr>
          <w:rFonts w:ascii="Times New Roman" w:hAnsi="Times New Roman" w:cs="Times New Roman"/>
          <w:lang w:val="en-US"/>
        </w:rPr>
        <w:t xml:space="preserve"> These formulations reflect important differences about the two crimes. If offences are reasons against action, then the formulation of rape gives a reason </w:t>
      </w:r>
      <w:r w:rsidRPr="00F80570">
        <w:rPr>
          <w:rFonts w:ascii="Times New Roman" w:hAnsi="Times New Roman" w:cs="Times New Roman"/>
          <w:i/>
          <w:lang w:val="en-US"/>
        </w:rPr>
        <w:t>against non-consensual sexual intercourse</w:t>
      </w:r>
      <w:r w:rsidRPr="00F80570">
        <w:rPr>
          <w:rFonts w:ascii="Times New Roman" w:hAnsi="Times New Roman" w:cs="Times New Roman"/>
          <w:lang w:val="en-US"/>
        </w:rPr>
        <w:t xml:space="preserve">, whereas the formulation of battery gives a reason </w:t>
      </w:r>
      <w:r w:rsidRPr="00F80570">
        <w:rPr>
          <w:rFonts w:ascii="Times New Roman" w:hAnsi="Times New Roman" w:cs="Times New Roman"/>
          <w:i/>
          <w:lang w:val="en-US"/>
        </w:rPr>
        <w:t>against personal violence</w:t>
      </w:r>
      <w:r w:rsidRPr="00F80570">
        <w:rPr>
          <w:rFonts w:ascii="Times New Roman" w:hAnsi="Times New Roman" w:cs="Times New Roman"/>
          <w:lang w:val="en-US"/>
        </w:rPr>
        <w:t xml:space="preserve">. What are the implications and presuppositions of these definitions? </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Let us turn first to the crime of rape. The definition of rape provides a</w:t>
      </w:r>
      <w:r>
        <w:rPr>
          <w:rFonts w:ascii="Times New Roman" w:hAnsi="Times New Roman" w:cs="Times New Roman"/>
          <w:lang w:val="en-US"/>
        </w:rPr>
        <w:t xml:space="preserve"> </w:t>
      </w:r>
      <w:r w:rsidRPr="00F80570">
        <w:rPr>
          <w:rFonts w:ascii="Times New Roman" w:hAnsi="Times New Roman" w:cs="Times New Roman"/>
          <w:lang w:val="en-US"/>
        </w:rPr>
        <w:t xml:space="preserve">reason against non-consensual intercourse: it implies that the harm of rape is the fact of non-consent, rather than the fact of sexual </w:t>
      </w:r>
      <w:r>
        <w:rPr>
          <w:rFonts w:ascii="Times New Roman" w:hAnsi="Times New Roman" w:cs="Times New Roman"/>
          <w:lang w:val="en-US"/>
        </w:rPr>
        <w:t>intercourse</w:t>
      </w:r>
      <w:r w:rsidRPr="00F80570">
        <w:rPr>
          <w:rFonts w:ascii="Times New Roman" w:hAnsi="Times New Roman" w:cs="Times New Roman"/>
          <w:lang w:val="en-US"/>
        </w:rPr>
        <w:t>. Sexual intercourse would not be harmful in itself,</w:t>
      </w:r>
      <w:r w:rsidRPr="00F80570">
        <w:rPr>
          <w:rStyle w:val="FootnoteReference"/>
          <w:rFonts w:ascii="Times New Roman" w:hAnsi="Times New Roman" w:cs="Times New Roman"/>
          <w:lang w:val="en-US"/>
        </w:rPr>
        <w:footnoteReference w:id="55"/>
      </w:r>
      <w:r w:rsidRPr="00F80570">
        <w:rPr>
          <w:rFonts w:ascii="Times New Roman" w:hAnsi="Times New Roman" w:cs="Times New Roman"/>
          <w:lang w:val="en-US"/>
        </w:rPr>
        <w:t xml:space="preserve"> so we can presuppose that the prohibition of rape</w:t>
      </w:r>
      <w:r w:rsidR="009E3353">
        <w:rPr>
          <w:rFonts w:ascii="Times New Roman" w:hAnsi="Times New Roman" w:cs="Times New Roman"/>
          <w:lang w:val="en-US"/>
        </w:rPr>
        <w:t xml:space="preserve"> gives a limited reason against action, and that it</w:t>
      </w:r>
      <w:r w:rsidRPr="00F80570">
        <w:rPr>
          <w:rFonts w:ascii="Times New Roman" w:hAnsi="Times New Roman" w:cs="Times New Roman"/>
          <w:lang w:val="en-US"/>
        </w:rPr>
        <w:t xml:space="preserve"> operates against a normative background in which there are no </w:t>
      </w:r>
      <w:r w:rsidR="009E3353">
        <w:rPr>
          <w:rFonts w:ascii="Times New Roman" w:hAnsi="Times New Roman" w:cs="Times New Roman"/>
          <w:lang w:val="en-US"/>
        </w:rPr>
        <w:t xml:space="preserve">general </w:t>
      </w:r>
      <w:r w:rsidRPr="00F80570">
        <w:rPr>
          <w:rFonts w:ascii="Times New Roman" w:hAnsi="Times New Roman" w:cs="Times New Roman"/>
          <w:lang w:val="en-US"/>
        </w:rPr>
        <w:t xml:space="preserve">reasons against sexual </w:t>
      </w:r>
      <w:r w:rsidRPr="00F80570">
        <w:rPr>
          <w:rFonts w:ascii="Times New Roman" w:hAnsi="Times New Roman" w:cs="Times New Roman"/>
          <w:lang w:val="en-US"/>
        </w:rPr>
        <w:lastRenderedPageBreak/>
        <w:t>intercourse. This is a view which most societies can support: as Gardner has noted, sexual intercourse is not, per se, an unwelcome turn of events and it is, consequently, not the kind of action which requires justification.</w:t>
      </w:r>
      <w:r w:rsidRPr="00F80570">
        <w:rPr>
          <w:rStyle w:val="FootnoteReference"/>
          <w:rFonts w:ascii="Times New Roman" w:hAnsi="Times New Roman" w:cs="Times New Roman"/>
          <w:lang w:val="en-US"/>
        </w:rPr>
        <w:footnoteReference w:id="56"/>
      </w:r>
      <w:r w:rsidRPr="00F80570">
        <w:rPr>
          <w:rFonts w:ascii="Times New Roman" w:hAnsi="Times New Roman" w:cs="Times New Roman"/>
          <w:lang w:val="en-US"/>
        </w:rPr>
        <w:t xml:space="preserve"> Sexual intercourse becomes a harm </w:t>
      </w:r>
      <w:r w:rsidRPr="00F80570">
        <w:rPr>
          <w:rFonts w:ascii="Times New Roman" w:hAnsi="Times New Roman" w:cs="Times New Roman"/>
          <w:i/>
          <w:lang w:val="en-US"/>
        </w:rPr>
        <w:t>only</w:t>
      </w:r>
      <w:r w:rsidRPr="00F80570">
        <w:rPr>
          <w:rFonts w:ascii="Times New Roman" w:hAnsi="Times New Roman" w:cs="Times New Roman"/>
          <w:lang w:val="en-US"/>
        </w:rPr>
        <w:t xml:space="preserve"> when there is no consent. In turn, the formulation of battery provides a general reason </w:t>
      </w:r>
      <w:r w:rsidRPr="00F80570">
        <w:rPr>
          <w:rFonts w:ascii="Times New Roman" w:hAnsi="Times New Roman" w:cs="Times New Roman"/>
          <w:iCs/>
          <w:lang w:val="en-US"/>
        </w:rPr>
        <w:t>against personal violence.</w:t>
      </w:r>
      <w:r w:rsidRPr="00F80570">
        <w:rPr>
          <w:rFonts w:ascii="Times New Roman" w:hAnsi="Times New Roman" w:cs="Times New Roman"/>
          <w:lang w:val="en-US"/>
        </w:rPr>
        <w:t xml:space="preserve"> Personal violence would be a harm even if, all</w:t>
      </w:r>
      <w:r w:rsidR="00B3766F">
        <w:rPr>
          <w:rFonts w:ascii="Times New Roman" w:hAnsi="Times New Roman" w:cs="Times New Roman"/>
          <w:lang w:val="en-US"/>
        </w:rPr>
        <w:t xml:space="preserve"> </w:t>
      </w:r>
      <w:r w:rsidRPr="00F80570">
        <w:rPr>
          <w:rFonts w:ascii="Times New Roman" w:hAnsi="Times New Roman" w:cs="Times New Roman"/>
          <w:lang w:val="en-US"/>
        </w:rPr>
        <w:t>things</w:t>
      </w:r>
      <w:r w:rsidR="00B3766F">
        <w:rPr>
          <w:rFonts w:ascii="Times New Roman" w:hAnsi="Times New Roman" w:cs="Times New Roman"/>
          <w:lang w:val="en-US"/>
        </w:rPr>
        <w:t xml:space="preserve"> </w:t>
      </w:r>
      <w:r w:rsidRPr="00F80570">
        <w:rPr>
          <w:rFonts w:ascii="Times New Roman" w:hAnsi="Times New Roman" w:cs="Times New Roman"/>
          <w:lang w:val="en-US"/>
        </w:rPr>
        <w:t>considered, consent overcomes the reason against it. Since there is a general reason against it, then every use of personal violence requires justification.</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Now, there is nothing natural or inherent in either formulation. People can (and do) disagree on whether there is a general reason against sexual intercourse or a general reason against physical violence. For example, Michelle Dempsey</w:t>
      </w:r>
      <w:r>
        <w:rPr>
          <w:rFonts w:ascii="Times New Roman" w:hAnsi="Times New Roman" w:cs="Times New Roman"/>
          <w:lang w:val="en-US"/>
        </w:rPr>
        <w:t xml:space="preserve"> and</w:t>
      </w:r>
      <w:r w:rsidRPr="00F80570">
        <w:rPr>
          <w:rFonts w:ascii="Times New Roman" w:hAnsi="Times New Roman" w:cs="Times New Roman"/>
          <w:lang w:val="en-US"/>
        </w:rPr>
        <w:t xml:space="preserve"> Jonathan Herring, and Jesse Wall, have argued that there is </w:t>
      </w:r>
      <w:r>
        <w:rPr>
          <w:rFonts w:ascii="Times New Roman" w:hAnsi="Times New Roman" w:cs="Times New Roman"/>
          <w:lang w:val="en-US"/>
        </w:rPr>
        <w:t xml:space="preserve">a </w:t>
      </w:r>
      <w:r w:rsidRPr="00F80570">
        <w:rPr>
          <w:rFonts w:ascii="Times New Roman" w:hAnsi="Times New Roman" w:cs="Times New Roman"/>
          <w:lang w:val="en-US"/>
        </w:rPr>
        <w:t xml:space="preserve">general reason against sexual penetration and, consequently, that sexual </w:t>
      </w:r>
      <w:r>
        <w:rPr>
          <w:rFonts w:ascii="Times New Roman" w:hAnsi="Times New Roman" w:cs="Times New Roman"/>
          <w:lang w:val="en-US"/>
        </w:rPr>
        <w:t>penetration</w:t>
      </w:r>
      <w:r w:rsidRPr="00F80570">
        <w:rPr>
          <w:rFonts w:ascii="Times New Roman" w:hAnsi="Times New Roman" w:cs="Times New Roman"/>
          <w:lang w:val="en-US"/>
        </w:rPr>
        <w:t xml:space="preserve"> should </w:t>
      </w:r>
      <w:r w:rsidRPr="00F80570">
        <w:rPr>
          <w:rFonts w:ascii="Times New Roman" w:hAnsi="Times New Roman" w:cs="Times New Roman"/>
          <w:i/>
          <w:lang w:val="en-US"/>
        </w:rPr>
        <w:t>always</w:t>
      </w:r>
      <w:r w:rsidRPr="00F80570">
        <w:rPr>
          <w:rFonts w:ascii="Times New Roman" w:hAnsi="Times New Roman" w:cs="Times New Roman"/>
          <w:lang w:val="en-US"/>
        </w:rPr>
        <w:t xml:space="preserve"> require justification.</w:t>
      </w:r>
      <w:r w:rsidRPr="00F80570">
        <w:rPr>
          <w:rStyle w:val="FootnoteReference"/>
          <w:rFonts w:ascii="Times New Roman" w:hAnsi="Times New Roman" w:cs="Times New Roman"/>
          <w:lang w:val="en-US"/>
        </w:rPr>
        <w:footnoteReference w:id="57"/>
      </w:r>
      <w:r w:rsidRPr="00F80570">
        <w:rPr>
          <w:rFonts w:ascii="Times New Roman" w:hAnsi="Times New Roman" w:cs="Times New Roman"/>
          <w:lang w:val="en-US"/>
        </w:rPr>
        <w:t xml:space="preserve"> Wall goes further and concludes that, since there are always reasons against sexual penetration, the element of consent can be removed from the offence definition of rape.</w:t>
      </w:r>
      <w:r w:rsidRPr="00F80570">
        <w:rPr>
          <w:rStyle w:val="FootnoteReference"/>
          <w:rFonts w:ascii="Times New Roman" w:hAnsi="Times New Roman" w:cs="Times New Roman"/>
          <w:lang w:val="en-US"/>
        </w:rPr>
        <w:footnoteReference w:id="58"/>
      </w:r>
      <w:r w:rsidRPr="00F80570">
        <w:rPr>
          <w:rFonts w:ascii="Times New Roman" w:hAnsi="Times New Roman" w:cs="Times New Roman"/>
          <w:lang w:val="en-US"/>
        </w:rPr>
        <w:t xml:space="preserve"> The offence would thus be defined following the extrinsic model, so that there was an offence of sexual intercourse and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consent. Battery could also be defined following the intrinsic model: here, there would only be a reason against non-consensual personal violence, against a background in which there was no general reason against personal violence. Such an approach may be consonant with some of our societal understandings about physical contact. For example, everyday physical contact (say, when squeezing into a packed bus at peak hour) and sports contacts (while playing rugby, or football, or even boxing), do not require justification</w:t>
      </w:r>
      <w:r>
        <w:rPr>
          <w:rFonts w:ascii="Times New Roman" w:hAnsi="Times New Roman" w:cs="Times New Roman"/>
          <w:lang w:val="en-US"/>
        </w:rPr>
        <w:t xml:space="preserve">: they are not </w:t>
      </w:r>
      <w:r w:rsidRPr="00F80570">
        <w:rPr>
          <w:rFonts w:ascii="Times New Roman" w:hAnsi="Times New Roman" w:cs="Times New Roman"/>
          <w:lang w:val="en-US"/>
        </w:rPr>
        <w:t>harmful</w:t>
      </w:r>
      <w:r>
        <w:rPr>
          <w:rFonts w:ascii="Times New Roman" w:hAnsi="Times New Roman" w:cs="Times New Roman"/>
          <w:lang w:val="en-US"/>
        </w:rPr>
        <w:t>. On the contrary, they are societally useful and even beneficial</w:t>
      </w:r>
      <w:r w:rsidRPr="00F80570">
        <w:rPr>
          <w:rFonts w:ascii="Times New Roman" w:hAnsi="Times New Roman" w:cs="Times New Roman"/>
          <w:lang w:val="en-US"/>
        </w:rPr>
        <w:t>. More libertarian societies may go beyond these, and accept that consensual physical violence, even when it does not serve a useful societal function (like the examples given before), is not harmful.</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To be sure, the determination of where to allocate any given element is still difficult and, to a certain extent, involves simply displacing the problem – for how can we test what is the predominant societal value about, for example, the application of physical force? In the English case of </w:t>
      </w:r>
      <w:r w:rsidRPr="00F80570">
        <w:rPr>
          <w:rFonts w:ascii="Times New Roman" w:hAnsi="Times New Roman" w:cs="Times New Roman"/>
          <w:i/>
          <w:lang w:val="en-US"/>
        </w:rPr>
        <w:t>Brown</w:t>
      </w:r>
      <w:r w:rsidRPr="00F80570">
        <w:rPr>
          <w:rFonts w:ascii="Times New Roman" w:hAnsi="Times New Roman" w:cs="Times New Roman"/>
          <w:lang w:val="en-US"/>
        </w:rPr>
        <w:t xml:space="preserve">, involving homosexual sadomasochistic practices, the Lords disagreed </w:t>
      </w:r>
      <w:r w:rsidRPr="00F80570">
        <w:rPr>
          <w:rFonts w:ascii="Times New Roman" w:hAnsi="Times New Roman" w:cs="Times New Roman"/>
          <w:lang w:val="en-US"/>
        </w:rPr>
        <w:lastRenderedPageBreak/>
        <w:t>precisely on this point.</w:t>
      </w:r>
      <w:r w:rsidRPr="00F80570">
        <w:rPr>
          <w:rFonts w:ascii="Times New Roman" w:hAnsi="Times New Roman" w:cs="Times New Roman"/>
          <w:vertAlign w:val="superscript"/>
          <w:lang w:val="en-US"/>
        </w:rPr>
        <w:footnoteReference w:id="59"/>
      </w:r>
      <w:r w:rsidRPr="00F80570">
        <w:rPr>
          <w:rFonts w:ascii="Times New Roman" w:hAnsi="Times New Roman" w:cs="Times New Roman"/>
          <w:lang w:val="en-US"/>
        </w:rPr>
        <w:t xml:space="preserve"> Was it personal violence that was a harm, or was it a harm only if there was no consent?</w:t>
      </w:r>
      <w:r w:rsidRPr="00F80570">
        <w:rPr>
          <w:rStyle w:val="FootnoteReference"/>
          <w:rFonts w:ascii="Times New Roman" w:hAnsi="Times New Roman" w:cs="Times New Roman"/>
          <w:lang w:val="en-US"/>
        </w:rPr>
        <w:footnoteReference w:id="60"/>
      </w:r>
      <w:r w:rsidRPr="00F80570">
        <w:rPr>
          <w:rFonts w:ascii="Times New Roman" w:hAnsi="Times New Roman" w:cs="Times New Roman"/>
          <w:lang w:val="en-US"/>
        </w:rPr>
        <w:t xml:space="preserve"> </w:t>
      </w:r>
      <w:r>
        <w:rPr>
          <w:rFonts w:ascii="Times New Roman" w:hAnsi="Times New Roman" w:cs="Times New Roman"/>
          <w:lang w:val="en-US"/>
        </w:rPr>
        <w:t xml:space="preserve">No common </w:t>
      </w:r>
      <w:r w:rsidR="00925004">
        <w:rPr>
          <w:rFonts w:ascii="Times New Roman" w:hAnsi="Times New Roman" w:cs="Times New Roman"/>
          <w:lang w:val="en-US"/>
        </w:rPr>
        <w:t xml:space="preserve">answer, or common approach, </w:t>
      </w:r>
      <w:r>
        <w:rPr>
          <w:rFonts w:ascii="Times New Roman" w:hAnsi="Times New Roman" w:cs="Times New Roman"/>
          <w:lang w:val="en-US"/>
        </w:rPr>
        <w:t xml:space="preserve">appear in the judgment. </w:t>
      </w:r>
      <w:r w:rsidRPr="00F80570">
        <w:rPr>
          <w:rFonts w:ascii="Times New Roman" w:hAnsi="Times New Roman" w:cs="Times New Roman"/>
          <w:lang w:val="en-US"/>
        </w:rPr>
        <w:t xml:space="preserve">An understanding of the implications and presuppositions of each model can assist in making the choice as to the allocation of elements to offence or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And indeed, scholars discussing the place of consent in relation to battery (and assault) have tended to rely on these assumptions and implications to argue for either of the two models.</w:t>
      </w:r>
      <w:r w:rsidRPr="00F80570">
        <w:rPr>
          <w:rStyle w:val="FootnoteReference"/>
          <w:rFonts w:ascii="Times New Roman" w:hAnsi="Times New Roman" w:cs="Times New Roman"/>
          <w:lang w:val="en-US"/>
        </w:rPr>
        <w:footnoteReference w:id="61"/>
      </w:r>
      <w:r w:rsidRPr="00F80570">
        <w:rPr>
          <w:rFonts w:ascii="Times New Roman" w:hAnsi="Times New Roman" w:cs="Times New Roman"/>
          <w:lang w:val="en-US"/>
        </w:rPr>
        <w:t xml:space="preserve"> </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The bottom line is that one need not adopt exclusively an intrinsic or an extrinsic model of exceptions applicable across the legal order. Exceptions can be incorporated into the definition of the offence or be stated as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depending on the </w:t>
      </w:r>
      <w:r w:rsidR="00A00AC0">
        <w:rPr>
          <w:rFonts w:ascii="Times New Roman" w:hAnsi="Times New Roman" w:cs="Times New Roman"/>
          <w:lang w:val="en-US"/>
        </w:rPr>
        <w:t xml:space="preserve">messages </w:t>
      </w:r>
      <w:r w:rsidRPr="00F80570">
        <w:rPr>
          <w:rFonts w:ascii="Times New Roman" w:hAnsi="Times New Roman" w:cs="Times New Roman"/>
          <w:lang w:val="en-US"/>
        </w:rPr>
        <w:t xml:space="preserve">that the relevant rules are intended to </w:t>
      </w:r>
      <w:r w:rsidR="00A00AC0">
        <w:rPr>
          <w:rFonts w:ascii="Times New Roman" w:hAnsi="Times New Roman" w:cs="Times New Roman"/>
          <w:lang w:val="en-US"/>
        </w:rPr>
        <w:t>convey to their addressees</w:t>
      </w:r>
      <w:r w:rsidRPr="00F80570">
        <w:rPr>
          <w:rFonts w:ascii="Times New Roman" w:hAnsi="Times New Roman" w:cs="Times New Roman"/>
          <w:lang w:val="en-US"/>
        </w:rPr>
        <w:t xml:space="preserve">. If we can identify a general reason not to perform certain actions, then any permissions to perform that action must be stated as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w:t>
      </w:r>
      <w:r>
        <w:rPr>
          <w:rFonts w:ascii="Times New Roman" w:hAnsi="Times New Roman" w:cs="Times New Roman"/>
          <w:lang w:val="en-US"/>
        </w:rPr>
        <w:t xml:space="preserve">Otherwise, they can be stated as definitional elements qualifying the scope of the rule. </w:t>
      </w:r>
      <w:r w:rsidRPr="00F80570">
        <w:rPr>
          <w:rFonts w:ascii="Times New Roman" w:hAnsi="Times New Roman" w:cs="Times New Roman"/>
          <w:lang w:val="en-US"/>
        </w:rPr>
        <w:t xml:space="preserve">Crucially, this is true of consent as is demonstrated in certain legal systems. In German law, for example, these two roles of consent are clearly communicated through the use of two different terms: </w:t>
      </w:r>
      <w:proofErr w:type="spellStart"/>
      <w:r w:rsidRPr="00F80570">
        <w:rPr>
          <w:rFonts w:ascii="Times New Roman" w:hAnsi="Times New Roman" w:cs="Times New Roman"/>
          <w:i/>
          <w:lang w:val="en-US"/>
        </w:rPr>
        <w:t>Einwilligung</w:t>
      </w:r>
      <w:proofErr w:type="spellEnd"/>
      <w:r w:rsidRPr="00F80570">
        <w:rPr>
          <w:rFonts w:ascii="Times New Roman" w:hAnsi="Times New Roman" w:cs="Times New Roman"/>
          <w:lang w:val="en-US"/>
        </w:rPr>
        <w:t xml:space="preserve"> for the extrinsic model (consent as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and </w:t>
      </w:r>
      <w:proofErr w:type="spellStart"/>
      <w:r w:rsidRPr="00F80570">
        <w:rPr>
          <w:rFonts w:ascii="Times New Roman" w:hAnsi="Times New Roman" w:cs="Times New Roman"/>
          <w:i/>
          <w:lang w:val="en-US"/>
        </w:rPr>
        <w:t>Einverständnis</w:t>
      </w:r>
      <w:proofErr w:type="spellEnd"/>
      <w:r w:rsidRPr="00F80570">
        <w:rPr>
          <w:rFonts w:ascii="Times New Roman" w:hAnsi="Times New Roman" w:cs="Times New Roman"/>
          <w:lang w:val="en-US"/>
        </w:rPr>
        <w:t xml:space="preserve"> for the intrinsic model (consent as a definitional element).</w:t>
      </w:r>
      <w:r w:rsidRPr="00F80570">
        <w:rPr>
          <w:rFonts w:ascii="Times New Roman" w:hAnsi="Times New Roman" w:cs="Times New Roman"/>
          <w:vertAlign w:val="superscript"/>
          <w:lang w:val="en-US"/>
        </w:rPr>
        <w:footnoteReference w:id="62"/>
      </w:r>
      <w:r w:rsidRPr="00F80570">
        <w:rPr>
          <w:rFonts w:ascii="Times New Roman" w:hAnsi="Times New Roman" w:cs="Times New Roman"/>
          <w:lang w:val="en-US"/>
        </w:rPr>
        <w:t xml:space="preserve"> Other States that follow a similar approach include France,</w:t>
      </w:r>
      <w:r w:rsidRPr="00F80570">
        <w:rPr>
          <w:rStyle w:val="FootnoteReference"/>
          <w:rFonts w:ascii="Times New Roman" w:hAnsi="Times New Roman" w:cs="Times New Roman"/>
          <w:lang w:val="en-US"/>
        </w:rPr>
        <w:footnoteReference w:id="63"/>
      </w:r>
      <w:r w:rsidRPr="00F80570">
        <w:rPr>
          <w:rFonts w:ascii="Times New Roman" w:hAnsi="Times New Roman" w:cs="Times New Roman"/>
          <w:lang w:val="en-US"/>
        </w:rPr>
        <w:t xml:space="preserve"> the Netherlands,</w:t>
      </w:r>
      <w:r w:rsidRPr="00F80570">
        <w:rPr>
          <w:rStyle w:val="FootnoteReference"/>
          <w:rFonts w:ascii="Times New Roman" w:hAnsi="Times New Roman" w:cs="Times New Roman"/>
          <w:lang w:val="en-US"/>
        </w:rPr>
        <w:footnoteReference w:id="64"/>
      </w:r>
      <w:r w:rsidRPr="00F80570">
        <w:rPr>
          <w:rFonts w:ascii="Times New Roman" w:hAnsi="Times New Roman" w:cs="Times New Roman"/>
          <w:lang w:val="en-US"/>
        </w:rPr>
        <w:t xml:space="preserve"> New Zealand,</w:t>
      </w:r>
      <w:r w:rsidRPr="00F80570">
        <w:rPr>
          <w:rStyle w:val="FootnoteReference"/>
          <w:rFonts w:ascii="Times New Roman" w:hAnsi="Times New Roman" w:cs="Times New Roman"/>
          <w:lang w:val="en-US"/>
        </w:rPr>
        <w:footnoteReference w:id="65"/>
      </w:r>
      <w:r w:rsidRPr="00F80570">
        <w:rPr>
          <w:rFonts w:ascii="Times New Roman" w:hAnsi="Times New Roman" w:cs="Times New Roman"/>
          <w:lang w:val="en-US"/>
        </w:rPr>
        <w:t xml:space="preserve"> Sweden,</w:t>
      </w:r>
      <w:r w:rsidRPr="00F80570">
        <w:rPr>
          <w:rStyle w:val="FootnoteReference"/>
          <w:rFonts w:ascii="Times New Roman" w:hAnsi="Times New Roman" w:cs="Times New Roman"/>
          <w:lang w:val="en-US"/>
        </w:rPr>
        <w:footnoteReference w:id="66"/>
      </w:r>
      <w:r w:rsidRPr="00F80570">
        <w:rPr>
          <w:rFonts w:ascii="Times New Roman" w:hAnsi="Times New Roman" w:cs="Times New Roman"/>
          <w:lang w:val="en-US"/>
        </w:rPr>
        <w:t xml:space="preserve"> Turkey,</w:t>
      </w:r>
      <w:r w:rsidRPr="00F80570">
        <w:rPr>
          <w:rStyle w:val="FootnoteReference"/>
          <w:rFonts w:ascii="Times New Roman" w:hAnsi="Times New Roman" w:cs="Times New Roman"/>
          <w:lang w:val="en-US"/>
        </w:rPr>
        <w:footnoteReference w:id="67"/>
      </w:r>
      <w:r w:rsidRPr="00F80570">
        <w:rPr>
          <w:rFonts w:ascii="Times New Roman" w:hAnsi="Times New Roman" w:cs="Times New Roman"/>
          <w:lang w:val="en-US"/>
        </w:rPr>
        <w:t xml:space="preserve"> and the United States.</w:t>
      </w:r>
      <w:r w:rsidRPr="00F80570">
        <w:rPr>
          <w:rStyle w:val="FootnoteReference"/>
          <w:rFonts w:ascii="Times New Roman" w:hAnsi="Times New Roman" w:cs="Times New Roman"/>
          <w:lang w:val="en-US"/>
        </w:rPr>
        <w:footnoteReference w:id="68"/>
      </w:r>
      <w:r w:rsidRPr="00F80570">
        <w:rPr>
          <w:rFonts w:ascii="Times New Roman" w:hAnsi="Times New Roman" w:cs="Times New Roman"/>
          <w:lang w:val="en-US"/>
        </w:rPr>
        <w:t xml:space="preserve"> The two models for the articulation of exceptions are tools which can be used in formulating rules that better reflect the morality</w:t>
      </w:r>
      <w:r w:rsidR="00A00AC0">
        <w:rPr>
          <w:rFonts w:ascii="Times New Roman" w:hAnsi="Times New Roman" w:cs="Times New Roman"/>
          <w:lang w:val="en-US"/>
        </w:rPr>
        <w:t xml:space="preserve"> and</w:t>
      </w:r>
      <w:r w:rsidRPr="00F80570">
        <w:rPr>
          <w:rFonts w:ascii="Times New Roman" w:hAnsi="Times New Roman" w:cs="Times New Roman"/>
          <w:lang w:val="en-US"/>
        </w:rPr>
        <w:t xml:space="preserve"> goals</w:t>
      </w:r>
      <w:r w:rsidR="00A00AC0">
        <w:rPr>
          <w:rFonts w:ascii="Times New Roman" w:hAnsi="Times New Roman" w:cs="Times New Roman"/>
          <w:lang w:val="en-US"/>
        </w:rPr>
        <w:t xml:space="preserve"> of</w:t>
      </w:r>
      <w:r w:rsidRPr="00F80570">
        <w:rPr>
          <w:rFonts w:ascii="Times New Roman" w:hAnsi="Times New Roman" w:cs="Times New Roman"/>
          <w:lang w:val="en-US"/>
        </w:rPr>
        <w:t>, or other policies pursued by</w:t>
      </w:r>
      <w:r w:rsidR="00A00AC0">
        <w:rPr>
          <w:rFonts w:ascii="Times New Roman" w:hAnsi="Times New Roman" w:cs="Times New Roman"/>
          <w:lang w:val="en-US"/>
        </w:rPr>
        <w:t>,</w:t>
      </w:r>
      <w:r w:rsidRPr="00F80570">
        <w:rPr>
          <w:rFonts w:ascii="Times New Roman" w:hAnsi="Times New Roman" w:cs="Times New Roman"/>
          <w:lang w:val="en-US"/>
        </w:rPr>
        <w:t xml:space="preserve"> the relevant society.</w:t>
      </w:r>
    </w:p>
    <w:p w:rsidR="00455856" w:rsidRPr="00F80570" w:rsidRDefault="00455856" w:rsidP="00AF7273">
      <w:pPr>
        <w:pStyle w:val="Heading2"/>
      </w:pPr>
      <w:bookmarkStart w:id="9" w:name="_Toc40702427"/>
      <w:bookmarkStart w:id="10" w:name="_Toc46390730"/>
      <w:r>
        <w:t>2</w:t>
      </w:r>
      <w:r w:rsidRPr="00F80570">
        <w:t xml:space="preserve">.4. </w:t>
      </w:r>
      <w:proofErr w:type="spellStart"/>
      <w:r w:rsidRPr="00F80570">
        <w:t>Defences</w:t>
      </w:r>
      <w:proofErr w:type="spellEnd"/>
      <w:r w:rsidRPr="00F80570">
        <w:t xml:space="preserve"> in international law</w:t>
      </w:r>
      <w:bookmarkEnd w:id="9"/>
      <w:bookmarkEnd w:id="10"/>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The A</w:t>
      </w:r>
      <w:r>
        <w:rPr>
          <w:rFonts w:ascii="Times New Roman" w:hAnsi="Times New Roman" w:cs="Times New Roman"/>
          <w:lang w:val="en-US"/>
        </w:rPr>
        <w:t>rticles on the Responsibility of States for Internationally Wrongful Acts (‘A</w:t>
      </w:r>
      <w:r w:rsidRPr="00F80570">
        <w:rPr>
          <w:rFonts w:ascii="Times New Roman" w:hAnsi="Times New Roman" w:cs="Times New Roman"/>
          <w:lang w:val="en-US"/>
        </w:rPr>
        <w:t>RSIWA</w:t>
      </w:r>
      <w:r>
        <w:rPr>
          <w:rFonts w:ascii="Times New Roman" w:hAnsi="Times New Roman" w:cs="Times New Roman"/>
          <w:lang w:val="en-US"/>
        </w:rPr>
        <w:t>’)</w:t>
      </w:r>
      <w:r w:rsidRPr="00F80570">
        <w:rPr>
          <w:rFonts w:ascii="Times New Roman" w:hAnsi="Times New Roman" w:cs="Times New Roman"/>
          <w:lang w:val="en-US"/>
        </w:rPr>
        <w:t xml:space="preserve"> contain a catalogue of six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which are </w:t>
      </w:r>
      <w:proofErr w:type="spellStart"/>
      <w:r w:rsidRPr="00F80570">
        <w:rPr>
          <w:rFonts w:ascii="Times New Roman" w:hAnsi="Times New Roman" w:cs="Times New Roman"/>
          <w:lang w:val="en-US"/>
        </w:rPr>
        <w:t>recognised</w:t>
      </w:r>
      <w:proofErr w:type="spellEnd"/>
      <w:r w:rsidRPr="00F80570">
        <w:rPr>
          <w:rFonts w:ascii="Times New Roman" w:hAnsi="Times New Roman" w:cs="Times New Roman"/>
          <w:lang w:val="en-US"/>
        </w:rPr>
        <w:t xml:space="preserve"> in international law,</w:t>
      </w:r>
      <w:r w:rsidRPr="00F80570">
        <w:rPr>
          <w:rFonts w:ascii="Times New Roman" w:hAnsi="Times New Roman" w:cs="Times New Roman"/>
          <w:vertAlign w:val="superscript"/>
          <w:lang w:val="en-US"/>
        </w:rPr>
        <w:footnoteReference w:id="69"/>
      </w:r>
      <w:r w:rsidRPr="00F80570">
        <w:rPr>
          <w:rFonts w:ascii="Times New Roman" w:hAnsi="Times New Roman" w:cs="Times New Roman"/>
          <w:lang w:val="en-US"/>
        </w:rPr>
        <w:t xml:space="preserve"> including </w:t>
      </w:r>
      <w:r w:rsidRPr="00F80570">
        <w:rPr>
          <w:rFonts w:ascii="Times New Roman" w:hAnsi="Times New Roman" w:cs="Times New Roman"/>
          <w:lang w:val="en-US"/>
        </w:rPr>
        <w:lastRenderedPageBreak/>
        <w:t>consent.</w:t>
      </w:r>
      <w:r w:rsidRPr="00F80570">
        <w:rPr>
          <w:rFonts w:ascii="Times New Roman" w:hAnsi="Times New Roman" w:cs="Times New Roman"/>
          <w:vertAlign w:val="superscript"/>
          <w:lang w:val="en-US"/>
        </w:rPr>
        <w:footnoteReference w:id="70"/>
      </w:r>
      <w:r w:rsidRPr="00F80570">
        <w:rPr>
          <w:rFonts w:ascii="Times New Roman" w:hAnsi="Times New Roman" w:cs="Times New Roman"/>
          <w:lang w:val="en-US"/>
        </w:rPr>
        <w:t xml:space="preserve"> According to the </w:t>
      </w:r>
      <w:r>
        <w:rPr>
          <w:rFonts w:ascii="Times New Roman" w:hAnsi="Times New Roman" w:cs="Times New Roman"/>
          <w:lang w:val="en-US"/>
        </w:rPr>
        <w:t xml:space="preserve">Commentary of the </w:t>
      </w:r>
      <w:r w:rsidRPr="00F80570">
        <w:rPr>
          <w:rFonts w:ascii="Times New Roman" w:hAnsi="Times New Roman" w:cs="Times New Roman"/>
          <w:lang w:val="en-US"/>
        </w:rPr>
        <w:t>I</w:t>
      </w:r>
      <w:r>
        <w:rPr>
          <w:rFonts w:ascii="Times New Roman" w:hAnsi="Times New Roman" w:cs="Times New Roman"/>
          <w:lang w:val="en-US"/>
        </w:rPr>
        <w:t xml:space="preserve">nternational </w:t>
      </w:r>
      <w:r w:rsidRPr="00F80570">
        <w:rPr>
          <w:rFonts w:ascii="Times New Roman" w:hAnsi="Times New Roman" w:cs="Times New Roman"/>
          <w:lang w:val="en-US"/>
        </w:rPr>
        <w:t>L</w:t>
      </w:r>
      <w:r>
        <w:rPr>
          <w:rFonts w:ascii="Times New Roman" w:hAnsi="Times New Roman" w:cs="Times New Roman"/>
          <w:lang w:val="en-US"/>
        </w:rPr>
        <w:t xml:space="preserve">aw </w:t>
      </w:r>
      <w:r w:rsidRPr="00F80570">
        <w:rPr>
          <w:rFonts w:ascii="Times New Roman" w:hAnsi="Times New Roman" w:cs="Times New Roman"/>
          <w:lang w:val="en-US"/>
        </w:rPr>
        <w:t>C</w:t>
      </w:r>
      <w:r>
        <w:rPr>
          <w:rFonts w:ascii="Times New Roman" w:hAnsi="Times New Roman" w:cs="Times New Roman"/>
          <w:lang w:val="en-US"/>
        </w:rPr>
        <w:t>ommission (‘ILC’)</w:t>
      </w:r>
      <w:r w:rsidRPr="00F80570">
        <w:rPr>
          <w:rFonts w:ascii="Times New Roman" w:hAnsi="Times New Roman" w:cs="Times New Roman"/>
          <w:lang w:val="en-US"/>
        </w:rPr>
        <w:t xml:space="preserve">, these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are ‘to be distinguished from the constituent requirements of the obligation, i.e. those elements which have to exist for the issue of wrongfulness to arise in the first place and which are in principle specified by the obligation itself.’</w:t>
      </w:r>
      <w:r w:rsidRPr="00F80570">
        <w:rPr>
          <w:rFonts w:ascii="Times New Roman" w:hAnsi="Times New Roman" w:cs="Times New Roman"/>
          <w:vertAlign w:val="superscript"/>
          <w:lang w:val="en-US"/>
        </w:rPr>
        <w:footnoteReference w:id="71"/>
      </w:r>
      <w:r w:rsidRPr="00F80570">
        <w:rPr>
          <w:rFonts w:ascii="Times New Roman" w:hAnsi="Times New Roman" w:cs="Times New Roman"/>
          <w:lang w:val="en-US"/>
        </w:rPr>
        <w:t xml:space="preserve"> The ARSIWA, in short, follow the extrinsic model in respect of the circumstances listed in Articles 20-25. The ILC and UN</w:t>
      </w:r>
      <w:r>
        <w:rPr>
          <w:rFonts w:ascii="Times New Roman" w:hAnsi="Times New Roman" w:cs="Times New Roman"/>
          <w:lang w:val="en-US"/>
        </w:rPr>
        <w:t xml:space="preserve"> </w:t>
      </w:r>
      <w:r w:rsidRPr="00F80570">
        <w:rPr>
          <w:rFonts w:ascii="Times New Roman" w:hAnsi="Times New Roman" w:cs="Times New Roman"/>
          <w:lang w:val="en-US"/>
        </w:rPr>
        <w:t>G</w:t>
      </w:r>
      <w:r>
        <w:rPr>
          <w:rFonts w:ascii="Times New Roman" w:hAnsi="Times New Roman" w:cs="Times New Roman"/>
          <w:lang w:val="en-US"/>
        </w:rPr>
        <w:t xml:space="preserve">eneral </w:t>
      </w:r>
      <w:r w:rsidRPr="00F80570">
        <w:rPr>
          <w:rFonts w:ascii="Times New Roman" w:hAnsi="Times New Roman" w:cs="Times New Roman"/>
          <w:lang w:val="en-US"/>
        </w:rPr>
        <w:t>A</w:t>
      </w:r>
      <w:r>
        <w:rPr>
          <w:rFonts w:ascii="Times New Roman" w:hAnsi="Times New Roman" w:cs="Times New Roman"/>
          <w:lang w:val="en-US"/>
        </w:rPr>
        <w:t>ssembly (‘UNGA’)</w:t>
      </w:r>
      <w:r w:rsidRPr="00F80570">
        <w:rPr>
          <w:rFonts w:ascii="Times New Roman" w:hAnsi="Times New Roman" w:cs="Times New Roman"/>
          <w:lang w:val="en-US"/>
        </w:rPr>
        <w:t xml:space="preserve"> Sixth Committee discussions on these provisions do not, on the whole, reveal any disagreements in respect of this choice. The choice to follow the extrinsic model was not, however, uncontroversial in respect of the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consent.</w:t>
      </w:r>
      <w:r w:rsidRPr="00F80570">
        <w:rPr>
          <w:rFonts w:ascii="Times New Roman" w:hAnsi="Times New Roman" w:cs="Times New Roman"/>
          <w:vertAlign w:val="superscript"/>
          <w:lang w:val="en-US"/>
        </w:rPr>
        <w:footnoteReference w:id="72"/>
      </w:r>
      <w:r w:rsidRPr="00F80570">
        <w:rPr>
          <w:rFonts w:ascii="Times New Roman" w:hAnsi="Times New Roman" w:cs="Times New Roman"/>
          <w:lang w:val="en-US"/>
        </w:rPr>
        <w:t xml:space="preserve">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Special Rapporteur Ago first proposed an article on the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consent which was adopted without much resistance in either the Commission or the Sixth Committee.</w:t>
      </w:r>
      <w:r w:rsidRPr="00F80570">
        <w:rPr>
          <w:rFonts w:ascii="Times New Roman" w:hAnsi="Times New Roman" w:cs="Times New Roman"/>
          <w:vertAlign w:val="superscript"/>
          <w:lang w:val="en-US"/>
        </w:rPr>
        <w:footnoteReference w:id="73"/>
      </w:r>
      <w:r w:rsidRPr="00F80570">
        <w:rPr>
          <w:rFonts w:ascii="Times New Roman" w:hAnsi="Times New Roman" w:cs="Times New Roman"/>
          <w:lang w:val="en-US"/>
        </w:rPr>
        <w:t xml:space="preserve"> Notably, he built this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primarily from the practice of intervention by invitation,</w:t>
      </w:r>
      <w:r w:rsidRPr="00F80570">
        <w:rPr>
          <w:rFonts w:ascii="Times New Roman" w:hAnsi="Times New Roman" w:cs="Times New Roman"/>
          <w:vertAlign w:val="superscript"/>
          <w:lang w:val="en-US"/>
        </w:rPr>
        <w:footnoteReference w:id="74"/>
      </w:r>
      <w:r w:rsidRPr="00F80570">
        <w:rPr>
          <w:rFonts w:ascii="Times New Roman" w:hAnsi="Times New Roman" w:cs="Times New Roman"/>
          <w:lang w:val="en-US"/>
        </w:rPr>
        <w:t xml:space="preserve"> and indeed considered consent to be a ‘circumstance precluding wrongfulness’ </w:t>
      </w:r>
      <w:r w:rsidRPr="00F80570">
        <w:rPr>
          <w:rFonts w:ascii="Times New Roman" w:hAnsi="Times New Roman" w:cs="Times New Roman"/>
          <w:i/>
          <w:lang w:val="en-US"/>
        </w:rPr>
        <w:t>also</w:t>
      </w:r>
      <w:r w:rsidRPr="00F80570">
        <w:rPr>
          <w:rFonts w:ascii="Times New Roman" w:hAnsi="Times New Roman" w:cs="Times New Roman"/>
          <w:lang w:val="en-US"/>
        </w:rPr>
        <w:t xml:space="preserve"> in respect of the prohibition of force.</w:t>
      </w:r>
      <w:r w:rsidRPr="00F80570">
        <w:rPr>
          <w:rFonts w:ascii="Times New Roman" w:hAnsi="Times New Roman" w:cs="Times New Roman"/>
          <w:vertAlign w:val="superscript"/>
          <w:lang w:val="en-US"/>
        </w:rPr>
        <w:footnoteReference w:id="75"/>
      </w:r>
      <w:r w:rsidRPr="00F80570">
        <w:rPr>
          <w:rFonts w:ascii="Times New Roman" w:hAnsi="Times New Roman" w:cs="Times New Roman"/>
          <w:lang w:val="en-US"/>
        </w:rPr>
        <w:t xml:space="preserve"> Special Rapporteur Crawford, instead, thought that consent was always intrinsic to the definition </w:t>
      </w:r>
      <w:r w:rsidR="009859C1">
        <w:rPr>
          <w:rFonts w:ascii="Times New Roman" w:hAnsi="Times New Roman" w:cs="Times New Roman"/>
          <w:lang w:val="en-US"/>
        </w:rPr>
        <w:t xml:space="preserve">of </w:t>
      </w:r>
      <w:r w:rsidRPr="00F80570">
        <w:rPr>
          <w:rFonts w:ascii="Times New Roman" w:hAnsi="Times New Roman" w:cs="Times New Roman"/>
          <w:lang w:val="en-US"/>
        </w:rPr>
        <w:t xml:space="preserve">the rules binding on </w:t>
      </w:r>
      <w:r>
        <w:rPr>
          <w:rFonts w:ascii="Times New Roman" w:hAnsi="Times New Roman" w:cs="Times New Roman"/>
          <w:lang w:val="en-US"/>
        </w:rPr>
        <w:t>s</w:t>
      </w:r>
      <w:r w:rsidRPr="00F80570">
        <w:rPr>
          <w:rFonts w:ascii="Times New Roman" w:hAnsi="Times New Roman" w:cs="Times New Roman"/>
          <w:lang w:val="en-US"/>
        </w:rPr>
        <w:t>tates and that, for this reason, Article 20 should be deleted from ARSIWA.</w:t>
      </w:r>
      <w:r w:rsidRPr="00F80570">
        <w:rPr>
          <w:rFonts w:ascii="Times New Roman" w:hAnsi="Times New Roman" w:cs="Times New Roman"/>
          <w:vertAlign w:val="superscript"/>
          <w:lang w:val="en-US"/>
        </w:rPr>
        <w:footnoteReference w:id="76"/>
      </w:r>
      <w:r w:rsidRPr="00F80570">
        <w:rPr>
          <w:rFonts w:ascii="Times New Roman" w:hAnsi="Times New Roman" w:cs="Times New Roman"/>
          <w:lang w:val="en-US"/>
        </w:rPr>
        <w:t xml:space="preserve"> His view, while supported by several members of the Commission, was ultimately rejected: the Commission was unable to resolve the question whether consent was intrinsic or extrinsic to</w:t>
      </w:r>
      <w:r w:rsidR="009859C1">
        <w:rPr>
          <w:rFonts w:ascii="Times New Roman" w:hAnsi="Times New Roman" w:cs="Times New Roman"/>
          <w:lang w:val="en-US"/>
        </w:rPr>
        <w:t xml:space="preserve"> the</w:t>
      </w:r>
      <w:r w:rsidRPr="00F80570">
        <w:rPr>
          <w:rFonts w:ascii="Times New Roman" w:hAnsi="Times New Roman" w:cs="Times New Roman"/>
          <w:lang w:val="en-US"/>
        </w:rPr>
        <w:t xml:space="preserve"> rules binding on </w:t>
      </w:r>
      <w:r>
        <w:rPr>
          <w:rFonts w:ascii="Times New Roman" w:hAnsi="Times New Roman" w:cs="Times New Roman"/>
          <w:lang w:val="en-US"/>
        </w:rPr>
        <w:t>s</w:t>
      </w:r>
      <w:r w:rsidRPr="00F80570">
        <w:rPr>
          <w:rFonts w:ascii="Times New Roman" w:hAnsi="Times New Roman" w:cs="Times New Roman"/>
          <w:lang w:val="en-US"/>
        </w:rPr>
        <w:t>tates</w:t>
      </w:r>
      <w:r>
        <w:rPr>
          <w:rFonts w:ascii="Times New Roman" w:hAnsi="Times New Roman" w:cs="Times New Roman"/>
          <w:lang w:val="en-US"/>
        </w:rPr>
        <w:t>.</w:t>
      </w:r>
      <w:r w:rsidRPr="00F80570">
        <w:rPr>
          <w:rFonts w:ascii="Times New Roman" w:hAnsi="Times New Roman" w:cs="Times New Roman"/>
          <w:lang w:val="en-US"/>
        </w:rPr>
        <w:t xml:space="preserve"> </w:t>
      </w:r>
      <w:r>
        <w:rPr>
          <w:rFonts w:ascii="Times New Roman" w:hAnsi="Times New Roman" w:cs="Times New Roman"/>
          <w:lang w:val="en-US"/>
        </w:rPr>
        <w:t>Since</w:t>
      </w:r>
      <w:r w:rsidRPr="00F80570">
        <w:rPr>
          <w:rFonts w:ascii="Times New Roman" w:hAnsi="Times New Roman" w:cs="Times New Roman"/>
          <w:lang w:val="en-US"/>
        </w:rPr>
        <w:t xml:space="preserve"> </w:t>
      </w:r>
      <w:r>
        <w:rPr>
          <w:rFonts w:ascii="Times New Roman" w:hAnsi="Times New Roman" w:cs="Times New Roman"/>
          <w:lang w:val="en-US"/>
        </w:rPr>
        <w:t>s</w:t>
      </w:r>
      <w:r w:rsidRPr="00F80570">
        <w:rPr>
          <w:rFonts w:ascii="Times New Roman" w:hAnsi="Times New Roman" w:cs="Times New Roman"/>
          <w:lang w:val="en-US"/>
        </w:rPr>
        <w:t xml:space="preserve">tates were </w:t>
      </w:r>
      <w:proofErr w:type="spellStart"/>
      <w:r w:rsidRPr="00F80570">
        <w:rPr>
          <w:rFonts w:ascii="Times New Roman" w:hAnsi="Times New Roman" w:cs="Times New Roman"/>
          <w:lang w:val="en-US"/>
        </w:rPr>
        <w:t>favourable</w:t>
      </w:r>
      <w:proofErr w:type="spellEnd"/>
      <w:r w:rsidRPr="00F80570">
        <w:rPr>
          <w:rFonts w:ascii="Times New Roman" w:hAnsi="Times New Roman" w:cs="Times New Roman"/>
          <w:lang w:val="en-US"/>
        </w:rPr>
        <w:t xml:space="preserve"> to the retention of the provision on consent in the text of ARSIWA</w:t>
      </w:r>
      <w:r>
        <w:rPr>
          <w:rFonts w:ascii="Times New Roman" w:hAnsi="Times New Roman" w:cs="Times New Roman"/>
          <w:lang w:val="en-US"/>
        </w:rPr>
        <w:t>,</w:t>
      </w:r>
      <w:r w:rsidRPr="00F80570">
        <w:rPr>
          <w:rStyle w:val="FootnoteReference"/>
          <w:rFonts w:ascii="Times New Roman" w:hAnsi="Times New Roman" w:cs="Times New Roman"/>
          <w:lang w:val="en-US"/>
        </w:rPr>
        <w:footnoteReference w:id="77"/>
      </w:r>
      <w:r>
        <w:rPr>
          <w:rFonts w:ascii="Times New Roman" w:hAnsi="Times New Roman" w:cs="Times New Roman"/>
          <w:lang w:val="en-US"/>
        </w:rPr>
        <w:t xml:space="preserve"> the ILC </w:t>
      </w:r>
      <w:r w:rsidRPr="00F80570">
        <w:rPr>
          <w:rFonts w:ascii="Times New Roman" w:hAnsi="Times New Roman" w:cs="Times New Roman"/>
          <w:lang w:val="en-US"/>
        </w:rPr>
        <w:lastRenderedPageBreak/>
        <w:t>decided to agree to disagree and leave Article 20 in the draft</w:t>
      </w:r>
      <w:r>
        <w:rPr>
          <w:rFonts w:ascii="Times New Roman" w:hAnsi="Times New Roman" w:cs="Times New Roman"/>
          <w:lang w:val="en-US"/>
        </w:rPr>
        <w:t>.</w:t>
      </w:r>
      <w:r w:rsidRPr="00F80570">
        <w:rPr>
          <w:rFonts w:ascii="Times New Roman" w:hAnsi="Times New Roman" w:cs="Times New Roman"/>
          <w:vertAlign w:val="superscript"/>
          <w:lang w:val="en-US"/>
        </w:rPr>
        <w:footnoteReference w:id="78"/>
      </w:r>
      <w:r>
        <w:rPr>
          <w:rFonts w:ascii="Times New Roman" w:hAnsi="Times New Roman" w:cs="Times New Roman"/>
          <w:lang w:val="en-US"/>
        </w:rPr>
        <w:t xml:space="preserve"> </w:t>
      </w:r>
      <w:r w:rsidRPr="00F80570">
        <w:rPr>
          <w:rFonts w:ascii="Times New Roman" w:hAnsi="Times New Roman" w:cs="Times New Roman"/>
          <w:lang w:val="en-US"/>
        </w:rPr>
        <w:t xml:space="preserve">However, the retention of Article 20 was lamented by some members of the Commission, like John </w:t>
      </w:r>
      <w:proofErr w:type="spellStart"/>
      <w:r w:rsidRPr="00F80570">
        <w:rPr>
          <w:rFonts w:ascii="Times New Roman" w:hAnsi="Times New Roman" w:cs="Times New Roman"/>
          <w:lang w:val="en-US"/>
        </w:rPr>
        <w:t>Dugard</w:t>
      </w:r>
      <w:proofErr w:type="spellEnd"/>
      <w:r w:rsidRPr="00F80570">
        <w:rPr>
          <w:rFonts w:ascii="Times New Roman" w:hAnsi="Times New Roman" w:cs="Times New Roman"/>
          <w:lang w:val="en-US"/>
        </w:rPr>
        <w:t xml:space="preserve"> who argued that to include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consent in ARSIWA was to ‘preserve the muddiness of domestic waters’ over the ‘clarity of jurisprudence’, and that the latter showed that consent was better viewed as an ‘intrinsic condition of wrongfulness.’</w:t>
      </w:r>
      <w:r w:rsidRPr="00F80570">
        <w:rPr>
          <w:rFonts w:ascii="Times New Roman" w:hAnsi="Times New Roman" w:cs="Times New Roman"/>
          <w:vertAlign w:val="superscript"/>
          <w:lang w:val="en-US"/>
        </w:rPr>
        <w:footnoteReference w:id="79"/>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The discussion in the previous two sections shows that there is no jurisprudential ‘clarity’ about this question: while</w:t>
      </w:r>
      <w:r w:rsidR="009859C1">
        <w:rPr>
          <w:rFonts w:ascii="Times New Roman" w:hAnsi="Times New Roman" w:cs="Times New Roman"/>
          <w:lang w:val="en-US"/>
        </w:rPr>
        <w:t xml:space="preserve"> (classical) </w:t>
      </w:r>
      <w:r w:rsidRPr="00F80570">
        <w:rPr>
          <w:rFonts w:ascii="Times New Roman" w:hAnsi="Times New Roman" w:cs="Times New Roman"/>
          <w:lang w:val="en-US"/>
        </w:rPr>
        <w:t xml:space="preserve">logic may demand following the intrinsic model, as Williams and Stone argued, the extrinsic model nevertheless has relevant legal (and also normative) functions. And this is the case not just in respect of consent, but also in respect of all other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w:t>
      </w:r>
      <w:r w:rsidRPr="00F80570">
        <w:rPr>
          <w:rFonts w:ascii="Times New Roman" w:hAnsi="Times New Roman" w:cs="Times New Roman"/>
          <w:vertAlign w:val="superscript"/>
          <w:lang w:val="en-US"/>
        </w:rPr>
        <w:footnoteReference w:id="80"/>
      </w:r>
      <w:r w:rsidRPr="00F80570">
        <w:rPr>
          <w:rFonts w:ascii="Times New Roman" w:hAnsi="Times New Roman" w:cs="Times New Roman"/>
          <w:lang w:val="en-US"/>
        </w:rPr>
        <w:t xml:space="preserve"> Both models, intrinsic and extrinsic, are valuable as they allow legislators – </w:t>
      </w:r>
      <w:r>
        <w:rPr>
          <w:rFonts w:ascii="Times New Roman" w:hAnsi="Times New Roman" w:cs="Times New Roman"/>
          <w:lang w:val="en-US"/>
        </w:rPr>
        <w:t>s</w:t>
      </w:r>
      <w:r w:rsidRPr="00F80570">
        <w:rPr>
          <w:rFonts w:ascii="Times New Roman" w:hAnsi="Times New Roman" w:cs="Times New Roman"/>
          <w:lang w:val="en-US"/>
        </w:rPr>
        <w:t>tates, in international law – to better articulate the rules that guide behavior. Thus, some rules may incorporate exceptions in their definitions, and others may not,</w:t>
      </w:r>
      <w:r w:rsidRPr="00F80570">
        <w:rPr>
          <w:rFonts w:ascii="Times New Roman" w:hAnsi="Times New Roman" w:cs="Times New Roman"/>
          <w:vertAlign w:val="superscript"/>
          <w:lang w:val="en-US"/>
        </w:rPr>
        <w:footnoteReference w:id="81"/>
      </w:r>
      <w:r w:rsidRPr="00F80570">
        <w:rPr>
          <w:rFonts w:ascii="Times New Roman" w:hAnsi="Times New Roman" w:cs="Times New Roman"/>
          <w:lang w:val="en-US"/>
        </w:rPr>
        <w:t xml:space="preserve"> a point that was made clearly by counsel for Nigeria in </w:t>
      </w:r>
      <w:r w:rsidRPr="00F80570">
        <w:rPr>
          <w:rFonts w:ascii="Times New Roman" w:hAnsi="Times New Roman" w:cs="Times New Roman"/>
          <w:i/>
          <w:lang w:val="en-US"/>
        </w:rPr>
        <w:t>Cameroon v Nigeria</w:t>
      </w:r>
      <w:r w:rsidRPr="00F80570">
        <w:rPr>
          <w:rFonts w:ascii="Times New Roman" w:hAnsi="Times New Roman" w:cs="Times New Roman"/>
          <w:lang w:val="en-US"/>
        </w:rPr>
        <w:t>:</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left="720"/>
        <w:jc w:val="both"/>
        <w:rPr>
          <w:rFonts w:ascii="Times New Roman" w:hAnsi="Times New Roman" w:cs="Times New Roman"/>
          <w:lang w:val="en-US"/>
        </w:rPr>
      </w:pPr>
      <w:r w:rsidRPr="00F80570">
        <w:rPr>
          <w:rFonts w:ascii="Times New Roman" w:hAnsi="Times New Roman" w:cs="Times New Roman"/>
          <w:lang w:val="en-US"/>
        </w:rPr>
        <w:t xml:space="preserve">In some cases what may usually be seen as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may in fact be one of the constituent elements of the substantive rule the breach of which is in question.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are thus, on analysis, not absolute concepts, but relative to the primary obligation in question.</w:t>
      </w:r>
      <w:r w:rsidRPr="00F80570">
        <w:rPr>
          <w:rFonts w:ascii="Times New Roman" w:hAnsi="Times New Roman" w:cs="Times New Roman"/>
          <w:vertAlign w:val="superscript"/>
          <w:lang w:val="en-US"/>
        </w:rPr>
        <w:footnoteReference w:id="82"/>
      </w:r>
    </w:p>
    <w:p w:rsidR="00455856" w:rsidRPr="00F80570" w:rsidRDefault="00455856" w:rsidP="00AF7273">
      <w:pPr>
        <w:spacing w:line="360" w:lineRule="auto"/>
        <w:jc w:val="both"/>
        <w:rPr>
          <w:rFonts w:ascii="Times New Roman" w:hAnsi="Times New Roman" w:cs="Times New Roman"/>
          <w:bCs/>
        </w:rPr>
      </w:pPr>
    </w:p>
    <w:p w:rsidR="00455856" w:rsidRPr="00F80570" w:rsidRDefault="00455856" w:rsidP="00AF7273">
      <w:pPr>
        <w:spacing w:line="360" w:lineRule="auto"/>
        <w:jc w:val="both"/>
        <w:rPr>
          <w:rFonts w:ascii="Times New Roman" w:hAnsi="Times New Roman" w:cs="Times New Roman"/>
          <w:bCs/>
        </w:rPr>
      </w:pPr>
      <w:r w:rsidRPr="00F80570">
        <w:rPr>
          <w:rFonts w:ascii="Times New Roman" w:hAnsi="Times New Roman" w:cs="Times New Roman"/>
          <w:bCs/>
        </w:rPr>
        <w:t xml:space="preserve">To take an example, the impossibility to perform an obligation is covered by the defence of </w:t>
      </w:r>
      <w:r w:rsidRPr="00F80570">
        <w:rPr>
          <w:rFonts w:ascii="Times New Roman" w:hAnsi="Times New Roman" w:cs="Times New Roman"/>
          <w:bCs/>
          <w:i/>
        </w:rPr>
        <w:t>force majeure</w:t>
      </w:r>
      <w:r w:rsidRPr="00F80570">
        <w:rPr>
          <w:rFonts w:ascii="Times New Roman" w:hAnsi="Times New Roman" w:cs="Times New Roman"/>
          <w:bCs/>
        </w:rPr>
        <w:t xml:space="preserve">, in ARSIWA Article 23. But an impossibility to perform obligations may also be intrinsic to certain rules. For instance, due diligence obligations, which require </w:t>
      </w:r>
      <w:r>
        <w:rPr>
          <w:rFonts w:ascii="Times New Roman" w:hAnsi="Times New Roman" w:cs="Times New Roman"/>
          <w:bCs/>
        </w:rPr>
        <w:t>s</w:t>
      </w:r>
      <w:r w:rsidRPr="00F80570">
        <w:rPr>
          <w:rFonts w:ascii="Times New Roman" w:hAnsi="Times New Roman" w:cs="Times New Roman"/>
          <w:bCs/>
        </w:rPr>
        <w:t>tates to behave in a certain way independently of the result of such behaviour,</w:t>
      </w:r>
      <w:r w:rsidRPr="00F80570">
        <w:rPr>
          <w:rFonts w:ascii="Times New Roman" w:hAnsi="Times New Roman" w:cs="Times New Roman"/>
          <w:bCs/>
          <w:vertAlign w:val="superscript"/>
        </w:rPr>
        <w:footnoteReference w:id="83"/>
      </w:r>
      <w:r w:rsidRPr="00F80570">
        <w:rPr>
          <w:rFonts w:ascii="Times New Roman" w:hAnsi="Times New Roman" w:cs="Times New Roman"/>
          <w:bCs/>
        </w:rPr>
        <w:t xml:space="preserve"> may be said to </w:t>
      </w:r>
      <w:r w:rsidRPr="00F80570">
        <w:rPr>
          <w:rFonts w:ascii="Times New Roman" w:hAnsi="Times New Roman" w:cs="Times New Roman"/>
          <w:bCs/>
        </w:rPr>
        <w:lastRenderedPageBreak/>
        <w:t xml:space="preserve">incorporate a requirement of possibility (or rather, a requirement of non-impossibility) in their definitions. If, to use the language of Article 23 ARSIWA,  an unforeseen or irresistible event, beyond the </w:t>
      </w:r>
      <w:r>
        <w:rPr>
          <w:rFonts w:ascii="Times New Roman" w:hAnsi="Times New Roman" w:cs="Times New Roman"/>
          <w:bCs/>
        </w:rPr>
        <w:t>s</w:t>
      </w:r>
      <w:r w:rsidRPr="00F80570">
        <w:rPr>
          <w:rFonts w:ascii="Times New Roman" w:hAnsi="Times New Roman" w:cs="Times New Roman"/>
          <w:bCs/>
        </w:rPr>
        <w:t xml:space="preserve">tate’s control, makes it impossible for the </w:t>
      </w:r>
      <w:r>
        <w:rPr>
          <w:rFonts w:ascii="Times New Roman" w:hAnsi="Times New Roman" w:cs="Times New Roman"/>
          <w:bCs/>
        </w:rPr>
        <w:t>s</w:t>
      </w:r>
      <w:r w:rsidRPr="00F80570">
        <w:rPr>
          <w:rFonts w:ascii="Times New Roman" w:hAnsi="Times New Roman" w:cs="Times New Roman"/>
          <w:bCs/>
        </w:rPr>
        <w:t xml:space="preserve">tate to exercise the same degree of diligence that it displays in normal circumstances, then the </w:t>
      </w:r>
      <w:r>
        <w:rPr>
          <w:rFonts w:ascii="Times New Roman" w:hAnsi="Times New Roman" w:cs="Times New Roman"/>
          <w:bCs/>
        </w:rPr>
        <w:t>s</w:t>
      </w:r>
      <w:r w:rsidRPr="00F80570">
        <w:rPr>
          <w:rFonts w:ascii="Times New Roman" w:hAnsi="Times New Roman" w:cs="Times New Roman"/>
          <w:bCs/>
        </w:rPr>
        <w:t xml:space="preserve">tate does not act incompatibly with its due diligence obligations: in the circumstances, the </w:t>
      </w:r>
      <w:r>
        <w:rPr>
          <w:rFonts w:ascii="Times New Roman" w:hAnsi="Times New Roman" w:cs="Times New Roman"/>
          <w:bCs/>
        </w:rPr>
        <w:t>s</w:t>
      </w:r>
      <w:r w:rsidRPr="00F80570">
        <w:rPr>
          <w:rFonts w:ascii="Times New Roman" w:hAnsi="Times New Roman" w:cs="Times New Roman"/>
          <w:bCs/>
        </w:rPr>
        <w:t>tate displayed the standard of diligence it was able (or not able) to exercise and this is enough to comply with the rule.</w:t>
      </w:r>
      <w:r w:rsidRPr="00F80570">
        <w:rPr>
          <w:rFonts w:ascii="Times New Roman" w:hAnsi="Times New Roman" w:cs="Times New Roman"/>
          <w:vertAlign w:val="superscript"/>
        </w:rPr>
        <w:footnoteReference w:id="84"/>
      </w:r>
    </w:p>
    <w:p w:rsidR="00455856" w:rsidRPr="00F80570" w:rsidRDefault="00455856" w:rsidP="00AF7273">
      <w:pPr>
        <w:spacing w:line="360" w:lineRule="auto"/>
        <w:jc w:val="both"/>
        <w:rPr>
          <w:rFonts w:ascii="Times New Roman" w:hAnsi="Times New Roman" w:cs="Times New Roman"/>
          <w:bCs/>
        </w:rPr>
      </w:pPr>
    </w:p>
    <w:p w:rsidR="00455856" w:rsidRPr="00F80570" w:rsidRDefault="00455856" w:rsidP="00AF7273">
      <w:pPr>
        <w:spacing w:line="360" w:lineRule="auto"/>
        <w:ind w:firstLine="720"/>
        <w:jc w:val="both"/>
        <w:rPr>
          <w:rFonts w:ascii="Times New Roman" w:hAnsi="Times New Roman" w:cs="Times New Roman"/>
          <w:bCs/>
        </w:rPr>
      </w:pPr>
      <w:r w:rsidRPr="00F80570">
        <w:rPr>
          <w:rFonts w:ascii="Times New Roman" w:hAnsi="Times New Roman" w:cs="Times New Roman"/>
          <w:bCs/>
        </w:rPr>
        <w:t xml:space="preserve">If this is acceptable with respect to impossibility, why can it not be acceptable with respect to consent? To allow consent to be </w:t>
      </w:r>
      <w:r w:rsidRPr="00F80570">
        <w:rPr>
          <w:rFonts w:ascii="Times New Roman" w:hAnsi="Times New Roman" w:cs="Times New Roman"/>
          <w:bCs/>
          <w:i/>
        </w:rPr>
        <w:t>either</w:t>
      </w:r>
      <w:r w:rsidRPr="00F80570">
        <w:rPr>
          <w:rFonts w:ascii="Times New Roman" w:hAnsi="Times New Roman" w:cs="Times New Roman"/>
          <w:bCs/>
        </w:rPr>
        <w:t xml:space="preserve"> a negative rule element </w:t>
      </w:r>
      <w:r w:rsidRPr="00F80570">
        <w:rPr>
          <w:rFonts w:ascii="Times New Roman" w:hAnsi="Times New Roman" w:cs="Times New Roman"/>
          <w:bCs/>
          <w:i/>
        </w:rPr>
        <w:t>or</w:t>
      </w:r>
      <w:r w:rsidRPr="00F80570">
        <w:rPr>
          <w:rFonts w:ascii="Times New Roman" w:hAnsi="Times New Roman" w:cs="Times New Roman"/>
          <w:bCs/>
        </w:rPr>
        <w:t xml:space="preserve"> a defence, depending on the relevant rule, is not to preserve the ‘muddiness of domestic waters’, as </w:t>
      </w:r>
      <w:proofErr w:type="spellStart"/>
      <w:r w:rsidRPr="00F80570">
        <w:rPr>
          <w:rFonts w:ascii="Times New Roman" w:hAnsi="Times New Roman" w:cs="Times New Roman"/>
          <w:bCs/>
        </w:rPr>
        <w:t>Dugard</w:t>
      </w:r>
      <w:proofErr w:type="spellEnd"/>
      <w:r w:rsidRPr="00F80570">
        <w:rPr>
          <w:rFonts w:ascii="Times New Roman" w:hAnsi="Times New Roman" w:cs="Times New Roman"/>
          <w:bCs/>
        </w:rPr>
        <w:t xml:space="preserve"> put it. It is, rather, a way of facilitating the legal accommodation of different normative messages and different societal understandings of what is harmful and what is not. </w:t>
      </w:r>
      <w:r w:rsidRPr="00F80570">
        <w:rPr>
          <w:rFonts w:ascii="Times New Roman" w:hAnsi="Times New Roman" w:cs="Times New Roman"/>
          <w:bCs/>
          <w:lang w:val="en-US"/>
        </w:rPr>
        <w:t xml:space="preserve">To impose a single model of </w:t>
      </w:r>
      <w:proofErr w:type="spellStart"/>
      <w:r w:rsidRPr="00F80570">
        <w:rPr>
          <w:rFonts w:ascii="Times New Roman" w:hAnsi="Times New Roman" w:cs="Times New Roman"/>
          <w:bCs/>
          <w:lang w:val="en-US"/>
        </w:rPr>
        <w:t>defences</w:t>
      </w:r>
      <w:proofErr w:type="spellEnd"/>
      <w:r w:rsidRPr="00F80570">
        <w:rPr>
          <w:rFonts w:ascii="Times New Roman" w:hAnsi="Times New Roman" w:cs="Times New Roman"/>
          <w:bCs/>
          <w:lang w:val="en-US"/>
        </w:rPr>
        <w:t>, whether it is the intrinsic or the extrinsic model, to the complicated reality of inter-</w:t>
      </w:r>
      <w:r>
        <w:rPr>
          <w:rFonts w:ascii="Times New Roman" w:hAnsi="Times New Roman" w:cs="Times New Roman"/>
          <w:bCs/>
          <w:lang w:val="en-US"/>
        </w:rPr>
        <w:t>s</w:t>
      </w:r>
      <w:r w:rsidRPr="00F80570">
        <w:rPr>
          <w:rFonts w:ascii="Times New Roman" w:hAnsi="Times New Roman" w:cs="Times New Roman"/>
          <w:bCs/>
          <w:lang w:val="en-US"/>
        </w:rPr>
        <w:t>tate affairs (or interpersonal affairs more broadly) is artificial</w:t>
      </w:r>
      <w:r w:rsidRPr="00F80570">
        <w:rPr>
          <w:rFonts w:ascii="Times New Roman" w:hAnsi="Times New Roman" w:cs="Times New Roman"/>
          <w:bCs/>
        </w:rPr>
        <w:t xml:space="preserve"> </w:t>
      </w:r>
      <w:r w:rsidRPr="00F80570">
        <w:rPr>
          <w:rFonts w:ascii="Times New Roman" w:hAnsi="Times New Roman" w:cs="Times New Roman"/>
          <w:bCs/>
          <w:lang w:val="en-US"/>
        </w:rPr>
        <w:t>and risks oversimplifying, and very often, distorting that reality</w:t>
      </w:r>
      <w:r w:rsidRPr="00F80570">
        <w:rPr>
          <w:rFonts w:ascii="Times New Roman" w:hAnsi="Times New Roman" w:cs="Times New Roman"/>
          <w:bCs/>
        </w:rPr>
        <w:t>.</w:t>
      </w:r>
      <w:r w:rsidRPr="00F80570">
        <w:rPr>
          <w:rFonts w:ascii="Times New Roman" w:hAnsi="Times New Roman" w:cs="Times New Roman"/>
          <w:bCs/>
          <w:vertAlign w:val="superscript"/>
        </w:rPr>
        <w:footnoteReference w:id="85"/>
      </w:r>
    </w:p>
    <w:p w:rsidR="00455856" w:rsidRPr="00F80570" w:rsidRDefault="00455856" w:rsidP="00AF7273">
      <w:pPr>
        <w:spacing w:line="360" w:lineRule="auto"/>
        <w:jc w:val="both"/>
        <w:rPr>
          <w:rFonts w:ascii="Times New Roman" w:hAnsi="Times New Roman" w:cs="Times New Roman"/>
          <w:bCs/>
        </w:rPr>
      </w:pPr>
    </w:p>
    <w:p w:rsidR="00455856" w:rsidRPr="00F80570" w:rsidRDefault="00455856" w:rsidP="00AF7273">
      <w:pPr>
        <w:spacing w:line="360" w:lineRule="auto"/>
        <w:jc w:val="both"/>
        <w:rPr>
          <w:rFonts w:ascii="Times New Roman" w:hAnsi="Times New Roman" w:cs="Times New Roman"/>
          <w:bCs/>
        </w:rPr>
      </w:pPr>
      <w:r w:rsidRPr="00F80570">
        <w:rPr>
          <w:rFonts w:ascii="Times New Roman" w:hAnsi="Times New Roman" w:cs="Times New Roman"/>
          <w:bCs/>
        </w:rPr>
        <w:tab/>
        <w:t>Defences and exceptions, in international law as much as in domestic law, can be formulated following either the intrinsic or the extrinsic model. The difficulty, as was mentioned, will be determining when one or the other formulation should be followed. It is precisely this difficulty which has troubled scholars in respect of consensual force: is consent an element of the definition of the prohibition of force, or is it a defence?</w:t>
      </w:r>
    </w:p>
    <w:p w:rsidR="00455856" w:rsidRPr="0070747C" w:rsidRDefault="00455856" w:rsidP="00AF7273">
      <w:pPr>
        <w:pStyle w:val="Heading1"/>
        <w:numPr>
          <w:ilvl w:val="0"/>
          <w:numId w:val="18"/>
        </w:numPr>
        <w:spacing w:line="360" w:lineRule="auto"/>
        <w:rPr>
          <w:rFonts w:ascii="Times New Roman" w:hAnsi="Times New Roman" w:cs="Times New Roman"/>
          <w:sz w:val="24"/>
          <w:szCs w:val="24"/>
        </w:rPr>
      </w:pPr>
      <w:bookmarkStart w:id="11" w:name="_Toc46390731"/>
      <w:r w:rsidRPr="0070747C">
        <w:rPr>
          <w:rFonts w:ascii="Times New Roman" w:hAnsi="Times New Roman" w:cs="Times New Roman"/>
          <w:sz w:val="24"/>
          <w:szCs w:val="24"/>
        </w:rPr>
        <w:t>Swallowing the exception: The mainstream view</w:t>
      </w:r>
      <w:bookmarkEnd w:id="11"/>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According to the majority of scholars who have addressed this question, consent (or rather non-consent) is incorporated into the definition of the prohibition of force. The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is not self-standing: to use Claire Finkelstein’s evocative expression, the exception has been swallowed by the rule.</w:t>
      </w:r>
      <w:r w:rsidRPr="00F80570">
        <w:rPr>
          <w:rStyle w:val="FootnoteReference"/>
          <w:rFonts w:ascii="Times New Roman" w:hAnsi="Times New Roman" w:cs="Times New Roman"/>
          <w:lang w:val="en-US"/>
        </w:rPr>
        <w:footnoteReference w:id="86"/>
      </w:r>
      <w:r w:rsidRPr="00F80570">
        <w:rPr>
          <w:rFonts w:ascii="Times New Roman" w:hAnsi="Times New Roman" w:cs="Times New Roman"/>
          <w:lang w:val="en-US"/>
        </w:rPr>
        <w:t xml:space="preserve"> In this section I set out this view, and address the three main arguments that have been put forward in its support: (</w:t>
      </w:r>
      <w:proofErr w:type="spellStart"/>
      <w:r w:rsidRPr="00F80570">
        <w:rPr>
          <w:rFonts w:ascii="Times New Roman" w:hAnsi="Times New Roman" w:cs="Times New Roman"/>
          <w:lang w:val="en-US"/>
        </w:rPr>
        <w:t>i</w:t>
      </w:r>
      <w:proofErr w:type="spellEnd"/>
      <w:r w:rsidRPr="00F80570">
        <w:rPr>
          <w:rFonts w:ascii="Times New Roman" w:hAnsi="Times New Roman" w:cs="Times New Roman"/>
          <w:lang w:val="en-US"/>
        </w:rPr>
        <w:t xml:space="preserve">) that consent is implicit in the language of Article 2(4) of the </w:t>
      </w:r>
      <w:r w:rsidRPr="00F80570">
        <w:rPr>
          <w:rFonts w:ascii="Times New Roman" w:hAnsi="Times New Roman" w:cs="Times New Roman"/>
          <w:lang w:val="en-US"/>
        </w:rPr>
        <w:lastRenderedPageBreak/>
        <w:t xml:space="preserve">Charter (textual argument); (ii) that intrinsic consent is the only way to square the conceptual circle if we accept the peremptory status of the prohibition of force (systemic argument); and, (iii) that consensual force is </w:t>
      </w:r>
      <w:r w:rsidRPr="00F80570">
        <w:rPr>
          <w:rFonts w:ascii="Times New Roman" w:hAnsi="Times New Roman" w:cs="Times New Roman"/>
          <w:i/>
          <w:iCs/>
          <w:lang w:val="en-US"/>
        </w:rPr>
        <w:t xml:space="preserve">ab initio </w:t>
      </w:r>
      <w:r w:rsidRPr="00F80570">
        <w:rPr>
          <w:rFonts w:ascii="Times New Roman" w:hAnsi="Times New Roman" w:cs="Times New Roman"/>
          <w:lang w:val="en-US"/>
        </w:rPr>
        <w:t>lawful (normative argument).</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After having laid out the arguments in </w:t>
      </w:r>
      <w:proofErr w:type="spellStart"/>
      <w:r w:rsidRPr="00F80570">
        <w:rPr>
          <w:rFonts w:ascii="Times New Roman" w:hAnsi="Times New Roman" w:cs="Times New Roman"/>
          <w:lang w:val="en-US"/>
        </w:rPr>
        <w:t>favour</w:t>
      </w:r>
      <w:proofErr w:type="spellEnd"/>
      <w:r w:rsidRPr="00F80570">
        <w:rPr>
          <w:rFonts w:ascii="Times New Roman" w:hAnsi="Times New Roman" w:cs="Times New Roman"/>
          <w:lang w:val="en-US"/>
        </w:rPr>
        <w:t xml:space="preserve"> of the mainstream view (as well as their limitations), I will assess this model by reference to the theoretical framework set out earlier. What does this model reveal about the presuppositions and implications of the regulation of force in the international legal order? As I will show, this model implies that force is not harmful as such, but rather only because it is non-consensual, and that it does not stand in need of justification.</w:t>
      </w:r>
    </w:p>
    <w:p w:rsidR="00455856" w:rsidRPr="00F80570" w:rsidRDefault="00455856" w:rsidP="00AF7273">
      <w:pPr>
        <w:pStyle w:val="Heading2"/>
      </w:pPr>
      <w:bookmarkStart w:id="12" w:name="_Toc46390732"/>
      <w:r>
        <w:t>3</w:t>
      </w:r>
      <w:r w:rsidRPr="00F80570">
        <w:t xml:space="preserve">.1. Three arguments in </w:t>
      </w:r>
      <w:proofErr w:type="spellStart"/>
      <w:r w:rsidRPr="00F80570">
        <w:t>favour</w:t>
      </w:r>
      <w:proofErr w:type="spellEnd"/>
      <w:r w:rsidRPr="00F80570">
        <w:t xml:space="preserve"> (and their limitations)</w:t>
      </w:r>
      <w:bookmarkEnd w:id="12"/>
    </w:p>
    <w:p w:rsidR="00455856" w:rsidRPr="00D55BF6" w:rsidRDefault="00455856" w:rsidP="00AF7273">
      <w:pPr>
        <w:pStyle w:val="Heading3"/>
      </w:pPr>
      <w:bookmarkStart w:id="13" w:name="_Toc38870538"/>
      <w:bookmarkStart w:id="14" w:name="_Toc46390733"/>
      <w:r w:rsidRPr="005E0DD2">
        <w:t>3.1(a) Textual argument: Consensual force and Article 2(4) of the Charter</w:t>
      </w:r>
      <w:bookmarkEnd w:id="13"/>
      <w:bookmarkEnd w:id="14"/>
    </w:p>
    <w:p w:rsidR="00455856" w:rsidRPr="00F80570" w:rsidRDefault="00455856" w:rsidP="00AF7273">
      <w:pPr>
        <w:adjustRightInd w:val="0"/>
        <w:snapToGrid w:val="0"/>
        <w:spacing w:line="360" w:lineRule="auto"/>
        <w:jc w:val="both"/>
        <w:rPr>
          <w:rFonts w:ascii="Times New Roman" w:hAnsi="Times New Roman" w:cs="Times New Roman"/>
          <w:lang w:val="en-US"/>
        </w:rPr>
      </w:pPr>
      <w:r w:rsidRPr="00F80570">
        <w:rPr>
          <w:rFonts w:ascii="Times New Roman" w:hAnsi="Times New Roman" w:cs="Times New Roman"/>
          <w:lang w:val="en-US"/>
        </w:rPr>
        <w:t>Article 2(4) states that:</w:t>
      </w:r>
    </w:p>
    <w:p w:rsidR="00455856" w:rsidRPr="00F80570" w:rsidRDefault="00455856" w:rsidP="00AF7273">
      <w:pPr>
        <w:spacing w:line="360" w:lineRule="auto"/>
        <w:ind w:left="720"/>
        <w:jc w:val="both"/>
        <w:rPr>
          <w:rFonts w:ascii="Times New Roman" w:hAnsi="Times New Roman" w:cs="Times New Roman"/>
        </w:rPr>
      </w:pPr>
    </w:p>
    <w:p w:rsidR="00455856" w:rsidRPr="00F80570" w:rsidRDefault="00455856" w:rsidP="00AF7273">
      <w:pPr>
        <w:spacing w:line="360" w:lineRule="auto"/>
        <w:ind w:left="720"/>
        <w:jc w:val="both"/>
        <w:rPr>
          <w:rFonts w:ascii="Times New Roman" w:hAnsi="Times New Roman" w:cs="Times New Roman"/>
        </w:rPr>
      </w:pPr>
      <w:r w:rsidRPr="00F80570">
        <w:rPr>
          <w:rFonts w:ascii="Times New Roman" w:hAnsi="Times New Roman" w:cs="Times New Roman"/>
        </w:rPr>
        <w:t>All Members shall refrain in their international relations from the threat or use of force against the territorial integrity or political independence of any state, or in any other manner inconsistent with the Purposes of the United Nations.</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adjustRightInd w:val="0"/>
        <w:snapToGrid w:val="0"/>
        <w:spacing w:line="360" w:lineRule="auto"/>
        <w:jc w:val="both"/>
        <w:rPr>
          <w:rFonts w:ascii="Times New Roman" w:hAnsi="Times New Roman" w:cs="Times New Roman"/>
          <w:lang w:val="en-US"/>
        </w:rPr>
      </w:pPr>
      <w:r w:rsidRPr="00F80570">
        <w:rPr>
          <w:rFonts w:ascii="Times New Roman" w:hAnsi="Times New Roman" w:cs="Times New Roman"/>
          <w:lang w:val="en-US"/>
        </w:rPr>
        <w:t>The exception of consent has been read into three different aspects of this provision: that force is prohibited ‘against the territorial integrity or political independence of another State’;</w:t>
      </w:r>
      <w:r w:rsidRPr="00F80570">
        <w:rPr>
          <w:rStyle w:val="FootnoteReference"/>
          <w:rFonts w:ascii="Times New Roman" w:hAnsi="Times New Roman" w:cs="Times New Roman"/>
          <w:lang w:val="en-US"/>
        </w:rPr>
        <w:footnoteReference w:id="87"/>
      </w:r>
      <w:r w:rsidRPr="00F80570">
        <w:rPr>
          <w:rFonts w:ascii="Times New Roman" w:hAnsi="Times New Roman" w:cs="Times New Roman"/>
          <w:lang w:val="en-US"/>
        </w:rPr>
        <w:t xml:space="preserve"> that force is prohibited only if it occurs in international relations;</w:t>
      </w:r>
      <w:r w:rsidRPr="00F80570">
        <w:rPr>
          <w:rStyle w:val="FootnoteReference"/>
          <w:rFonts w:ascii="Times New Roman" w:hAnsi="Times New Roman" w:cs="Times New Roman"/>
          <w:lang w:val="en-US"/>
        </w:rPr>
        <w:footnoteReference w:id="88"/>
      </w:r>
      <w:r w:rsidRPr="00F80570">
        <w:rPr>
          <w:rFonts w:ascii="Times New Roman" w:hAnsi="Times New Roman" w:cs="Times New Roman"/>
          <w:lang w:val="en-US"/>
        </w:rPr>
        <w:t xml:space="preserve"> and that force is prohibited if it is inconsistent with the purposes of the Charter. </w:t>
      </w:r>
      <w:r w:rsidRPr="00F80570">
        <w:rPr>
          <w:rFonts w:ascii="Times New Roman" w:hAnsi="Times New Roman" w:cs="Times New Roman"/>
          <w:i/>
          <w:lang w:val="en-US"/>
        </w:rPr>
        <w:t xml:space="preserve">A </w:t>
      </w:r>
      <w:proofErr w:type="spellStart"/>
      <w:r w:rsidRPr="00F80570">
        <w:rPr>
          <w:rFonts w:ascii="Times New Roman" w:hAnsi="Times New Roman" w:cs="Times New Roman"/>
          <w:i/>
          <w:lang w:val="en-US"/>
        </w:rPr>
        <w:t>contrario</w:t>
      </w:r>
      <w:proofErr w:type="spellEnd"/>
      <w:r w:rsidRPr="00F80570">
        <w:rPr>
          <w:rFonts w:ascii="Times New Roman" w:hAnsi="Times New Roman" w:cs="Times New Roman"/>
          <w:lang w:val="en-US"/>
        </w:rPr>
        <w:t xml:space="preserve">, </w:t>
      </w:r>
      <w:r w:rsidR="00326BEB">
        <w:rPr>
          <w:rFonts w:ascii="Times New Roman" w:hAnsi="Times New Roman" w:cs="Times New Roman"/>
          <w:lang w:val="en-US"/>
        </w:rPr>
        <w:t xml:space="preserve">when </w:t>
      </w:r>
      <w:r w:rsidRPr="00F80570">
        <w:rPr>
          <w:rFonts w:ascii="Times New Roman" w:hAnsi="Times New Roman" w:cs="Times New Roman"/>
          <w:lang w:val="en-US"/>
        </w:rPr>
        <w:t xml:space="preserve">force </w:t>
      </w:r>
      <w:r w:rsidR="00326BEB">
        <w:rPr>
          <w:rFonts w:ascii="Times New Roman" w:hAnsi="Times New Roman" w:cs="Times New Roman"/>
          <w:lang w:val="en-US"/>
        </w:rPr>
        <w:t xml:space="preserve">is used with the consent of another state it </w:t>
      </w:r>
      <w:r w:rsidRPr="00F80570">
        <w:rPr>
          <w:rFonts w:ascii="Times New Roman" w:hAnsi="Times New Roman" w:cs="Times New Roman"/>
          <w:lang w:val="en-US"/>
        </w:rPr>
        <w:t xml:space="preserve">is not against the territorial integrity or political independence of </w:t>
      </w:r>
      <w:r w:rsidR="00326BEB">
        <w:rPr>
          <w:rFonts w:ascii="Times New Roman" w:hAnsi="Times New Roman" w:cs="Times New Roman"/>
          <w:lang w:val="en-US"/>
        </w:rPr>
        <w:t>that</w:t>
      </w:r>
      <w:r w:rsidRPr="00F80570">
        <w:rPr>
          <w:rFonts w:ascii="Times New Roman" w:hAnsi="Times New Roman" w:cs="Times New Roman"/>
          <w:lang w:val="en-US"/>
        </w:rPr>
        <w:t xml:space="preserve"> </w:t>
      </w:r>
      <w:r>
        <w:rPr>
          <w:rFonts w:ascii="Times New Roman" w:hAnsi="Times New Roman" w:cs="Times New Roman"/>
          <w:lang w:val="en-US"/>
        </w:rPr>
        <w:t>s</w:t>
      </w:r>
      <w:r w:rsidRPr="00F80570">
        <w:rPr>
          <w:rFonts w:ascii="Times New Roman" w:hAnsi="Times New Roman" w:cs="Times New Roman"/>
          <w:lang w:val="en-US"/>
        </w:rPr>
        <w:t xml:space="preserve">tate, </w:t>
      </w:r>
      <w:r w:rsidR="00326BEB">
        <w:rPr>
          <w:rFonts w:ascii="Times New Roman" w:hAnsi="Times New Roman" w:cs="Times New Roman"/>
          <w:lang w:val="en-US"/>
        </w:rPr>
        <w:t xml:space="preserve">it is </w:t>
      </w:r>
      <w:r w:rsidRPr="00F80570">
        <w:rPr>
          <w:rFonts w:ascii="Times New Roman" w:hAnsi="Times New Roman" w:cs="Times New Roman"/>
          <w:lang w:val="en-US"/>
        </w:rPr>
        <w:t xml:space="preserve">not employed in </w:t>
      </w:r>
      <w:r w:rsidR="00326BEB">
        <w:rPr>
          <w:rFonts w:ascii="Times New Roman" w:hAnsi="Times New Roman" w:cs="Times New Roman"/>
          <w:lang w:val="en-US"/>
        </w:rPr>
        <w:t xml:space="preserve">the </w:t>
      </w:r>
      <w:r w:rsidRPr="00F80570">
        <w:rPr>
          <w:rFonts w:ascii="Times New Roman" w:hAnsi="Times New Roman" w:cs="Times New Roman"/>
          <w:lang w:val="en-US"/>
        </w:rPr>
        <w:t>international relations</w:t>
      </w:r>
      <w:r w:rsidR="00326BEB">
        <w:rPr>
          <w:rFonts w:ascii="Times New Roman" w:hAnsi="Times New Roman" w:cs="Times New Roman"/>
          <w:lang w:val="en-US"/>
        </w:rPr>
        <w:t xml:space="preserve"> of the involved states</w:t>
      </w:r>
      <w:r w:rsidRPr="00F80570">
        <w:rPr>
          <w:rFonts w:ascii="Times New Roman" w:hAnsi="Times New Roman" w:cs="Times New Roman"/>
          <w:lang w:val="en-US"/>
        </w:rPr>
        <w:t xml:space="preserve">, or </w:t>
      </w:r>
      <w:r w:rsidR="00326BEB">
        <w:rPr>
          <w:rFonts w:ascii="Times New Roman" w:hAnsi="Times New Roman" w:cs="Times New Roman"/>
          <w:lang w:val="en-US"/>
        </w:rPr>
        <w:t xml:space="preserve">it is </w:t>
      </w:r>
      <w:r w:rsidRPr="00F80570">
        <w:rPr>
          <w:rFonts w:ascii="Times New Roman" w:hAnsi="Times New Roman" w:cs="Times New Roman"/>
          <w:lang w:val="en-US"/>
        </w:rPr>
        <w:t>not inconsistent with the purposes of the Charter.</w:t>
      </w:r>
      <w:r w:rsidRPr="00F80570">
        <w:rPr>
          <w:rStyle w:val="FootnoteReference"/>
          <w:rFonts w:ascii="Times New Roman" w:hAnsi="Times New Roman" w:cs="Times New Roman"/>
          <w:lang w:val="en-US"/>
        </w:rPr>
        <w:footnoteReference w:id="89"/>
      </w:r>
      <w:r w:rsidRPr="00F80570">
        <w:rPr>
          <w:rFonts w:ascii="Times New Roman" w:hAnsi="Times New Roman" w:cs="Times New Roman"/>
          <w:lang w:val="en-US"/>
        </w:rPr>
        <w:t xml:space="preserve"> Therefore, so the argument goes, the rule </w:t>
      </w:r>
      <w:r w:rsidRPr="00F80570">
        <w:rPr>
          <w:rFonts w:ascii="Times New Roman" w:hAnsi="Times New Roman" w:cs="Times New Roman"/>
          <w:i/>
          <w:lang w:val="en-US"/>
        </w:rPr>
        <w:t>already</w:t>
      </w:r>
      <w:r w:rsidRPr="00F80570">
        <w:rPr>
          <w:rFonts w:ascii="Times New Roman" w:hAnsi="Times New Roman" w:cs="Times New Roman"/>
          <w:lang w:val="en-US"/>
        </w:rPr>
        <w:t xml:space="preserve"> incorporates the exception of consent in its definition. Each of these three versions of the textual argument presents some weaknesses.</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First, while it is plausible to interpret the words ‘against territorial integrity and political independence’ as involving an element of non-consent</w:t>
      </w:r>
      <w:r w:rsidR="002D3664">
        <w:rPr>
          <w:rFonts w:ascii="Times New Roman" w:hAnsi="Times New Roman" w:cs="Times New Roman"/>
          <w:lang w:val="en-US"/>
        </w:rPr>
        <w:t>,</w:t>
      </w:r>
      <w:r w:rsidRPr="00F80570">
        <w:rPr>
          <w:rFonts w:ascii="Times New Roman" w:hAnsi="Times New Roman" w:cs="Times New Roman"/>
          <w:lang w:val="en-US"/>
        </w:rPr>
        <w:t xml:space="preserve"> the </w:t>
      </w:r>
      <w:r w:rsidRPr="00F80570">
        <w:rPr>
          <w:rFonts w:ascii="Times New Roman" w:hAnsi="Times New Roman" w:cs="Times New Roman"/>
          <w:i/>
          <w:iCs/>
          <w:lang w:val="en-US"/>
        </w:rPr>
        <w:t xml:space="preserve">travaux </w:t>
      </w:r>
      <w:r w:rsidRPr="00F80570">
        <w:rPr>
          <w:rFonts w:ascii="Times New Roman" w:hAnsi="Times New Roman" w:cs="Times New Roman"/>
          <w:lang w:val="en-US"/>
        </w:rPr>
        <w:t>do not confirm such an interpretation. Indeed, the words ‘territorial integrity and political independence’ were included in the text of Article 2(4) to reinforce the prohibition, not to limit or qualify it.</w:t>
      </w:r>
      <w:r w:rsidRPr="00F80570">
        <w:rPr>
          <w:rStyle w:val="FootnoteReference"/>
          <w:rFonts w:ascii="Times New Roman" w:hAnsi="Times New Roman" w:cs="Times New Roman"/>
          <w:lang w:val="en-US"/>
        </w:rPr>
        <w:footnoteReference w:id="90"/>
      </w:r>
      <w:r w:rsidRPr="00F80570">
        <w:rPr>
          <w:rFonts w:ascii="Times New Roman" w:hAnsi="Times New Roman" w:cs="Times New Roman"/>
          <w:lang w:val="en-US"/>
        </w:rPr>
        <w:t xml:space="preserve"> That these words do not limit the scope of the prohibition is further corroborated </w:t>
      </w:r>
      <w:r>
        <w:rPr>
          <w:rFonts w:ascii="Times New Roman" w:hAnsi="Times New Roman" w:cs="Times New Roman"/>
          <w:lang w:val="en-US"/>
        </w:rPr>
        <w:t>in</w:t>
      </w:r>
      <w:r w:rsidRPr="00F80570">
        <w:rPr>
          <w:rFonts w:ascii="Times New Roman" w:hAnsi="Times New Roman" w:cs="Times New Roman"/>
          <w:lang w:val="en-US"/>
        </w:rPr>
        <w:t xml:space="preserve"> practice. Other attempts at establishing the permissibility of certain forms of the use force grounded on this expression have failed. Thus, the UK’s argument in </w:t>
      </w:r>
      <w:r w:rsidRPr="00F80570">
        <w:rPr>
          <w:rFonts w:ascii="Times New Roman" w:hAnsi="Times New Roman" w:cs="Times New Roman"/>
          <w:i/>
          <w:lang w:val="en-US"/>
        </w:rPr>
        <w:t>Corfu Channel</w:t>
      </w:r>
      <w:r w:rsidRPr="00F80570">
        <w:rPr>
          <w:rFonts w:ascii="Times New Roman" w:hAnsi="Times New Roman" w:cs="Times New Roman"/>
          <w:lang w:val="en-US"/>
        </w:rPr>
        <w:t xml:space="preserve"> that its mine-sweeping operation in Albania’s waters was lawful as it did not affect the latter’s territorial integrity or political independence was rejected by the ICJ.</w:t>
      </w:r>
      <w:r w:rsidRPr="00F80570">
        <w:rPr>
          <w:rStyle w:val="FootnoteReference"/>
          <w:rFonts w:ascii="Times New Roman" w:hAnsi="Times New Roman" w:cs="Times New Roman"/>
          <w:lang w:val="en-US"/>
        </w:rPr>
        <w:footnoteReference w:id="91"/>
      </w:r>
      <w:r w:rsidRPr="00F80570">
        <w:rPr>
          <w:rFonts w:ascii="Times New Roman" w:hAnsi="Times New Roman" w:cs="Times New Roman"/>
          <w:lang w:val="en-US"/>
        </w:rPr>
        <w:t xml:space="preserve"> Similarly, the argument that humanitarian intervention is permissible as it does not affect the target </w:t>
      </w:r>
      <w:r>
        <w:rPr>
          <w:rFonts w:ascii="Times New Roman" w:hAnsi="Times New Roman" w:cs="Times New Roman"/>
          <w:lang w:val="en-US"/>
        </w:rPr>
        <w:t>s</w:t>
      </w:r>
      <w:r w:rsidRPr="00F80570">
        <w:rPr>
          <w:rFonts w:ascii="Times New Roman" w:hAnsi="Times New Roman" w:cs="Times New Roman"/>
          <w:lang w:val="en-US"/>
        </w:rPr>
        <w:t>tate’s ‘territorial integrity or political independence’ has not been accepted.</w:t>
      </w:r>
      <w:r w:rsidRPr="00F80570">
        <w:rPr>
          <w:rStyle w:val="FootnoteReference"/>
          <w:rFonts w:ascii="Times New Roman" w:hAnsi="Times New Roman" w:cs="Times New Roman"/>
          <w:lang w:val="en-US"/>
        </w:rPr>
        <w:footnoteReference w:id="92"/>
      </w:r>
      <w:r w:rsidRPr="00F80570">
        <w:rPr>
          <w:rFonts w:ascii="Times New Roman" w:hAnsi="Times New Roman" w:cs="Times New Roman"/>
          <w:lang w:val="en-US"/>
        </w:rPr>
        <w:t xml:space="preserve"> It might be countered that in both these cases the use of force was against the target </w:t>
      </w:r>
      <w:r>
        <w:rPr>
          <w:rFonts w:ascii="Times New Roman" w:hAnsi="Times New Roman" w:cs="Times New Roman"/>
          <w:lang w:val="en-US"/>
        </w:rPr>
        <w:t>s</w:t>
      </w:r>
      <w:r w:rsidRPr="00F80570">
        <w:rPr>
          <w:rFonts w:ascii="Times New Roman" w:hAnsi="Times New Roman" w:cs="Times New Roman"/>
          <w:lang w:val="en-US"/>
        </w:rPr>
        <w:t xml:space="preserve">tate’s will, so the analogy cannot hold. But the point is that to ground a permission to use force in these words of Article 2(4), whatever that permission might be, requires reading them as a limitation to the scope of the provision, and the drafters of the Charter were clear that these words should not be used for that purpose.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Second, the version of the textual argument based on the words ‘international relations’ seems more plausible – at least at first sight. After all, ‘[t]he international relations of a State are not affected if it consents to the use of armed force by another State in its own territory’.</w:t>
      </w:r>
      <w:r w:rsidRPr="00F80570">
        <w:rPr>
          <w:rStyle w:val="FootnoteReference"/>
          <w:rFonts w:ascii="Times New Roman" w:hAnsi="Times New Roman" w:cs="Times New Roman"/>
          <w:lang w:val="en-US"/>
        </w:rPr>
        <w:footnoteReference w:id="93"/>
      </w:r>
      <w:r w:rsidRPr="00F80570">
        <w:rPr>
          <w:rFonts w:ascii="Times New Roman" w:hAnsi="Times New Roman" w:cs="Times New Roman"/>
          <w:lang w:val="en-US"/>
        </w:rPr>
        <w:t xml:space="preserve"> But the argument is question-begging, for the issue is not whether the ‘international relations’ of the inviting </w:t>
      </w:r>
      <w:r>
        <w:rPr>
          <w:rFonts w:ascii="Times New Roman" w:hAnsi="Times New Roman" w:cs="Times New Roman"/>
          <w:lang w:val="en-US"/>
        </w:rPr>
        <w:t>s</w:t>
      </w:r>
      <w:r w:rsidRPr="00F80570">
        <w:rPr>
          <w:rFonts w:ascii="Times New Roman" w:hAnsi="Times New Roman" w:cs="Times New Roman"/>
          <w:lang w:val="en-US"/>
        </w:rPr>
        <w:t>tate are affected, but what the expression ‘using force in international relations’ means. It is widely agreed that the prohibition of force has an inter-</w:t>
      </w:r>
      <w:r>
        <w:rPr>
          <w:rFonts w:ascii="Times New Roman" w:hAnsi="Times New Roman" w:cs="Times New Roman"/>
          <w:lang w:val="en-US"/>
        </w:rPr>
        <w:t>s</w:t>
      </w:r>
      <w:r w:rsidRPr="00F80570">
        <w:rPr>
          <w:rFonts w:ascii="Times New Roman" w:hAnsi="Times New Roman" w:cs="Times New Roman"/>
          <w:lang w:val="en-US"/>
        </w:rPr>
        <w:t xml:space="preserve">tate character, in the sense that it excludes from its scope military measures that are purely in the internal affairs of the </w:t>
      </w:r>
      <w:r>
        <w:rPr>
          <w:rFonts w:ascii="Times New Roman" w:hAnsi="Times New Roman" w:cs="Times New Roman"/>
          <w:lang w:val="en-US"/>
        </w:rPr>
        <w:t>s</w:t>
      </w:r>
      <w:r w:rsidRPr="00F80570">
        <w:rPr>
          <w:rFonts w:ascii="Times New Roman" w:hAnsi="Times New Roman" w:cs="Times New Roman"/>
          <w:lang w:val="en-US"/>
        </w:rPr>
        <w:t>tate using force</w:t>
      </w:r>
      <w:r w:rsidR="002D3664">
        <w:rPr>
          <w:rFonts w:ascii="Times New Roman" w:hAnsi="Times New Roman" w:cs="Times New Roman"/>
          <w:lang w:val="en-US"/>
        </w:rPr>
        <w:t>.</w:t>
      </w:r>
      <w:r w:rsidRPr="00F80570">
        <w:rPr>
          <w:rStyle w:val="FootnoteReference"/>
          <w:rFonts w:ascii="Times New Roman" w:hAnsi="Times New Roman" w:cs="Times New Roman"/>
          <w:lang w:val="en-US"/>
        </w:rPr>
        <w:footnoteReference w:id="94"/>
      </w:r>
      <w:r w:rsidRPr="00F80570">
        <w:rPr>
          <w:rFonts w:ascii="Times New Roman" w:hAnsi="Times New Roman" w:cs="Times New Roman"/>
          <w:lang w:val="en-US"/>
        </w:rPr>
        <w:t xml:space="preserve"> </w:t>
      </w:r>
      <w:r w:rsidRPr="00F80570">
        <w:rPr>
          <w:rFonts w:ascii="Times New Roman" w:hAnsi="Times New Roman" w:cs="Times New Roman"/>
          <w:i/>
          <w:lang w:val="en-US"/>
        </w:rPr>
        <w:t xml:space="preserve">A </w:t>
      </w:r>
      <w:proofErr w:type="spellStart"/>
      <w:r w:rsidRPr="00F80570">
        <w:rPr>
          <w:rFonts w:ascii="Times New Roman" w:hAnsi="Times New Roman" w:cs="Times New Roman"/>
          <w:i/>
          <w:lang w:val="en-US"/>
        </w:rPr>
        <w:t>contrario</w:t>
      </w:r>
      <w:proofErr w:type="spellEnd"/>
      <w:r w:rsidRPr="00F80570">
        <w:rPr>
          <w:rFonts w:ascii="Times New Roman" w:hAnsi="Times New Roman" w:cs="Times New Roman"/>
          <w:lang w:val="en-US"/>
        </w:rPr>
        <w:t xml:space="preserve">, the prohibition must be directed at uses of force involving another </w:t>
      </w:r>
      <w:r>
        <w:rPr>
          <w:rFonts w:ascii="Times New Roman" w:hAnsi="Times New Roman" w:cs="Times New Roman"/>
          <w:lang w:val="en-US"/>
        </w:rPr>
        <w:t>s</w:t>
      </w:r>
      <w:r w:rsidRPr="00F80570">
        <w:rPr>
          <w:rFonts w:ascii="Times New Roman" w:hAnsi="Times New Roman" w:cs="Times New Roman"/>
          <w:lang w:val="en-US"/>
        </w:rPr>
        <w:t xml:space="preserve">tate, either a use of force on a foreign </w:t>
      </w:r>
      <w:r>
        <w:rPr>
          <w:rFonts w:ascii="Times New Roman" w:hAnsi="Times New Roman" w:cs="Times New Roman"/>
          <w:lang w:val="en-US"/>
        </w:rPr>
        <w:t>st</w:t>
      </w:r>
      <w:r w:rsidRPr="00F80570">
        <w:rPr>
          <w:rFonts w:ascii="Times New Roman" w:hAnsi="Times New Roman" w:cs="Times New Roman"/>
          <w:lang w:val="en-US"/>
        </w:rPr>
        <w:t>ate target</w:t>
      </w:r>
      <w:r>
        <w:rPr>
          <w:rFonts w:ascii="Times New Roman" w:hAnsi="Times New Roman" w:cs="Times New Roman"/>
          <w:lang w:val="en-US"/>
        </w:rPr>
        <w:t>, say</w:t>
      </w:r>
      <w:r w:rsidRPr="00F80570">
        <w:rPr>
          <w:rFonts w:ascii="Times New Roman" w:hAnsi="Times New Roman" w:cs="Times New Roman"/>
          <w:lang w:val="en-US"/>
        </w:rPr>
        <w:t xml:space="preserve"> within a </w:t>
      </w:r>
      <w:r>
        <w:rPr>
          <w:rFonts w:ascii="Times New Roman" w:hAnsi="Times New Roman" w:cs="Times New Roman"/>
          <w:lang w:val="en-US"/>
        </w:rPr>
        <w:t>s</w:t>
      </w:r>
      <w:r w:rsidRPr="00F80570">
        <w:rPr>
          <w:rFonts w:ascii="Times New Roman" w:hAnsi="Times New Roman" w:cs="Times New Roman"/>
          <w:lang w:val="en-US"/>
        </w:rPr>
        <w:t>tate’s own territory</w:t>
      </w:r>
      <w:r>
        <w:rPr>
          <w:rFonts w:ascii="Times New Roman" w:hAnsi="Times New Roman" w:cs="Times New Roman"/>
          <w:lang w:val="en-US"/>
        </w:rPr>
        <w:t>,</w:t>
      </w:r>
      <w:r w:rsidRPr="00F80570">
        <w:rPr>
          <w:rFonts w:ascii="Times New Roman" w:hAnsi="Times New Roman" w:cs="Times New Roman"/>
          <w:lang w:val="en-US"/>
        </w:rPr>
        <w:t xml:space="preserve"> </w:t>
      </w:r>
      <w:r w:rsidRPr="00F80570">
        <w:rPr>
          <w:rFonts w:ascii="Times New Roman" w:hAnsi="Times New Roman" w:cs="Times New Roman"/>
          <w:lang w:val="en-US"/>
        </w:rPr>
        <w:lastRenderedPageBreak/>
        <w:t xml:space="preserve">or on the territory of that other </w:t>
      </w:r>
      <w:r>
        <w:rPr>
          <w:rFonts w:ascii="Times New Roman" w:hAnsi="Times New Roman" w:cs="Times New Roman"/>
          <w:lang w:val="en-US"/>
        </w:rPr>
        <w:t>s</w:t>
      </w:r>
      <w:r w:rsidRPr="00F80570">
        <w:rPr>
          <w:rFonts w:ascii="Times New Roman" w:hAnsi="Times New Roman" w:cs="Times New Roman"/>
          <w:lang w:val="en-US"/>
        </w:rPr>
        <w:t xml:space="preserve">tate. It follows that any use of force by a </w:t>
      </w:r>
      <w:r>
        <w:rPr>
          <w:rFonts w:ascii="Times New Roman" w:hAnsi="Times New Roman" w:cs="Times New Roman"/>
          <w:lang w:val="en-US"/>
        </w:rPr>
        <w:t>s</w:t>
      </w:r>
      <w:r w:rsidRPr="00F80570">
        <w:rPr>
          <w:rFonts w:ascii="Times New Roman" w:hAnsi="Times New Roman" w:cs="Times New Roman"/>
          <w:lang w:val="en-US"/>
        </w:rPr>
        <w:t xml:space="preserve">tate’s armed forces involving another </w:t>
      </w:r>
      <w:r>
        <w:rPr>
          <w:rFonts w:ascii="Times New Roman" w:hAnsi="Times New Roman" w:cs="Times New Roman"/>
          <w:lang w:val="en-US"/>
        </w:rPr>
        <w:t>s</w:t>
      </w:r>
      <w:r w:rsidRPr="00F80570">
        <w:rPr>
          <w:rFonts w:ascii="Times New Roman" w:hAnsi="Times New Roman" w:cs="Times New Roman"/>
          <w:lang w:val="en-US"/>
        </w:rPr>
        <w:t>tate</w:t>
      </w:r>
      <w:r w:rsidR="0097674C">
        <w:rPr>
          <w:rFonts w:ascii="Times New Roman" w:hAnsi="Times New Roman" w:cs="Times New Roman"/>
          <w:lang w:val="en-US"/>
        </w:rPr>
        <w:t xml:space="preserve"> </w:t>
      </w:r>
      <w:r w:rsidRPr="00F80570">
        <w:rPr>
          <w:rFonts w:ascii="Times New Roman" w:hAnsi="Times New Roman" w:cs="Times New Roman"/>
          <w:lang w:val="en-US"/>
        </w:rPr>
        <w:t>is a use of force in ‘international relations’.</w:t>
      </w:r>
      <w:r w:rsidRPr="00F80570">
        <w:rPr>
          <w:rStyle w:val="FootnoteReference"/>
          <w:rFonts w:ascii="Times New Roman" w:hAnsi="Times New Roman" w:cs="Times New Roman"/>
          <w:lang w:val="en-US"/>
        </w:rPr>
        <w:footnoteReference w:id="95"/>
      </w:r>
      <w:r w:rsidRPr="00F80570">
        <w:rPr>
          <w:rFonts w:ascii="Times New Roman" w:hAnsi="Times New Roman" w:cs="Times New Roman"/>
          <w:lang w:val="en-US"/>
        </w:rPr>
        <w:t xml:space="preserve"> Where for the </w:t>
      </w:r>
      <w:r>
        <w:rPr>
          <w:rFonts w:ascii="Times New Roman" w:hAnsi="Times New Roman" w:cs="Times New Roman"/>
          <w:lang w:val="en-US"/>
        </w:rPr>
        <w:t>inviting s</w:t>
      </w:r>
      <w:r w:rsidRPr="00F80570">
        <w:rPr>
          <w:rFonts w:ascii="Times New Roman" w:hAnsi="Times New Roman" w:cs="Times New Roman"/>
          <w:lang w:val="en-US"/>
        </w:rPr>
        <w:t>tate this may be a use of force</w:t>
      </w:r>
      <w:r>
        <w:rPr>
          <w:rFonts w:ascii="Times New Roman" w:hAnsi="Times New Roman" w:cs="Times New Roman"/>
          <w:lang w:val="en-US"/>
        </w:rPr>
        <w:t xml:space="preserve"> in its internal affairs</w:t>
      </w:r>
      <w:r w:rsidRPr="00F80570">
        <w:rPr>
          <w:rFonts w:ascii="Times New Roman" w:hAnsi="Times New Roman" w:cs="Times New Roman"/>
          <w:lang w:val="en-US"/>
        </w:rPr>
        <w:t xml:space="preserve">, for the intervening </w:t>
      </w:r>
      <w:r>
        <w:rPr>
          <w:rFonts w:ascii="Times New Roman" w:hAnsi="Times New Roman" w:cs="Times New Roman"/>
          <w:lang w:val="en-US"/>
        </w:rPr>
        <w:t>s</w:t>
      </w:r>
      <w:r w:rsidRPr="00F80570">
        <w:rPr>
          <w:rFonts w:ascii="Times New Roman" w:hAnsi="Times New Roman" w:cs="Times New Roman"/>
          <w:lang w:val="en-US"/>
        </w:rPr>
        <w:t>tate this is a use of force in international relations.</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rPr>
      </w:pPr>
      <w:r w:rsidRPr="00F80570">
        <w:rPr>
          <w:rFonts w:ascii="Times New Roman" w:hAnsi="Times New Roman" w:cs="Times New Roman"/>
          <w:lang w:val="en-US"/>
        </w:rPr>
        <w:tab/>
        <w:t>An alternative version of this argument reads the words ‘international relations’ to mean ‘inter-</w:t>
      </w:r>
      <w:r>
        <w:rPr>
          <w:rFonts w:ascii="Times New Roman" w:hAnsi="Times New Roman" w:cs="Times New Roman"/>
          <w:lang w:val="en-US"/>
        </w:rPr>
        <w:t>s</w:t>
      </w:r>
      <w:r w:rsidRPr="00F80570">
        <w:rPr>
          <w:rFonts w:ascii="Times New Roman" w:hAnsi="Times New Roman" w:cs="Times New Roman"/>
          <w:lang w:val="en-US"/>
        </w:rPr>
        <w:t>tate use of force’. After all, it is said, it ‘</w:t>
      </w:r>
      <w:r w:rsidRPr="00F80570">
        <w:rPr>
          <w:rFonts w:ascii="Times New Roman" w:hAnsi="Times New Roman" w:cs="Times New Roman"/>
        </w:rPr>
        <w:t>is clear that Article 2(4), drafted in response to the Second World War, was addressed to inter-state conflicts.’</w:t>
      </w:r>
      <w:r w:rsidRPr="00F80570">
        <w:rPr>
          <w:rStyle w:val="FootnoteReference"/>
          <w:rFonts w:ascii="Times New Roman" w:hAnsi="Times New Roman" w:cs="Times New Roman"/>
        </w:rPr>
        <w:footnoteReference w:id="96"/>
      </w:r>
      <w:r w:rsidRPr="00F80570">
        <w:rPr>
          <w:rFonts w:ascii="Times New Roman" w:hAnsi="Times New Roman" w:cs="Times New Roman"/>
        </w:rPr>
        <w:t xml:space="preserve"> Using force with a </w:t>
      </w:r>
      <w:r>
        <w:rPr>
          <w:rFonts w:ascii="Times New Roman" w:hAnsi="Times New Roman" w:cs="Times New Roman"/>
        </w:rPr>
        <w:t>s</w:t>
      </w:r>
      <w:r w:rsidRPr="00F80570">
        <w:rPr>
          <w:rFonts w:ascii="Times New Roman" w:hAnsi="Times New Roman" w:cs="Times New Roman"/>
        </w:rPr>
        <w:t>tate’s consent is not an inter-</w:t>
      </w:r>
      <w:r>
        <w:rPr>
          <w:rFonts w:ascii="Times New Roman" w:hAnsi="Times New Roman" w:cs="Times New Roman"/>
        </w:rPr>
        <w:t>s</w:t>
      </w:r>
      <w:r w:rsidRPr="00F80570">
        <w:rPr>
          <w:rFonts w:ascii="Times New Roman" w:hAnsi="Times New Roman" w:cs="Times New Roman"/>
        </w:rPr>
        <w:t>tate conflict and, as a result, it falls outside of the scope of the prohibition. This argument, too, assumes its own conclusion insofar as it interprets the words ‘international relations’ in antagonistic terms: in a ‘</w:t>
      </w:r>
      <w:r>
        <w:rPr>
          <w:rFonts w:ascii="Times New Roman" w:hAnsi="Times New Roman" w:cs="Times New Roman"/>
        </w:rPr>
        <w:t>s</w:t>
      </w:r>
      <w:r w:rsidRPr="00F80570">
        <w:rPr>
          <w:rFonts w:ascii="Times New Roman" w:hAnsi="Times New Roman" w:cs="Times New Roman"/>
        </w:rPr>
        <w:t xml:space="preserve">tate </w:t>
      </w:r>
      <w:r w:rsidRPr="00107A76">
        <w:rPr>
          <w:rFonts w:ascii="Times New Roman" w:hAnsi="Times New Roman" w:cs="Times New Roman"/>
          <w:i/>
          <w:iCs/>
        </w:rPr>
        <w:t>v</w:t>
      </w:r>
      <w:r w:rsidRPr="00F80570">
        <w:rPr>
          <w:rFonts w:ascii="Times New Roman" w:hAnsi="Times New Roman" w:cs="Times New Roman"/>
        </w:rPr>
        <w:t xml:space="preserve"> </w:t>
      </w:r>
      <w:r>
        <w:rPr>
          <w:rFonts w:ascii="Times New Roman" w:hAnsi="Times New Roman" w:cs="Times New Roman"/>
        </w:rPr>
        <w:t>s</w:t>
      </w:r>
      <w:r w:rsidRPr="00F80570">
        <w:rPr>
          <w:rFonts w:ascii="Times New Roman" w:hAnsi="Times New Roman" w:cs="Times New Roman"/>
        </w:rPr>
        <w:t xml:space="preserve">tate’ sense. But the expression ‘international relations’ is not limited to hostile, in particular armed, relations – friendly relations too are ‘international relations’. We talk of international cooperation when a </w:t>
      </w:r>
      <w:r>
        <w:rPr>
          <w:rFonts w:ascii="Times New Roman" w:hAnsi="Times New Roman" w:cs="Times New Roman"/>
        </w:rPr>
        <w:t>s</w:t>
      </w:r>
      <w:r w:rsidRPr="00F80570">
        <w:rPr>
          <w:rFonts w:ascii="Times New Roman" w:hAnsi="Times New Roman" w:cs="Times New Roman"/>
        </w:rPr>
        <w:t xml:space="preserve">tate assists another in, for example, criminal investigations and proceedings, and we would be hard pressed to say that such cooperation is not one in ‘international relations’. Any use of force that involves more than one </w:t>
      </w:r>
      <w:r>
        <w:rPr>
          <w:rFonts w:ascii="Times New Roman" w:hAnsi="Times New Roman" w:cs="Times New Roman"/>
        </w:rPr>
        <w:t>s</w:t>
      </w:r>
      <w:r w:rsidRPr="00F80570">
        <w:rPr>
          <w:rFonts w:ascii="Times New Roman" w:hAnsi="Times New Roman" w:cs="Times New Roman"/>
        </w:rPr>
        <w:t xml:space="preserve">tate may be said to take place in ‘international relations’, and this is the case whether such use of force is hostile or consensual. This is not to say that all uses of force involving more than one </w:t>
      </w:r>
      <w:r>
        <w:rPr>
          <w:rFonts w:ascii="Times New Roman" w:hAnsi="Times New Roman" w:cs="Times New Roman"/>
        </w:rPr>
        <w:t>s</w:t>
      </w:r>
      <w:r w:rsidRPr="00F80570">
        <w:rPr>
          <w:rFonts w:ascii="Times New Roman" w:hAnsi="Times New Roman" w:cs="Times New Roman"/>
        </w:rPr>
        <w:t xml:space="preserve">tate are unlawful, far from it. The exception of consensual force shows that some uses of force in international relations are lawful. The point is that the expression ‘international relations’ cannot bear the load of the exception of (non)consent: it merely signifies a use of force involving more than one </w:t>
      </w:r>
      <w:r>
        <w:rPr>
          <w:rFonts w:ascii="Times New Roman" w:hAnsi="Times New Roman" w:cs="Times New Roman"/>
        </w:rPr>
        <w:t>s</w:t>
      </w:r>
      <w:r w:rsidRPr="00F80570">
        <w:rPr>
          <w:rFonts w:ascii="Times New Roman" w:hAnsi="Times New Roman" w:cs="Times New Roman"/>
        </w:rPr>
        <w:t xml:space="preserve">tate and not, as it may be assumed in this version of the argument, a use of force of one </w:t>
      </w:r>
      <w:r>
        <w:rPr>
          <w:rFonts w:ascii="Times New Roman" w:hAnsi="Times New Roman" w:cs="Times New Roman"/>
        </w:rPr>
        <w:t>s</w:t>
      </w:r>
      <w:r w:rsidRPr="00F80570">
        <w:rPr>
          <w:rFonts w:ascii="Times New Roman" w:hAnsi="Times New Roman" w:cs="Times New Roman"/>
        </w:rPr>
        <w:t xml:space="preserve">tate </w:t>
      </w:r>
      <w:r w:rsidRPr="00F80570">
        <w:rPr>
          <w:rFonts w:ascii="Times New Roman" w:hAnsi="Times New Roman" w:cs="Times New Roman"/>
          <w:i/>
          <w:iCs/>
        </w:rPr>
        <w:t>against</w:t>
      </w:r>
      <w:r w:rsidRPr="00F80570">
        <w:rPr>
          <w:rFonts w:ascii="Times New Roman" w:hAnsi="Times New Roman" w:cs="Times New Roman"/>
        </w:rPr>
        <w:t xml:space="preserve"> another.</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Third, the argument based on the words ‘in any other manner inconsistent’ with the purposes of the Charter can also be called into question. The Charter safeguards its members’ sovereignty and, in Article 2(7), </w:t>
      </w:r>
      <w:proofErr w:type="spellStart"/>
      <w:r w:rsidRPr="00F80570">
        <w:rPr>
          <w:rFonts w:ascii="Times New Roman" w:hAnsi="Times New Roman" w:cs="Times New Roman"/>
          <w:lang w:val="en-US"/>
        </w:rPr>
        <w:t>recognises</w:t>
      </w:r>
      <w:proofErr w:type="spellEnd"/>
      <w:r w:rsidRPr="00F80570">
        <w:rPr>
          <w:rFonts w:ascii="Times New Roman" w:hAnsi="Times New Roman" w:cs="Times New Roman"/>
          <w:lang w:val="en-US"/>
        </w:rPr>
        <w:t xml:space="preserve"> that there are matters which are essentially within their domestic jurisdiction. Situations of internal conflict, including those in respect of which </w:t>
      </w:r>
      <w:r>
        <w:rPr>
          <w:rFonts w:ascii="Times New Roman" w:hAnsi="Times New Roman" w:cs="Times New Roman"/>
          <w:lang w:val="en-US"/>
        </w:rPr>
        <w:t>s</w:t>
      </w:r>
      <w:r w:rsidRPr="00F80570">
        <w:rPr>
          <w:rFonts w:ascii="Times New Roman" w:hAnsi="Times New Roman" w:cs="Times New Roman"/>
          <w:lang w:val="en-US"/>
        </w:rPr>
        <w:t xml:space="preserve">tates may call upon other </w:t>
      </w:r>
      <w:r>
        <w:rPr>
          <w:rFonts w:ascii="Times New Roman" w:hAnsi="Times New Roman" w:cs="Times New Roman"/>
          <w:lang w:val="en-US"/>
        </w:rPr>
        <w:t>s</w:t>
      </w:r>
      <w:r w:rsidRPr="00F80570">
        <w:rPr>
          <w:rFonts w:ascii="Times New Roman" w:hAnsi="Times New Roman" w:cs="Times New Roman"/>
          <w:lang w:val="en-US"/>
        </w:rPr>
        <w:t>tates for military assistance, may be seen as falling within this category. If Article 2(4) regulates inter-</w:t>
      </w:r>
      <w:r>
        <w:rPr>
          <w:rFonts w:ascii="Times New Roman" w:hAnsi="Times New Roman" w:cs="Times New Roman"/>
          <w:lang w:val="en-US"/>
        </w:rPr>
        <w:t>s</w:t>
      </w:r>
      <w:r w:rsidRPr="00F80570">
        <w:rPr>
          <w:rFonts w:ascii="Times New Roman" w:hAnsi="Times New Roman" w:cs="Times New Roman"/>
          <w:lang w:val="en-US"/>
        </w:rPr>
        <w:t xml:space="preserve">tate conflicts, and internal conflicts are a matter within a </w:t>
      </w:r>
      <w:r>
        <w:rPr>
          <w:rFonts w:ascii="Times New Roman" w:hAnsi="Times New Roman" w:cs="Times New Roman"/>
          <w:lang w:val="en-US"/>
        </w:rPr>
        <w:t>s</w:t>
      </w:r>
      <w:r w:rsidRPr="00F80570">
        <w:rPr>
          <w:rFonts w:ascii="Times New Roman" w:hAnsi="Times New Roman" w:cs="Times New Roman"/>
          <w:lang w:val="en-US"/>
        </w:rPr>
        <w:t xml:space="preserve">tate’s domestic jurisdiction, it follows that military assistance at the request of the territorial </w:t>
      </w:r>
      <w:r>
        <w:rPr>
          <w:rFonts w:ascii="Times New Roman" w:hAnsi="Times New Roman" w:cs="Times New Roman"/>
          <w:lang w:val="en-US"/>
        </w:rPr>
        <w:lastRenderedPageBreak/>
        <w:t>s</w:t>
      </w:r>
      <w:r w:rsidRPr="00F80570">
        <w:rPr>
          <w:rFonts w:ascii="Times New Roman" w:hAnsi="Times New Roman" w:cs="Times New Roman"/>
          <w:lang w:val="en-US"/>
        </w:rPr>
        <w:t>tate is not inconsistent with the purposes of the Charter.</w:t>
      </w:r>
      <w:r w:rsidRPr="00F80570">
        <w:rPr>
          <w:rStyle w:val="FootnoteReference"/>
          <w:rFonts w:ascii="Times New Roman" w:hAnsi="Times New Roman" w:cs="Times New Roman"/>
          <w:lang w:val="en-US"/>
        </w:rPr>
        <w:footnoteReference w:id="97"/>
      </w:r>
      <w:r w:rsidRPr="00F80570">
        <w:rPr>
          <w:rFonts w:ascii="Times New Roman" w:hAnsi="Times New Roman" w:cs="Times New Roman"/>
          <w:lang w:val="en-US"/>
        </w:rPr>
        <w:t xml:space="preserve"> Or so the argument goes. What is ‘within the essential domestic jurisdiction’ of a </w:t>
      </w:r>
      <w:r>
        <w:rPr>
          <w:rFonts w:ascii="Times New Roman" w:hAnsi="Times New Roman" w:cs="Times New Roman"/>
          <w:lang w:val="en-US"/>
        </w:rPr>
        <w:t>s</w:t>
      </w:r>
      <w:r w:rsidRPr="00F80570">
        <w:rPr>
          <w:rFonts w:ascii="Times New Roman" w:hAnsi="Times New Roman" w:cs="Times New Roman"/>
          <w:lang w:val="en-US"/>
        </w:rPr>
        <w:t xml:space="preserve">tate is a relative question, as the noted by the PCIJ in </w:t>
      </w:r>
      <w:r w:rsidRPr="00F80570">
        <w:rPr>
          <w:rFonts w:ascii="Times New Roman" w:hAnsi="Times New Roman" w:cs="Times New Roman"/>
          <w:i/>
          <w:iCs/>
          <w:lang w:val="en-US"/>
        </w:rPr>
        <w:t>Nationality Decrees</w:t>
      </w:r>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98"/>
      </w:r>
      <w:r w:rsidRPr="00F80570">
        <w:rPr>
          <w:rFonts w:ascii="Times New Roman" w:hAnsi="Times New Roman" w:cs="Times New Roman"/>
          <w:lang w:val="en-US"/>
        </w:rPr>
        <w:t xml:space="preserve"> It is no longer the case that internal conflict is an essentially internal matter, of no concern to the </w:t>
      </w:r>
      <w:proofErr w:type="spellStart"/>
      <w:r w:rsidRPr="00F80570">
        <w:rPr>
          <w:rFonts w:ascii="Times New Roman" w:hAnsi="Times New Roman" w:cs="Times New Roman"/>
          <w:lang w:val="en-US"/>
        </w:rPr>
        <w:t>Organisation</w:t>
      </w:r>
      <w:proofErr w:type="spellEnd"/>
      <w:r w:rsidRPr="00F80570">
        <w:rPr>
          <w:rFonts w:ascii="Times New Roman" w:hAnsi="Times New Roman" w:cs="Times New Roman"/>
          <w:lang w:val="en-US"/>
        </w:rPr>
        <w:t xml:space="preserve">. Indeed, internal conflicts can amount to threats </w:t>
      </w:r>
      <w:r w:rsidR="00543E29">
        <w:rPr>
          <w:rFonts w:ascii="Times New Roman" w:hAnsi="Times New Roman" w:cs="Times New Roman"/>
          <w:lang w:val="en-US"/>
        </w:rPr>
        <w:t xml:space="preserve">and breaches </w:t>
      </w:r>
      <w:r w:rsidRPr="00F80570">
        <w:rPr>
          <w:rFonts w:ascii="Times New Roman" w:hAnsi="Times New Roman" w:cs="Times New Roman"/>
          <w:lang w:val="en-US"/>
        </w:rPr>
        <w:t xml:space="preserve">of </w:t>
      </w:r>
      <w:r w:rsidR="00543E29">
        <w:rPr>
          <w:rFonts w:ascii="Times New Roman" w:hAnsi="Times New Roman" w:cs="Times New Roman"/>
          <w:lang w:val="en-US"/>
        </w:rPr>
        <w:t xml:space="preserve">international </w:t>
      </w:r>
      <w:r w:rsidRPr="00F80570">
        <w:rPr>
          <w:rFonts w:ascii="Times New Roman" w:hAnsi="Times New Roman" w:cs="Times New Roman"/>
          <w:lang w:val="en-US"/>
        </w:rPr>
        <w:t>peace.</w:t>
      </w:r>
      <w:r w:rsidRPr="00F80570">
        <w:rPr>
          <w:rStyle w:val="FootnoteReference"/>
          <w:rFonts w:ascii="Times New Roman" w:hAnsi="Times New Roman" w:cs="Times New Roman"/>
          <w:lang w:val="en-US"/>
        </w:rPr>
        <w:footnoteReference w:id="99"/>
      </w:r>
      <w:r w:rsidRPr="00F80570">
        <w:rPr>
          <w:rFonts w:ascii="Times New Roman" w:hAnsi="Times New Roman" w:cs="Times New Roman"/>
          <w:lang w:val="en-US"/>
        </w:rPr>
        <w:t xml:space="preserve"> </w:t>
      </w:r>
      <w:r>
        <w:rPr>
          <w:rFonts w:ascii="Times New Roman" w:hAnsi="Times New Roman" w:cs="Times New Roman"/>
          <w:lang w:val="en-US"/>
        </w:rPr>
        <w:t xml:space="preserve">So a use of force with the consent of the territorial state </w:t>
      </w:r>
      <w:r w:rsidR="00543E29">
        <w:rPr>
          <w:rFonts w:ascii="Times New Roman" w:hAnsi="Times New Roman" w:cs="Times New Roman"/>
          <w:lang w:val="en-US"/>
        </w:rPr>
        <w:t>may be</w:t>
      </w:r>
      <w:r>
        <w:rPr>
          <w:rFonts w:ascii="Times New Roman" w:hAnsi="Times New Roman" w:cs="Times New Roman"/>
          <w:lang w:val="en-US"/>
        </w:rPr>
        <w:t xml:space="preserve"> inconsistent with the purposes of the UN, in so far as they threaten, or breach, international peace and security. </w:t>
      </w:r>
      <w:r w:rsidRPr="00F80570">
        <w:rPr>
          <w:rFonts w:ascii="Times New Roman" w:hAnsi="Times New Roman" w:cs="Times New Roman"/>
          <w:lang w:val="en-US"/>
        </w:rPr>
        <w:t>This is a</w:t>
      </w:r>
      <w:r>
        <w:rPr>
          <w:rFonts w:ascii="Times New Roman" w:hAnsi="Times New Roman" w:cs="Times New Roman"/>
          <w:lang w:val="en-US"/>
        </w:rPr>
        <w:t xml:space="preserve">n important </w:t>
      </w:r>
      <w:r w:rsidRPr="00F80570">
        <w:rPr>
          <w:rFonts w:ascii="Times New Roman" w:hAnsi="Times New Roman" w:cs="Times New Roman"/>
          <w:lang w:val="en-US"/>
        </w:rPr>
        <w:t xml:space="preserve">development, which is a key component </w:t>
      </w:r>
      <w:r>
        <w:rPr>
          <w:rFonts w:ascii="Times New Roman" w:hAnsi="Times New Roman" w:cs="Times New Roman"/>
          <w:lang w:val="en-US"/>
        </w:rPr>
        <w:t>of</w:t>
      </w:r>
      <w:r w:rsidRPr="00F80570">
        <w:rPr>
          <w:rFonts w:ascii="Times New Roman" w:hAnsi="Times New Roman" w:cs="Times New Roman"/>
          <w:lang w:val="en-US"/>
        </w:rPr>
        <w:t xml:space="preserve"> the argument for the extrinsic model</w:t>
      </w:r>
      <w:r>
        <w:rPr>
          <w:rFonts w:ascii="Times New Roman" w:hAnsi="Times New Roman" w:cs="Times New Roman"/>
          <w:lang w:val="en-US"/>
        </w:rPr>
        <w:t xml:space="preserve"> developed later </w:t>
      </w:r>
      <w:r w:rsidRPr="00F80570">
        <w:rPr>
          <w:rFonts w:ascii="Times New Roman" w:hAnsi="Times New Roman" w:cs="Times New Roman"/>
          <w:lang w:val="en-US"/>
        </w:rPr>
        <w:t xml:space="preserve">in Section </w:t>
      </w:r>
      <w:r>
        <w:rPr>
          <w:rFonts w:ascii="Times New Roman" w:hAnsi="Times New Roman" w:cs="Times New Roman"/>
          <w:lang w:val="en-US"/>
        </w:rPr>
        <w:t>4</w:t>
      </w:r>
      <w:r w:rsidRPr="00F80570">
        <w:rPr>
          <w:rFonts w:ascii="Times New Roman" w:hAnsi="Times New Roman" w:cs="Times New Roman"/>
          <w:lang w:val="en-US"/>
        </w:rPr>
        <w:t>.1.</w:t>
      </w:r>
    </w:p>
    <w:p w:rsidR="00455856" w:rsidRPr="00F80570" w:rsidRDefault="00455856" w:rsidP="00AF7273">
      <w:pPr>
        <w:spacing w:line="360" w:lineRule="auto"/>
        <w:rPr>
          <w:rFonts w:ascii="Times New Roman" w:hAnsi="Times New Roman" w:cs="Times New Roman"/>
          <w:lang w:val="en-US"/>
        </w:rPr>
      </w:pPr>
    </w:p>
    <w:p w:rsidR="00455856" w:rsidRPr="00F80570" w:rsidRDefault="00455856" w:rsidP="00E13FFA">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The exception of consent is not explicitly referred to in </w:t>
      </w:r>
      <w:r>
        <w:rPr>
          <w:rFonts w:ascii="Times New Roman" w:hAnsi="Times New Roman" w:cs="Times New Roman"/>
          <w:lang w:val="en-US"/>
        </w:rPr>
        <w:t>Article 2(4) of the Charter</w:t>
      </w:r>
      <w:r w:rsidRPr="00F80570">
        <w:rPr>
          <w:rFonts w:ascii="Times New Roman" w:hAnsi="Times New Roman" w:cs="Times New Roman"/>
          <w:lang w:val="en-US"/>
        </w:rPr>
        <w:t xml:space="preserve">, and the </w:t>
      </w:r>
      <w:r w:rsidRPr="00F80570">
        <w:rPr>
          <w:rFonts w:ascii="Times New Roman" w:hAnsi="Times New Roman" w:cs="Times New Roman"/>
          <w:i/>
          <w:iCs/>
          <w:lang w:val="en-US"/>
        </w:rPr>
        <w:t>travaux</w:t>
      </w:r>
      <w:r w:rsidRPr="00F80570">
        <w:rPr>
          <w:rFonts w:ascii="Times New Roman" w:hAnsi="Times New Roman" w:cs="Times New Roman"/>
          <w:lang w:val="en-US"/>
        </w:rPr>
        <w:t xml:space="preserve"> show that the question of consensual force was not considered by the drafters. The textual argument was thus an </w:t>
      </w:r>
      <w:r w:rsidRPr="00F80570">
        <w:rPr>
          <w:rFonts w:ascii="Times New Roman" w:hAnsi="Times New Roman" w:cs="Times New Roman"/>
          <w:i/>
          <w:iCs/>
          <w:lang w:val="en-US"/>
        </w:rPr>
        <w:t>ex post</w:t>
      </w:r>
      <w:r w:rsidRPr="00F80570">
        <w:rPr>
          <w:rFonts w:ascii="Times New Roman" w:hAnsi="Times New Roman" w:cs="Times New Roman"/>
          <w:lang w:val="en-US"/>
        </w:rPr>
        <w:t xml:space="preserve"> attempt to accommodate the permissibility of consensual force, based on customary law, within the Charter system. As a result, it should not be surprising that consent cannot, without some difficulty, be read into the words of Article 2(4).</w:t>
      </w:r>
      <w:r>
        <w:rPr>
          <w:rFonts w:ascii="Times New Roman" w:hAnsi="Times New Roman" w:cs="Times New Roman"/>
          <w:lang w:val="en-US"/>
        </w:rPr>
        <w:t xml:space="preserve"> The Charter thus does not provide a definitive answer to the question of the location of consent as an element of the prohibition or as a </w:t>
      </w:r>
      <w:proofErr w:type="spellStart"/>
      <w:r>
        <w:rPr>
          <w:rFonts w:ascii="Times New Roman" w:hAnsi="Times New Roman" w:cs="Times New Roman"/>
          <w:lang w:val="en-US"/>
        </w:rPr>
        <w:t>defence</w:t>
      </w:r>
      <w:proofErr w:type="spellEnd"/>
      <w:r>
        <w:rPr>
          <w:rFonts w:ascii="Times New Roman" w:hAnsi="Times New Roman" w:cs="Times New Roman"/>
          <w:lang w:val="en-US"/>
        </w:rPr>
        <w:t xml:space="preserve"> – either in the text, or in its preparatory work.</w:t>
      </w:r>
    </w:p>
    <w:p w:rsidR="00455856" w:rsidRPr="00F80570" w:rsidRDefault="00455856" w:rsidP="00AF7273">
      <w:pPr>
        <w:pStyle w:val="Heading3"/>
      </w:pPr>
      <w:bookmarkStart w:id="15" w:name="_Toc38870539"/>
      <w:bookmarkStart w:id="16" w:name="_Toc46390734"/>
      <w:r>
        <w:t>3</w:t>
      </w:r>
      <w:r w:rsidRPr="00F80570">
        <w:t>.1</w:t>
      </w:r>
      <w:r>
        <w:t>(b)</w:t>
      </w:r>
      <w:r w:rsidRPr="00F80570">
        <w:t xml:space="preserve"> Systemic argument: Consensual force and </w:t>
      </w:r>
      <w:r w:rsidRPr="00E13FFA">
        <w:rPr>
          <w:i w:val="0"/>
          <w:iCs w:val="0"/>
        </w:rPr>
        <w:t>jus cogens</w:t>
      </w:r>
      <w:bookmarkEnd w:id="15"/>
      <w:bookmarkEnd w:id="16"/>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In addition to being codified in treaty law, the prohibition of force is also </w:t>
      </w:r>
      <w:proofErr w:type="spellStart"/>
      <w:r w:rsidRPr="00F80570">
        <w:rPr>
          <w:rFonts w:ascii="Times New Roman" w:hAnsi="Times New Roman" w:cs="Times New Roman"/>
          <w:lang w:val="en-US"/>
        </w:rPr>
        <w:t>recognised</w:t>
      </w:r>
      <w:proofErr w:type="spellEnd"/>
      <w:r w:rsidRPr="00F80570">
        <w:rPr>
          <w:rFonts w:ascii="Times New Roman" w:hAnsi="Times New Roman" w:cs="Times New Roman"/>
          <w:lang w:val="en-US"/>
        </w:rPr>
        <w:t xml:space="preserve"> in customary law and is, according to a large number of </w:t>
      </w:r>
      <w:r>
        <w:rPr>
          <w:rFonts w:ascii="Times New Roman" w:hAnsi="Times New Roman" w:cs="Times New Roman"/>
          <w:lang w:val="en-US"/>
        </w:rPr>
        <w:t>s</w:t>
      </w:r>
      <w:r w:rsidRPr="00F80570">
        <w:rPr>
          <w:rFonts w:ascii="Times New Roman" w:hAnsi="Times New Roman" w:cs="Times New Roman"/>
          <w:lang w:val="en-US"/>
        </w:rPr>
        <w:t>tates,</w:t>
      </w:r>
      <w:r w:rsidRPr="00F80570">
        <w:rPr>
          <w:rStyle w:val="FootnoteReference"/>
          <w:rFonts w:ascii="Times New Roman" w:hAnsi="Times New Roman" w:cs="Times New Roman"/>
          <w:lang w:val="en-US"/>
        </w:rPr>
        <w:footnoteReference w:id="100"/>
      </w:r>
      <w:r w:rsidRPr="00F80570">
        <w:rPr>
          <w:rFonts w:ascii="Times New Roman" w:hAnsi="Times New Roman" w:cs="Times New Roman"/>
          <w:lang w:val="en-US"/>
        </w:rPr>
        <w:t xml:space="preserve"> a peremptory rule of international law. So it is necessary to </w:t>
      </w:r>
      <w:proofErr w:type="spellStart"/>
      <w:r w:rsidRPr="00F80570">
        <w:rPr>
          <w:rFonts w:ascii="Times New Roman" w:hAnsi="Times New Roman" w:cs="Times New Roman"/>
          <w:lang w:val="en-US"/>
        </w:rPr>
        <w:t>harmonise</w:t>
      </w:r>
      <w:proofErr w:type="spellEnd"/>
      <w:r w:rsidRPr="00F80570">
        <w:rPr>
          <w:rFonts w:ascii="Times New Roman" w:hAnsi="Times New Roman" w:cs="Times New Roman"/>
          <w:lang w:val="en-US"/>
        </w:rPr>
        <w:t xml:space="preserve"> the permission of consent </w:t>
      </w:r>
      <w:r w:rsidRPr="00F80570">
        <w:rPr>
          <w:rFonts w:ascii="Times New Roman" w:hAnsi="Times New Roman" w:cs="Times New Roman"/>
          <w:i/>
          <w:lang w:val="en-US"/>
        </w:rPr>
        <w:t>also</w:t>
      </w:r>
      <w:r w:rsidRPr="00F80570">
        <w:rPr>
          <w:rFonts w:ascii="Times New Roman" w:hAnsi="Times New Roman" w:cs="Times New Roman"/>
          <w:lang w:val="en-US"/>
        </w:rPr>
        <w:t xml:space="preserve"> with the (arguably) peremptory prohibition of force.</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Peremptory rules, as stated in Article 53 of the Vienna Convention on the Law of Treaties, cannot be derogated from. </w:t>
      </w:r>
      <w:r w:rsidRPr="00F80570">
        <w:rPr>
          <w:rFonts w:ascii="Times New Roman" w:hAnsi="Times New Roman" w:cs="Times New Roman"/>
        </w:rPr>
        <w:t>As explained by Dame Rosalyn Higgins: ‘“Derogation” is generally understood as a power relied on by one party not to apply, for a fixed period of time, the terms of a particular clause.’</w:t>
      </w:r>
      <w:r w:rsidRPr="00F80570">
        <w:rPr>
          <w:rStyle w:val="FootnoteReference"/>
          <w:rFonts w:ascii="Times New Roman" w:hAnsi="Times New Roman" w:cs="Times New Roman"/>
        </w:rPr>
        <w:footnoteReference w:id="101"/>
      </w:r>
      <w:r w:rsidRPr="00F80570">
        <w:rPr>
          <w:rFonts w:ascii="Times New Roman" w:hAnsi="Times New Roman" w:cs="Times New Roman"/>
        </w:rPr>
        <w:t xml:space="preserve"> Derogation is concerned with what may be termed ‘external’ challenges to the peremptory rule.</w:t>
      </w:r>
      <w:r w:rsidRPr="00F80570">
        <w:rPr>
          <w:rStyle w:val="FootnoteReference"/>
          <w:rFonts w:ascii="Times New Roman" w:hAnsi="Times New Roman" w:cs="Times New Roman"/>
        </w:rPr>
        <w:footnoteReference w:id="102"/>
      </w:r>
      <w:r w:rsidRPr="00F80570">
        <w:rPr>
          <w:rFonts w:ascii="Times New Roman" w:hAnsi="Times New Roman" w:cs="Times New Roman"/>
        </w:rPr>
        <w:t xml:space="preserve"> These challenges can be multilateral or bilateral, such as </w:t>
      </w:r>
      <w:r w:rsidRPr="00F80570">
        <w:rPr>
          <w:rFonts w:ascii="Times New Roman" w:hAnsi="Times New Roman" w:cs="Times New Roman"/>
        </w:rPr>
        <w:lastRenderedPageBreak/>
        <w:t>a treaty, but they can also be unilateral. It follows that peremptory rules may not be set aside by defences. This conclusion is reflected in ARSIWA Article 26, which states:</w:t>
      </w:r>
    </w:p>
    <w:p w:rsidR="00455856" w:rsidRPr="00F80570" w:rsidRDefault="00455856" w:rsidP="00AF7273">
      <w:pPr>
        <w:spacing w:line="360" w:lineRule="auto"/>
        <w:jc w:val="both"/>
        <w:rPr>
          <w:rFonts w:ascii="Times New Roman" w:hAnsi="Times New Roman" w:cs="Times New Roman"/>
        </w:rPr>
      </w:pPr>
    </w:p>
    <w:p w:rsidR="00455856" w:rsidRPr="00F80570" w:rsidRDefault="00455856" w:rsidP="00AF7273">
      <w:pPr>
        <w:spacing w:line="360" w:lineRule="auto"/>
        <w:ind w:left="720"/>
        <w:jc w:val="both"/>
        <w:rPr>
          <w:rFonts w:ascii="Times New Roman" w:hAnsi="Times New Roman" w:cs="Times New Roman"/>
        </w:rPr>
      </w:pPr>
      <w:r w:rsidRPr="00F80570">
        <w:rPr>
          <w:rFonts w:ascii="Times New Roman" w:hAnsi="Times New Roman" w:cs="Times New Roman"/>
        </w:rPr>
        <w:t>Nothing in this chapter precludes the wrongfulness of any act of a State which is not in conformity with an obligation arising under a peremptory norm of general international law.</w:t>
      </w:r>
    </w:p>
    <w:p w:rsidR="00455856" w:rsidRPr="00F80570" w:rsidRDefault="00455856" w:rsidP="00AF7273">
      <w:pPr>
        <w:spacing w:line="360" w:lineRule="auto"/>
        <w:jc w:val="both"/>
        <w:rPr>
          <w:rFonts w:ascii="Times New Roman" w:hAnsi="Times New Roman" w:cs="Times New Roman"/>
        </w:rPr>
      </w:pPr>
    </w:p>
    <w:p w:rsidR="00455856" w:rsidRPr="00F80570" w:rsidRDefault="00455856" w:rsidP="00AF7273">
      <w:pPr>
        <w:spacing w:line="360" w:lineRule="auto"/>
        <w:jc w:val="both"/>
        <w:rPr>
          <w:rFonts w:ascii="Times New Roman" w:hAnsi="Times New Roman" w:cs="Times New Roman"/>
          <w:i/>
          <w:iCs/>
          <w:lang w:val="en-US"/>
        </w:rPr>
      </w:pPr>
      <w:r w:rsidRPr="00F80570">
        <w:rPr>
          <w:rFonts w:ascii="Times New Roman" w:hAnsi="Times New Roman" w:cs="Times New Roman"/>
          <w:lang w:val="en-US"/>
        </w:rPr>
        <w:t xml:space="preserve">Peremptory rules are not, however, immune from ‘internal’ challenges, that is from exceptions that are built into the definition of the rule. Indeed, exceptions built into the definition do not set aside the rule, but rather function as limitations or qualifications on the scope of the rule. Given these premises, the only way to </w:t>
      </w:r>
      <w:proofErr w:type="spellStart"/>
      <w:r w:rsidRPr="00F80570">
        <w:rPr>
          <w:rFonts w:ascii="Times New Roman" w:hAnsi="Times New Roman" w:cs="Times New Roman"/>
          <w:lang w:val="en-US"/>
        </w:rPr>
        <w:t>harmonise</w:t>
      </w:r>
      <w:proofErr w:type="spellEnd"/>
      <w:r w:rsidRPr="00F80570">
        <w:rPr>
          <w:rFonts w:ascii="Times New Roman" w:hAnsi="Times New Roman" w:cs="Times New Roman"/>
          <w:lang w:val="en-US"/>
        </w:rPr>
        <w:t xml:space="preserve"> the peremptory status of the prohibition of force, on the one hand, and the permissibility of consensual force, on the other, is to build consent into the definition of the prohibition.</w:t>
      </w:r>
      <w:r w:rsidRPr="00F80570">
        <w:rPr>
          <w:rStyle w:val="FootnoteReference"/>
          <w:rFonts w:ascii="Times New Roman" w:hAnsi="Times New Roman" w:cs="Times New Roman"/>
          <w:lang w:val="en-US"/>
        </w:rPr>
        <w:footnoteReference w:id="103"/>
      </w:r>
    </w:p>
    <w:p w:rsidR="00455856" w:rsidRPr="00F80570" w:rsidRDefault="00455856" w:rsidP="00AF7273">
      <w:pPr>
        <w:spacing w:line="360" w:lineRule="auto"/>
        <w:ind w:firstLine="720"/>
        <w:jc w:val="both"/>
        <w:rPr>
          <w:rFonts w:ascii="Times New Roman" w:hAnsi="Times New Roman" w:cs="Times New Roman"/>
          <w:i/>
          <w:iCs/>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This argument too has weaknesses. To begin with, there is no authoritative statement about the peremptory status of the prohibition of force and, indeed, there exist disagreements about this qualification. For the ILC, for example, it is the (narrower) prohibition of aggression that is peremptory.</w:t>
      </w:r>
      <w:r w:rsidRPr="00F80570">
        <w:rPr>
          <w:rStyle w:val="FootnoteReference"/>
          <w:rFonts w:ascii="Times New Roman" w:hAnsi="Times New Roman" w:cs="Times New Roman"/>
          <w:lang w:val="en-US"/>
        </w:rPr>
        <w:footnoteReference w:id="104"/>
      </w:r>
      <w:r w:rsidRPr="00F80570">
        <w:rPr>
          <w:rFonts w:ascii="Times New Roman" w:hAnsi="Times New Roman" w:cs="Times New Roman"/>
          <w:lang w:val="en-US"/>
        </w:rPr>
        <w:t xml:space="preserve"> </w:t>
      </w:r>
      <w:r>
        <w:rPr>
          <w:rFonts w:ascii="Times New Roman" w:hAnsi="Times New Roman" w:cs="Times New Roman"/>
          <w:lang w:val="en-US"/>
        </w:rPr>
        <w:t>Moreover</w:t>
      </w:r>
      <w:r w:rsidRPr="00F80570">
        <w:rPr>
          <w:rFonts w:ascii="Times New Roman" w:hAnsi="Times New Roman" w:cs="Times New Roman"/>
          <w:lang w:val="en-US"/>
        </w:rPr>
        <w:t xml:space="preserve">, to incorporate all exceptions of permissible force into the definition of the prohibition itself has significant drawbacks. Most importantly, the intrinsic model of exceptions </w:t>
      </w:r>
      <w:r w:rsidRPr="00F80570">
        <w:rPr>
          <w:rFonts w:ascii="Times New Roman" w:hAnsi="Times New Roman" w:cs="Times New Roman"/>
          <w:i/>
          <w:iCs/>
          <w:lang w:val="en-US"/>
        </w:rPr>
        <w:t>vis-à-vis</w:t>
      </w:r>
      <w:r w:rsidRPr="00F80570">
        <w:rPr>
          <w:rFonts w:ascii="Times New Roman" w:hAnsi="Times New Roman" w:cs="Times New Roman"/>
          <w:lang w:val="en-US"/>
        </w:rPr>
        <w:t xml:space="preserve"> the prohibition of force creates problems with the individuation of this norm.</w:t>
      </w:r>
      <w:r w:rsidRPr="00F80570">
        <w:rPr>
          <w:rStyle w:val="FootnoteReference"/>
          <w:rFonts w:ascii="Times New Roman" w:hAnsi="Times New Roman" w:cs="Times New Roman"/>
          <w:lang w:val="en-US"/>
        </w:rPr>
        <w:footnoteReference w:id="105"/>
      </w:r>
      <w:r w:rsidRPr="00F80570">
        <w:rPr>
          <w:rFonts w:ascii="Times New Roman" w:hAnsi="Times New Roman" w:cs="Times New Roman"/>
          <w:lang w:val="en-US"/>
        </w:rPr>
        <w:t xml:space="preserve"> To be effective in their conduct-guiding function, norms have to be easily identified by their addressees. Yet, according to this model, to understand the scope of the norm prohibiting force, it is necessary to collect norm-fragments from different sources across the international legal order. This collection of norm-fragments results in a long, unwieldy, and </w:t>
      </w:r>
      <w:r w:rsidRPr="00F80570">
        <w:rPr>
          <w:rFonts w:ascii="Times New Roman" w:hAnsi="Times New Roman" w:cs="Times New Roman"/>
          <w:lang w:val="en-US"/>
        </w:rPr>
        <w:lastRenderedPageBreak/>
        <w:t xml:space="preserve">complex rule which, according to Ian </w:t>
      </w:r>
      <w:proofErr w:type="spellStart"/>
      <w:r w:rsidRPr="00F80570">
        <w:rPr>
          <w:rFonts w:ascii="Times New Roman" w:hAnsi="Times New Roman" w:cs="Times New Roman"/>
          <w:lang w:val="en-US"/>
        </w:rPr>
        <w:t>Scobbie</w:t>
      </w:r>
      <w:proofErr w:type="spellEnd"/>
      <w:r w:rsidRPr="00F80570">
        <w:rPr>
          <w:rFonts w:ascii="Times New Roman" w:hAnsi="Times New Roman" w:cs="Times New Roman"/>
          <w:lang w:val="en-US"/>
        </w:rPr>
        <w:t>, is likely to fall short of the conduct-guiding function of law.</w:t>
      </w:r>
      <w:r w:rsidRPr="00F80570">
        <w:rPr>
          <w:rStyle w:val="FootnoteReference"/>
          <w:rFonts w:ascii="Times New Roman" w:hAnsi="Times New Roman" w:cs="Times New Roman"/>
          <w:lang w:val="en-US"/>
        </w:rPr>
        <w:footnoteReference w:id="106"/>
      </w:r>
      <w:r>
        <w:rPr>
          <w:rFonts w:ascii="Times New Roman" w:hAnsi="Times New Roman" w:cs="Times New Roman"/>
          <w:lang w:val="en-US"/>
        </w:rPr>
        <w:t xml:space="preserve"> </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While the intrinsic model seemingly provides a neat solution to the problem of </w:t>
      </w:r>
      <w:proofErr w:type="spellStart"/>
      <w:r w:rsidRPr="00F80570">
        <w:rPr>
          <w:rFonts w:ascii="Times New Roman" w:hAnsi="Times New Roman" w:cs="Times New Roman"/>
          <w:lang w:val="en-US"/>
        </w:rPr>
        <w:t>harmonising</w:t>
      </w:r>
      <w:proofErr w:type="spellEnd"/>
      <w:r w:rsidRPr="00F80570">
        <w:rPr>
          <w:rFonts w:ascii="Times New Roman" w:hAnsi="Times New Roman" w:cs="Times New Roman"/>
          <w:lang w:val="en-US"/>
        </w:rPr>
        <w:t xml:space="preserve"> the peremptory prohibition of force with the permissibility of consent, it does so only superficially. On a deeper level, this solution gives rise to some difficult practical and conceptual problems which are often ignored in the literature.</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pStyle w:val="Heading3"/>
      </w:pPr>
      <w:bookmarkStart w:id="17" w:name="_Toc38870537"/>
      <w:bookmarkStart w:id="18" w:name="_Toc46390735"/>
      <w:r w:rsidRPr="005E0DD2">
        <w:t>3.1(c) Normative argument: Consensual force is ab initio lawful</w:t>
      </w:r>
      <w:bookmarkEnd w:id="17"/>
      <w:bookmarkEnd w:id="18"/>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Lastly, it is said that consent must be intrinsic to the prohibition of force because consensual force is </w:t>
      </w:r>
      <w:r w:rsidRPr="00F80570">
        <w:rPr>
          <w:rFonts w:ascii="Times New Roman" w:hAnsi="Times New Roman" w:cs="Times New Roman"/>
          <w:i/>
          <w:iCs/>
          <w:lang w:val="en-US"/>
        </w:rPr>
        <w:t xml:space="preserve">ab initio </w:t>
      </w:r>
      <w:r w:rsidRPr="00F80570">
        <w:rPr>
          <w:rFonts w:ascii="Times New Roman" w:hAnsi="Times New Roman" w:cs="Times New Roman"/>
          <w:lang w:val="en-US"/>
        </w:rPr>
        <w:t>lawful</w:t>
      </w:r>
      <w:r>
        <w:rPr>
          <w:rFonts w:ascii="Times New Roman" w:hAnsi="Times New Roman" w:cs="Times New Roman"/>
          <w:lang w:val="en-US"/>
        </w:rPr>
        <w:t>,</w:t>
      </w:r>
      <w:r w:rsidRPr="00F80570">
        <w:rPr>
          <w:rStyle w:val="FootnoteReference"/>
          <w:rFonts w:ascii="Times New Roman" w:hAnsi="Times New Roman" w:cs="Times New Roman"/>
          <w:lang w:val="en-US"/>
        </w:rPr>
        <w:footnoteReference w:id="107"/>
      </w:r>
      <w:r w:rsidRPr="00F80570">
        <w:rPr>
          <w:rFonts w:ascii="Times New Roman" w:hAnsi="Times New Roman" w:cs="Times New Roman"/>
          <w:lang w:val="en-US"/>
        </w:rPr>
        <w:t xml:space="preserve"> </w:t>
      </w:r>
      <w:r>
        <w:rPr>
          <w:rFonts w:ascii="Times New Roman" w:hAnsi="Times New Roman" w:cs="Times New Roman"/>
          <w:lang w:val="en-US"/>
        </w:rPr>
        <w:t xml:space="preserve">and it </w:t>
      </w:r>
      <w:r w:rsidRPr="00F80570">
        <w:rPr>
          <w:rFonts w:ascii="Times New Roman" w:hAnsi="Times New Roman" w:cs="Times New Roman"/>
          <w:lang w:val="en-US"/>
        </w:rPr>
        <w:t>require</w:t>
      </w:r>
      <w:r>
        <w:rPr>
          <w:rFonts w:ascii="Times New Roman" w:hAnsi="Times New Roman" w:cs="Times New Roman"/>
          <w:lang w:val="en-US"/>
        </w:rPr>
        <w:t>s</w:t>
      </w:r>
      <w:r w:rsidRPr="00F80570">
        <w:rPr>
          <w:rFonts w:ascii="Times New Roman" w:hAnsi="Times New Roman" w:cs="Times New Roman"/>
          <w:lang w:val="en-US"/>
        </w:rPr>
        <w:t xml:space="preserve"> no justification.</w:t>
      </w:r>
      <w:r w:rsidRPr="00F80570">
        <w:rPr>
          <w:rStyle w:val="FootnoteReference"/>
          <w:rFonts w:ascii="Times New Roman" w:hAnsi="Times New Roman" w:cs="Times New Roman"/>
          <w:lang w:val="en-US"/>
        </w:rPr>
        <w:footnoteReference w:id="108"/>
      </w:r>
      <w:r w:rsidRPr="00F80570">
        <w:rPr>
          <w:rFonts w:ascii="Times New Roman" w:hAnsi="Times New Roman" w:cs="Times New Roman"/>
          <w:lang w:val="en-US"/>
        </w:rPr>
        <w:t xml:space="preserve"> This conclusion is usually contrasted with other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conduct adopted in a state of necessity, for example, would be a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breach of the rule and call</w:t>
      </w:r>
      <w:r>
        <w:rPr>
          <w:rFonts w:ascii="Times New Roman" w:hAnsi="Times New Roman" w:cs="Times New Roman"/>
          <w:lang w:val="en-US"/>
        </w:rPr>
        <w:t>s</w:t>
      </w:r>
      <w:r w:rsidRPr="00F80570">
        <w:rPr>
          <w:rFonts w:ascii="Times New Roman" w:hAnsi="Times New Roman" w:cs="Times New Roman"/>
          <w:lang w:val="en-US"/>
        </w:rPr>
        <w:t xml:space="preserve"> for justification. As explained by the International Law Association’s 2018 report of the Committee on the Use of Force,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left="720"/>
        <w:jc w:val="both"/>
        <w:rPr>
          <w:rFonts w:ascii="Times New Roman" w:hAnsi="Times New Roman" w:cs="Times New Roman"/>
        </w:rPr>
      </w:pPr>
      <w:r w:rsidRPr="00F80570">
        <w:rPr>
          <w:rFonts w:ascii="Times New Roman" w:hAnsi="Times New Roman" w:cs="Times New Roman"/>
        </w:rPr>
        <w:t xml:space="preserve">The exceptions of Security Council authorisation and self-defence (as discussed above) remain in principle violations of Article 2(4) of the UN Charter, but are permitted under international law. On the other hand, a State’s use of force on the territory of another State with its consent involves no breach of Article 2(4) </w:t>
      </w:r>
      <w:r w:rsidRPr="00F80570">
        <w:rPr>
          <w:rFonts w:ascii="Times New Roman" w:hAnsi="Times New Roman" w:cs="Times New Roman"/>
          <w:i/>
          <w:iCs/>
        </w:rPr>
        <w:t>ab initio</w:t>
      </w:r>
      <w:r w:rsidRPr="00F80570">
        <w:rPr>
          <w:rFonts w:ascii="Times New Roman" w:hAnsi="Times New Roman" w:cs="Times New Roman"/>
        </w:rPr>
        <w:t>.</w:t>
      </w:r>
      <w:r w:rsidRPr="00F80570">
        <w:rPr>
          <w:rStyle w:val="FootnoteReference"/>
          <w:rFonts w:ascii="Times New Roman" w:hAnsi="Times New Roman" w:cs="Times New Roman"/>
          <w:lang w:val="en-US"/>
        </w:rPr>
        <w:footnoteReference w:id="109"/>
      </w:r>
      <w:r w:rsidRPr="00F80570">
        <w:rPr>
          <w:rFonts w:ascii="Times New Roman" w:hAnsi="Times New Roman" w:cs="Times New Roman"/>
          <w:lang w:val="en-US"/>
        </w:rPr>
        <w:t xml:space="preserve">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napToGrid w:val="0"/>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The difference between </w:t>
      </w:r>
      <w:r w:rsidRPr="00F80570">
        <w:rPr>
          <w:rFonts w:ascii="Times New Roman" w:hAnsi="Times New Roman" w:cs="Times New Roman"/>
          <w:i/>
          <w:iCs/>
          <w:lang w:val="en-US"/>
        </w:rPr>
        <w:t>ab initio</w:t>
      </w:r>
      <w:r w:rsidRPr="00F80570">
        <w:rPr>
          <w:rFonts w:ascii="Times New Roman" w:hAnsi="Times New Roman" w:cs="Times New Roman"/>
          <w:lang w:val="en-US"/>
        </w:rPr>
        <w:t xml:space="preserve"> legality and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wrongfulness can be understood in an evidential sense. </w:t>
      </w:r>
      <w:r w:rsidRPr="00F80570">
        <w:rPr>
          <w:rFonts w:ascii="Times New Roman" w:hAnsi="Times New Roman" w:cs="Times New Roman"/>
          <w:color w:val="000000" w:themeColor="text1"/>
        </w:rPr>
        <w:t xml:space="preserve">This is, in short, a question of the available evidence or </w:t>
      </w:r>
      <w:r w:rsidRPr="00F80570">
        <w:rPr>
          <w:rFonts w:ascii="Times New Roman" w:hAnsi="Times New Roman" w:cs="Times New Roman"/>
          <w:color w:val="000000" w:themeColor="text1"/>
        </w:rPr>
        <w:lastRenderedPageBreak/>
        <w:t>information: where there is a use of force, this will be considered at first blush as being wrongful, unless it is justified. This is the sense in which the ICJ used the expression ‘</w:t>
      </w:r>
      <w:r w:rsidRPr="00F80570">
        <w:rPr>
          <w:rFonts w:ascii="Times New Roman" w:hAnsi="Times New Roman" w:cs="Times New Roman"/>
          <w:i/>
          <w:color w:val="000000" w:themeColor="text1"/>
        </w:rPr>
        <w:t>prima facie</w:t>
      </w:r>
      <w:r w:rsidRPr="00F80570">
        <w:rPr>
          <w:rFonts w:ascii="Times New Roman" w:hAnsi="Times New Roman" w:cs="Times New Roman"/>
          <w:color w:val="000000" w:themeColor="text1"/>
        </w:rPr>
        <w:t xml:space="preserve"> breach’ in </w:t>
      </w:r>
      <w:r w:rsidRPr="00F80570">
        <w:rPr>
          <w:rFonts w:ascii="Times New Roman" w:hAnsi="Times New Roman" w:cs="Times New Roman"/>
          <w:i/>
          <w:color w:val="000000" w:themeColor="text1"/>
        </w:rPr>
        <w:t>Nicaragua</w:t>
      </w:r>
      <w:r w:rsidRPr="00F80570">
        <w:rPr>
          <w:rFonts w:ascii="Times New Roman" w:hAnsi="Times New Roman" w:cs="Times New Roman"/>
          <w:color w:val="000000" w:themeColor="text1"/>
        </w:rPr>
        <w:t xml:space="preserve">: in considering the US plea of self-defence, the Court first ascertained whether the use of force in question was incompatible with the prohibition of force – whether it was, that is, a </w:t>
      </w:r>
      <w:r w:rsidRPr="00F80570">
        <w:rPr>
          <w:rFonts w:ascii="Times New Roman" w:hAnsi="Times New Roman" w:cs="Times New Roman"/>
          <w:i/>
          <w:iCs/>
          <w:color w:val="000000" w:themeColor="text1"/>
        </w:rPr>
        <w:t>prima facie</w:t>
      </w:r>
      <w:r w:rsidRPr="00F80570">
        <w:rPr>
          <w:rFonts w:ascii="Times New Roman" w:hAnsi="Times New Roman" w:cs="Times New Roman"/>
          <w:i/>
          <w:color w:val="000000" w:themeColor="text1"/>
        </w:rPr>
        <w:t xml:space="preserve"> </w:t>
      </w:r>
      <w:r w:rsidRPr="00F80570">
        <w:rPr>
          <w:rFonts w:ascii="Times New Roman" w:hAnsi="Times New Roman" w:cs="Times New Roman"/>
          <w:color w:val="000000" w:themeColor="text1"/>
        </w:rPr>
        <w:t>breach of the prohibition – and then considered the plea of self-defence.</w:t>
      </w:r>
      <w:r w:rsidRPr="00F80570">
        <w:rPr>
          <w:rStyle w:val="FootnoteReference"/>
          <w:rFonts w:ascii="Times New Roman" w:hAnsi="Times New Roman" w:cs="Times New Roman"/>
          <w:color w:val="000000" w:themeColor="text1"/>
        </w:rPr>
        <w:footnoteReference w:id="110"/>
      </w:r>
      <w:r w:rsidRPr="00F80570">
        <w:rPr>
          <w:rFonts w:ascii="Times New Roman" w:hAnsi="Times New Roman" w:cs="Times New Roman"/>
          <w:color w:val="000000" w:themeColor="text1"/>
        </w:rPr>
        <w:t xml:space="preserve"> Where there is consent, though, the mainstream view would hold that the use of force is not even at first blush unlawful, and so would not need justification. </w:t>
      </w:r>
    </w:p>
    <w:p w:rsidR="00455856" w:rsidRPr="00F80570" w:rsidRDefault="00455856" w:rsidP="00AF7273">
      <w:pPr>
        <w:snapToGrid w:val="0"/>
        <w:spacing w:line="360" w:lineRule="auto"/>
        <w:ind w:firstLine="720"/>
        <w:jc w:val="both"/>
        <w:rPr>
          <w:rFonts w:ascii="Times New Roman" w:hAnsi="Times New Roman" w:cs="Times New Roman"/>
          <w:lang w:val="en-US"/>
        </w:rPr>
      </w:pPr>
    </w:p>
    <w:p w:rsidR="00455856" w:rsidRPr="00F80570" w:rsidRDefault="00455856" w:rsidP="00AF7273">
      <w:pPr>
        <w:snapToGrid w:val="0"/>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The difference can also be understood in a substantive sense, along the lines of the concept of </w:t>
      </w:r>
      <w:r w:rsidRPr="00F80570">
        <w:rPr>
          <w:rFonts w:ascii="Times New Roman" w:hAnsi="Times New Roman" w:cs="Times New Roman"/>
          <w:i/>
          <w:iCs/>
          <w:lang w:val="en-US"/>
        </w:rPr>
        <w:t>pro tanto</w:t>
      </w:r>
      <w:r w:rsidRPr="00F80570">
        <w:rPr>
          <w:rFonts w:ascii="Times New Roman" w:hAnsi="Times New Roman" w:cs="Times New Roman"/>
          <w:lang w:val="en-US"/>
        </w:rPr>
        <w:t xml:space="preserve"> wrongs developed by Campbell and Gardner and discussed earlier. Indeed, substantively, the argument about </w:t>
      </w:r>
      <w:r w:rsidRPr="00F80570">
        <w:rPr>
          <w:rFonts w:ascii="Times New Roman" w:hAnsi="Times New Roman" w:cs="Times New Roman"/>
          <w:i/>
          <w:iCs/>
          <w:lang w:val="en-US"/>
        </w:rPr>
        <w:t>ab initio</w:t>
      </w:r>
      <w:r w:rsidRPr="00F80570">
        <w:rPr>
          <w:rFonts w:ascii="Times New Roman" w:hAnsi="Times New Roman" w:cs="Times New Roman"/>
          <w:lang w:val="en-US"/>
        </w:rPr>
        <w:t xml:space="preserve"> or perfect legality of consensual force reflects the implications and presuppositions of the intrinsic model discussed earlier, which were illustrated by reference to the crime of rape. The same implications and assumptions could be drawn here. To say that consensual force is ‘perfectly’ lawful – even ‘perfectly </w:t>
      </w:r>
      <w:proofErr w:type="spellStart"/>
      <w:r w:rsidRPr="00F80570">
        <w:rPr>
          <w:rFonts w:ascii="Times New Roman" w:hAnsi="Times New Roman" w:cs="Times New Roman"/>
          <w:lang w:val="en-US"/>
        </w:rPr>
        <w:t>perfectly</w:t>
      </w:r>
      <w:proofErr w:type="spellEnd"/>
      <w:r w:rsidRPr="00F80570">
        <w:rPr>
          <w:rFonts w:ascii="Times New Roman" w:hAnsi="Times New Roman" w:cs="Times New Roman"/>
          <w:lang w:val="en-US"/>
        </w:rPr>
        <w:t xml:space="preserve"> lawful’, as former Australian Prime Minister Tony Abbott remarked</w:t>
      </w:r>
      <w:r w:rsidRPr="00F80570">
        <w:rPr>
          <w:rStyle w:val="FootnoteReference"/>
          <w:rFonts w:ascii="Times New Roman" w:hAnsi="Times New Roman" w:cs="Times New Roman"/>
          <w:lang w:val="en-US"/>
        </w:rPr>
        <w:footnoteReference w:id="111"/>
      </w:r>
      <w:r w:rsidRPr="00F80570">
        <w:rPr>
          <w:rFonts w:ascii="Times New Roman" w:hAnsi="Times New Roman" w:cs="Times New Roman"/>
          <w:lang w:val="en-US"/>
        </w:rPr>
        <w:t xml:space="preserve"> – or </w:t>
      </w:r>
      <w:r w:rsidRPr="00F80570">
        <w:rPr>
          <w:rFonts w:ascii="Times New Roman" w:hAnsi="Times New Roman" w:cs="Times New Roman"/>
          <w:i/>
          <w:lang w:val="en-US"/>
        </w:rPr>
        <w:t xml:space="preserve">ab initio </w:t>
      </w:r>
      <w:r w:rsidRPr="00F80570">
        <w:rPr>
          <w:rFonts w:ascii="Times New Roman" w:hAnsi="Times New Roman" w:cs="Times New Roman"/>
          <w:lang w:val="en-US"/>
        </w:rPr>
        <w:t>lawful is, in essence, to say that it is conduct that there is no reason not to perform.</w:t>
      </w:r>
      <w:r w:rsidRPr="00F80570">
        <w:rPr>
          <w:rStyle w:val="FootnoteReference"/>
          <w:rFonts w:ascii="Times New Roman" w:hAnsi="Times New Roman" w:cs="Times New Roman"/>
          <w:lang w:val="en-US"/>
        </w:rPr>
        <w:footnoteReference w:id="112"/>
      </w:r>
      <w:r w:rsidRPr="00F80570">
        <w:rPr>
          <w:rFonts w:ascii="Times New Roman" w:hAnsi="Times New Roman" w:cs="Times New Roman"/>
          <w:lang w:val="en-US"/>
        </w:rPr>
        <w:t xml:space="preserve"> The prohibition, on this view, provides a reason against </w:t>
      </w:r>
      <w:r w:rsidRPr="00F80570">
        <w:rPr>
          <w:rFonts w:ascii="Times New Roman" w:hAnsi="Times New Roman" w:cs="Times New Roman"/>
          <w:i/>
          <w:iCs/>
          <w:lang w:val="en-US"/>
        </w:rPr>
        <w:t>non-consensual force</w:t>
      </w:r>
      <w:r w:rsidRPr="00F80570">
        <w:rPr>
          <w:rFonts w:ascii="Times New Roman" w:hAnsi="Times New Roman" w:cs="Times New Roman"/>
          <w:lang w:val="en-US"/>
        </w:rPr>
        <w:t xml:space="preserve"> </w:t>
      </w:r>
      <w:r w:rsidRPr="00F80570">
        <w:rPr>
          <w:rFonts w:ascii="Times New Roman" w:hAnsi="Times New Roman" w:cs="Times New Roman"/>
          <w:i/>
          <w:lang w:val="en-US"/>
        </w:rPr>
        <w:t>only</w:t>
      </w:r>
      <w:r w:rsidRPr="00F80570">
        <w:rPr>
          <w:rFonts w:ascii="Times New Roman" w:hAnsi="Times New Roman" w:cs="Times New Roman"/>
          <w:lang w:val="en-US"/>
        </w:rPr>
        <w:t>, and presupposes the absence of a general reason against force. Since there is no reason not to use consensual force, then this position assumes that consensual force is not a harm, that it requires no justification, and that it is not regrettable.</w:t>
      </w:r>
    </w:p>
    <w:p w:rsidR="00455856" w:rsidRPr="00F80570" w:rsidRDefault="00455856" w:rsidP="00AF7273">
      <w:pPr>
        <w:pStyle w:val="Heading2"/>
      </w:pPr>
      <w:bookmarkStart w:id="19" w:name="_Toc46390736"/>
      <w:r>
        <w:t>3</w:t>
      </w:r>
      <w:r w:rsidRPr="00F80570">
        <w:t>.2. Assessment</w:t>
      </w:r>
      <w:bookmarkEnd w:id="19"/>
      <w:r w:rsidRPr="00F80570">
        <w:t xml:space="preserve"> </w:t>
      </w: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The preceding sections already highlighted some of the problems and limitations of the arguments in support of the intrinsic model </w:t>
      </w:r>
      <w:proofErr w:type="spellStart"/>
      <w:r w:rsidRPr="00F80570">
        <w:rPr>
          <w:rFonts w:ascii="Times New Roman" w:hAnsi="Times New Roman" w:cs="Times New Roman"/>
          <w:lang w:val="en-US"/>
        </w:rPr>
        <w:t>favoured</w:t>
      </w:r>
      <w:proofErr w:type="spellEnd"/>
      <w:r w:rsidRPr="00F80570">
        <w:rPr>
          <w:rFonts w:ascii="Times New Roman" w:hAnsi="Times New Roman" w:cs="Times New Roman"/>
          <w:lang w:val="en-US"/>
        </w:rPr>
        <w:t xml:space="preserve"> by the majority of scholars. The most significant downsides of this model can only be appreciated, however, by drawing out the </w:t>
      </w:r>
      <w:r w:rsidRPr="00F80570">
        <w:rPr>
          <w:rFonts w:ascii="Times New Roman" w:hAnsi="Times New Roman" w:cs="Times New Roman"/>
          <w:lang w:val="en-US"/>
        </w:rPr>
        <w:lastRenderedPageBreak/>
        <w:t>presuppositions and implications of this model for the regulation of force in the international legal order.</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What does this approach say about force in international society? Recall from Campbell that the choice of formulation of rules can reveal how society views a certain </w:t>
      </w:r>
      <w:r>
        <w:rPr>
          <w:rFonts w:ascii="Times New Roman" w:hAnsi="Times New Roman" w:cs="Times New Roman"/>
          <w:lang w:val="en-US"/>
        </w:rPr>
        <w:t>conduct</w:t>
      </w:r>
      <w:r w:rsidRPr="00F80570">
        <w:rPr>
          <w:rFonts w:ascii="Times New Roman" w:hAnsi="Times New Roman" w:cs="Times New Roman"/>
          <w:lang w:val="en-US"/>
        </w:rPr>
        <w:t xml:space="preserve">. This was illustrated by reference to the crime of rape, which is usually defined following the intrinsic model. This formulation of the crime presupposed that there are no general reasons against sexual intercourse </w:t>
      </w:r>
      <w:r>
        <w:rPr>
          <w:rFonts w:ascii="Times New Roman" w:hAnsi="Times New Roman" w:cs="Times New Roman"/>
          <w:lang w:val="en-US"/>
        </w:rPr>
        <w:t>and</w:t>
      </w:r>
      <w:r w:rsidRPr="00F80570">
        <w:rPr>
          <w:rFonts w:ascii="Times New Roman" w:hAnsi="Times New Roman" w:cs="Times New Roman"/>
          <w:lang w:val="en-US"/>
        </w:rPr>
        <w:t xml:space="preserve"> that sexual intercourse requires no justification. The harm of rape is the fact of non-consent, not the fact of sexual intercourse. We could draw the same implications and presuppositions from the intrinsic model as applied to the prohibition of force. If it is the use of non-consensual force that is prohibited, this presupposes and implies that</w:t>
      </w:r>
      <w:r>
        <w:rPr>
          <w:rFonts w:ascii="Times New Roman" w:hAnsi="Times New Roman" w:cs="Times New Roman"/>
          <w:lang w:val="en-US"/>
        </w:rPr>
        <w:t xml:space="preserve"> </w:t>
      </w:r>
      <w:r w:rsidRPr="00F80570">
        <w:rPr>
          <w:rFonts w:ascii="Times New Roman" w:hAnsi="Times New Roman" w:cs="Times New Roman"/>
          <w:lang w:val="en-US"/>
        </w:rPr>
        <w:t xml:space="preserve">there is no general reason against force and that it does not require justification. The harm of force would be </w:t>
      </w:r>
      <w:r w:rsidRPr="00F80570">
        <w:rPr>
          <w:rFonts w:ascii="Times New Roman" w:hAnsi="Times New Roman" w:cs="Times New Roman"/>
          <w:i/>
          <w:iCs/>
          <w:lang w:val="en-US"/>
        </w:rPr>
        <w:t xml:space="preserve">only </w:t>
      </w:r>
      <w:r w:rsidRPr="00F80570">
        <w:rPr>
          <w:rFonts w:ascii="Times New Roman" w:hAnsi="Times New Roman" w:cs="Times New Roman"/>
          <w:lang w:val="en-US"/>
        </w:rPr>
        <w:t xml:space="preserve">the fact of non-consent, </w:t>
      </w:r>
      <w:r>
        <w:rPr>
          <w:rFonts w:ascii="Times New Roman" w:hAnsi="Times New Roman" w:cs="Times New Roman"/>
          <w:lang w:val="en-US"/>
        </w:rPr>
        <w:t>not</w:t>
      </w:r>
      <w:r w:rsidRPr="00F80570">
        <w:rPr>
          <w:rFonts w:ascii="Times New Roman" w:hAnsi="Times New Roman" w:cs="Times New Roman"/>
          <w:lang w:val="en-US"/>
        </w:rPr>
        <w:t xml:space="preserve"> the </w:t>
      </w:r>
      <w:r>
        <w:rPr>
          <w:rFonts w:ascii="Times New Roman" w:hAnsi="Times New Roman" w:cs="Times New Roman"/>
          <w:lang w:val="en-US"/>
        </w:rPr>
        <w:t xml:space="preserve">fact </w:t>
      </w:r>
      <w:r w:rsidRPr="00F80570">
        <w:rPr>
          <w:rFonts w:ascii="Times New Roman" w:hAnsi="Times New Roman" w:cs="Times New Roman"/>
          <w:lang w:val="en-US"/>
        </w:rPr>
        <w:t xml:space="preserve">of force as such.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These implications and presuppositions are somewhat counter-intuitive.</w:t>
      </w:r>
      <w:r w:rsidRPr="00F80570">
        <w:rPr>
          <w:rStyle w:val="FootnoteReference"/>
          <w:rFonts w:ascii="Times New Roman" w:hAnsi="Times New Roman" w:cs="Times New Roman"/>
          <w:lang w:val="en-US"/>
        </w:rPr>
        <w:footnoteReference w:id="113"/>
      </w:r>
      <w:r w:rsidRPr="00F80570">
        <w:rPr>
          <w:rFonts w:ascii="Times New Roman" w:hAnsi="Times New Roman" w:cs="Times New Roman"/>
          <w:lang w:val="en-US"/>
        </w:rPr>
        <w:t xml:space="preserve"> As James Green noted, the use of force is a harm independently of its consensual or non-consensual basis. Where it is non-consensual, in his view, the use of force is doubly harmful: it harms because it is force </w:t>
      </w:r>
      <w:r w:rsidRPr="00F80570">
        <w:rPr>
          <w:rFonts w:ascii="Times New Roman" w:hAnsi="Times New Roman" w:cs="Times New Roman"/>
          <w:i/>
          <w:iCs/>
          <w:lang w:val="en-US"/>
        </w:rPr>
        <w:t>and</w:t>
      </w:r>
      <w:r w:rsidRPr="00F80570">
        <w:rPr>
          <w:rFonts w:ascii="Times New Roman" w:hAnsi="Times New Roman" w:cs="Times New Roman"/>
          <w:lang w:val="en-US"/>
        </w:rPr>
        <w:t xml:space="preserve"> because it lacks consent.</w:t>
      </w:r>
      <w:r w:rsidRPr="00F80570">
        <w:rPr>
          <w:rStyle w:val="FootnoteReference"/>
          <w:rFonts w:ascii="Times New Roman" w:hAnsi="Times New Roman" w:cs="Times New Roman"/>
          <w:lang w:val="en-US"/>
        </w:rPr>
        <w:footnoteReference w:id="114"/>
      </w:r>
      <w:r w:rsidRPr="00F80570">
        <w:rPr>
          <w:rFonts w:ascii="Times New Roman" w:hAnsi="Times New Roman" w:cs="Times New Roman"/>
          <w:lang w:val="en-US"/>
        </w:rPr>
        <w:t xml:space="preserve"> Green is right – and this is precisely where the intrinsic model fails, for it is incapable of articulating the harm of force, other than the harm of non-consent. By giving a reason against non-consensual force </w:t>
      </w:r>
      <w:r w:rsidRPr="00F80570">
        <w:rPr>
          <w:rFonts w:ascii="Times New Roman" w:hAnsi="Times New Roman" w:cs="Times New Roman"/>
          <w:i/>
          <w:iCs/>
          <w:lang w:val="en-US"/>
        </w:rPr>
        <w:t>only</w:t>
      </w:r>
      <w:r w:rsidRPr="00F80570">
        <w:rPr>
          <w:rFonts w:ascii="Times New Roman" w:hAnsi="Times New Roman" w:cs="Times New Roman"/>
          <w:lang w:val="en-US"/>
        </w:rPr>
        <w:t xml:space="preserve"> it presupposes that there are </w:t>
      </w:r>
      <w:r w:rsidRPr="00F80570">
        <w:rPr>
          <w:rFonts w:ascii="Times New Roman" w:hAnsi="Times New Roman" w:cs="Times New Roman"/>
          <w:i/>
          <w:iCs/>
          <w:lang w:val="en-US"/>
        </w:rPr>
        <w:t>no general reasons</w:t>
      </w:r>
      <w:r w:rsidRPr="00F80570">
        <w:rPr>
          <w:rFonts w:ascii="Times New Roman" w:hAnsi="Times New Roman" w:cs="Times New Roman"/>
          <w:lang w:val="en-US"/>
        </w:rPr>
        <w:t xml:space="preserve"> against force: there are, that is, no reasons against force that are applicable to all instances in which force is used. After all, such reasons would not apply to instances in which there is consent. The intrinsic model presupposes </w:t>
      </w:r>
      <w:r w:rsidRPr="00F80570">
        <w:rPr>
          <w:rFonts w:ascii="Times New Roman" w:hAnsi="Times New Roman" w:cs="Times New Roman"/>
          <w:i/>
          <w:iCs/>
          <w:lang w:val="en-US"/>
        </w:rPr>
        <w:t>limited</w:t>
      </w:r>
      <w:r w:rsidRPr="00F80570">
        <w:rPr>
          <w:rFonts w:ascii="Times New Roman" w:hAnsi="Times New Roman" w:cs="Times New Roman"/>
          <w:lang w:val="en-US"/>
        </w:rPr>
        <w:t xml:space="preserve"> reasons against force, that is reasons that apply </w:t>
      </w:r>
      <w:r w:rsidRPr="00F80570">
        <w:rPr>
          <w:rFonts w:ascii="Times New Roman" w:hAnsi="Times New Roman" w:cs="Times New Roman"/>
          <w:i/>
          <w:iCs/>
          <w:lang w:val="en-US"/>
        </w:rPr>
        <w:t>only</w:t>
      </w:r>
      <w:r w:rsidRPr="00F80570">
        <w:rPr>
          <w:rFonts w:ascii="Times New Roman" w:hAnsi="Times New Roman" w:cs="Times New Roman"/>
          <w:lang w:val="en-US"/>
        </w:rPr>
        <w:t xml:space="preserve"> to those instances in which force is used without consent. When force is used with consent, there would be no reasons against that instance of force that needed to be overcome. This is why the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consent (namely, a countervailing or cancelling condition) is not necessary in this model.</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To be sure, an understanding of the prohibition of force as articulating reasons against non-consensual force only could be acceptable if the prohibition of force were only concerned </w:t>
      </w:r>
      <w:r w:rsidRPr="00F80570">
        <w:rPr>
          <w:rFonts w:ascii="Times New Roman" w:hAnsi="Times New Roman" w:cs="Times New Roman"/>
          <w:lang w:val="en-US"/>
        </w:rPr>
        <w:lastRenderedPageBreak/>
        <w:t xml:space="preserve">with the protection of </w:t>
      </w:r>
      <w:r>
        <w:rPr>
          <w:rFonts w:ascii="Times New Roman" w:hAnsi="Times New Roman" w:cs="Times New Roman"/>
          <w:lang w:val="en-US"/>
        </w:rPr>
        <w:t>s</w:t>
      </w:r>
      <w:r w:rsidRPr="00F80570">
        <w:rPr>
          <w:rFonts w:ascii="Times New Roman" w:hAnsi="Times New Roman" w:cs="Times New Roman"/>
          <w:lang w:val="en-US"/>
        </w:rPr>
        <w:t>tate sovereignty. Sovereignty is about exclusive power and authority over a given territory,</w:t>
      </w:r>
      <w:r w:rsidRPr="00F80570">
        <w:rPr>
          <w:rStyle w:val="FootnoteReference"/>
          <w:rFonts w:ascii="Times New Roman" w:hAnsi="Times New Roman" w:cs="Times New Roman"/>
          <w:lang w:val="en-US"/>
        </w:rPr>
        <w:footnoteReference w:id="115"/>
      </w:r>
      <w:r w:rsidRPr="00F80570">
        <w:rPr>
          <w:rFonts w:ascii="Times New Roman" w:hAnsi="Times New Roman" w:cs="Times New Roman"/>
          <w:lang w:val="en-US"/>
        </w:rPr>
        <w:t xml:space="preserve"> and consent to the use of force within a </w:t>
      </w:r>
      <w:r>
        <w:rPr>
          <w:rFonts w:ascii="Times New Roman" w:hAnsi="Times New Roman" w:cs="Times New Roman"/>
          <w:lang w:val="en-US"/>
        </w:rPr>
        <w:t>s</w:t>
      </w:r>
      <w:r w:rsidRPr="00F80570">
        <w:rPr>
          <w:rFonts w:ascii="Times New Roman" w:hAnsi="Times New Roman" w:cs="Times New Roman"/>
          <w:lang w:val="en-US"/>
        </w:rPr>
        <w:t xml:space="preserve">tate’s territory is but a manifestation of this exclusive power. Consent is, on this view, intrinsic to the concept of sovereignty: far from being harmful to </w:t>
      </w:r>
      <w:r>
        <w:rPr>
          <w:rFonts w:ascii="Times New Roman" w:hAnsi="Times New Roman" w:cs="Times New Roman"/>
          <w:lang w:val="en-US"/>
        </w:rPr>
        <w:t>s</w:t>
      </w:r>
      <w:r w:rsidRPr="00F80570">
        <w:rPr>
          <w:rFonts w:ascii="Times New Roman" w:hAnsi="Times New Roman" w:cs="Times New Roman"/>
          <w:lang w:val="en-US"/>
        </w:rPr>
        <w:t xml:space="preserve">tate sovereignty, consensual force furthers that sovereignty, as argued by Patrick </w:t>
      </w:r>
      <w:proofErr w:type="spellStart"/>
      <w:r w:rsidRPr="00F80570">
        <w:rPr>
          <w:rFonts w:ascii="Times New Roman" w:hAnsi="Times New Roman" w:cs="Times New Roman"/>
          <w:lang w:val="en-US"/>
        </w:rPr>
        <w:t>Butchard</w:t>
      </w:r>
      <w:proofErr w:type="spellEnd"/>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116"/>
      </w:r>
      <w:r w:rsidRPr="00F80570">
        <w:rPr>
          <w:rFonts w:ascii="Times New Roman" w:hAnsi="Times New Roman" w:cs="Times New Roman"/>
          <w:lang w:val="en-US"/>
        </w:rPr>
        <w:t xml:space="preserve">  If the prohibition of force resolves itself in the protection </w:t>
      </w:r>
      <w:r w:rsidR="008D1169">
        <w:rPr>
          <w:rFonts w:ascii="Times New Roman" w:hAnsi="Times New Roman" w:cs="Times New Roman"/>
          <w:lang w:val="en-US"/>
        </w:rPr>
        <w:t xml:space="preserve">of </w:t>
      </w:r>
      <w:r w:rsidRPr="00F80570">
        <w:rPr>
          <w:rFonts w:ascii="Times New Roman" w:hAnsi="Times New Roman" w:cs="Times New Roman"/>
          <w:lang w:val="en-US"/>
        </w:rPr>
        <w:t xml:space="preserve">sovereignty, then it is ultimately about protecting the </w:t>
      </w:r>
      <w:r>
        <w:rPr>
          <w:rFonts w:ascii="Times New Roman" w:hAnsi="Times New Roman" w:cs="Times New Roman"/>
          <w:lang w:val="en-US"/>
        </w:rPr>
        <w:t>s</w:t>
      </w:r>
      <w:r w:rsidRPr="00F80570">
        <w:rPr>
          <w:rFonts w:ascii="Times New Roman" w:hAnsi="Times New Roman" w:cs="Times New Roman"/>
          <w:lang w:val="en-US"/>
        </w:rPr>
        <w:t xml:space="preserve">tate’s power over that territory, including its power to consent. Hence, force would not be harmful as such but only when non-consensual. But as will be argued next, the prohibition of force is </w:t>
      </w:r>
      <w:r w:rsidRPr="00F80570">
        <w:rPr>
          <w:rFonts w:ascii="Times New Roman" w:hAnsi="Times New Roman" w:cs="Times New Roman"/>
          <w:i/>
          <w:iCs/>
          <w:lang w:val="en-US"/>
        </w:rPr>
        <w:t>not solely</w:t>
      </w:r>
      <w:r w:rsidRPr="00F80570">
        <w:rPr>
          <w:rFonts w:ascii="Times New Roman" w:hAnsi="Times New Roman" w:cs="Times New Roman"/>
          <w:lang w:val="en-US"/>
        </w:rPr>
        <w:t xml:space="preserve"> about the protection of </w:t>
      </w:r>
      <w:r>
        <w:rPr>
          <w:rFonts w:ascii="Times New Roman" w:hAnsi="Times New Roman" w:cs="Times New Roman"/>
          <w:lang w:val="en-US"/>
        </w:rPr>
        <w:t>s</w:t>
      </w:r>
      <w:r w:rsidRPr="00F80570">
        <w:rPr>
          <w:rFonts w:ascii="Times New Roman" w:hAnsi="Times New Roman" w:cs="Times New Roman"/>
          <w:lang w:val="en-US"/>
        </w:rPr>
        <w:t>tate sovereignty.</w:t>
      </w:r>
    </w:p>
    <w:p w:rsidR="00455856" w:rsidRPr="0070747C" w:rsidRDefault="00455856" w:rsidP="00AF7273">
      <w:pPr>
        <w:pStyle w:val="Heading1"/>
        <w:numPr>
          <w:ilvl w:val="0"/>
          <w:numId w:val="18"/>
        </w:numPr>
        <w:spacing w:line="360" w:lineRule="auto"/>
        <w:rPr>
          <w:rFonts w:ascii="Times New Roman" w:hAnsi="Times New Roman" w:cs="Times New Roman"/>
          <w:sz w:val="24"/>
          <w:szCs w:val="24"/>
        </w:rPr>
      </w:pPr>
      <w:bookmarkStart w:id="20" w:name="_Toc46390737"/>
      <w:r w:rsidRPr="0070747C">
        <w:rPr>
          <w:rFonts w:ascii="Times New Roman" w:hAnsi="Times New Roman" w:cs="Times New Roman"/>
          <w:sz w:val="24"/>
          <w:szCs w:val="24"/>
        </w:rPr>
        <w:t>The case for the extrinsic model</w:t>
      </w:r>
      <w:bookmarkEnd w:id="20"/>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The distinctive feature of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as was said in Section </w:t>
      </w:r>
      <w:r>
        <w:rPr>
          <w:rFonts w:ascii="Times New Roman" w:hAnsi="Times New Roman" w:cs="Times New Roman"/>
          <w:lang w:val="en-US"/>
        </w:rPr>
        <w:t>2</w:t>
      </w:r>
      <w:r w:rsidRPr="00F80570">
        <w:rPr>
          <w:rFonts w:ascii="Times New Roman" w:hAnsi="Times New Roman" w:cs="Times New Roman"/>
          <w:lang w:val="en-US"/>
        </w:rPr>
        <w:t xml:space="preserve">, is that they constitute factors or considerations capable of </w:t>
      </w:r>
      <w:r>
        <w:rPr>
          <w:rFonts w:ascii="Times New Roman" w:hAnsi="Times New Roman" w:cs="Times New Roman"/>
          <w:lang w:val="en-US"/>
        </w:rPr>
        <w:t xml:space="preserve">overcoming </w:t>
      </w:r>
      <w:r w:rsidRPr="00F80570">
        <w:rPr>
          <w:rFonts w:ascii="Times New Roman" w:hAnsi="Times New Roman" w:cs="Times New Roman"/>
          <w:lang w:val="en-US"/>
        </w:rPr>
        <w:t xml:space="preserve">reasons against action.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presuppose, that is, that there are general reasons against an action: after all, there must be something that the reasons articulated by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w:t>
      </w:r>
      <w:r>
        <w:rPr>
          <w:rFonts w:ascii="Times New Roman" w:hAnsi="Times New Roman" w:cs="Times New Roman"/>
          <w:lang w:val="en-US"/>
        </w:rPr>
        <w:t>overcome</w:t>
      </w:r>
      <w:r w:rsidRPr="00F80570">
        <w:rPr>
          <w:rFonts w:ascii="Times New Roman" w:hAnsi="Times New Roman" w:cs="Times New Roman"/>
          <w:lang w:val="en-US"/>
        </w:rPr>
        <w:t xml:space="preserve">. General reasons against a given conduct are considerations that count as reasons against that conduct that are applicable </w:t>
      </w:r>
      <w:r w:rsidRPr="00F80570">
        <w:rPr>
          <w:rFonts w:ascii="Times New Roman" w:hAnsi="Times New Roman" w:cs="Times New Roman"/>
          <w:i/>
          <w:iCs/>
          <w:lang w:val="en-US"/>
        </w:rPr>
        <w:t>to all instances</w:t>
      </w:r>
      <w:r w:rsidRPr="00F80570">
        <w:rPr>
          <w:rFonts w:ascii="Times New Roman" w:hAnsi="Times New Roman" w:cs="Times New Roman"/>
          <w:lang w:val="en-US"/>
        </w:rPr>
        <w:t xml:space="preserve"> in which an agent engages in said conduct. These general reasons can, but need not</w:t>
      </w:r>
      <w:r>
        <w:rPr>
          <w:rFonts w:ascii="Times New Roman" w:hAnsi="Times New Roman" w:cs="Times New Roman"/>
          <w:lang w:val="en-US"/>
        </w:rPr>
        <w:t xml:space="preserve"> be</w:t>
      </w:r>
      <w:r w:rsidRPr="00F80570">
        <w:rPr>
          <w:rFonts w:ascii="Times New Roman" w:hAnsi="Times New Roman" w:cs="Times New Roman"/>
          <w:lang w:val="en-US"/>
        </w:rPr>
        <w:t>, conclusive in all instances</w:t>
      </w:r>
      <w:r w:rsidRPr="00F80570">
        <w:rPr>
          <w:rFonts w:ascii="Times New Roman" w:hAnsi="Times New Roman" w:cs="Times New Roman"/>
          <w:i/>
          <w:iCs/>
          <w:lang w:val="en-US"/>
        </w:rPr>
        <w:t xml:space="preserve"> </w:t>
      </w:r>
      <w:r w:rsidRPr="00F80570">
        <w:rPr>
          <w:rFonts w:ascii="Times New Roman" w:hAnsi="Times New Roman" w:cs="Times New Roman"/>
          <w:lang w:val="en-US"/>
        </w:rPr>
        <w:t>in which the conduct occurs. For reasons to be general, in Kate Greasley’s words, it is enough that they ‘present something to overcome, always operative.’</w:t>
      </w:r>
      <w:r w:rsidRPr="00F80570">
        <w:rPr>
          <w:rStyle w:val="FootnoteReference"/>
          <w:rFonts w:ascii="Times New Roman" w:hAnsi="Times New Roman" w:cs="Times New Roman"/>
          <w:lang w:val="en-US"/>
        </w:rPr>
        <w:footnoteReference w:id="117"/>
      </w:r>
      <w:r w:rsidRPr="00F80570">
        <w:rPr>
          <w:rFonts w:ascii="Times New Roman" w:hAnsi="Times New Roman" w:cs="Times New Roman"/>
          <w:lang w:val="en-US"/>
        </w:rPr>
        <w:t xml:space="preserve"> The crucial point is that these reasons </w:t>
      </w:r>
      <w:r w:rsidRPr="00F80570">
        <w:rPr>
          <w:rFonts w:ascii="Times New Roman" w:hAnsi="Times New Roman" w:cs="Times New Roman"/>
          <w:i/>
          <w:iCs/>
          <w:lang w:val="en-US"/>
        </w:rPr>
        <w:t>can be</w:t>
      </w:r>
      <w:r w:rsidRPr="00F80570">
        <w:rPr>
          <w:rFonts w:ascii="Times New Roman" w:hAnsi="Times New Roman" w:cs="Times New Roman"/>
          <w:lang w:val="en-US"/>
        </w:rPr>
        <w:t xml:space="preserve"> overcome,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are means by which such reasons are indeed overcome. General reasons are, therefore, </w:t>
      </w:r>
      <w:r w:rsidRPr="00F80570">
        <w:rPr>
          <w:rFonts w:ascii="Times New Roman" w:hAnsi="Times New Roman" w:cs="Times New Roman"/>
          <w:i/>
          <w:iCs/>
          <w:lang w:val="en-US"/>
        </w:rPr>
        <w:t xml:space="preserve">prima facie </w:t>
      </w:r>
      <w:r w:rsidRPr="00F80570">
        <w:rPr>
          <w:rFonts w:ascii="Times New Roman" w:hAnsi="Times New Roman" w:cs="Times New Roman"/>
          <w:lang w:val="en-US"/>
        </w:rPr>
        <w:t>reasons against action.</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The intrinsic model, as was noted, implies that there is no general reason against force. There is, on that model, a (limited) reason against non-consensual force. When force is used with consent, there would be no reason against that action – there would be nothing, in other words, to overcome. So consent </w:t>
      </w:r>
      <w:r>
        <w:rPr>
          <w:rFonts w:ascii="Times New Roman" w:hAnsi="Times New Roman" w:cs="Times New Roman"/>
          <w:lang w:val="en-US"/>
        </w:rPr>
        <w:t xml:space="preserve">is not needed </w:t>
      </w:r>
      <w:r w:rsidRPr="00F80570">
        <w:rPr>
          <w:rFonts w:ascii="Times New Roman" w:hAnsi="Times New Roman" w:cs="Times New Roman"/>
          <w:lang w:val="en-US"/>
        </w:rPr>
        <w:t xml:space="preserve">not operate as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w:t>
      </w:r>
      <w:r>
        <w:rPr>
          <w:rFonts w:ascii="Times New Roman" w:hAnsi="Times New Roman" w:cs="Times New Roman"/>
          <w:lang w:val="en-US"/>
        </w:rPr>
        <w:t xml:space="preserve">in </w:t>
      </w:r>
      <w:r w:rsidRPr="00F80570">
        <w:rPr>
          <w:rFonts w:ascii="Times New Roman" w:hAnsi="Times New Roman" w:cs="Times New Roman"/>
          <w:lang w:val="en-US"/>
        </w:rPr>
        <w:t xml:space="preserve">this model. But if we can identify a general reason against force, one that applies </w:t>
      </w:r>
      <w:r w:rsidRPr="00F80570">
        <w:rPr>
          <w:rFonts w:ascii="Times New Roman" w:hAnsi="Times New Roman" w:cs="Times New Roman"/>
          <w:i/>
          <w:iCs/>
          <w:lang w:val="en-US"/>
        </w:rPr>
        <w:t>also</w:t>
      </w:r>
      <w:r w:rsidRPr="00F80570">
        <w:rPr>
          <w:rFonts w:ascii="Times New Roman" w:hAnsi="Times New Roman" w:cs="Times New Roman"/>
          <w:lang w:val="en-US"/>
        </w:rPr>
        <w:t xml:space="preserve"> when the intervening </w:t>
      </w:r>
      <w:r>
        <w:rPr>
          <w:rFonts w:ascii="Times New Roman" w:hAnsi="Times New Roman" w:cs="Times New Roman"/>
          <w:lang w:val="en-US"/>
        </w:rPr>
        <w:t>s</w:t>
      </w:r>
      <w:r w:rsidRPr="00F80570">
        <w:rPr>
          <w:rFonts w:ascii="Times New Roman" w:hAnsi="Times New Roman" w:cs="Times New Roman"/>
          <w:lang w:val="en-US"/>
        </w:rPr>
        <w:t xml:space="preserve">tate counts with the consent of the territorial or target </w:t>
      </w:r>
      <w:r>
        <w:rPr>
          <w:rFonts w:ascii="Times New Roman" w:hAnsi="Times New Roman" w:cs="Times New Roman"/>
          <w:lang w:val="en-US"/>
        </w:rPr>
        <w:t>s</w:t>
      </w:r>
      <w:r w:rsidRPr="00F80570">
        <w:rPr>
          <w:rFonts w:ascii="Times New Roman" w:hAnsi="Times New Roman" w:cs="Times New Roman"/>
          <w:lang w:val="en-US"/>
        </w:rPr>
        <w:t xml:space="preserve">tate, then that reason will involve something that is always present and that needs to be overcome in </w:t>
      </w:r>
      <w:r w:rsidRPr="00F80570">
        <w:rPr>
          <w:rFonts w:ascii="Times New Roman" w:hAnsi="Times New Roman" w:cs="Times New Roman"/>
          <w:i/>
          <w:iCs/>
          <w:lang w:val="en-US"/>
        </w:rPr>
        <w:t xml:space="preserve">all </w:t>
      </w:r>
      <w:r w:rsidRPr="00F80570">
        <w:rPr>
          <w:rFonts w:ascii="Times New Roman" w:hAnsi="Times New Roman" w:cs="Times New Roman"/>
          <w:lang w:val="en-US"/>
        </w:rPr>
        <w:t>instances in which force is used</w:t>
      </w:r>
      <w:r>
        <w:rPr>
          <w:rFonts w:ascii="Times New Roman" w:hAnsi="Times New Roman" w:cs="Times New Roman"/>
          <w:lang w:val="en-US"/>
        </w:rPr>
        <w:t xml:space="preserve"> – </w:t>
      </w:r>
      <w:r>
        <w:rPr>
          <w:rFonts w:ascii="Times New Roman" w:hAnsi="Times New Roman" w:cs="Times New Roman"/>
          <w:lang w:val="en-US"/>
        </w:rPr>
        <w:lastRenderedPageBreak/>
        <w:t>including when it is used with consent</w:t>
      </w:r>
      <w:r w:rsidRPr="00F80570">
        <w:rPr>
          <w:rFonts w:ascii="Times New Roman" w:hAnsi="Times New Roman" w:cs="Times New Roman"/>
          <w:lang w:val="en-US"/>
        </w:rPr>
        <w:t xml:space="preserve">. The prohibition against force will give a general </w:t>
      </w:r>
      <w:r w:rsidRPr="00F80570">
        <w:rPr>
          <w:rFonts w:ascii="Times New Roman" w:hAnsi="Times New Roman" w:cs="Times New Roman"/>
          <w:i/>
          <w:iCs/>
          <w:lang w:val="en-US"/>
        </w:rPr>
        <w:t xml:space="preserve">prima facie </w:t>
      </w:r>
      <w:r w:rsidRPr="00F80570">
        <w:rPr>
          <w:rFonts w:ascii="Times New Roman" w:hAnsi="Times New Roman" w:cs="Times New Roman"/>
          <w:lang w:val="en-US"/>
        </w:rPr>
        <w:t xml:space="preserve">reason against force, and consent will count as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capable of </w:t>
      </w:r>
      <w:r>
        <w:rPr>
          <w:rFonts w:ascii="Times New Roman" w:hAnsi="Times New Roman" w:cs="Times New Roman"/>
          <w:lang w:val="en-US"/>
        </w:rPr>
        <w:t xml:space="preserve">overcoming </w:t>
      </w:r>
      <w:r w:rsidRPr="00F80570">
        <w:rPr>
          <w:rFonts w:ascii="Times New Roman" w:hAnsi="Times New Roman" w:cs="Times New Roman"/>
          <w:lang w:val="en-US"/>
        </w:rPr>
        <w:t xml:space="preserve">the general reason against force.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8D1169">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As will be argued, the prohibition of force, as articulated in Article 2(4) of the Charter </w:t>
      </w:r>
      <w:r w:rsidR="008D1169">
        <w:rPr>
          <w:rFonts w:ascii="Times New Roman" w:hAnsi="Times New Roman" w:cs="Times New Roman"/>
          <w:lang w:val="en-US"/>
        </w:rPr>
        <w:t>articulates</w:t>
      </w:r>
      <w:r w:rsidRPr="00F80570">
        <w:rPr>
          <w:rFonts w:ascii="Times New Roman" w:hAnsi="Times New Roman" w:cs="Times New Roman"/>
          <w:lang w:val="en-US"/>
        </w:rPr>
        <w:t xml:space="preserve"> two reasons against force: the protection of sovereignty, and the maintenance of international peace and security. The former is a limited reason that applies in instances where force is non-consensual. The latter,</w:t>
      </w:r>
      <w:r w:rsidR="008D1169">
        <w:rPr>
          <w:rFonts w:ascii="Times New Roman" w:hAnsi="Times New Roman" w:cs="Times New Roman"/>
          <w:lang w:val="en-US"/>
        </w:rPr>
        <w:t xml:space="preserve"> in particular the maintenance of peace, applies </w:t>
      </w:r>
      <w:r w:rsidRPr="00F80570">
        <w:rPr>
          <w:rFonts w:ascii="Times New Roman" w:hAnsi="Times New Roman" w:cs="Times New Roman"/>
          <w:lang w:val="en-US"/>
        </w:rPr>
        <w:t xml:space="preserve">to </w:t>
      </w:r>
      <w:r w:rsidRPr="00F80570">
        <w:rPr>
          <w:rFonts w:ascii="Times New Roman" w:hAnsi="Times New Roman" w:cs="Times New Roman"/>
          <w:i/>
          <w:iCs/>
          <w:lang w:val="en-US"/>
        </w:rPr>
        <w:t>all</w:t>
      </w:r>
      <w:r w:rsidRPr="00F80570">
        <w:rPr>
          <w:rFonts w:ascii="Times New Roman" w:hAnsi="Times New Roman" w:cs="Times New Roman"/>
          <w:lang w:val="en-US"/>
        </w:rPr>
        <w:t xml:space="preserve"> instances of the use of force by a </w:t>
      </w:r>
      <w:r>
        <w:rPr>
          <w:rFonts w:ascii="Times New Roman" w:hAnsi="Times New Roman" w:cs="Times New Roman"/>
          <w:lang w:val="en-US"/>
        </w:rPr>
        <w:t>s</w:t>
      </w:r>
      <w:r w:rsidRPr="00F80570">
        <w:rPr>
          <w:rFonts w:ascii="Times New Roman" w:hAnsi="Times New Roman" w:cs="Times New Roman"/>
          <w:lang w:val="en-US"/>
        </w:rPr>
        <w:t xml:space="preserve">tate. As such, the maintenance of international peace provides a general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reason against force</w:t>
      </w:r>
      <w:r w:rsidR="008D1169">
        <w:rPr>
          <w:rFonts w:ascii="Times New Roman" w:hAnsi="Times New Roman" w:cs="Times New Roman"/>
          <w:lang w:val="en-US"/>
        </w:rPr>
        <w:t xml:space="preserve">, applicable </w:t>
      </w:r>
      <w:r w:rsidR="008D1169">
        <w:rPr>
          <w:rFonts w:ascii="Times New Roman" w:hAnsi="Times New Roman" w:cs="Times New Roman"/>
          <w:i/>
          <w:iCs/>
          <w:lang w:val="en-US"/>
        </w:rPr>
        <w:t>also</w:t>
      </w:r>
      <w:r w:rsidR="008D1169">
        <w:rPr>
          <w:rFonts w:ascii="Times New Roman" w:hAnsi="Times New Roman" w:cs="Times New Roman"/>
          <w:lang w:val="en-US"/>
        </w:rPr>
        <w:t xml:space="preserve"> when force is consensual. </w:t>
      </w:r>
      <w:r>
        <w:rPr>
          <w:rFonts w:ascii="Times New Roman" w:hAnsi="Times New Roman" w:cs="Times New Roman"/>
          <w:lang w:val="en-US"/>
        </w:rPr>
        <w:t xml:space="preserve">The use of force with consent is, on this view, a </w:t>
      </w:r>
      <w:r w:rsidRPr="00107A76">
        <w:rPr>
          <w:rFonts w:ascii="Times New Roman" w:hAnsi="Times New Roman" w:cs="Times New Roman"/>
          <w:i/>
          <w:iCs/>
          <w:lang w:val="en-US"/>
        </w:rPr>
        <w:t>prima facie</w:t>
      </w:r>
      <w:r>
        <w:rPr>
          <w:rFonts w:ascii="Times New Roman" w:hAnsi="Times New Roman" w:cs="Times New Roman"/>
          <w:lang w:val="en-US"/>
        </w:rPr>
        <w:t xml:space="preserve"> wrongful act in an evidential sense</w:t>
      </w:r>
      <w:r w:rsidR="008D1169">
        <w:rPr>
          <w:rFonts w:ascii="Times New Roman" w:hAnsi="Times New Roman" w:cs="Times New Roman"/>
          <w:lang w:val="en-US"/>
        </w:rPr>
        <w:t xml:space="preserve"> (at least)</w:t>
      </w:r>
      <w:r>
        <w:rPr>
          <w:rFonts w:ascii="Times New Roman" w:hAnsi="Times New Roman" w:cs="Times New Roman"/>
          <w:lang w:val="en-US"/>
        </w:rPr>
        <w:t xml:space="preserve">; namely, </w:t>
      </w:r>
      <w:r w:rsidR="008D1169">
        <w:rPr>
          <w:rFonts w:ascii="Times New Roman" w:hAnsi="Times New Roman" w:cs="Times New Roman"/>
          <w:lang w:val="en-US"/>
        </w:rPr>
        <w:t>consensual force</w:t>
      </w:r>
      <w:r>
        <w:rPr>
          <w:rFonts w:ascii="Times New Roman" w:hAnsi="Times New Roman" w:cs="Times New Roman"/>
          <w:lang w:val="en-US"/>
        </w:rPr>
        <w:t xml:space="preserve"> will be considered as a wrong </w:t>
      </w:r>
      <w:r w:rsidR="008D1169">
        <w:rPr>
          <w:rFonts w:ascii="Times New Roman" w:hAnsi="Times New Roman" w:cs="Times New Roman"/>
          <w:lang w:val="en-US"/>
        </w:rPr>
        <w:t xml:space="preserve">at first blush or impression, </w:t>
      </w:r>
      <w:r>
        <w:rPr>
          <w:rFonts w:ascii="Times New Roman" w:hAnsi="Times New Roman" w:cs="Times New Roman"/>
          <w:lang w:val="en-US"/>
        </w:rPr>
        <w:t xml:space="preserve">until all factors and considerations, including consent, have been taken into account. </w:t>
      </w:r>
      <w:r w:rsidRPr="00F80570">
        <w:rPr>
          <w:rFonts w:ascii="Times New Roman" w:hAnsi="Times New Roman" w:cs="Times New Roman"/>
          <w:lang w:val="en-US"/>
        </w:rPr>
        <w:t>Consent</w:t>
      </w:r>
      <w:r w:rsidR="008D1169">
        <w:rPr>
          <w:rFonts w:ascii="Times New Roman" w:hAnsi="Times New Roman" w:cs="Times New Roman"/>
          <w:lang w:val="en-US"/>
        </w:rPr>
        <w:t xml:space="preserve">, which </w:t>
      </w:r>
      <w:r w:rsidR="00E10402">
        <w:rPr>
          <w:rFonts w:ascii="Times New Roman" w:hAnsi="Times New Roman" w:cs="Times New Roman"/>
          <w:lang w:val="en-US"/>
        </w:rPr>
        <w:t xml:space="preserve">can overcome </w:t>
      </w:r>
      <w:r w:rsidR="008D1169">
        <w:rPr>
          <w:rFonts w:ascii="Times New Roman" w:hAnsi="Times New Roman" w:cs="Times New Roman"/>
          <w:lang w:val="en-US"/>
        </w:rPr>
        <w:t>the general reason against force,</w:t>
      </w:r>
      <w:r w:rsidRPr="00F80570">
        <w:rPr>
          <w:rFonts w:ascii="Times New Roman" w:hAnsi="Times New Roman" w:cs="Times New Roman"/>
          <w:lang w:val="en-US"/>
        </w:rPr>
        <w:t xml:space="preserve"> must therefore operate as a </w:t>
      </w:r>
      <w:r w:rsidRPr="00F80570">
        <w:rPr>
          <w:rFonts w:ascii="Times New Roman" w:hAnsi="Times New Roman" w:cs="Times New Roman"/>
          <w:i/>
          <w:iCs/>
          <w:lang w:val="en-US"/>
        </w:rPr>
        <w:t>justification</w:t>
      </w:r>
      <w:r w:rsidRPr="00F80570">
        <w:rPr>
          <w:rFonts w:ascii="Times New Roman" w:hAnsi="Times New Roman" w:cs="Times New Roman"/>
          <w:lang w:val="en-US"/>
        </w:rPr>
        <w:t xml:space="preserve"> against the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breach of the prohibition.</w:t>
      </w:r>
      <w:r w:rsidRPr="00F80570">
        <w:rPr>
          <w:rStyle w:val="FootnoteReference"/>
          <w:rFonts w:ascii="Times New Roman" w:hAnsi="Times New Roman" w:cs="Times New Roman"/>
          <w:lang w:val="en-US"/>
        </w:rPr>
        <w:footnoteReference w:id="118"/>
      </w:r>
      <w:r w:rsidRPr="00F80570">
        <w:rPr>
          <w:rFonts w:ascii="Times New Roman" w:hAnsi="Times New Roman" w:cs="Times New Roman"/>
          <w:lang w:val="en-US"/>
        </w:rPr>
        <w:t xml:space="preserve"> </w:t>
      </w:r>
      <w:r w:rsidR="00E10402">
        <w:rPr>
          <w:rFonts w:ascii="Times New Roman" w:hAnsi="Times New Roman" w:cs="Times New Roman"/>
          <w:lang w:val="en-US"/>
        </w:rPr>
        <w:t xml:space="preserve">And indeed, in practice, </w:t>
      </w:r>
      <w:r>
        <w:rPr>
          <w:rFonts w:ascii="Times New Roman" w:hAnsi="Times New Roman" w:cs="Times New Roman"/>
          <w:lang w:val="en-US"/>
        </w:rPr>
        <w:t>s</w:t>
      </w:r>
      <w:r w:rsidRPr="00F80570">
        <w:rPr>
          <w:rFonts w:ascii="Times New Roman" w:hAnsi="Times New Roman" w:cs="Times New Roman"/>
          <w:lang w:val="en-US"/>
        </w:rPr>
        <w:t xml:space="preserve">tates almost always offer justifications (in the form of a legal basis for their conduct) for the use of force with the consent of the target or territorial </w:t>
      </w:r>
      <w:r>
        <w:rPr>
          <w:rFonts w:ascii="Times New Roman" w:hAnsi="Times New Roman" w:cs="Times New Roman"/>
          <w:lang w:val="en-US"/>
        </w:rPr>
        <w:t>s</w:t>
      </w:r>
      <w:r w:rsidRPr="00F80570">
        <w:rPr>
          <w:rFonts w:ascii="Times New Roman" w:hAnsi="Times New Roman" w:cs="Times New Roman"/>
          <w:lang w:val="en-US"/>
        </w:rPr>
        <w:t>tate</w:t>
      </w:r>
      <w:r w:rsidR="00E10402">
        <w:rPr>
          <w:rFonts w:ascii="Times New Roman" w:hAnsi="Times New Roman" w:cs="Times New Roman"/>
          <w:lang w:val="en-US"/>
        </w:rPr>
        <w:t>, thus suggesting</w:t>
      </w:r>
      <w:r w:rsidRPr="00F80570">
        <w:rPr>
          <w:rFonts w:ascii="Times New Roman" w:hAnsi="Times New Roman" w:cs="Times New Roman"/>
          <w:lang w:val="en-US"/>
        </w:rPr>
        <w:t xml:space="preserve"> that</w:t>
      </w:r>
      <w:r w:rsidR="00E10402">
        <w:rPr>
          <w:rFonts w:ascii="Times New Roman" w:hAnsi="Times New Roman" w:cs="Times New Roman"/>
          <w:lang w:val="en-US"/>
        </w:rPr>
        <w:t xml:space="preserve"> far from being </w:t>
      </w:r>
      <w:r w:rsidR="00E10402" w:rsidRPr="00E10402">
        <w:rPr>
          <w:rFonts w:ascii="Times New Roman" w:hAnsi="Times New Roman" w:cs="Times New Roman"/>
          <w:i/>
          <w:iCs/>
          <w:lang w:val="en-US"/>
        </w:rPr>
        <w:t>ab initio</w:t>
      </w:r>
      <w:r w:rsidR="00E10402">
        <w:rPr>
          <w:rFonts w:ascii="Times New Roman" w:hAnsi="Times New Roman" w:cs="Times New Roman"/>
          <w:lang w:val="en-US"/>
        </w:rPr>
        <w:t xml:space="preserve"> lawful,</w:t>
      </w:r>
      <w:r w:rsidRPr="00F80570">
        <w:rPr>
          <w:rFonts w:ascii="Times New Roman" w:hAnsi="Times New Roman" w:cs="Times New Roman"/>
          <w:lang w:val="en-US"/>
        </w:rPr>
        <w:t xml:space="preserve"> </w:t>
      </w:r>
      <w:r>
        <w:rPr>
          <w:rFonts w:ascii="Times New Roman" w:hAnsi="Times New Roman" w:cs="Times New Roman"/>
          <w:lang w:val="en-US"/>
        </w:rPr>
        <w:t>s</w:t>
      </w:r>
      <w:r w:rsidRPr="00F80570">
        <w:rPr>
          <w:rFonts w:ascii="Times New Roman" w:hAnsi="Times New Roman" w:cs="Times New Roman"/>
          <w:lang w:val="en-US"/>
        </w:rPr>
        <w:t xml:space="preserve">tates perceive consensual force to be a </w:t>
      </w:r>
      <w:r w:rsidRPr="00F80570">
        <w:rPr>
          <w:rFonts w:ascii="Times New Roman" w:hAnsi="Times New Roman" w:cs="Times New Roman"/>
          <w:i/>
          <w:iCs/>
          <w:lang w:val="en-US"/>
        </w:rPr>
        <w:t xml:space="preserve">prima facie </w:t>
      </w:r>
      <w:r w:rsidRPr="00F80570">
        <w:rPr>
          <w:rFonts w:ascii="Times New Roman" w:hAnsi="Times New Roman" w:cs="Times New Roman"/>
          <w:lang w:val="en-US"/>
        </w:rPr>
        <w:t>wrong</w:t>
      </w:r>
      <w:r w:rsidR="00E10402">
        <w:rPr>
          <w:rFonts w:ascii="Times New Roman" w:hAnsi="Times New Roman" w:cs="Times New Roman"/>
          <w:lang w:val="en-US"/>
        </w:rPr>
        <w:t>.</w:t>
      </w:r>
      <w:r w:rsidRPr="00F80570">
        <w:rPr>
          <w:rStyle w:val="FootnoteReference"/>
          <w:rFonts w:ascii="Times New Roman" w:hAnsi="Times New Roman" w:cs="Times New Roman"/>
          <w:lang w:val="en-US"/>
        </w:rPr>
        <w:t xml:space="preserve"> </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The focus in this </w:t>
      </w:r>
      <w:r>
        <w:rPr>
          <w:rFonts w:ascii="Times New Roman" w:hAnsi="Times New Roman" w:cs="Times New Roman"/>
          <w:lang w:val="en-US"/>
        </w:rPr>
        <w:t>article</w:t>
      </w:r>
      <w:r w:rsidRPr="00F80570">
        <w:rPr>
          <w:rFonts w:ascii="Times New Roman" w:hAnsi="Times New Roman" w:cs="Times New Roman"/>
          <w:lang w:val="en-US"/>
        </w:rPr>
        <w:t xml:space="preserve"> is on the identification of a general (</w:t>
      </w:r>
      <w:r w:rsidRPr="00F80570">
        <w:rPr>
          <w:rFonts w:ascii="Times New Roman" w:hAnsi="Times New Roman" w:cs="Times New Roman"/>
          <w:i/>
          <w:iCs/>
          <w:lang w:val="en-US"/>
        </w:rPr>
        <w:t>prima facie</w:t>
      </w:r>
      <w:r w:rsidRPr="00F80570">
        <w:rPr>
          <w:rFonts w:ascii="Times New Roman" w:hAnsi="Times New Roman" w:cs="Times New Roman"/>
          <w:lang w:val="en-US"/>
        </w:rPr>
        <w:t>) reason against force</w:t>
      </w:r>
      <w:r w:rsidR="00E10402">
        <w:rPr>
          <w:rFonts w:ascii="Times New Roman" w:hAnsi="Times New Roman" w:cs="Times New Roman"/>
          <w:lang w:val="en-US"/>
        </w:rPr>
        <w:t xml:space="preserve">, as this is enough to place consent in the role of a </w:t>
      </w:r>
      <w:proofErr w:type="spellStart"/>
      <w:r w:rsidR="00E10402">
        <w:rPr>
          <w:rFonts w:ascii="Times New Roman" w:hAnsi="Times New Roman" w:cs="Times New Roman"/>
          <w:lang w:val="en-US"/>
        </w:rPr>
        <w:t>defence</w:t>
      </w:r>
      <w:proofErr w:type="spellEnd"/>
      <w:r w:rsidR="00E10402">
        <w:rPr>
          <w:rFonts w:ascii="Times New Roman" w:hAnsi="Times New Roman" w:cs="Times New Roman"/>
          <w:lang w:val="en-US"/>
        </w:rPr>
        <w:t>.</w:t>
      </w:r>
      <w:r w:rsidRPr="00F80570">
        <w:rPr>
          <w:rFonts w:ascii="Times New Roman" w:hAnsi="Times New Roman" w:cs="Times New Roman"/>
          <w:lang w:val="en-US"/>
        </w:rPr>
        <w:t xml:space="preserve"> </w:t>
      </w:r>
      <w:r>
        <w:rPr>
          <w:rFonts w:ascii="Times New Roman" w:hAnsi="Times New Roman" w:cs="Times New Roman"/>
          <w:lang w:val="en-US"/>
        </w:rPr>
        <w:t>As already said, it</w:t>
      </w:r>
      <w:r w:rsidRPr="00F80570">
        <w:rPr>
          <w:rFonts w:ascii="Times New Roman" w:hAnsi="Times New Roman" w:cs="Times New Roman"/>
          <w:lang w:val="en-US"/>
        </w:rPr>
        <w:t xml:space="preserve"> will not address</w:t>
      </w:r>
      <w:r>
        <w:rPr>
          <w:rFonts w:ascii="Times New Roman" w:hAnsi="Times New Roman" w:cs="Times New Roman"/>
          <w:lang w:val="en-US"/>
        </w:rPr>
        <w:t xml:space="preserve"> </w:t>
      </w:r>
      <w:r w:rsidRPr="00F80570">
        <w:rPr>
          <w:rFonts w:ascii="Times New Roman" w:hAnsi="Times New Roman" w:cs="Times New Roman"/>
          <w:lang w:val="en-US"/>
        </w:rPr>
        <w:t xml:space="preserve">the question of </w:t>
      </w:r>
      <w:r w:rsidRPr="00F80570">
        <w:rPr>
          <w:rFonts w:ascii="Times New Roman" w:hAnsi="Times New Roman" w:cs="Times New Roman"/>
          <w:i/>
          <w:iCs/>
          <w:lang w:val="en-US"/>
        </w:rPr>
        <w:t>what type</w:t>
      </w:r>
      <w:r w:rsidRPr="00F80570">
        <w:rPr>
          <w:rFonts w:ascii="Times New Roman" w:hAnsi="Times New Roman" w:cs="Times New Roman"/>
          <w:lang w:val="en-US"/>
        </w:rPr>
        <w:t xml:space="preserve"> of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consent affords, namely whether it affords as an overriding reason or a cancelling condition. This matter is left open for subsequent study.</w:t>
      </w:r>
    </w:p>
    <w:p w:rsidR="00455856" w:rsidRPr="00F80570" w:rsidRDefault="00455856" w:rsidP="00AF7273">
      <w:pPr>
        <w:pStyle w:val="Heading2"/>
      </w:pPr>
      <w:bookmarkStart w:id="21" w:name="_Toc46390738"/>
      <w:r>
        <w:t>4</w:t>
      </w:r>
      <w:r w:rsidRPr="00F80570">
        <w:t>.1.</w:t>
      </w:r>
      <w:r>
        <w:t xml:space="preserve"> </w:t>
      </w:r>
      <w:r>
        <w:tab/>
      </w:r>
      <w:r w:rsidRPr="00F80570">
        <w:t>A general (prima facie) reason against force</w:t>
      </w:r>
      <w:bookmarkEnd w:id="21"/>
    </w:p>
    <w:p w:rsidR="00455856"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According to the philosopher Joel Feinberg, harms – in a non-normative sense – are setbacks to interests.</w:t>
      </w:r>
      <w:r w:rsidRPr="00F80570">
        <w:rPr>
          <w:rStyle w:val="FootnoteReference"/>
          <w:rFonts w:ascii="Times New Roman" w:hAnsi="Times New Roman" w:cs="Times New Roman"/>
          <w:lang w:val="en-US"/>
        </w:rPr>
        <w:footnoteReference w:id="119"/>
      </w:r>
      <w:r w:rsidRPr="00F80570">
        <w:rPr>
          <w:rFonts w:ascii="Times New Roman" w:hAnsi="Times New Roman" w:cs="Times New Roman"/>
          <w:lang w:val="en-US"/>
        </w:rPr>
        <w:t xml:space="preserve"> An agent has an interest in X, Feinberg goes on, if that agent has ‘a kind of stake in its well-being’.</w:t>
      </w:r>
      <w:r w:rsidRPr="00F80570">
        <w:rPr>
          <w:rStyle w:val="FootnoteReference"/>
          <w:rFonts w:ascii="Times New Roman" w:hAnsi="Times New Roman" w:cs="Times New Roman"/>
          <w:lang w:val="en-US"/>
        </w:rPr>
        <w:footnoteReference w:id="120"/>
      </w:r>
      <w:r w:rsidRPr="00F80570">
        <w:rPr>
          <w:rFonts w:ascii="Times New Roman" w:hAnsi="Times New Roman" w:cs="Times New Roman"/>
          <w:lang w:val="en-US"/>
        </w:rPr>
        <w:t xml:space="preserve"> The agent, in other words, stands to gain or lose depending on the </w:t>
      </w:r>
      <w:r w:rsidRPr="00F80570">
        <w:rPr>
          <w:rFonts w:ascii="Times New Roman" w:hAnsi="Times New Roman" w:cs="Times New Roman"/>
          <w:lang w:val="en-US"/>
        </w:rPr>
        <w:lastRenderedPageBreak/>
        <w:t xml:space="preserve">condition of X: if X flourishes, </w:t>
      </w:r>
      <w:r>
        <w:rPr>
          <w:rFonts w:ascii="Times New Roman" w:hAnsi="Times New Roman" w:cs="Times New Roman"/>
          <w:lang w:val="en-US"/>
        </w:rPr>
        <w:t>the agent’s situation improves</w:t>
      </w:r>
      <w:r w:rsidRPr="00F80570">
        <w:rPr>
          <w:rFonts w:ascii="Times New Roman" w:hAnsi="Times New Roman" w:cs="Times New Roman"/>
          <w:lang w:val="en-US"/>
        </w:rPr>
        <w:t>; if X declines, then so does the agent</w:t>
      </w:r>
      <w:r>
        <w:rPr>
          <w:rFonts w:ascii="Times New Roman" w:hAnsi="Times New Roman" w:cs="Times New Roman"/>
          <w:lang w:val="en-US"/>
        </w:rPr>
        <w:t>’s situation</w:t>
      </w:r>
      <w:r w:rsidRPr="00F80570">
        <w:rPr>
          <w:rFonts w:ascii="Times New Roman" w:hAnsi="Times New Roman" w:cs="Times New Roman"/>
          <w:lang w:val="en-US"/>
        </w:rPr>
        <w:t xml:space="preserve">. X may flourish or decline for a variety of reasons, but it can only be invaded by the actions of others. </w:t>
      </w:r>
      <w:r>
        <w:rPr>
          <w:rFonts w:ascii="Times New Roman" w:hAnsi="Times New Roman" w:cs="Times New Roman"/>
          <w:lang w:val="en-US"/>
        </w:rPr>
        <w:t xml:space="preserve">An invasion takes place when the interest is in a worse condition than it would have been, had the invasion not occurred at all. </w:t>
      </w:r>
      <w:r w:rsidRPr="00F80570">
        <w:rPr>
          <w:rFonts w:ascii="Times New Roman" w:hAnsi="Times New Roman" w:cs="Times New Roman"/>
          <w:lang w:val="en-US"/>
        </w:rPr>
        <w:t xml:space="preserve">When X is </w:t>
      </w:r>
      <w:r>
        <w:rPr>
          <w:rFonts w:ascii="Times New Roman" w:hAnsi="Times New Roman" w:cs="Times New Roman"/>
          <w:lang w:val="en-US"/>
        </w:rPr>
        <w:t xml:space="preserve">so </w:t>
      </w:r>
      <w:r w:rsidRPr="00F80570">
        <w:rPr>
          <w:rFonts w:ascii="Times New Roman" w:hAnsi="Times New Roman" w:cs="Times New Roman"/>
          <w:lang w:val="en-US"/>
        </w:rPr>
        <w:t>invaded</w:t>
      </w:r>
      <w:r>
        <w:rPr>
          <w:rFonts w:ascii="Times New Roman" w:hAnsi="Times New Roman" w:cs="Times New Roman"/>
          <w:lang w:val="en-US"/>
        </w:rPr>
        <w:t xml:space="preserve">, </w:t>
      </w:r>
      <w:r w:rsidRPr="00F80570">
        <w:rPr>
          <w:rFonts w:ascii="Times New Roman" w:hAnsi="Times New Roman" w:cs="Times New Roman"/>
          <w:lang w:val="en-US"/>
        </w:rPr>
        <w:t xml:space="preserve">then we will be able to say that X has been </w:t>
      </w:r>
      <w:r>
        <w:rPr>
          <w:rFonts w:ascii="Times New Roman" w:hAnsi="Times New Roman" w:cs="Times New Roman"/>
          <w:lang w:val="en-US"/>
        </w:rPr>
        <w:t>harmed. Harms can be non-normative (in the sense of setbacks), but they can also be normative. If X is harmed indefensibly (for instance, invaded without justification), the agent will been wronged</w:t>
      </w:r>
      <w:r w:rsidRPr="00F80570">
        <w:rPr>
          <w:rFonts w:ascii="Times New Roman" w:hAnsi="Times New Roman" w:cs="Times New Roman"/>
          <w:lang w:val="en-US"/>
        </w:rPr>
        <w:t xml:space="preserve"> in a legally relevant sense.</w:t>
      </w:r>
      <w:r w:rsidRPr="00F80570">
        <w:rPr>
          <w:rStyle w:val="FootnoteReference"/>
          <w:rFonts w:ascii="Times New Roman" w:hAnsi="Times New Roman" w:cs="Times New Roman"/>
          <w:lang w:val="en-US"/>
        </w:rPr>
        <w:footnoteReference w:id="121"/>
      </w:r>
      <w:r w:rsidRPr="00F80570">
        <w:rPr>
          <w:rFonts w:ascii="Times New Roman" w:hAnsi="Times New Roman" w:cs="Times New Roman"/>
          <w:lang w:val="en-US"/>
        </w:rPr>
        <w:t xml:space="preserve"> </w:t>
      </w:r>
      <w:r>
        <w:rPr>
          <w:rFonts w:ascii="Times New Roman" w:hAnsi="Times New Roman" w:cs="Times New Roman"/>
          <w:lang w:val="en-US"/>
        </w:rPr>
        <w:t>Normative and non-normative harms do not always coincide. A non-normative harm becomes a wrong only when the invasion is indefensible – namely, when it is unjustifiable and inexcusable.</w:t>
      </w:r>
      <w:r>
        <w:rPr>
          <w:rStyle w:val="FootnoteReference"/>
          <w:rFonts w:ascii="Times New Roman" w:hAnsi="Times New Roman" w:cs="Times New Roman"/>
          <w:lang w:val="en-US"/>
        </w:rPr>
        <w:footnoteReference w:id="122"/>
      </w:r>
    </w:p>
    <w:p w:rsidR="00455856"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Feinberg is here speaking about individuals. But the broader understanding of interests as being invaded by the actions of others is not alien to international law: it is the basis, for example, of the law of </w:t>
      </w:r>
      <w:r>
        <w:rPr>
          <w:rFonts w:ascii="Times New Roman" w:hAnsi="Times New Roman" w:cs="Times New Roman"/>
          <w:lang w:val="en-US"/>
        </w:rPr>
        <w:t>s</w:t>
      </w:r>
      <w:r w:rsidRPr="00F80570">
        <w:rPr>
          <w:rFonts w:ascii="Times New Roman" w:hAnsi="Times New Roman" w:cs="Times New Roman"/>
          <w:lang w:val="en-US"/>
        </w:rPr>
        <w:t xml:space="preserve">tate responsibility. </w:t>
      </w:r>
      <w:r w:rsidR="00E27600">
        <w:rPr>
          <w:rFonts w:ascii="Times New Roman" w:hAnsi="Times New Roman" w:cs="Times New Roman"/>
          <w:lang w:val="en-US"/>
        </w:rPr>
        <w:t>S</w:t>
      </w:r>
      <w:r w:rsidRPr="00F80570">
        <w:rPr>
          <w:rFonts w:ascii="Times New Roman" w:hAnsi="Times New Roman" w:cs="Times New Roman"/>
          <w:lang w:val="en-US"/>
        </w:rPr>
        <w:t xml:space="preserve">tate responsibility arises when a </w:t>
      </w:r>
      <w:r>
        <w:rPr>
          <w:rFonts w:ascii="Times New Roman" w:hAnsi="Times New Roman" w:cs="Times New Roman"/>
          <w:lang w:val="en-US"/>
        </w:rPr>
        <w:t>s</w:t>
      </w:r>
      <w:r w:rsidRPr="00F80570">
        <w:rPr>
          <w:rFonts w:ascii="Times New Roman" w:hAnsi="Times New Roman" w:cs="Times New Roman"/>
          <w:lang w:val="en-US"/>
        </w:rPr>
        <w:t xml:space="preserve">tate fails to comply with an obligation owed to another international legal person. When a </w:t>
      </w:r>
      <w:r>
        <w:rPr>
          <w:rFonts w:ascii="Times New Roman" w:hAnsi="Times New Roman" w:cs="Times New Roman"/>
          <w:lang w:val="en-US"/>
        </w:rPr>
        <w:t>s</w:t>
      </w:r>
      <w:r w:rsidRPr="00F80570">
        <w:rPr>
          <w:rFonts w:ascii="Times New Roman" w:hAnsi="Times New Roman" w:cs="Times New Roman"/>
          <w:lang w:val="en-US"/>
        </w:rPr>
        <w:t xml:space="preserve">tate acts incompatibly with this obligation, it injures the (correlative) right of that person. The responsible </w:t>
      </w:r>
      <w:r>
        <w:rPr>
          <w:rFonts w:ascii="Times New Roman" w:hAnsi="Times New Roman" w:cs="Times New Roman"/>
          <w:lang w:val="en-US"/>
        </w:rPr>
        <w:t>s</w:t>
      </w:r>
      <w:r w:rsidRPr="00F80570">
        <w:rPr>
          <w:rFonts w:ascii="Times New Roman" w:hAnsi="Times New Roman" w:cs="Times New Roman"/>
          <w:lang w:val="en-US"/>
        </w:rPr>
        <w:t xml:space="preserve">tate has invaded the legally protected interests of that person: the interest will have been diminished (it will have been set back), and so will have that person’s position. </w:t>
      </w:r>
      <w:r w:rsidRPr="00286FB2">
        <w:rPr>
          <w:rFonts w:ascii="Times New Roman" w:hAnsi="Times New Roman" w:cs="Times New Roman"/>
          <w:lang w:val="en-US"/>
        </w:rPr>
        <w:t>Whenever a</w:t>
      </w:r>
      <w:r w:rsidR="00894592">
        <w:rPr>
          <w:rFonts w:ascii="Times New Roman" w:hAnsi="Times New Roman" w:cs="Times New Roman"/>
          <w:lang w:val="en-US"/>
        </w:rPr>
        <w:t xml:space="preserve"> conduct</w:t>
      </w:r>
      <w:r w:rsidRPr="00286FB2">
        <w:rPr>
          <w:rFonts w:ascii="Times New Roman" w:hAnsi="Times New Roman" w:cs="Times New Roman"/>
          <w:lang w:val="en-US"/>
        </w:rPr>
        <w:t xml:space="preserve"> harms – in the sense that it sets back – a legally protected interest, there will be reasons not to engage in </w:t>
      </w:r>
      <w:r w:rsidR="00894592">
        <w:rPr>
          <w:rFonts w:ascii="Times New Roman" w:hAnsi="Times New Roman" w:cs="Times New Roman"/>
          <w:lang w:val="en-US"/>
        </w:rPr>
        <w:t>it</w:t>
      </w:r>
      <w:r w:rsidRPr="00286FB2">
        <w:rPr>
          <w:rFonts w:ascii="Times New Roman" w:hAnsi="Times New Roman" w:cs="Times New Roman"/>
          <w:lang w:val="en-US"/>
        </w:rPr>
        <w:t>.</w:t>
      </w: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 </w:t>
      </w: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The prohibition of force, as codified in Article 2(4) of the Charter protects (at least) two distinct interests. First, by prohibiting force ‘against the territorial integrity and political independence’ of the </w:t>
      </w:r>
      <w:r>
        <w:rPr>
          <w:rFonts w:ascii="Times New Roman" w:hAnsi="Times New Roman" w:cs="Times New Roman"/>
          <w:lang w:val="en-US"/>
        </w:rPr>
        <w:t>s</w:t>
      </w:r>
      <w:r w:rsidRPr="00F80570">
        <w:rPr>
          <w:rFonts w:ascii="Times New Roman" w:hAnsi="Times New Roman" w:cs="Times New Roman"/>
          <w:lang w:val="en-US"/>
        </w:rPr>
        <w:t xml:space="preserve">tate it protects each </w:t>
      </w:r>
      <w:r>
        <w:rPr>
          <w:rFonts w:ascii="Times New Roman" w:hAnsi="Times New Roman" w:cs="Times New Roman"/>
          <w:lang w:val="en-US"/>
        </w:rPr>
        <w:t>s</w:t>
      </w:r>
      <w:r w:rsidRPr="00F80570">
        <w:rPr>
          <w:rFonts w:ascii="Times New Roman" w:hAnsi="Times New Roman" w:cs="Times New Roman"/>
          <w:lang w:val="en-US"/>
        </w:rPr>
        <w:t xml:space="preserve">tate’s interest in their own sovereignty. Second, by prohibiting force ‘in any other manner inconsistent with the purposes of the Charter’, it protects all UN member </w:t>
      </w:r>
      <w:r>
        <w:rPr>
          <w:rFonts w:ascii="Times New Roman" w:hAnsi="Times New Roman" w:cs="Times New Roman"/>
          <w:lang w:val="en-US"/>
        </w:rPr>
        <w:t>s</w:t>
      </w:r>
      <w:r w:rsidRPr="00F80570">
        <w:rPr>
          <w:rFonts w:ascii="Times New Roman" w:hAnsi="Times New Roman" w:cs="Times New Roman"/>
          <w:lang w:val="en-US"/>
        </w:rPr>
        <w:t>tates’ interest in the maintenance of international peace and security. The former is a limited</w:t>
      </w:r>
      <w:r w:rsidRPr="00F80570">
        <w:rPr>
          <w:rFonts w:ascii="Times New Roman" w:hAnsi="Times New Roman" w:cs="Times New Roman"/>
          <w:i/>
          <w:iCs/>
          <w:lang w:val="en-US"/>
        </w:rPr>
        <w:t xml:space="preserve"> </w:t>
      </w:r>
      <w:r w:rsidRPr="00F80570">
        <w:rPr>
          <w:rFonts w:ascii="Times New Roman" w:hAnsi="Times New Roman" w:cs="Times New Roman"/>
          <w:lang w:val="en-US"/>
        </w:rPr>
        <w:t xml:space="preserve">reason against force. It does not apply to instances of the use of force by a </w:t>
      </w:r>
      <w:r>
        <w:rPr>
          <w:rFonts w:ascii="Times New Roman" w:hAnsi="Times New Roman" w:cs="Times New Roman"/>
          <w:lang w:val="en-US"/>
        </w:rPr>
        <w:t>s</w:t>
      </w:r>
      <w:r w:rsidRPr="00F80570">
        <w:rPr>
          <w:rFonts w:ascii="Times New Roman" w:hAnsi="Times New Roman" w:cs="Times New Roman"/>
          <w:lang w:val="en-US"/>
        </w:rPr>
        <w:t xml:space="preserve">tate with the consent of the target or territorial </w:t>
      </w:r>
      <w:r>
        <w:rPr>
          <w:rFonts w:ascii="Times New Roman" w:hAnsi="Times New Roman" w:cs="Times New Roman"/>
          <w:lang w:val="en-US"/>
        </w:rPr>
        <w:t>s</w:t>
      </w:r>
      <w:r w:rsidRPr="00F80570">
        <w:rPr>
          <w:rFonts w:ascii="Times New Roman" w:hAnsi="Times New Roman" w:cs="Times New Roman"/>
          <w:lang w:val="en-US"/>
        </w:rPr>
        <w:t xml:space="preserve">tate: the giving of consent is an expression of that sovereignty, rather than a harm to it. Such force does not diminish the </w:t>
      </w:r>
      <w:proofErr w:type="spellStart"/>
      <w:r w:rsidRPr="00F80570">
        <w:rPr>
          <w:rFonts w:ascii="Times New Roman" w:hAnsi="Times New Roman" w:cs="Times New Roman"/>
          <w:lang w:val="en-US"/>
        </w:rPr>
        <w:t>consentee’s</w:t>
      </w:r>
      <w:proofErr w:type="spellEnd"/>
      <w:r w:rsidRPr="00F80570">
        <w:rPr>
          <w:rFonts w:ascii="Times New Roman" w:hAnsi="Times New Roman" w:cs="Times New Roman"/>
          <w:lang w:val="en-US"/>
        </w:rPr>
        <w:t xml:space="preserve"> interest in its sovereignty, it enhances it. The maintenance of international peace and security, instead, can provide a reason against the use of military force that is general</w:t>
      </w:r>
      <w:r w:rsidR="00894592">
        <w:rPr>
          <w:rFonts w:ascii="Times New Roman" w:hAnsi="Times New Roman" w:cs="Times New Roman"/>
          <w:lang w:val="en-US"/>
        </w:rPr>
        <w:t>,</w:t>
      </w:r>
      <w:r w:rsidRPr="00F80570">
        <w:rPr>
          <w:rFonts w:ascii="Times New Roman" w:hAnsi="Times New Roman" w:cs="Times New Roman"/>
          <w:lang w:val="en-US"/>
        </w:rPr>
        <w:t xml:space="preserve"> in that it is applicable to all instances in which force is used.</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The maintenance of international peace and security is the paramount purpose of the United Nations.</w:t>
      </w:r>
      <w:r w:rsidRPr="00F80570">
        <w:rPr>
          <w:rStyle w:val="FootnoteReference"/>
          <w:rFonts w:ascii="Times New Roman" w:hAnsi="Times New Roman" w:cs="Times New Roman"/>
          <w:lang w:val="en-US"/>
        </w:rPr>
        <w:footnoteReference w:id="123"/>
      </w:r>
      <w:r w:rsidRPr="00F80570">
        <w:rPr>
          <w:rFonts w:ascii="Times New Roman" w:hAnsi="Times New Roman" w:cs="Times New Roman"/>
          <w:lang w:val="en-US"/>
        </w:rPr>
        <w:t xml:space="preserve"> As the ICJ held in </w:t>
      </w:r>
      <w:r w:rsidRPr="00F80570">
        <w:rPr>
          <w:rFonts w:ascii="Times New Roman" w:hAnsi="Times New Roman" w:cs="Times New Roman"/>
          <w:i/>
          <w:iCs/>
          <w:lang w:val="en-US"/>
        </w:rPr>
        <w:t>Certain Expenses</w:t>
      </w:r>
      <w:r w:rsidRPr="00F80570">
        <w:rPr>
          <w:rFonts w:ascii="Times New Roman" w:hAnsi="Times New Roman" w:cs="Times New Roman"/>
          <w:lang w:val="en-US"/>
        </w:rPr>
        <w:t>: ‘[t]he primary place ascribed to international peace and security is natural, since the fulfilment of the other purposes will be dependent upon the attainment of that basic condition.’</w:t>
      </w:r>
      <w:r w:rsidRPr="00F80570">
        <w:rPr>
          <w:rStyle w:val="FootnoteReference"/>
          <w:rFonts w:ascii="Times New Roman" w:hAnsi="Times New Roman" w:cs="Times New Roman"/>
          <w:lang w:val="en-US"/>
        </w:rPr>
        <w:footnoteReference w:id="124"/>
      </w:r>
      <w:r w:rsidRPr="00F80570">
        <w:rPr>
          <w:rFonts w:ascii="Times New Roman" w:hAnsi="Times New Roman" w:cs="Times New Roman"/>
          <w:lang w:val="en-US"/>
        </w:rPr>
        <w:t xml:space="preserve"> This is, moreover, a collective interest of all members of the United Nations: all </w:t>
      </w:r>
      <w:r>
        <w:rPr>
          <w:rFonts w:ascii="Times New Roman" w:hAnsi="Times New Roman" w:cs="Times New Roman"/>
          <w:lang w:val="en-US"/>
        </w:rPr>
        <w:t>s</w:t>
      </w:r>
      <w:r w:rsidRPr="00F80570">
        <w:rPr>
          <w:rFonts w:ascii="Times New Roman" w:hAnsi="Times New Roman" w:cs="Times New Roman"/>
          <w:lang w:val="en-US"/>
        </w:rPr>
        <w:t>tates have an interest in the maintenance of international peace and security. As drafted in Charter Article 1(1), international peace has a negative content: it refers to the absence of war and, in particular, the absence of inter-</w:t>
      </w:r>
      <w:r>
        <w:rPr>
          <w:rFonts w:ascii="Times New Roman" w:hAnsi="Times New Roman" w:cs="Times New Roman"/>
          <w:lang w:val="en-US"/>
        </w:rPr>
        <w:t>s</w:t>
      </w:r>
      <w:r w:rsidRPr="00F80570">
        <w:rPr>
          <w:rFonts w:ascii="Times New Roman" w:hAnsi="Times New Roman" w:cs="Times New Roman"/>
          <w:lang w:val="en-US"/>
        </w:rPr>
        <w:t>tate war.</w:t>
      </w:r>
      <w:r w:rsidRPr="00F80570">
        <w:rPr>
          <w:rStyle w:val="FootnoteReference"/>
          <w:rFonts w:ascii="Times New Roman" w:hAnsi="Times New Roman" w:cs="Times New Roman"/>
          <w:lang w:val="en-US"/>
        </w:rPr>
        <w:footnoteReference w:id="125"/>
      </w:r>
      <w:r w:rsidRPr="00F80570">
        <w:rPr>
          <w:rFonts w:ascii="Times New Roman" w:hAnsi="Times New Roman" w:cs="Times New Roman"/>
          <w:lang w:val="en-US"/>
        </w:rPr>
        <w:t xml:space="preserve"> A positive content can further be inferred from the other purposes listed in Charter Article 1.</w:t>
      </w:r>
      <w:r w:rsidRPr="00F80570">
        <w:rPr>
          <w:rStyle w:val="FootnoteReference"/>
          <w:rFonts w:ascii="Times New Roman" w:hAnsi="Times New Roman" w:cs="Times New Roman"/>
          <w:lang w:val="en-US"/>
        </w:rPr>
        <w:footnoteReference w:id="126"/>
      </w:r>
      <w:r w:rsidRPr="00F80570">
        <w:rPr>
          <w:rFonts w:ascii="Times New Roman" w:hAnsi="Times New Roman" w:cs="Times New Roman"/>
          <w:lang w:val="en-US"/>
        </w:rPr>
        <w:t xml:space="preserve"> These additional provisions, which refer to the development and achievement of friendly relations, involve ‘an evolutionary development in the state of international relations which is meant to lead to the diminution of those issues likely to cause war’.</w:t>
      </w:r>
      <w:r w:rsidRPr="00F80570">
        <w:rPr>
          <w:rStyle w:val="FootnoteReference"/>
          <w:rFonts w:ascii="Times New Roman" w:hAnsi="Times New Roman" w:cs="Times New Roman"/>
          <w:lang w:val="en-US"/>
        </w:rPr>
        <w:footnoteReference w:id="127"/>
      </w:r>
      <w:r w:rsidRPr="00F80570">
        <w:rPr>
          <w:rFonts w:ascii="Times New Roman" w:hAnsi="Times New Roman" w:cs="Times New Roman"/>
          <w:lang w:val="en-US"/>
        </w:rPr>
        <w:t xml:space="preserve"> The existence of armed conflict harms the interest of all </w:t>
      </w:r>
      <w:r>
        <w:rPr>
          <w:rFonts w:ascii="Times New Roman" w:hAnsi="Times New Roman" w:cs="Times New Roman"/>
          <w:lang w:val="en-US"/>
        </w:rPr>
        <w:t>s</w:t>
      </w:r>
      <w:r w:rsidRPr="00F80570">
        <w:rPr>
          <w:rFonts w:ascii="Times New Roman" w:hAnsi="Times New Roman" w:cs="Times New Roman"/>
          <w:lang w:val="en-US"/>
        </w:rPr>
        <w:t>tates in the maintenance of peace. Even further, as the UNSG Kofi Annan stated in his report ‘In larger freedom</w:t>
      </w:r>
      <w:r w:rsidR="00894592">
        <w:rPr>
          <w:rFonts w:ascii="Times New Roman" w:hAnsi="Times New Roman" w:cs="Times New Roman"/>
          <w:lang w:val="en-US"/>
        </w:rPr>
        <w:t>’</w:t>
      </w:r>
      <w:r w:rsidRPr="00F80570">
        <w:rPr>
          <w:rFonts w:ascii="Times New Roman" w:hAnsi="Times New Roman" w:cs="Times New Roman"/>
          <w:lang w:val="en-US"/>
        </w:rPr>
        <w:t xml:space="preserve">:  </w:t>
      </w:r>
    </w:p>
    <w:p w:rsidR="00455856" w:rsidRPr="00F80570" w:rsidRDefault="00455856" w:rsidP="00AF7273">
      <w:pPr>
        <w:spacing w:line="360" w:lineRule="auto"/>
        <w:ind w:firstLine="720"/>
        <w:jc w:val="both"/>
        <w:rPr>
          <w:rFonts w:ascii="Times New Roman" w:hAnsi="Times New Roman" w:cs="Times New Roman"/>
          <w:lang w:val="en-US"/>
        </w:rPr>
      </w:pPr>
    </w:p>
    <w:p w:rsidR="00455856" w:rsidRPr="0011231F" w:rsidRDefault="00455856" w:rsidP="00AF7273">
      <w:pPr>
        <w:spacing w:line="360" w:lineRule="auto"/>
        <w:ind w:left="720"/>
        <w:jc w:val="both"/>
        <w:rPr>
          <w:rFonts w:ascii="Times New Roman" w:hAnsi="Times New Roman" w:cs="Times New Roman"/>
        </w:rPr>
      </w:pPr>
      <w:r w:rsidRPr="0011231F">
        <w:rPr>
          <w:rFonts w:ascii="Times New Roman" w:hAnsi="Times New Roman" w:cs="Times New Roman"/>
        </w:rPr>
        <w:t xml:space="preserve">The threats to peace and security in the twenty-first century include not just international war and conflict but civil violence, organized crime, terrorism and weapons of mass destruction. They also include poverty, deadly infectious disease and environmental degradation since these can have equally catastrophic consequences. </w:t>
      </w:r>
      <w:r w:rsidRPr="0011231F">
        <w:rPr>
          <w:rFonts w:ascii="Times New Roman" w:hAnsi="Times New Roman" w:cs="Times New Roman"/>
          <w:i/>
          <w:iCs/>
        </w:rPr>
        <w:t>All of these threats can cause death or lessen life chances on a large scale. All of them can undermine States as the basic unit of the international system.</w:t>
      </w:r>
      <w:r w:rsidRPr="00F80570">
        <w:rPr>
          <w:rStyle w:val="FootnoteReference"/>
          <w:rFonts w:ascii="Times New Roman" w:hAnsi="Times New Roman" w:cs="Times New Roman"/>
          <w:i/>
          <w:iCs/>
        </w:rPr>
        <w:footnoteReference w:id="128"/>
      </w:r>
    </w:p>
    <w:p w:rsidR="00455856" w:rsidRPr="00F80570" w:rsidRDefault="00455856" w:rsidP="00AF7273">
      <w:pPr>
        <w:spacing w:line="360" w:lineRule="auto"/>
        <w:ind w:firstLine="720"/>
        <w:jc w:val="both"/>
        <w:rPr>
          <w:rFonts w:ascii="Times New Roman" w:hAnsi="Times New Roman" w:cs="Times New Roman"/>
          <w:lang w:val="en-US"/>
        </w:rPr>
      </w:pPr>
    </w:p>
    <w:p w:rsidR="00455856" w:rsidRDefault="00894592" w:rsidP="00AF7273">
      <w:pPr>
        <w:spacing w:line="360" w:lineRule="auto"/>
        <w:jc w:val="both"/>
        <w:rPr>
          <w:rFonts w:ascii="Times New Roman" w:hAnsi="Times New Roman" w:cs="Times New Roman"/>
          <w:lang w:val="en-US"/>
        </w:rPr>
      </w:pPr>
      <w:r>
        <w:rPr>
          <w:rFonts w:ascii="Times New Roman" w:hAnsi="Times New Roman" w:cs="Times New Roman"/>
          <w:lang w:val="en-US"/>
        </w:rPr>
        <w:t>The use of f</w:t>
      </w:r>
      <w:r w:rsidR="00455856">
        <w:rPr>
          <w:rFonts w:ascii="Times New Roman" w:hAnsi="Times New Roman" w:cs="Times New Roman"/>
          <w:lang w:val="en-US"/>
        </w:rPr>
        <w:t>orce</w:t>
      </w:r>
      <w:r>
        <w:rPr>
          <w:rFonts w:ascii="Times New Roman" w:hAnsi="Times New Roman" w:cs="Times New Roman"/>
          <w:lang w:val="en-US"/>
        </w:rPr>
        <w:t xml:space="preserve"> </w:t>
      </w:r>
      <w:r w:rsidR="00455856">
        <w:rPr>
          <w:rFonts w:ascii="Times New Roman" w:hAnsi="Times New Roman" w:cs="Times New Roman"/>
          <w:lang w:val="en-US"/>
        </w:rPr>
        <w:t>sets back states’ interest in the maintenance of peace and security and, thereby, leaves them in a worse-off position. It leaves the states involved in the conflict in a position which is the opposite of  negative peace, and affects the attainment of positive peace by the involved states as well as other states. Insofar as these setbacks are caused by invasions (in the Feinberg sense, not in the literal sense), performed by others, then force is a harm. And this is the case whenever force is used</w:t>
      </w:r>
      <w:r>
        <w:rPr>
          <w:rFonts w:ascii="Times New Roman" w:hAnsi="Times New Roman" w:cs="Times New Roman"/>
          <w:lang w:val="en-US"/>
        </w:rPr>
        <w:t>, in particular</w:t>
      </w:r>
      <w:r w:rsidR="00455856">
        <w:rPr>
          <w:rFonts w:ascii="Times New Roman" w:hAnsi="Times New Roman" w:cs="Times New Roman"/>
          <w:lang w:val="en-US"/>
        </w:rPr>
        <w:t xml:space="preserve"> </w:t>
      </w:r>
      <w:r>
        <w:rPr>
          <w:rFonts w:ascii="Times New Roman" w:hAnsi="Times New Roman" w:cs="Times New Roman"/>
          <w:lang w:val="en-US"/>
        </w:rPr>
        <w:t xml:space="preserve">this </w:t>
      </w:r>
      <w:r w:rsidR="00455856">
        <w:rPr>
          <w:rFonts w:ascii="Times New Roman" w:hAnsi="Times New Roman" w:cs="Times New Roman"/>
          <w:lang w:val="en-US"/>
        </w:rPr>
        <w:t xml:space="preserve">is true </w:t>
      </w:r>
      <w:r w:rsidR="00455856">
        <w:rPr>
          <w:rFonts w:ascii="Times New Roman" w:hAnsi="Times New Roman" w:cs="Times New Roman"/>
          <w:i/>
          <w:iCs/>
          <w:lang w:val="en-US"/>
        </w:rPr>
        <w:t>also</w:t>
      </w:r>
      <w:r w:rsidR="00455856">
        <w:rPr>
          <w:rFonts w:ascii="Times New Roman" w:hAnsi="Times New Roman" w:cs="Times New Roman"/>
          <w:lang w:val="en-US"/>
        </w:rPr>
        <w:t xml:space="preserve"> of uses of force based on the </w:t>
      </w:r>
      <w:r w:rsidR="00455856" w:rsidRPr="00F80570">
        <w:rPr>
          <w:rFonts w:ascii="Times New Roman" w:hAnsi="Times New Roman" w:cs="Times New Roman"/>
          <w:lang w:val="en-US"/>
        </w:rPr>
        <w:t xml:space="preserve">three </w:t>
      </w:r>
      <w:r w:rsidR="00455856" w:rsidRPr="00F80570">
        <w:rPr>
          <w:rFonts w:ascii="Times New Roman" w:hAnsi="Times New Roman" w:cs="Times New Roman"/>
          <w:lang w:val="en-US"/>
        </w:rPr>
        <w:lastRenderedPageBreak/>
        <w:t xml:space="preserve">exceptions of </w:t>
      </w:r>
      <w:r w:rsidR="00455856">
        <w:rPr>
          <w:rFonts w:ascii="Times New Roman" w:hAnsi="Times New Roman" w:cs="Times New Roman"/>
          <w:lang w:val="en-US"/>
        </w:rPr>
        <w:t>to the prohibition of force</w:t>
      </w:r>
      <w:r w:rsidR="00455856" w:rsidRPr="00F80570">
        <w:rPr>
          <w:rFonts w:ascii="Times New Roman" w:hAnsi="Times New Roman" w:cs="Times New Roman"/>
          <w:lang w:val="en-US"/>
        </w:rPr>
        <w:t xml:space="preserve">: </w:t>
      </w:r>
      <w:proofErr w:type="spellStart"/>
      <w:r w:rsidR="00455856" w:rsidRPr="00F80570">
        <w:rPr>
          <w:rFonts w:ascii="Times New Roman" w:hAnsi="Times New Roman" w:cs="Times New Roman"/>
          <w:lang w:val="en-US"/>
        </w:rPr>
        <w:t>self-defence</w:t>
      </w:r>
      <w:proofErr w:type="spellEnd"/>
      <w:r w:rsidR="00455856" w:rsidRPr="00F80570">
        <w:rPr>
          <w:rFonts w:ascii="Times New Roman" w:hAnsi="Times New Roman" w:cs="Times New Roman"/>
          <w:lang w:val="en-US"/>
        </w:rPr>
        <w:t xml:space="preserve">, UNSC </w:t>
      </w:r>
      <w:proofErr w:type="spellStart"/>
      <w:r>
        <w:rPr>
          <w:rFonts w:ascii="Times New Roman" w:hAnsi="Times New Roman" w:cs="Times New Roman"/>
          <w:lang w:val="en-US"/>
        </w:rPr>
        <w:t>authorisation</w:t>
      </w:r>
      <w:proofErr w:type="spellEnd"/>
      <w:r>
        <w:rPr>
          <w:rFonts w:ascii="Times New Roman" w:hAnsi="Times New Roman" w:cs="Times New Roman"/>
          <w:lang w:val="en-US"/>
        </w:rPr>
        <w:t>,</w:t>
      </w:r>
      <w:r w:rsidR="00455856" w:rsidRPr="00F80570">
        <w:rPr>
          <w:rFonts w:ascii="Times New Roman" w:hAnsi="Times New Roman" w:cs="Times New Roman"/>
          <w:lang w:val="en-US"/>
        </w:rPr>
        <w:t xml:space="preserve"> and consent.</w:t>
      </w:r>
      <w:r w:rsidR="00455856">
        <w:rPr>
          <w:rFonts w:ascii="Times New Roman" w:hAnsi="Times New Roman" w:cs="Times New Roman"/>
          <w:lang w:val="en-US"/>
        </w:rPr>
        <w:t xml:space="preserve"> </w:t>
      </w:r>
      <w:r w:rsidR="00455856" w:rsidRPr="00F80570">
        <w:rPr>
          <w:rFonts w:ascii="Times New Roman" w:hAnsi="Times New Roman" w:cs="Times New Roman"/>
          <w:lang w:val="en-US"/>
        </w:rPr>
        <w:t>As such, the maintenance of peace must count as a general (</w:t>
      </w:r>
      <w:r w:rsidR="00455856" w:rsidRPr="00F80570">
        <w:rPr>
          <w:rFonts w:ascii="Times New Roman" w:hAnsi="Times New Roman" w:cs="Times New Roman"/>
          <w:i/>
          <w:iCs/>
          <w:lang w:val="en-US"/>
        </w:rPr>
        <w:t>prima facie</w:t>
      </w:r>
      <w:r w:rsidR="00455856" w:rsidRPr="00F80570">
        <w:rPr>
          <w:rFonts w:ascii="Times New Roman" w:hAnsi="Times New Roman" w:cs="Times New Roman"/>
          <w:lang w:val="en-US"/>
        </w:rPr>
        <w:t xml:space="preserve">) reason against force </w:t>
      </w:r>
      <w:r w:rsidR="00455856" w:rsidRPr="00F80570">
        <w:rPr>
          <w:rFonts w:ascii="Times New Roman" w:hAnsi="Times New Roman" w:cs="Times New Roman"/>
          <w:i/>
          <w:iCs/>
          <w:lang w:val="en-US"/>
        </w:rPr>
        <w:t xml:space="preserve">in all instances in which </w:t>
      </w:r>
      <w:r w:rsidR="00455856">
        <w:rPr>
          <w:rFonts w:ascii="Times New Roman" w:hAnsi="Times New Roman" w:cs="Times New Roman"/>
          <w:i/>
          <w:iCs/>
          <w:lang w:val="en-US"/>
        </w:rPr>
        <w:t>s</w:t>
      </w:r>
      <w:r w:rsidR="00455856" w:rsidRPr="00F80570">
        <w:rPr>
          <w:rFonts w:ascii="Times New Roman" w:hAnsi="Times New Roman" w:cs="Times New Roman"/>
          <w:i/>
          <w:iCs/>
          <w:lang w:val="en-US"/>
        </w:rPr>
        <w:t>tates resort to force</w:t>
      </w:r>
      <w:r w:rsidR="00455856">
        <w:rPr>
          <w:rFonts w:ascii="Times New Roman" w:hAnsi="Times New Roman" w:cs="Times New Roman"/>
          <w:lang w:val="en-US"/>
        </w:rPr>
        <w:t>.</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Turning first to </w:t>
      </w:r>
      <w:proofErr w:type="spellStart"/>
      <w:r w:rsidRPr="00F80570">
        <w:rPr>
          <w:rFonts w:ascii="Times New Roman" w:hAnsi="Times New Roman" w:cs="Times New Roman"/>
          <w:lang w:val="en-US"/>
        </w:rPr>
        <w:t>self-defence</w:t>
      </w:r>
      <w:proofErr w:type="spellEnd"/>
      <w:r w:rsidRPr="00F80570">
        <w:rPr>
          <w:rFonts w:ascii="Times New Roman" w:hAnsi="Times New Roman" w:cs="Times New Roman"/>
          <w:lang w:val="en-US"/>
        </w:rPr>
        <w:t xml:space="preserve"> and UNSC </w:t>
      </w:r>
      <w:proofErr w:type="spellStart"/>
      <w:r w:rsidRPr="00F80570">
        <w:rPr>
          <w:rFonts w:ascii="Times New Roman" w:hAnsi="Times New Roman" w:cs="Times New Roman"/>
          <w:lang w:val="en-US"/>
        </w:rPr>
        <w:t>authorisation</w:t>
      </w:r>
      <w:proofErr w:type="spellEnd"/>
      <w:r w:rsidRPr="00F80570">
        <w:rPr>
          <w:rFonts w:ascii="Times New Roman" w:hAnsi="Times New Roman" w:cs="Times New Roman"/>
          <w:lang w:val="en-US"/>
        </w:rPr>
        <w:t>, both of these instances of the use of force lead to inter-</w:t>
      </w:r>
      <w:r>
        <w:rPr>
          <w:rFonts w:ascii="Times New Roman" w:hAnsi="Times New Roman" w:cs="Times New Roman"/>
          <w:lang w:val="en-US"/>
        </w:rPr>
        <w:t>s</w:t>
      </w:r>
      <w:r w:rsidRPr="00F80570">
        <w:rPr>
          <w:rFonts w:ascii="Times New Roman" w:hAnsi="Times New Roman" w:cs="Times New Roman"/>
          <w:lang w:val="en-US"/>
        </w:rPr>
        <w:t xml:space="preserve">tate armed conflict, defined as a conflict between the armed forces of two or more </w:t>
      </w:r>
      <w:r>
        <w:rPr>
          <w:rFonts w:ascii="Times New Roman" w:hAnsi="Times New Roman" w:cs="Times New Roman"/>
          <w:lang w:val="en-US"/>
        </w:rPr>
        <w:t>s</w:t>
      </w:r>
      <w:r w:rsidRPr="00F80570">
        <w:rPr>
          <w:rFonts w:ascii="Times New Roman" w:hAnsi="Times New Roman" w:cs="Times New Roman"/>
          <w:lang w:val="en-US"/>
        </w:rPr>
        <w:t>tates.</w:t>
      </w:r>
      <w:r w:rsidRPr="00F80570">
        <w:rPr>
          <w:rStyle w:val="FootnoteReference"/>
          <w:rFonts w:ascii="Times New Roman" w:hAnsi="Times New Roman" w:cs="Times New Roman"/>
          <w:lang w:val="en-US"/>
        </w:rPr>
        <w:footnoteReference w:id="129"/>
      </w:r>
      <w:r w:rsidRPr="00F80570">
        <w:rPr>
          <w:rFonts w:ascii="Times New Roman" w:hAnsi="Times New Roman" w:cs="Times New Roman"/>
          <w:lang w:val="en-US"/>
        </w:rPr>
        <w:t xml:space="preserve"> As such, both </w:t>
      </w:r>
      <w:proofErr w:type="spellStart"/>
      <w:r w:rsidRPr="00F80570">
        <w:rPr>
          <w:rFonts w:ascii="Times New Roman" w:hAnsi="Times New Roman" w:cs="Times New Roman"/>
          <w:lang w:val="en-US"/>
        </w:rPr>
        <w:t>self-defence</w:t>
      </w:r>
      <w:proofErr w:type="spellEnd"/>
      <w:r w:rsidRPr="00F80570">
        <w:rPr>
          <w:rFonts w:ascii="Times New Roman" w:hAnsi="Times New Roman" w:cs="Times New Roman"/>
          <w:lang w:val="en-US"/>
        </w:rPr>
        <w:t xml:space="preserve"> and UNSC-</w:t>
      </w:r>
      <w:proofErr w:type="spellStart"/>
      <w:r w:rsidRPr="00F80570">
        <w:rPr>
          <w:rFonts w:ascii="Times New Roman" w:hAnsi="Times New Roman" w:cs="Times New Roman"/>
          <w:lang w:val="en-US"/>
        </w:rPr>
        <w:t>authorised</w:t>
      </w:r>
      <w:proofErr w:type="spellEnd"/>
      <w:r w:rsidRPr="00F80570">
        <w:rPr>
          <w:rFonts w:ascii="Times New Roman" w:hAnsi="Times New Roman" w:cs="Times New Roman"/>
          <w:lang w:val="en-US"/>
        </w:rPr>
        <w:t xml:space="preserve"> force harm the interest in the maintenance international peace: both of them usher in a state of affairs (inter-</w:t>
      </w:r>
      <w:r>
        <w:rPr>
          <w:rFonts w:ascii="Times New Roman" w:hAnsi="Times New Roman" w:cs="Times New Roman"/>
          <w:lang w:val="en-US"/>
        </w:rPr>
        <w:t>s</w:t>
      </w:r>
      <w:r w:rsidRPr="00F80570">
        <w:rPr>
          <w:rFonts w:ascii="Times New Roman" w:hAnsi="Times New Roman" w:cs="Times New Roman"/>
          <w:lang w:val="en-US"/>
        </w:rPr>
        <w:t xml:space="preserve">tate armed conflict) which is the opposite of peace. Consequently, the maintenance of peace counts as a </w:t>
      </w:r>
      <w:r w:rsidRPr="00F80570">
        <w:rPr>
          <w:rFonts w:ascii="Times New Roman" w:hAnsi="Times New Roman" w:cs="Times New Roman"/>
          <w:i/>
          <w:iCs/>
          <w:lang w:val="en-US"/>
        </w:rPr>
        <w:t xml:space="preserve">prima facie </w:t>
      </w:r>
      <w:r w:rsidRPr="00F80570">
        <w:rPr>
          <w:rFonts w:ascii="Times New Roman" w:hAnsi="Times New Roman" w:cs="Times New Roman"/>
          <w:lang w:val="en-US"/>
        </w:rPr>
        <w:t xml:space="preserve">reason against the use of the use of force in </w:t>
      </w:r>
      <w:proofErr w:type="spellStart"/>
      <w:r w:rsidRPr="00F80570">
        <w:rPr>
          <w:rFonts w:ascii="Times New Roman" w:hAnsi="Times New Roman" w:cs="Times New Roman"/>
          <w:lang w:val="en-US"/>
        </w:rPr>
        <w:t>self-defence</w:t>
      </w:r>
      <w:proofErr w:type="spellEnd"/>
      <w:r w:rsidRPr="00F80570">
        <w:rPr>
          <w:rFonts w:ascii="Times New Roman" w:hAnsi="Times New Roman" w:cs="Times New Roman"/>
          <w:lang w:val="en-US"/>
        </w:rPr>
        <w:t xml:space="preserve"> and with UNSC </w:t>
      </w:r>
      <w:proofErr w:type="spellStart"/>
      <w:r w:rsidRPr="00F80570">
        <w:rPr>
          <w:rFonts w:ascii="Times New Roman" w:hAnsi="Times New Roman" w:cs="Times New Roman"/>
          <w:lang w:val="en-US"/>
        </w:rPr>
        <w:t>authorisation</w:t>
      </w:r>
      <w:proofErr w:type="spellEnd"/>
      <w:r w:rsidRPr="00F80570">
        <w:rPr>
          <w:rFonts w:ascii="Times New Roman" w:hAnsi="Times New Roman" w:cs="Times New Roman"/>
          <w:lang w:val="en-US"/>
        </w:rPr>
        <w:t xml:space="preserve">. To repeat, this does not mean that these two instances of force are impermissible. It simply means that both instances of the use of force will be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wrong, but that they are all-things-considered justified.</w:t>
      </w:r>
      <w:r w:rsidRPr="00F80570">
        <w:rPr>
          <w:rStyle w:val="FootnoteReference"/>
          <w:rFonts w:ascii="Times New Roman" w:hAnsi="Times New Roman" w:cs="Times New Roman"/>
          <w:lang w:val="en-US"/>
        </w:rPr>
        <w:footnoteReference w:id="130"/>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rPr>
      </w:pPr>
      <w:r w:rsidRPr="00F80570">
        <w:rPr>
          <w:rFonts w:ascii="Times New Roman" w:hAnsi="Times New Roman" w:cs="Times New Roman"/>
          <w:lang w:val="en-US"/>
        </w:rPr>
        <w:t xml:space="preserve">Situations where a </w:t>
      </w:r>
      <w:r>
        <w:rPr>
          <w:rFonts w:ascii="Times New Roman" w:hAnsi="Times New Roman" w:cs="Times New Roman"/>
          <w:lang w:val="en-US"/>
        </w:rPr>
        <w:t>s</w:t>
      </w:r>
      <w:r w:rsidRPr="00F80570">
        <w:rPr>
          <w:rFonts w:ascii="Times New Roman" w:hAnsi="Times New Roman" w:cs="Times New Roman"/>
          <w:lang w:val="en-US"/>
        </w:rPr>
        <w:t xml:space="preserve">tate uses force with the consent of the target or territorial </w:t>
      </w:r>
      <w:r>
        <w:rPr>
          <w:rFonts w:ascii="Times New Roman" w:hAnsi="Times New Roman" w:cs="Times New Roman"/>
          <w:lang w:val="en-US"/>
        </w:rPr>
        <w:t>s</w:t>
      </w:r>
      <w:r w:rsidRPr="00F80570">
        <w:rPr>
          <w:rFonts w:ascii="Times New Roman" w:hAnsi="Times New Roman" w:cs="Times New Roman"/>
          <w:lang w:val="en-US"/>
        </w:rPr>
        <w:t>tate are not, however, inter-</w:t>
      </w:r>
      <w:r>
        <w:rPr>
          <w:rFonts w:ascii="Times New Roman" w:hAnsi="Times New Roman" w:cs="Times New Roman"/>
          <w:lang w:val="en-US"/>
        </w:rPr>
        <w:t>s</w:t>
      </w:r>
      <w:r w:rsidRPr="00F80570">
        <w:rPr>
          <w:rFonts w:ascii="Times New Roman" w:hAnsi="Times New Roman" w:cs="Times New Roman"/>
          <w:lang w:val="en-US"/>
        </w:rPr>
        <w:t>tate war: on the contrary, they are situations of intra-</w:t>
      </w:r>
      <w:r>
        <w:rPr>
          <w:rFonts w:ascii="Times New Roman" w:hAnsi="Times New Roman" w:cs="Times New Roman"/>
          <w:lang w:val="en-US"/>
        </w:rPr>
        <w:t>s</w:t>
      </w:r>
      <w:r w:rsidRPr="00F80570">
        <w:rPr>
          <w:rFonts w:ascii="Times New Roman" w:hAnsi="Times New Roman" w:cs="Times New Roman"/>
          <w:lang w:val="en-US"/>
        </w:rPr>
        <w:t>tate conflict.</w:t>
      </w:r>
      <w:r w:rsidRPr="00F80570">
        <w:rPr>
          <w:rStyle w:val="FootnoteReference"/>
          <w:rFonts w:ascii="Times New Roman" w:hAnsi="Times New Roman" w:cs="Times New Roman"/>
          <w:lang w:val="en-US"/>
        </w:rPr>
        <w:footnoteReference w:id="131"/>
      </w:r>
      <w:r w:rsidRPr="00F80570">
        <w:rPr>
          <w:rFonts w:ascii="Times New Roman" w:hAnsi="Times New Roman" w:cs="Times New Roman"/>
          <w:lang w:val="en-US"/>
        </w:rPr>
        <w:t xml:space="preserve"> As a result, these would ostensibly not amount to situations which harm international peace. However, early on in the practice of the </w:t>
      </w:r>
      <w:proofErr w:type="spellStart"/>
      <w:r w:rsidRPr="00F80570">
        <w:rPr>
          <w:rFonts w:ascii="Times New Roman" w:hAnsi="Times New Roman" w:cs="Times New Roman"/>
          <w:lang w:val="en-US"/>
        </w:rPr>
        <w:t>Organisation</w:t>
      </w:r>
      <w:proofErr w:type="spellEnd"/>
      <w:r w:rsidRPr="00F80570">
        <w:rPr>
          <w:rFonts w:ascii="Times New Roman" w:hAnsi="Times New Roman" w:cs="Times New Roman"/>
          <w:lang w:val="en-US"/>
        </w:rPr>
        <w:t xml:space="preserve">, the UNSC </w:t>
      </w:r>
      <w:proofErr w:type="spellStart"/>
      <w:r w:rsidRPr="00F80570">
        <w:rPr>
          <w:rFonts w:ascii="Times New Roman" w:hAnsi="Times New Roman" w:cs="Times New Roman"/>
          <w:lang w:val="en-US"/>
        </w:rPr>
        <w:t>recognised</w:t>
      </w:r>
      <w:proofErr w:type="spellEnd"/>
      <w:r w:rsidRPr="00F80570">
        <w:rPr>
          <w:rFonts w:ascii="Times New Roman" w:hAnsi="Times New Roman" w:cs="Times New Roman"/>
          <w:lang w:val="en-US"/>
        </w:rPr>
        <w:t xml:space="preserve"> that internal conflicts can constitute a threat to, or a breach of, international peace. What is more, this recognition has not been limited to internal situations which may have implications for regional or global stability, but has also been extended to purely internal situations.</w:t>
      </w:r>
      <w:r w:rsidRPr="00F80570">
        <w:rPr>
          <w:rStyle w:val="FootnoteReference"/>
          <w:rFonts w:ascii="Times New Roman" w:hAnsi="Times New Roman" w:cs="Times New Roman"/>
          <w:lang w:val="en-US"/>
        </w:rPr>
        <w:footnoteReference w:id="132"/>
      </w:r>
      <w:r w:rsidRPr="00F80570">
        <w:rPr>
          <w:rFonts w:ascii="Times New Roman" w:hAnsi="Times New Roman" w:cs="Times New Roman"/>
          <w:lang w:val="en-US"/>
        </w:rPr>
        <w:t xml:space="preserve"> That internal armed conflicts amount to threats to the peace ‘seems by now widely accepted’.</w:t>
      </w:r>
      <w:r w:rsidRPr="00F80570">
        <w:rPr>
          <w:rStyle w:val="FootnoteReference"/>
          <w:rFonts w:ascii="Times New Roman" w:hAnsi="Times New Roman" w:cs="Times New Roman"/>
          <w:lang w:val="en-US"/>
        </w:rPr>
        <w:footnoteReference w:id="133"/>
      </w:r>
      <w:r w:rsidRPr="00F80570">
        <w:rPr>
          <w:rFonts w:ascii="Times New Roman" w:hAnsi="Times New Roman" w:cs="Times New Roman"/>
          <w:lang w:val="en-US"/>
        </w:rPr>
        <w:t xml:space="preserve"> </w:t>
      </w:r>
      <w:r>
        <w:rPr>
          <w:rFonts w:ascii="Times New Roman" w:hAnsi="Times New Roman" w:cs="Times New Roman"/>
          <w:lang w:val="en-US"/>
        </w:rPr>
        <w:t>A</w:t>
      </w:r>
      <w:r w:rsidRPr="00F80570">
        <w:rPr>
          <w:rFonts w:ascii="Times New Roman" w:hAnsi="Times New Roman" w:cs="Times New Roman"/>
          <w:lang w:val="en-US"/>
        </w:rPr>
        <w:t xml:space="preserve">s observed by </w:t>
      </w:r>
      <w:proofErr w:type="spellStart"/>
      <w:r w:rsidRPr="00F80570">
        <w:rPr>
          <w:rFonts w:ascii="Times New Roman" w:hAnsi="Times New Roman" w:cs="Times New Roman"/>
          <w:lang w:val="en-US"/>
        </w:rPr>
        <w:t>Rüdiger</w:t>
      </w:r>
      <w:proofErr w:type="spellEnd"/>
      <w:r w:rsidRPr="00F80570">
        <w:rPr>
          <w:rFonts w:ascii="Times New Roman" w:hAnsi="Times New Roman" w:cs="Times New Roman"/>
          <w:lang w:val="en-US"/>
        </w:rPr>
        <w:t xml:space="preserve"> </w:t>
      </w:r>
      <w:proofErr w:type="spellStart"/>
      <w:r w:rsidRPr="00F80570">
        <w:rPr>
          <w:rFonts w:ascii="Times New Roman" w:hAnsi="Times New Roman" w:cs="Times New Roman"/>
          <w:lang w:val="en-US"/>
        </w:rPr>
        <w:t>Wolfrum</w:t>
      </w:r>
      <w:proofErr w:type="spellEnd"/>
      <w:r w:rsidRPr="00F80570">
        <w:rPr>
          <w:rFonts w:ascii="Times New Roman" w:hAnsi="Times New Roman" w:cs="Times New Roman"/>
          <w:lang w:val="en-US"/>
        </w:rPr>
        <w:t>, international peace and security ‘</w:t>
      </w:r>
      <w:r w:rsidRPr="00F80570">
        <w:rPr>
          <w:rFonts w:ascii="Times New Roman" w:hAnsi="Times New Roman" w:cs="Times New Roman"/>
        </w:rPr>
        <w:t>may be endangered not only by acts of aggression, but also by any other threat to the peace.’</w:t>
      </w:r>
      <w:r w:rsidRPr="00F80570">
        <w:rPr>
          <w:rStyle w:val="FootnoteReference"/>
          <w:rFonts w:ascii="Times New Roman" w:hAnsi="Times New Roman" w:cs="Times New Roman"/>
        </w:rPr>
        <w:footnoteReference w:id="134"/>
      </w:r>
      <w:r w:rsidRPr="00F80570">
        <w:rPr>
          <w:rFonts w:ascii="Times New Roman" w:hAnsi="Times New Roman" w:cs="Times New Roman"/>
        </w:rPr>
        <w:t xml:space="preserve"> Internal conflicts, and even purely internal situations, thus harm or, at the very least, pose threats of harm to the maintenance of international peace. By implication, every use of force in another </w:t>
      </w:r>
      <w:r>
        <w:rPr>
          <w:rFonts w:ascii="Times New Roman" w:hAnsi="Times New Roman" w:cs="Times New Roman"/>
        </w:rPr>
        <w:t>s</w:t>
      </w:r>
      <w:r w:rsidRPr="00F80570">
        <w:rPr>
          <w:rFonts w:ascii="Times New Roman" w:hAnsi="Times New Roman" w:cs="Times New Roman"/>
        </w:rPr>
        <w:t xml:space="preserve">tate’s territory to address a purely internal situation within that </w:t>
      </w:r>
      <w:r>
        <w:rPr>
          <w:rFonts w:ascii="Times New Roman" w:hAnsi="Times New Roman" w:cs="Times New Roman"/>
        </w:rPr>
        <w:t>s</w:t>
      </w:r>
      <w:r w:rsidRPr="00F80570">
        <w:rPr>
          <w:rFonts w:ascii="Times New Roman" w:hAnsi="Times New Roman" w:cs="Times New Roman"/>
        </w:rPr>
        <w:t xml:space="preserve">tate, even if it counts with the consent of the territorial </w:t>
      </w:r>
      <w:r>
        <w:rPr>
          <w:rFonts w:ascii="Times New Roman" w:hAnsi="Times New Roman" w:cs="Times New Roman"/>
        </w:rPr>
        <w:lastRenderedPageBreak/>
        <w:t>s</w:t>
      </w:r>
      <w:r w:rsidRPr="00F80570">
        <w:rPr>
          <w:rFonts w:ascii="Times New Roman" w:hAnsi="Times New Roman" w:cs="Times New Roman"/>
        </w:rPr>
        <w:t xml:space="preserve">tate, can amount to a </w:t>
      </w:r>
      <w:r w:rsidR="00894592">
        <w:rPr>
          <w:rFonts w:ascii="Times New Roman" w:hAnsi="Times New Roman" w:cs="Times New Roman"/>
        </w:rPr>
        <w:t>breach or threat</w:t>
      </w:r>
      <w:r w:rsidRPr="00F80570">
        <w:rPr>
          <w:rFonts w:ascii="Times New Roman" w:hAnsi="Times New Roman" w:cs="Times New Roman"/>
        </w:rPr>
        <w:t xml:space="preserve"> to international peace. The maintenance of international peace must therefore count as a </w:t>
      </w:r>
      <w:r w:rsidRPr="00F80570">
        <w:rPr>
          <w:rFonts w:ascii="Times New Roman" w:hAnsi="Times New Roman" w:cs="Times New Roman"/>
          <w:i/>
          <w:iCs/>
        </w:rPr>
        <w:t>prima facie</w:t>
      </w:r>
      <w:r w:rsidRPr="00F80570">
        <w:rPr>
          <w:rFonts w:ascii="Times New Roman" w:hAnsi="Times New Roman" w:cs="Times New Roman"/>
        </w:rPr>
        <w:t xml:space="preserve"> reason against force </w:t>
      </w:r>
      <w:r w:rsidRPr="00F80570">
        <w:rPr>
          <w:rFonts w:ascii="Times New Roman" w:hAnsi="Times New Roman" w:cs="Times New Roman"/>
          <w:i/>
          <w:iCs/>
        </w:rPr>
        <w:t xml:space="preserve">also </w:t>
      </w:r>
      <w:r w:rsidRPr="00F80570">
        <w:rPr>
          <w:rFonts w:ascii="Times New Roman" w:hAnsi="Times New Roman" w:cs="Times New Roman"/>
        </w:rPr>
        <w:t xml:space="preserve">in those instances in which the intervening </w:t>
      </w:r>
      <w:r>
        <w:rPr>
          <w:rFonts w:ascii="Times New Roman" w:hAnsi="Times New Roman" w:cs="Times New Roman"/>
        </w:rPr>
        <w:t>s</w:t>
      </w:r>
      <w:r w:rsidRPr="00F80570">
        <w:rPr>
          <w:rFonts w:ascii="Times New Roman" w:hAnsi="Times New Roman" w:cs="Times New Roman"/>
        </w:rPr>
        <w:t xml:space="preserve">tate benefits from the consent of the target or territorial </w:t>
      </w:r>
      <w:r>
        <w:rPr>
          <w:rFonts w:ascii="Times New Roman" w:hAnsi="Times New Roman" w:cs="Times New Roman"/>
        </w:rPr>
        <w:t>s</w:t>
      </w:r>
      <w:r w:rsidRPr="00F80570">
        <w:rPr>
          <w:rFonts w:ascii="Times New Roman" w:hAnsi="Times New Roman" w:cs="Times New Roman"/>
        </w:rPr>
        <w:t>tate.</w:t>
      </w:r>
    </w:p>
    <w:p w:rsidR="00455856" w:rsidRPr="00F80570" w:rsidRDefault="00455856" w:rsidP="00AF7273">
      <w:pPr>
        <w:spacing w:line="360" w:lineRule="auto"/>
        <w:ind w:firstLine="720"/>
        <w:jc w:val="both"/>
        <w:rPr>
          <w:rFonts w:ascii="Times New Roman" w:hAnsi="Times New Roman" w:cs="Times New Roman"/>
        </w:rPr>
      </w:pPr>
    </w:p>
    <w:p w:rsidR="00455856" w:rsidRPr="00F80570" w:rsidRDefault="00455856" w:rsidP="00AF7273">
      <w:pPr>
        <w:spacing w:line="360" w:lineRule="auto"/>
        <w:ind w:firstLine="720"/>
        <w:jc w:val="both"/>
        <w:rPr>
          <w:rFonts w:ascii="Times New Roman" w:hAnsi="Times New Roman" w:cs="Times New Roman"/>
        </w:rPr>
      </w:pPr>
      <w:r w:rsidRPr="00F80570">
        <w:rPr>
          <w:rFonts w:ascii="Times New Roman" w:hAnsi="Times New Roman" w:cs="Times New Roman"/>
        </w:rPr>
        <w:t xml:space="preserve">The maintenance of international peace is </w:t>
      </w:r>
      <w:r w:rsidR="00894592">
        <w:rPr>
          <w:rFonts w:ascii="Times New Roman" w:hAnsi="Times New Roman" w:cs="Times New Roman"/>
        </w:rPr>
        <w:t xml:space="preserve">thus </w:t>
      </w:r>
      <w:r w:rsidRPr="00F80570">
        <w:rPr>
          <w:rFonts w:ascii="Times New Roman" w:hAnsi="Times New Roman" w:cs="Times New Roman"/>
        </w:rPr>
        <w:t xml:space="preserve">always a </w:t>
      </w:r>
      <w:r w:rsidRPr="00F80570">
        <w:rPr>
          <w:rFonts w:ascii="Times New Roman" w:hAnsi="Times New Roman" w:cs="Times New Roman"/>
          <w:i/>
          <w:iCs/>
        </w:rPr>
        <w:t>prima facie</w:t>
      </w:r>
      <w:r w:rsidRPr="00F80570">
        <w:rPr>
          <w:rFonts w:ascii="Times New Roman" w:hAnsi="Times New Roman" w:cs="Times New Roman"/>
        </w:rPr>
        <w:t xml:space="preserve"> reason against</w:t>
      </w:r>
      <w:r w:rsidRPr="00F80570">
        <w:rPr>
          <w:rFonts w:ascii="Times New Roman" w:hAnsi="Times New Roman" w:cs="Times New Roman"/>
          <w:i/>
          <w:iCs/>
        </w:rPr>
        <w:t xml:space="preserve"> </w:t>
      </w:r>
      <w:r w:rsidRPr="00F80570">
        <w:rPr>
          <w:rFonts w:ascii="Times New Roman" w:hAnsi="Times New Roman" w:cs="Times New Roman"/>
        </w:rPr>
        <w:t xml:space="preserve">resort to military force against another </w:t>
      </w:r>
      <w:r>
        <w:rPr>
          <w:rFonts w:ascii="Times New Roman" w:hAnsi="Times New Roman" w:cs="Times New Roman"/>
        </w:rPr>
        <w:t>s</w:t>
      </w:r>
      <w:r w:rsidRPr="00F80570">
        <w:rPr>
          <w:rFonts w:ascii="Times New Roman" w:hAnsi="Times New Roman" w:cs="Times New Roman"/>
        </w:rPr>
        <w:t xml:space="preserve">tate or in that </w:t>
      </w:r>
      <w:r>
        <w:rPr>
          <w:rFonts w:ascii="Times New Roman" w:hAnsi="Times New Roman" w:cs="Times New Roman"/>
        </w:rPr>
        <w:t>s</w:t>
      </w:r>
      <w:r w:rsidRPr="00F80570">
        <w:rPr>
          <w:rFonts w:ascii="Times New Roman" w:hAnsi="Times New Roman" w:cs="Times New Roman"/>
        </w:rPr>
        <w:t xml:space="preserve">tate’s territory – a reason that is always operative and that presents something that must be overcome. </w:t>
      </w:r>
    </w:p>
    <w:p w:rsidR="00455856" w:rsidRPr="009E214C" w:rsidRDefault="00455856" w:rsidP="00AF7273">
      <w:pPr>
        <w:pStyle w:val="Heading2"/>
      </w:pPr>
      <w:bookmarkStart w:id="22" w:name="_Toc46390739"/>
      <w:r w:rsidRPr="009E214C">
        <w:t>4.2.</w:t>
      </w:r>
      <w:r w:rsidRPr="009E214C">
        <w:tab/>
        <w:t xml:space="preserve">Consent as a </w:t>
      </w:r>
      <w:proofErr w:type="spellStart"/>
      <w:r w:rsidRPr="009E214C">
        <w:t>defence</w:t>
      </w:r>
      <w:bookmarkEnd w:id="22"/>
      <w:proofErr w:type="spellEnd"/>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If rules are intended to guide </w:t>
      </w:r>
      <w:proofErr w:type="spellStart"/>
      <w:r w:rsidRPr="00F80570">
        <w:rPr>
          <w:rFonts w:ascii="Times New Roman" w:hAnsi="Times New Roman" w:cs="Times New Roman"/>
          <w:lang w:val="en-US"/>
        </w:rPr>
        <w:t>behaviour</w:t>
      </w:r>
      <w:proofErr w:type="spellEnd"/>
      <w:r w:rsidRPr="00F80570">
        <w:rPr>
          <w:rFonts w:ascii="Times New Roman" w:hAnsi="Times New Roman" w:cs="Times New Roman"/>
          <w:lang w:val="en-US"/>
        </w:rPr>
        <w:t>, then the prohibition of force must be able to articulate the existence of this general reason against force. The prohibition cannot do this if it is understood as a ban of non-consensual force only: such a prohibition, as noted above, only articulate</w:t>
      </w:r>
      <w:r w:rsidR="00894592">
        <w:rPr>
          <w:rFonts w:ascii="Times New Roman" w:hAnsi="Times New Roman" w:cs="Times New Roman"/>
          <w:lang w:val="en-US"/>
        </w:rPr>
        <w:t>s</w:t>
      </w:r>
      <w:r w:rsidRPr="00F80570">
        <w:rPr>
          <w:rFonts w:ascii="Times New Roman" w:hAnsi="Times New Roman" w:cs="Times New Roman"/>
          <w:lang w:val="en-US"/>
        </w:rPr>
        <w:t xml:space="preserve"> </w:t>
      </w:r>
      <w:r w:rsidR="00894592">
        <w:rPr>
          <w:rFonts w:ascii="Times New Roman" w:hAnsi="Times New Roman" w:cs="Times New Roman"/>
          <w:lang w:val="en-US"/>
        </w:rPr>
        <w:t xml:space="preserve">a </w:t>
      </w:r>
      <w:r w:rsidRPr="00F80570">
        <w:rPr>
          <w:rFonts w:ascii="Times New Roman" w:hAnsi="Times New Roman" w:cs="Times New Roman"/>
          <w:lang w:val="en-US"/>
        </w:rPr>
        <w:t xml:space="preserve">limited reason against force. To adequately communicate the existence of a general reason against force, the element of consent must be extracted from the prohibition. The prohibition must ban the use of force </w:t>
      </w:r>
      <w:r w:rsidRPr="00F80570">
        <w:rPr>
          <w:rFonts w:ascii="Times New Roman" w:hAnsi="Times New Roman" w:cs="Times New Roman"/>
          <w:i/>
          <w:iCs/>
          <w:lang w:val="en-US"/>
        </w:rPr>
        <w:t>tout court</w:t>
      </w:r>
      <w:r w:rsidRPr="00F80570">
        <w:rPr>
          <w:rFonts w:ascii="Times New Roman" w:hAnsi="Times New Roman" w:cs="Times New Roman"/>
          <w:lang w:val="en-US"/>
        </w:rPr>
        <w:t>.</w:t>
      </w:r>
      <w:r>
        <w:rPr>
          <w:rFonts w:ascii="Times New Roman" w:hAnsi="Times New Roman" w:cs="Times New Roman"/>
          <w:lang w:val="en-US"/>
        </w:rPr>
        <w:t xml:space="preserve"> </w:t>
      </w:r>
      <w:r w:rsidRPr="00F80570">
        <w:rPr>
          <w:rFonts w:ascii="Times New Roman" w:hAnsi="Times New Roman" w:cs="Times New Roman"/>
          <w:lang w:val="en-US"/>
        </w:rPr>
        <w:t xml:space="preserve">Consent must be cast as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(justification) for the use of force. The extrinsic model, not the intrinsic model, is thus best placed to capture the relation between the ban and its exception.</w:t>
      </w:r>
    </w:p>
    <w:p w:rsidR="00455856" w:rsidRPr="005E0DD2" w:rsidRDefault="00455856" w:rsidP="00AF7273">
      <w:pPr>
        <w:pStyle w:val="Heading2"/>
      </w:pPr>
      <w:bookmarkStart w:id="23" w:name="_Toc46390740"/>
      <w:r w:rsidRPr="005E0DD2">
        <w:t xml:space="preserve">4.3. </w:t>
      </w:r>
      <w:r w:rsidRPr="005E0DD2">
        <w:tab/>
        <w:t>Implications: Justification in the practice and discourse on consensual force</w:t>
      </w:r>
      <w:bookmarkEnd w:id="23"/>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If there is a general </w:t>
      </w:r>
      <w:r w:rsidRPr="00F80570">
        <w:rPr>
          <w:rFonts w:ascii="Times New Roman" w:hAnsi="Times New Roman" w:cs="Times New Roman"/>
          <w:i/>
          <w:iCs/>
          <w:lang w:val="en-US"/>
        </w:rPr>
        <w:t xml:space="preserve">prima facie </w:t>
      </w:r>
      <w:r w:rsidRPr="00F80570">
        <w:rPr>
          <w:rFonts w:ascii="Times New Roman" w:hAnsi="Times New Roman" w:cs="Times New Roman"/>
          <w:lang w:val="en-US"/>
        </w:rPr>
        <w:t xml:space="preserve">reason against force, then any use of force by a </w:t>
      </w:r>
      <w:r>
        <w:rPr>
          <w:rFonts w:ascii="Times New Roman" w:hAnsi="Times New Roman" w:cs="Times New Roman"/>
          <w:lang w:val="en-US"/>
        </w:rPr>
        <w:t>s</w:t>
      </w:r>
      <w:r w:rsidRPr="00F80570">
        <w:rPr>
          <w:rFonts w:ascii="Times New Roman" w:hAnsi="Times New Roman" w:cs="Times New Roman"/>
          <w:lang w:val="en-US"/>
        </w:rPr>
        <w:t xml:space="preserve">tate will be a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wrong – </w:t>
      </w:r>
      <w:r>
        <w:rPr>
          <w:rFonts w:ascii="Times New Roman" w:hAnsi="Times New Roman" w:cs="Times New Roman"/>
          <w:lang w:val="en-US"/>
        </w:rPr>
        <w:t xml:space="preserve">at least in an evidential sense – </w:t>
      </w:r>
      <w:r w:rsidRPr="00F80570">
        <w:rPr>
          <w:rFonts w:ascii="Times New Roman" w:hAnsi="Times New Roman" w:cs="Times New Roman"/>
          <w:lang w:val="en-US"/>
        </w:rPr>
        <w:t xml:space="preserve">unless the reason against it has been overcome by reliance on a justification. The main normative and practical implication of this model is that in every case where a </w:t>
      </w:r>
      <w:r>
        <w:rPr>
          <w:rFonts w:ascii="Times New Roman" w:hAnsi="Times New Roman" w:cs="Times New Roman"/>
          <w:lang w:val="en-US"/>
        </w:rPr>
        <w:t>s</w:t>
      </w:r>
      <w:r w:rsidRPr="00F80570">
        <w:rPr>
          <w:rFonts w:ascii="Times New Roman" w:hAnsi="Times New Roman" w:cs="Times New Roman"/>
          <w:lang w:val="en-US"/>
        </w:rPr>
        <w:t xml:space="preserve">tate uses force against a target or territorial </w:t>
      </w:r>
      <w:r>
        <w:rPr>
          <w:rFonts w:ascii="Times New Roman" w:hAnsi="Times New Roman" w:cs="Times New Roman"/>
          <w:lang w:val="en-US"/>
        </w:rPr>
        <w:t>s</w:t>
      </w:r>
      <w:r w:rsidRPr="00F80570">
        <w:rPr>
          <w:rFonts w:ascii="Times New Roman" w:hAnsi="Times New Roman" w:cs="Times New Roman"/>
          <w:lang w:val="en-US"/>
        </w:rPr>
        <w:t xml:space="preserve">tate, it will need to provide a justification for this in order to overcome the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reason against force. In short, it will need to provide a sufficient legal basis for its resort to military force, on pains of being found in breach of international law. Furthermore, since the reason against force derives from a collective interest of (at least) all UN member </w:t>
      </w:r>
      <w:r>
        <w:rPr>
          <w:rFonts w:ascii="Times New Roman" w:hAnsi="Times New Roman" w:cs="Times New Roman"/>
          <w:lang w:val="en-US"/>
        </w:rPr>
        <w:t>s</w:t>
      </w:r>
      <w:r w:rsidRPr="00F80570">
        <w:rPr>
          <w:rFonts w:ascii="Times New Roman" w:hAnsi="Times New Roman" w:cs="Times New Roman"/>
          <w:lang w:val="en-US"/>
        </w:rPr>
        <w:t xml:space="preserve">tates, such justification would need to be given to all </w:t>
      </w:r>
      <w:r>
        <w:rPr>
          <w:rFonts w:ascii="Times New Roman" w:hAnsi="Times New Roman" w:cs="Times New Roman"/>
          <w:lang w:val="en-US"/>
        </w:rPr>
        <w:t>s</w:t>
      </w:r>
      <w:r w:rsidRPr="00F80570">
        <w:rPr>
          <w:rFonts w:ascii="Times New Roman" w:hAnsi="Times New Roman" w:cs="Times New Roman"/>
          <w:lang w:val="en-US"/>
        </w:rPr>
        <w:t xml:space="preserve">tates who have a stake in that interest. The most efficient way to achieve this is by providing </w:t>
      </w:r>
      <w:r w:rsidRPr="00F80570">
        <w:rPr>
          <w:rFonts w:ascii="Times New Roman" w:hAnsi="Times New Roman" w:cs="Times New Roman"/>
          <w:i/>
          <w:iCs/>
          <w:lang w:val="en-US"/>
        </w:rPr>
        <w:t>public</w:t>
      </w:r>
      <w:r w:rsidRPr="00F80570">
        <w:rPr>
          <w:rFonts w:ascii="Times New Roman" w:hAnsi="Times New Roman" w:cs="Times New Roman"/>
          <w:lang w:val="en-US"/>
        </w:rPr>
        <w:t xml:space="preserve"> justifications for the use of force</w:t>
      </w:r>
      <w:r w:rsidR="00C769E3">
        <w:rPr>
          <w:rFonts w:ascii="Times New Roman" w:hAnsi="Times New Roman" w:cs="Times New Roman"/>
          <w:lang w:val="en-US"/>
        </w:rPr>
        <w:t>, communicated to the UN – much like the notifications required under Article 51 of the Charter</w:t>
      </w:r>
      <w:r w:rsidRPr="00F80570">
        <w:rPr>
          <w:rFonts w:ascii="Times New Roman" w:hAnsi="Times New Roman" w:cs="Times New Roman"/>
          <w:lang w:val="en-US"/>
        </w:rPr>
        <w:t xml:space="preserve">. The extrinsic model thus </w:t>
      </w:r>
      <w:r w:rsidRPr="00F80570">
        <w:rPr>
          <w:rFonts w:ascii="Times New Roman" w:hAnsi="Times New Roman" w:cs="Times New Roman"/>
          <w:lang w:val="en-US"/>
        </w:rPr>
        <w:lastRenderedPageBreak/>
        <w:t xml:space="preserve">entrenches the need for justification, and potentially public justification, whenever </w:t>
      </w:r>
      <w:r>
        <w:rPr>
          <w:rFonts w:ascii="Times New Roman" w:hAnsi="Times New Roman" w:cs="Times New Roman"/>
          <w:lang w:val="en-US"/>
        </w:rPr>
        <w:t>s</w:t>
      </w:r>
      <w:r w:rsidRPr="00F80570">
        <w:rPr>
          <w:rFonts w:ascii="Times New Roman" w:hAnsi="Times New Roman" w:cs="Times New Roman"/>
          <w:lang w:val="en-US"/>
        </w:rPr>
        <w:t xml:space="preserve">tates use force with the consent of the territorial </w:t>
      </w:r>
      <w:r>
        <w:rPr>
          <w:rFonts w:ascii="Times New Roman" w:hAnsi="Times New Roman" w:cs="Times New Roman"/>
          <w:lang w:val="en-US"/>
        </w:rPr>
        <w:t>st</w:t>
      </w:r>
      <w:r w:rsidRPr="00F80570">
        <w:rPr>
          <w:rFonts w:ascii="Times New Roman" w:hAnsi="Times New Roman" w:cs="Times New Roman"/>
          <w:lang w:val="en-US"/>
        </w:rPr>
        <w:t>ate.</w:t>
      </w:r>
      <w:r w:rsidRPr="00F80570">
        <w:rPr>
          <w:rStyle w:val="FootnoteReference"/>
          <w:rFonts w:ascii="Times New Roman" w:hAnsi="Times New Roman" w:cs="Times New Roman"/>
          <w:lang w:val="en-US"/>
        </w:rPr>
        <w:footnoteReference w:id="135"/>
      </w:r>
      <w:r w:rsidRPr="00F80570">
        <w:rPr>
          <w:rFonts w:ascii="Times New Roman" w:hAnsi="Times New Roman" w:cs="Times New Roman"/>
          <w:lang w:val="en-US"/>
        </w:rPr>
        <w:t xml:space="preserve">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r>
      <w:r w:rsidR="00C769E3">
        <w:rPr>
          <w:rFonts w:ascii="Times New Roman" w:hAnsi="Times New Roman" w:cs="Times New Roman"/>
          <w:lang w:val="en-US"/>
        </w:rPr>
        <w:t>S</w:t>
      </w:r>
      <w:r w:rsidRPr="00F80570">
        <w:rPr>
          <w:rFonts w:ascii="Times New Roman" w:hAnsi="Times New Roman" w:cs="Times New Roman"/>
          <w:lang w:val="en-US"/>
        </w:rPr>
        <w:t xml:space="preserve">tates that use force with the consent of the territorial </w:t>
      </w:r>
      <w:r>
        <w:rPr>
          <w:rFonts w:ascii="Times New Roman" w:hAnsi="Times New Roman" w:cs="Times New Roman"/>
          <w:lang w:val="en-US"/>
        </w:rPr>
        <w:t>s</w:t>
      </w:r>
      <w:r w:rsidRPr="00F80570">
        <w:rPr>
          <w:rFonts w:ascii="Times New Roman" w:hAnsi="Times New Roman" w:cs="Times New Roman"/>
          <w:lang w:val="en-US"/>
        </w:rPr>
        <w:t xml:space="preserve">tate almost always provide justifications, in the form of an explanation of the </w:t>
      </w:r>
      <w:r w:rsidRPr="00F80570">
        <w:rPr>
          <w:rFonts w:ascii="Times New Roman" w:hAnsi="Times New Roman" w:cs="Times New Roman"/>
          <w:i/>
          <w:iCs/>
          <w:lang w:val="en-US"/>
        </w:rPr>
        <w:t xml:space="preserve">ad bellum </w:t>
      </w:r>
      <w:r w:rsidRPr="00F80570">
        <w:rPr>
          <w:rFonts w:ascii="Times New Roman" w:hAnsi="Times New Roman" w:cs="Times New Roman"/>
          <w:lang w:val="en-US"/>
        </w:rPr>
        <w:t>legal basis of their military actions. It is not possible to review all instances of consensual intervention since the adoption of the Charter in this article, so the analysis will be here limited to interventions since 2001.</w:t>
      </w:r>
      <w:r w:rsidRPr="00F80570">
        <w:rPr>
          <w:rStyle w:val="FootnoteReference"/>
          <w:rFonts w:ascii="Times New Roman" w:hAnsi="Times New Roman" w:cs="Times New Roman"/>
          <w:lang w:val="en-US"/>
        </w:rPr>
        <w:footnoteReference w:id="136"/>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In some of the cases of intervention since 2001, justifications were called for because the fact of consent was itself dubious. Examples of this include the</w:t>
      </w:r>
      <w:r w:rsidRPr="00F80570">
        <w:rPr>
          <w:rFonts w:ascii="Times New Roman" w:hAnsi="Times New Roman" w:cs="Times New Roman"/>
        </w:rPr>
        <w:t xml:space="preserve"> calls for </w:t>
      </w:r>
      <w:r w:rsidRPr="00F80570">
        <w:rPr>
          <w:rFonts w:ascii="Times New Roman" w:hAnsi="Times New Roman" w:cs="Times New Roman"/>
          <w:lang w:val="en-US"/>
        </w:rPr>
        <w:t>Uganda to justify its military operations in the DRC before the ICJ,</w:t>
      </w:r>
      <w:r w:rsidRPr="00F80570">
        <w:rPr>
          <w:rStyle w:val="FootnoteReference"/>
          <w:rFonts w:ascii="Times New Roman" w:hAnsi="Times New Roman" w:cs="Times New Roman"/>
          <w:lang w:val="en-US"/>
        </w:rPr>
        <w:footnoteReference w:id="137"/>
      </w:r>
      <w:r w:rsidRPr="00F80570">
        <w:rPr>
          <w:rFonts w:ascii="Times New Roman" w:hAnsi="Times New Roman" w:cs="Times New Roman"/>
          <w:lang w:val="en-US"/>
        </w:rPr>
        <w:t xml:space="preserve"> and calls for Russia to justify its intervention in Ukraine in 2014.</w:t>
      </w:r>
      <w:r w:rsidRPr="00F80570">
        <w:rPr>
          <w:rStyle w:val="FootnoteReference"/>
          <w:rFonts w:ascii="Times New Roman" w:hAnsi="Times New Roman" w:cs="Times New Roman"/>
          <w:lang w:val="en-US"/>
        </w:rPr>
        <w:footnoteReference w:id="138"/>
      </w:r>
      <w:r w:rsidRPr="00F80570">
        <w:rPr>
          <w:rFonts w:ascii="Times New Roman" w:hAnsi="Times New Roman" w:cs="Times New Roman"/>
          <w:lang w:val="en-US"/>
        </w:rPr>
        <w:t xml:space="preserve"> In the case of Uganda, there were doubts as to the extent and duration of the consent given by the DRC. In contrast, in the case of Russia there were doubts as to who had the authority to consent on behalf of Ukraine. But even in cases where the validity and extent of consent were not in question, intervening </w:t>
      </w:r>
      <w:r>
        <w:rPr>
          <w:rFonts w:ascii="Times New Roman" w:hAnsi="Times New Roman" w:cs="Times New Roman"/>
          <w:lang w:val="en-US"/>
        </w:rPr>
        <w:t>s</w:t>
      </w:r>
      <w:r w:rsidRPr="00F80570">
        <w:rPr>
          <w:rFonts w:ascii="Times New Roman" w:hAnsi="Times New Roman" w:cs="Times New Roman"/>
          <w:lang w:val="en-US"/>
        </w:rPr>
        <w:t xml:space="preserve">tates or international </w:t>
      </w:r>
      <w:proofErr w:type="spellStart"/>
      <w:r w:rsidRPr="00F80570">
        <w:rPr>
          <w:rFonts w:ascii="Times New Roman" w:hAnsi="Times New Roman" w:cs="Times New Roman"/>
          <w:lang w:val="en-US"/>
        </w:rPr>
        <w:t>organisations</w:t>
      </w:r>
      <w:proofErr w:type="spellEnd"/>
      <w:r w:rsidRPr="00F80570">
        <w:rPr>
          <w:rFonts w:ascii="Times New Roman" w:hAnsi="Times New Roman" w:cs="Times New Roman"/>
          <w:lang w:val="en-US"/>
        </w:rPr>
        <w:t xml:space="preserve"> involved in the interventions have tended to offer justifications pointing to the legal basis for their resort to force under the </w:t>
      </w:r>
      <w:r w:rsidRPr="00F80570">
        <w:rPr>
          <w:rFonts w:ascii="Times New Roman" w:hAnsi="Times New Roman" w:cs="Times New Roman"/>
          <w:i/>
          <w:iCs/>
          <w:lang w:val="en-US"/>
        </w:rPr>
        <w:t>jus ad bellum</w:t>
      </w:r>
      <w:r w:rsidRPr="00F80570">
        <w:rPr>
          <w:rFonts w:ascii="Times New Roman" w:hAnsi="Times New Roman" w:cs="Times New Roman"/>
          <w:lang w:val="en-US"/>
        </w:rPr>
        <w:t>. Consider the following situations.</w:t>
      </w:r>
    </w:p>
    <w:p w:rsidR="00455856" w:rsidRPr="00F80570" w:rsidRDefault="00455856" w:rsidP="00AF7273">
      <w:pPr>
        <w:spacing w:line="360" w:lineRule="auto"/>
        <w:jc w:val="both"/>
        <w:rPr>
          <w:rFonts w:ascii="Times New Roman" w:hAnsi="Times New Roman" w:cs="Times New Roman"/>
          <w:u w:val="single"/>
          <w:lang w:val="en-US"/>
        </w:rPr>
      </w:pPr>
    </w:p>
    <w:p w:rsidR="00455856" w:rsidRPr="00F80570" w:rsidRDefault="00455856" w:rsidP="00AF7273">
      <w:pPr>
        <w:spacing w:line="360" w:lineRule="auto"/>
        <w:jc w:val="both"/>
        <w:rPr>
          <w:rFonts w:ascii="Times New Roman" w:hAnsi="Times New Roman" w:cs="Times New Roman"/>
          <w:i/>
          <w:iCs/>
          <w:lang w:val="en-US"/>
        </w:rPr>
      </w:pPr>
      <w:r w:rsidRPr="00F80570">
        <w:rPr>
          <w:rFonts w:ascii="Times New Roman" w:hAnsi="Times New Roman" w:cs="Times New Roman"/>
          <w:i/>
          <w:iCs/>
          <w:lang w:val="en-US"/>
        </w:rPr>
        <w:t>Bahrain</w:t>
      </w:r>
    </w:p>
    <w:p w:rsidR="00455856" w:rsidRPr="00F80570" w:rsidRDefault="00455856" w:rsidP="00AF7273">
      <w:pPr>
        <w:spacing w:line="360" w:lineRule="auto"/>
        <w:jc w:val="both"/>
        <w:rPr>
          <w:rFonts w:ascii="Times New Roman" w:hAnsi="Times New Roman" w:cs="Times New Roman"/>
        </w:rPr>
      </w:pPr>
      <w:r w:rsidRPr="00F80570">
        <w:rPr>
          <w:rFonts w:ascii="Times New Roman" w:hAnsi="Times New Roman" w:cs="Times New Roman"/>
          <w:lang w:val="en-US"/>
        </w:rPr>
        <w:t>In March of 2011, three members of the Gulf Cooperation Council (‘GCC’), Saudi Arabia, the UAE and Qatar, sent troops to Bahrain to assist the Bahraini Government maintain public order in the face of increasing protests, against the background of the Arab Spring.</w:t>
      </w:r>
      <w:r w:rsidRPr="00F80570">
        <w:rPr>
          <w:rStyle w:val="FootnoteReference"/>
          <w:rFonts w:ascii="Times New Roman" w:hAnsi="Times New Roman" w:cs="Times New Roman"/>
          <w:lang w:val="en-US"/>
        </w:rPr>
        <w:footnoteReference w:id="139"/>
      </w:r>
      <w:r w:rsidRPr="00F80570">
        <w:rPr>
          <w:rFonts w:ascii="Times New Roman" w:hAnsi="Times New Roman" w:cs="Times New Roman"/>
          <w:lang w:val="en-US"/>
        </w:rPr>
        <w:t xml:space="preserve"> In a statement, </w:t>
      </w:r>
      <w:r w:rsidRPr="00F80570">
        <w:rPr>
          <w:rFonts w:ascii="Times New Roman" w:hAnsi="Times New Roman" w:cs="Times New Roman"/>
          <w:lang w:val="en-US"/>
        </w:rPr>
        <w:lastRenderedPageBreak/>
        <w:t xml:space="preserve">the GCC explained that ‘the legitimacy of the presence of the Peninsula Shield Force on the territory of the Kingdom of Bahrain is explained by the joint agreement on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and cooperation, as well as by the request of the Kingdom of Bahrain, which form the legal basis for the [GCC] States [military deployment].’</w:t>
      </w:r>
      <w:r w:rsidRPr="00F80570">
        <w:rPr>
          <w:rStyle w:val="FootnoteReference"/>
          <w:rFonts w:ascii="Times New Roman" w:hAnsi="Times New Roman" w:cs="Times New Roman"/>
          <w:lang w:val="en-US"/>
        </w:rPr>
        <w:footnoteReference w:id="140"/>
      </w:r>
    </w:p>
    <w:p w:rsidR="00455856" w:rsidRPr="00F80570" w:rsidRDefault="00455856" w:rsidP="00AF7273">
      <w:pPr>
        <w:spacing w:line="360" w:lineRule="auto"/>
        <w:ind w:firstLine="420"/>
        <w:jc w:val="both"/>
        <w:rPr>
          <w:rFonts w:ascii="Times New Roman" w:hAnsi="Times New Roman" w:cs="Times New Roman"/>
        </w:rPr>
      </w:pPr>
    </w:p>
    <w:p w:rsidR="00455856" w:rsidRPr="00F80570" w:rsidRDefault="00455856" w:rsidP="00AF7273">
      <w:pPr>
        <w:spacing w:line="360" w:lineRule="auto"/>
        <w:jc w:val="both"/>
        <w:rPr>
          <w:rFonts w:ascii="Times New Roman" w:hAnsi="Times New Roman" w:cs="Times New Roman"/>
          <w:i/>
          <w:iCs/>
        </w:rPr>
      </w:pPr>
      <w:r w:rsidRPr="00F80570">
        <w:rPr>
          <w:rFonts w:ascii="Times New Roman" w:hAnsi="Times New Roman" w:cs="Times New Roman"/>
          <w:i/>
          <w:iCs/>
        </w:rPr>
        <w:t>Somalia</w:t>
      </w: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rPr>
        <w:t>In that same year, Kenya and Ethiopia sent troops into Somalia to fight Al-</w:t>
      </w:r>
      <w:proofErr w:type="spellStart"/>
      <w:r w:rsidRPr="00F80570">
        <w:rPr>
          <w:rFonts w:ascii="Times New Roman" w:hAnsi="Times New Roman" w:cs="Times New Roman"/>
          <w:lang w:val="en-US"/>
        </w:rPr>
        <w:t>Shabaab</w:t>
      </w:r>
      <w:proofErr w:type="spellEnd"/>
      <w:r w:rsidRPr="00F80570">
        <w:rPr>
          <w:rFonts w:ascii="Times New Roman" w:hAnsi="Times New Roman" w:cs="Times New Roman"/>
          <w:lang w:val="en-US"/>
        </w:rPr>
        <w:t xml:space="preserve">. Kenya launched operation Linda </w:t>
      </w:r>
      <w:proofErr w:type="spellStart"/>
      <w:r w:rsidRPr="00F80570">
        <w:rPr>
          <w:rFonts w:ascii="Times New Roman" w:hAnsi="Times New Roman" w:cs="Times New Roman"/>
          <w:lang w:val="en-US"/>
        </w:rPr>
        <w:t>Nchi</w:t>
      </w:r>
      <w:proofErr w:type="spellEnd"/>
      <w:r w:rsidRPr="00F80570">
        <w:rPr>
          <w:rFonts w:ascii="Times New Roman" w:hAnsi="Times New Roman" w:cs="Times New Roman"/>
          <w:lang w:val="en-US"/>
        </w:rPr>
        <w:t xml:space="preserve"> in Somalia in October 2011, relying on the agreement of Somalia as a legal basis for its operation.</w:t>
      </w:r>
      <w:r w:rsidRPr="00F80570">
        <w:rPr>
          <w:rStyle w:val="FootnoteReference"/>
          <w:rFonts w:ascii="Times New Roman" w:hAnsi="Times New Roman" w:cs="Times New Roman"/>
          <w:lang w:val="en-US"/>
        </w:rPr>
        <w:footnoteReference w:id="141"/>
      </w:r>
      <w:r w:rsidRPr="00F80570">
        <w:rPr>
          <w:rFonts w:ascii="Times New Roman" w:hAnsi="Times New Roman" w:cs="Times New Roman"/>
          <w:lang w:val="en-US"/>
        </w:rPr>
        <w:t xml:space="preserve"> In a letter to the President of the UNSC, Kenya noted that it had acted ‘with the concurrence of the Transitional Federal Government [TFG] of Somalia’, and in ‘direct consultation and liaison’ with the TFG.</w:t>
      </w:r>
      <w:r w:rsidRPr="00F80570">
        <w:rPr>
          <w:rStyle w:val="FootnoteReference"/>
          <w:rFonts w:ascii="Times New Roman" w:hAnsi="Times New Roman" w:cs="Times New Roman"/>
          <w:lang w:val="en-US"/>
        </w:rPr>
        <w:footnoteReference w:id="142"/>
      </w:r>
      <w:r w:rsidRPr="00F80570">
        <w:rPr>
          <w:rFonts w:ascii="Times New Roman" w:hAnsi="Times New Roman" w:cs="Times New Roman"/>
          <w:lang w:val="en-US"/>
        </w:rPr>
        <w:t xml:space="preserve"> Kenya also annexed to its letter a Joint Communiqué, issued by the Kenyan Government and the TFG, in which the parties resolved to ‘cooperate in undertaking security and military operations’.</w:t>
      </w:r>
      <w:r w:rsidRPr="00F80570">
        <w:rPr>
          <w:rStyle w:val="FootnoteReference"/>
          <w:rFonts w:ascii="Times New Roman" w:hAnsi="Times New Roman" w:cs="Times New Roman"/>
          <w:lang w:val="en-US"/>
        </w:rPr>
        <w:footnoteReference w:id="143"/>
      </w:r>
      <w:r w:rsidRPr="00F80570">
        <w:rPr>
          <w:rFonts w:ascii="Times New Roman" w:hAnsi="Times New Roman" w:cs="Times New Roman"/>
          <w:lang w:val="en-US"/>
        </w:rPr>
        <w:t xml:space="preserve"> Kenya’s troops were subsequently incorporated into the African Union Mission in Somalia (AMISOM) by the UN Security Council,</w:t>
      </w:r>
      <w:r w:rsidRPr="00F80570">
        <w:rPr>
          <w:rStyle w:val="FootnoteReference"/>
          <w:rFonts w:ascii="Times New Roman" w:hAnsi="Times New Roman" w:cs="Times New Roman"/>
          <w:lang w:val="en-US"/>
        </w:rPr>
        <w:footnoteReference w:id="144"/>
      </w:r>
      <w:r w:rsidRPr="00F80570">
        <w:rPr>
          <w:rFonts w:ascii="Times New Roman" w:hAnsi="Times New Roman" w:cs="Times New Roman"/>
          <w:lang w:val="en-US"/>
        </w:rPr>
        <w:t xml:space="preserve"> and so the legal basis for Kenya’s presence in Somalia shifted from the latter’s consent to UNSC </w:t>
      </w:r>
      <w:proofErr w:type="spellStart"/>
      <w:r w:rsidRPr="00F80570">
        <w:rPr>
          <w:rFonts w:ascii="Times New Roman" w:hAnsi="Times New Roman" w:cs="Times New Roman"/>
          <w:lang w:val="en-US"/>
        </w:rPr>
        <w:t>authorisation</w:t>
      </w:r>
      <w:proofErr w:type="spellEnd"/>
      <w:r w:rsidRPr="00F80570">
        <w:rPr>
          <w:rFonts w:ascii="Times New Roman" w:hAnsi="Times New Roman" w:cs="Times New Roman"/>
          <w:lang w:val="en-US"/>
        </w:rPr>
        <w:t xml:space="preserve">. </w:t>
      </w:r>
    </w:p>
    <w:p w:rsidR="00455856" w:rsidRPr="00F80570" w:rsidRDefault="00455856" w:rsidP="00AF7273">
      <w:pPr>
        <w:spacing w:line="360" w:lineRule="auto"/>
        <w:ind w:firstLine="420"/>
        <w:jc w:val="both"/>
        <w:rPr>
          <w:rFonts w:ascii="Times New Roman" w:hAnsi="Times New Roman" w:cs="Times New Roman"/>
          <w:lang w:val="en-US"/>
        </w:rPr>
      </w:pPr>
    </w:p>
    <w:p w:rsidR="00455856" w:rsidRPr="00F80570" w:rsidRDefault="00455856" w:rsidP="00AF7273">
      <w:pPr>
        <w:spacing w:line="360" w:lineRule="auto"/>
        <w:ind w:firstLine="420"/>
        <w:jc w:val="both"/>
        <w:rPr>
          <w:rFonts w:ascii="Times New Roman" w:hAnsi="Times New Roman" w:cs="Times New Roman"/>
          <w:lang w:val="en-US"/>
        </w:rPr>
      </w:pPr>
      <w:r w:rsidRPr="00F80570">
        <w:rPr>
          <w:rFonts w:ascii="Times New Roman" w:hAnsi="Times New Roman" w:cs="Times New Roman"/>
          <w:lang w:val="en-US"/>
        </w:rPr>
        <w:t>Ethiopia, in turn, sent troops to Somalia, starting on 19 November 2011.</w:t>
      </w:r>
      <w:r w:rsidRPr="00F80570">
        <w:rPr>
          <w:rStyle w:val="FootnoteReference"/>
          <w:rFonts w:ascii="Times New Roman" w:hAnsi="Times New Roman" w:cs="Times New Roman"/>
          <w:lang w:val="en-US"/>
        </w:rPr>
        <w:footnoteReference w:id="145"/>
      </w:r>
      <w:r w:rsidRPr="00F80570">
        <w:rPr>
          <w:rFonts w:ascii="Times New Roman" w:hAnsi="Times New Roman" w:cs="Times New Roman"/>
          <w:lang w:val="en-US"/>
        </w:rPr>
        <w:t xml:space="preserve"> Unlike Kenya, however, Ethiopia did not publicly invoke any legal basis for its military actions.</w:t>
      </w:r>
      <w:r w:rsidRPr="00F80570">
        <w:rPr>
          <w:rStyle w:val="FootnoteReference"/>
          <w:rFonts w:ascii="Times New Roman" w:hAnsi="Times New Roman" w:cs="Times New Roman"/>
          <w:lang w:val="en-US"/>
        </w:rPr>
        <w:footnoteReference w:id="146"/>
      </w:r>
      <w:r w:rsidRPr="00F80570">
        <w:rPr>
          <w:rFonts w:ascii="Times New Roman" w:hAnsi="Times New Roman" w:cs="Times New Roman"/>
          <w:lang w:val="en-US"/>
        </w:rPr>
        <w:t xml:space="preserve"> Nevertheless, the legal basis for this intervention was addressed by the other legal actors involved. The Somali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Minister was reported to have welcomed the Ethiopian troops on 18 November 2011.</w:t>
      </w:r>
      <w:r w:rsidRPr="00F80570">
        <w:rPr>
          <w:rStyle w:val="FootnoteReference"/>
          <w:rFonts w:ascii="Times New Roman" w:hAnsi="Times New Roman" w:cs="Times New Roman"/>
          <w:lang w:val="en-US"/>
        </w:rPr>
        <w:footnoteReference w:id="147"/>
      </w:r>
      <w:r w:rsidRPr="00F80570">
        <w:rPr>
          <w:rFonts w:ascii="Times New Roman" w:hAnsi="Times New Roman" w:cs="Times New Roman"/>
          <w:lang w:val="en-US"/>
        </w:rPr>
        <w:t xml:space="preserve"> Likewise, on 25 November 2011, the Intergovernmental Authority on Development (IGAD) had called upon the Ethiopian Government to support the operation undertaken by Kenya, the TFG, and by AMISOM, the mission that IGAD had established </w:t>
      </w:r>
      <w:r w:rsidRPr="00F80570">
        <w:rPr>
          <w:rFonts w:ascii="Times New Roman" w:hAnsi="Times New Roman" w:cs="Times New Roman"/>
          <w:lang w:val="en-US"/>
        </w:rPr>
        <w:lastRenderedPageBreak/>
        <w:t>under authorization of the UNSC.</w:t>
      </w:r>
      <w:r w:rsidRPr="00F80570">
        <w:rPr>
          <w:rStyle w:val="FootnoteReference"/>
          <w:rFonts w:ascii="Times New Roman" w:hAnsi="Times New Roman" w:cs="Times New Roman"/>
          <w:lang w:val="en-US"/>
        </w:rPr>
        <w:footnoteReference w:id="148"/>
      </w:r>
      <w:r w:rsidRPr="00F80570">
        <w:rPr>
          <w:rFonts w:ascii="Times New Roman" w:hAnsi="Times New Roman" w:cs="Times New Roman"/>
          <w:lang w:val="en-US"/>
        </w:rPr>
        <w:t xml:space="preserve"> Subsequently, during a meeting in 2012, the Assembly of Heads of State and Governments of IGAD expressed its appreciation at Ethiopia’s support in response to the appeals by the TFG and IGAD itself.</w:t>
      </w:r>
      <w:r w:rsidRPr="00F80570">
        <w:rPr>
          <w:rStyle w:val="FootnoteReference"/>
          <w:rFonts w:ascii="Times New Roman" w:hAnsi="Times New Roman" w:cs="Times New Roman"/>
          <w:lang w:val="en-US"/>
        </w:rPr>
        <w:footnoteReference w:id="149"/>
      </w:r>
      <w:r w:rsidRPr="00F80570">
        <w:rPr>
          <w:rFonts w:ascii="Times New Roman" w:hAnsi="Times New Roman" w:cs="Times New Roman"/>
          <w:lang w:val="en-US"/>
        </w:rPr>
        <w:t xml:space="preserve"> The Ethiopian intervention did not attract many reactions from other </w:t>
      </w:r>
      <w:r>
        <w:rPr>
          <w:rFonts w:ascii="Times New Roman" w:hAnsi="Times New Roman" w:cs="Times New Roman"/>
          <w:lang w:val="en-US"/>
        </w:rPr>
        <w:t>s</w:t>
      </w:r>
      <w:r w:rsidRPr="00F80570">
        <w:rPr>
          <w:rFonts w:ascii="Times New Roman" w:hAnsi="Times New Roman" w:cs="Times New Roman"/>
          <w:lang w:val="en-US"/>
        </w:rPr>
        <w:t xml:space="preserve">tates and international </w:t>
      </w:r>
      <w:proofErr w:type="spellStart"/>
      <w:r w:rsidRPr="00F80570">
        <w:rPr>
          <w:rFonts w:ascii="Times New Roman" w:hAnsi="Times New Roman" w:cs="Times New Roman"/>
          <w:lang w:val="en-US"/>
        </w:rPr>
        <w:t>organisations</w:t>
      </w:r>
      <w:proofErr w:type="spellEnd"/>
      <w:r w:rsidRPr="00F80570">
        <w:rPr>
          <w:rFonts w:ascii="Times New Roman" w:hAnsi="Times New Roman" w:cs="Times New Roman"/>
          <w:lang w:val="en-US"/>
        </w:rPr>
        <w:t xml:space="preserve">, either in </w:t>
      </w:r>
      <w:proofErr w:type="spellStart"/>
      <w:r w:rsidRPr="00F80570">
        <w:rPr>
          <w:rFonts w:ascii="Times New Roman" w:hAnsi="Times New Roman" w:cs="Times New Roman"/>
          <w:lang w:val="en-US"/>
        </w:rPr>
        <w:t>favour</w:t>
      </w:r>
      <w:proofErr w:type="spellEnd"/>
      <w:r w:rsidRPr="00F80570">
        <w:rPr>
          <w:rFonts w:ascii="Times New Roman" w:hAnsi="Times New Roman" w:cs="Times New Roman"/>
          <w:lang w:val="en-US"/>
        </w:rPr>
        <w:t xml:space="preserve"> or against.</w:t>
      </w:r>
      <w:r w:rsidRPr="00F80570">
        <w:rPr>
          <w:rStyle w:val="FootnoteReference"/>
          <w:rFonts w:ascii="Times New Roman" w:hAnsi="Times New Roman" w:cs="Times New Roman"/>
          <w:lang w:val="en-US"/>
        </w:rPr>
        <w:footnoteReference w:id="150"/>
      </w:r>
    </w:p>
    <w:p w:rsidR="00455856" w:rsidRPr="00F80570" w:rsidRDefault="00455856" w:rsidP="00AF7273">
      <w:pPr>
        <w:spacing w:line="360" w:lineRule="auto"/>
        <w:ind w:firstLine="420"/>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i/>
          <w:iCs/>
          <w:lang w:val="en-US"/>
        </w:rPr>
      </w:pPr>
      <w:r w:rsidRPr="00F80570">
        <w:rPr>
          <w:rFonts w:ascii="Times New Roman" w:hAnsi="Times New Roman" w:cs="Times New Roman"/>
          <w:i/>
          <w:iCs/>
          <w:lang w:val="en-US"/>
        </w:rPr>
        <w:t>Mali</w:t>
      </w: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In January of 2013, France launched Operation Serval in Mali, to stop the offensive of several terrorist armed groups.</w:t>
      </w:r>
      <w:r w:rsidRPr="00F80570">
        <w:rPr>
          <w:rStyle w:val="FootnoteReference"/>
          <w:rFonts w:ascii="Times New Roman" w:hAnsi="Times New Roman" w:cs="Times New Roman"/>
          <w:lang w:val="en-US"/>
        </w:rPr>
        <w:footnoteReference w:id="151"/>
      </w:r>
      <w:r w:rsidRPr="00F80570">
        <w:rPr>
          <w:rFonts w:ascii="Times New Roman" w:hAnsi="Times New Roman" w:cs="Times New Roman"/>
          <w:lang w:val="en-US"/>
        </w:rPr>
        <w:t xml:space="preserve"> The French Foreign Minister, Laurent Fabius, and the President, Francois Hollande, both gave statements relying on Mali’s consent as the legal basis for the intervention. In an official statement, President Hollande stated that ‘France—at the request of the President of Mali and in compliance with the Charter of the United Nations—had[d] committed herself to supporting the Malian Army’.</w:t>
      </w:r>
      <w:r w:rsidRPr="00F80570">
        <w:rPr>
          <w:rStyle w:val="FootnoteReference"/>
          <w:rFonts w:ascii="Times New Roman" w:hAnsi="Times New Roman" w:cs="Times New Roman"/>
          <w:lang w:val="en-US"/>
        </w:rPr>
        <w:footnoteReference w:id="152"/>
      </w:r>
      <w:r w:rsidRPr="00F80570">
        <w:rPr>
          <w:rFonts w:ascii="Times New Roman" w:hAnsi="Times New Roman" w:cs="Times New Roman"/>
          <w:lang w:val="en-US"/>
        </w:rPr>
        <w:t xml:space="preserve"> Further, in identical letters to the President of the UNSC and the UNSG, France noted that it ‘had responded … to a request for assistance from the Interim President of the Republic of Mali’.</w:t>
      </w:r>
      <w:r w:rsidRPr="00F80570">
        <w:rPr>
          <w:rStyle w:val="FootnoteReference"/>
          <w:rFonts w:ascii="Times New Roman" w:hAnsi="Times New Roman" w:cs="Times New Roman"/>
          <w:lang w:val="en-US"/>
        </w:rPr>
        <w:footnoteReference w:id="153"/>
      </w:r>
      <w:r w:rsidRPr="00F80570">
        <w:rPr>
          <w:rFonts w:ascii="Times New Roman" w:hAnsi="Times New Roman" w:cs="Times New Roman"/>
          <w:lang w:val="en-US"/>
        </w:rPr>
        <w:t xml:space="preserve"> States who lent logistical support to the military effort in Mali also relied on its consent. For example, the UK noted in a letter to the President of the UNSC that ‘it had been providing logistical support to the military effort in Mali, undertaken pursuant to the request of the Transitional Government of Mali’.</w:t>
      </w:r>
      <w:r w:rsidRPr="00F80570">
        <w:rPr>
          <w:rStyle w:val="FootnoteReference"/>
          <w:rFonts w:ascii="Times New Roman" w:hAnsi="Times New Roman" w:cs="Times New Roman"/>
          <w:lang w:val="en-US"/>
        </w:rPr>
        <w:footnoteReference w:id="154"/>
      </w:r>
      <w:r w:rsidRPr="00F80570">
        <w:rPr>
          <w:rFonts w:ascii="Times New Roman" w:hAnsi="Times New Roman" w:cs="Times New Roman"/>
          <w:lang w:val="en-US"/>
        </w:rPr>
        <w:t xml:space="preserve"> The interventions enjoyed widespread legal, political and popular support.</w:t>
      </w:r>
      <w:r w:rsidRPr="00F80570">
        <w:rPr>
          <w:rStyle w:val="FootnoteReference"/>
          <w:rFonts w:ascii="Times New Roman" w:hAnsi="Times New Roman" w:cs="Times New Roman"/>
          <w:lang w:val="en-US"/>
        </w:rPr>
        <w:footnoteReference w:id="155"/>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i/>
          <w:iCs/>
          <w:lang w:val="en-US"/>
        </w:rPr>
      </w:pPr>
      <w:r w:rsidRPr="00F80570">
        <w:rPr>
          <w:rFonts w:ascii="Times New Roman" w:hAnsi="Times New Roman" w:cs="Times New Roman"/>
          <w:i/>
          <w:iCs/>
          <w:lang w:val="en-US"/>
        </w:rPr>
        <w:t>ISIS – Iraq and Syria</w:t>
      </w: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lastRenderedPageBreak/>
        <w:t xml:space="preserve">The following year, 2014, ISIS had taken control of Mosul, had pushed southwards in Iraqi territory, and  began attacking Iraq from its western border with Syria. Unable to deal with the threat, Iraq requested military assistance from UN member </w:t>
      </w:r>
      <w:r>
        <w:rPr>
          <w:rFonts w:ascii="Times New Roman" w:hAnsi="Times New Roman" w:cs="Times New Roman"/>
          <w:lang w:val="en-US"/>
        </w:rPr>
        <w:t>s</w:t>
      </w:r>
      <w:r w:rsidRPr="00F80570">
        <w:rPr>
          <w:rFonts w:ascii="Times New Roman" w:hAnsi="Times New Roman" w:cs="Times New Roman"/>
          <w:lang w:val="en-US"/>
        </w:rPr>
        <w:t>tates to combat ISIS, in letters sent to both the UNSC and UNSG.</w:t>
      </w:r>
      <w:r w:rsidRPr="00F80570">
        <w:rPr>
          <w:rStyle w:val="FootnoteReference"/>
          <w:rFonts w:ascii="Times New Roman" w:hAnsi="Times New Roman" w:cs="Times New Roman"/>
          <w:lang w:val="en-US"/>
        </w:rPr>
        <w:footnoteReference w:id="156"/>
      </w:r>
      <w:r w:rsidRPr="00F80570">
        <w:rPr>
          <w:rFonts w:ascii="Times New Roman" w:hAnsi="Times New Roman" w:cs="Times New Roman"/>
          <w:lang w:val="en-US"/>
        </w:rPr>
        <w:t xml:space="preserve"> Several </w:t>
      </w:r>
      <w:r>
        <w:rPr>
          <w:rFonts w:ascii="Times New Roman" w:hAnsi="Times New Roman" w:cs="Times New Roman"/>
          <w:lang w:val="en-US"/>
        </w:rPr>
        <w:t>s</w:t>
      </w:r>
      <w:r w:rsidRPr="00F80570">
        <w:rPr>
          <w:rFonts w:ascii="Times New Roman" w:hAnsi="Times New Roman" w:cs="Times New Roman"/>
          <w:lang w:val="en-US"/>
        </w:rPr>
        <w:t>tates offered assistance,</w:t>
      </w:r>
      <w:r w:rsidRPr="00F80570">
        <w:rPr>
          <w:rStyle w:val="FootnoteReference"/>
          <w:rFonts w:ascii="Times New Roman" w:hAnsi="Times New Roman" w:cs="Times New Roman"/>
          <w:lang w:val="en-US"/>
        </w:rPr>
        <w:footnoteReference w:id="157"/>
      </w:r>
      <w:r w:rsidRPr="00F80570">
        <w:rPr>
          <w:rFonts w:ascii="Times New Roman" w:hAnsi="Times New Roman" w:cs="Times New Roman"/>
          <w:lang w:val="en-US"/>
        </w:rPr>
        <w:t xml:space="preserve"> in an effort led, at the request of Iraq,</w:t>
      </w:r>
      <w:r w:rsidRPr="00F80570">
        <w:rPr>
          <w:rStyle w:val="FootnoteReference"/>
          <w:rFonts w:ascii="Times New Roman" w:hAnsi="Times New Roman" w:cs="Times New Roman"/>
          <w:lang w:val="en-US"/>
        </w:rPr>
        <w:footnoteReference w:id="158"/>
      </w:r>
      <w:r w:rsidRPr="00F80570">
        <w:rPr>
          <w:rFonts w:ascii="Times New Roman" w:hAnsi="Times New Roman" w:cs="Times New Roman"/>
          <w:lang w:val="en-US"/>
        </w:rPr>
        <w:t xml:space="preserve"> by the US.  For example, in a policy paper, the UK stated that:</w:t>
      </w:r>
    </w:p>
    <w:p w:rsidR="00455856" w:rsidRPr="00F80570" w:rsidRDefault="00455856" w:rsidP="00AF7273">
      <w:pPr>
        <w:spacing w:line="360" w:lineRule="auto"/>
        <w:ind w:left="720"/>
        <w:jc w:val="both"/>
        <w:rPr>
          <w:rFonts w:ascii="Times New Roman" w:hAnsi="Times New Roman" w:cs="Times New Roman"/>
        </w:rPr>
      </w:pPr>
    </w:p>
    <w:p w:rsidR="00455856" w:rsidRPr="00F80570" w:rsidRDefault="00455856" w:rsidP="00AF7273">
      <w:pPr>
        <w:spacing w:line="360" w:lineRule="auto"/>
        <w:ind w:left="720"/>
        <w:jc w:val="both"/>
        <w:rPr>
          <w:rFonts w:ascii="Times New Roman" w:hAnsi="Times New Roman" w:cs="Times New Roman"/>
        </w:rPr>
      </w:pPr>
      <w:r w:rsidRPr="00F80570">
        <w:rPr>
          <w:rFonts w:ascii="Times New Roman" w:hAnsi="Times New Roman" w:cs="Times New Roman"/>
        </w:rPr>
        <w:t>International law is clear that the use of force in international relations is prohibited, subject to limited exceptions. However, international law is equally clear that this prohibition does not apply to the use of military force by one State on the territory of another if the territorial State so requests or consents. It is clear in this case that Iraq has consented to the use of military force to defend itself against ISIL in Iraq.</w:t>
      </w:r>
      <w:r w:rsidRPr="00F80570">
        <w:rPr>
          <w:rStyle w:val="FootnoteReference"/>
          <w:rFonts w:ascii="Times New Roman" w:hAnsi="Times New Roman" w:cs="Times New Roman"/>
          <w:lang w:val="en-US"/>
        </w:rPr>
        <w:footnoteReference w:id="159"/>
      </w:r>
    </w:p>
    <w:p w:rsidR="00455856" w:rsidRPr="00F80570" w:rsidRDefault="00455856" w:rsidP="00AF7273">
      <w:pPr>
        <w:spacing w:line="360" w:lineRule="auto"/>
        <w:jc w:val="both"/>
        <w:rPr>
          <w:rFonts w:ascii="Times New Roman" w:hAnsi="Times New Roman" w:cs="Times New Roman"/>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rPr>
        <w:t xml:space="preserve">Several intervening </w:t>
      </w:r>
      <w:r>
        <w:rPr>
          <w:rFonts w:ascii="Times New Roman" w:hAnsi="Times New Roman" w:cs="Times New Roman"/>
        </w:rPr>
        <w:t>s</w:t>
      </w:r>
      <w:r w:rsidRPr="00F80570">
        <w:rPr>
          <w:rFonts w:ascii="Times New Roman" w:hAnsi="Times New Roman" w:cs="Times New Roman"/>
        </w:rPr>
        <w:t>tates explicitly pointed to Iraq’s consent as the legal basis of their operations in Iraqi territory. Among others, Canada stated that,  ‘the intervention … has been requested by the Government of Iraq’;</w:t>
      </w:r>
      <w:r w:rsidRPr="00F80570">
        <w:rPr>
          <w:rStyle w:val="FootnoteReference"/>
          <w:rFonts w:ascii="Times New Roman" w:hAnsi="Times New Roman" w:cs="Times New Roman"/>
        </w:rPr>
        <w:footnoteReference w:id="160"/>
      </w:r>
      <w:r w:rsidRPr="00F80570">
        <w:rPr>
          <w:rFonts w:ascii="Times New Roman" w:hAnsi="Times New Roman" w:cs="Times New Roman"/>
        </w:rPr>
        <w:t xml:space="preserve"> France, that it was acting ‘at the request’ of the Iraqi Government,</w:t>
      </w:r>
      <w:r w:rsidRPr="00F80570">
        <w:rPr>
          <w:rStyle w:val="FootnoteReference"/>
          <w:rFonts w:ascii="Times New Roman" w:hAnsi="Times New Roman" w:cs="Times New Roman"/>
          <w:lang w:val="en-US"/>
        </w:rPr>
        <w:footnoteReference w:id="161"/>
      </w:r>
      <w:r w:rsidRPr="00F80570">
        <w:rPr>
          <w:rFonts w:ascii="Times New Roman" w:hAnsi="Times New Roman" w:cs="Times New Roman"/>
        </w:rPr>
        <w:t xml:space="preserve"> and the Netherlands that the request ‘provide[d] a sufficient legal basis for Dutch personnel to be deployed in Iraq’</w:t>
      </w:r>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162"/>
      </w:r>
      <w:r w:rsidRPr="00F80570">
        <w:rPr>
          <w:rFonts w:ascii="Times New Roman" w:hAnsi="Times New Roman" w:cs="Times New Roman"/>
          <w:lang w:val="en-US"/>
        </w:rPr>
        <w:t xml:space="preserve"> </w:t>
      </w:r>
      <w:proofErr w:type="spellStart"/>
      <w:r w:rsidRPr="00F80570">
        <w:rPr>
          <w:rFonts w:ascii="Times New Roman" w:hAnsi="Times New Roman" w:cs="Times New Roman"/>
          <w:lang w:val="en-US"/>
        </w:rPr>
        <w:t>Karine</w:t>
      </w:r>
      <w:proofErr w:type="spellEnd"/>
      <w:r w:rsidRPr="00F80570">
        <w:rPr>
          <w:rFonts w:ascii="Times New Roman" w:hAnsi="Times New Roman" w:cs="Times New Roman"/>
          <w:lang w:val="en-US"/>
        </w:rPr>
        <w:t xml:space="preserve"> </w:t>
      </w:r>
      <w:proofErr w:type="spellStart"/>
      <w:r w:rsidRPr="00F80570">
        <w:rPr>
          <w:rFonts w:ascii="Times New Roman" w:hAnsi="Times New Roman" w:cs="Times New Roman"/>
          <w:lang w:val="en-US"/>
        </w:rPr>
        <w:t>Bannelier</w:t>
      </w:r>
      <w:proofErr w:type="spellEnd"/>
      <w:r w:rsidRPr="00F80570">
        <w:rPr>
          <w:rFonts w:ascii="Times New Roman" w:hAnsi="Times New Roman" w:cs="Times New Roman"/>
          <w:lang w:val="en-US"/>
        </w:rPr>
        <w:t>-Christakis noted that there was a ‘clear and undisputable basis for consent’ in this situation,</w:t>
      </w:r>
      <w:r w:rsidRPr="00F80570">
        <w:rPr>
          <w:rStyle w:val="FootnoteReference"/>
          <w:rFonts w:ascii="Times New Roman" w:hAnsi="Times New Roman" w:cs="Times New Roman"/>
          <w:lang w:val="en-US"/>
        </w:rPr>
        <w:t xml:space="preserve"> </w:t>
      </w:r>
      <w:r w:rsidRPr="00F80570">
        <w:rPr>
          <w:rStyle w:val="FootnoteReference"/>
          <w:rFonts w:ascii="Times New Roman" w:hAnsi="Times New Roman" w:cs="Times New Roman"/>
          <w:lang w:val="en-US"/>
        </w:rPr>
        <w:footnoteReference w:id="163"/>
      </w:r>
      <w:r w:rsidRPr="00F80570">
        <w:rPr>
          <w:rFonts w:ascii="Times New Roman" w:hAnsi="Times New Roman" w:cs="Times New Roman"/>
          <w:lang w:val="en-US"/>
        </w:rPr>
        <w:t xml:space="preserve"> and that no State or international </w:t>
      </w:r>
      <w:proofErr w:type="spellStart"/>
      <w:r w:rsidRPr="00F80570">
        <w:rPr>
          <w:rFonts w:ascii="Times New Roman" w:hAnsi="Times New Roman" w:cs="Times New Roman"/>
          <w:lang w:val="en-US"/>
        </w:rPr>
        <w:t>organisation</w:t>
      </w:r>
      <w:proofErr w:type="spellEnd"/>
      <w:r w:rsidRPr="00F80570">
        <w:rPr>
          <w:rFonts w:ascii="Times New Roman" w:hAnsi="Times New Roman" w:cs="Times New Roman"/>
          <w:lang w:val="en-US"/>
        </w:rPr>
        <w:t xml:space="preserve"> challenged it</w:t>
      </w:r>
      <w:r w:rsidRPr="00F80570">
        <w:rPr>
          <w:rFonts w:ascii="Times New Roman" w:hAnsi="Times New Roman" w:cs="Times New Roman"/>
        </w:rPr>
        <w:t>.</w:t>
      </w:r>
      <w:r w:rsidRPr="00F80570">
        <w:rPr>
          <w:rStyle w:val="FootnoteReference"/>
          <w:rFonts w:ascii="Times New Roman" w:hAnsi="Times New Roman" w:cs="Times New Roman"/>
        </w:rPr>
        <w:footnoteReference w:id="164"/>
      </w:r>
    </w:p>
    <w:p w:rsidR="00455856" w:rsidRPr="00F80570" w:rsidRDefault="00455856" w:rsidP="00AF7273">
      <w:pPr>
        <w:spacing w:line="360" w:lineRule="auto"/>
        <w:jc w:val="both"/>
        <w:rPr>
          <w:rFonts w:ascii="Times New Roman" w:hAnsi="Times New Roman" w:cs="Times New Roman"/>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lastRenderedPageBreak/>
        <w:tab/>
        <w:t xml:space="preserve">In 2015, Syria requested assistance from Russia and Iran also in the fight against ISIS, which occupied large parts of </w:t>
      </w:r>
      <w:r w:rsidRPr="00AD0F6C">
        <w:rPr>
          <w:rFonts w:ascii="Times New Roman" w:hAnsi="Times New Roman" w:cs="Times New Roman"/>
          <w:lang w:val="en-US"/>
        </w:rPr>
        <w:t>north and eastern Syria</w:t>
      </w:r>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165"/>
      </w:r>
      <w:r w:rsidRPr="00F80570">
        <w:rPr>
          <w:rFonts w:ascii="Times New Roman" w:hAnsi="Times New Roman" w:cs="Times New Roman"/>
          <w:lang w:val="en-US"/>
        </w:rPr>
        <w:t xml:space="preserve"> Russia informed the President of the UNSC that: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left="720"/>
        <w:jc w:val="both"/>
        <w:rPr>
          <w:rFonts w:ascii="Times New Roman" w:hAnsi="Times New Roman" w:cs="Times New Roman"/>
        </w:rPr>
      </w:pPr>
      <w:r w:rsidRPr="00F80570">
        <w:rPr>
          <w:rFonts w:ascii="Times New Roman" w:hAnsi="Times New Roman" w:cs="Times New Roman"/>
        </w:rPr>
        <w:t>in response to a request from the President of the Syrian Arab Republic, Bashar al-</w:t>
      </w:r>
      <w:proofErr w:type="spellStart"/>
      <w:r w:rsidRPr="00F80570">
        <w:rPr>
          <w:rFonts w:ascii="Times New Roman" w:hAnsi="Times New Roman" w:cs="Times New Roman"/>
        </w:rPr>
        <w:t>Asad</w:t>
      </w:r>
      <w:proofErr w:type="spellEnd"/>
      <w:r w:rsidRPr="00F80570">
        <w:rPr>
          <w:rFonts w:ascii="Times New Roman" w:hAnsi="Times New Roman" w:cs="Times New Roman"/>
        </w:rPr>
        <w:t>, to provide military assistance in combating the terrorist group Islamic State in Iraq and the Levant (ISIL) and other terrorist groups operating in Syria, the Russian Federation began launching air and missile strikes against the assets of terrorist formations in the territory of the Syrian Arab Republic on 30 September 2015.</w:t>
      </w:r>
      <w:r w:rsidRPr="00F80570">
        <w:rPr>
          <w:rStyle w:val="FootnoteReference"/>
          <w:rFonts w:ascii="Times New Roman" w:hAnsi="Times New Roman" w:cs="Times New Roman"/>
          <w:lang w:val="en-US"/>
        </w:rPr>
        <w:footnoteReference w:id="166"/>
      </w:r>
      <w:r w:rsidRPr="00F80570">
        <w:rPr>
          <w:rFonts w:ascii="Times New Roman" w:hAnsi="Times New Roman" w:cs="Times New Roman"/>
          <w:lang w:val="en-US"/>
        </w:rPr>
        <w:t xml:space="preserve">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rPr>
      </w:pPr>
      <w:r w:rsidRPr="00F80570">
        <w:rPr>
          <w:rFonts w:ascii="Times New Roman" w:hAnsi="Times New Roman" w:cs="Times New Roman"/>
          <w:lang w:val="en-US"/>
        </w:rPr>
        <w:t>In response to a letter by France, denouncing its military actions in Syria,</w:t>
      </w:r>
      <w:r w:rsidRPr="00F80570">
        <w:rPr>
          <w:rStyle w:val="FootnoteReference"/>
          <w:rFonts w:ascii="Times New Roman" w:hAnsi="Times New Roman" w:cs="Times New Roman"/>
          <w:lang w:val="en-US"/>
        </w:rPr>
        <w:footnoteReference w:id="167"/>
      </w:r>
      <w:r w:rsidRPr="00F80570">
        <w:rPr>
          <w:rFonts w:ascii="Times New Roman" w:hAnsi="Times New Roman" w:cs="Times New Roman"/>
          <w:lang w:val="en-US"/>
        </w:rPr>
        <w:t xml:space="preserve"> Iran also informed the Council that ‘</w:t>
      </w:r>
      <w:r w:rsidRPr="00F80570">
        <w:rPr>
          <w:rFonts w:ascii="Times New Roman" w:hAnsi="Times New Roman" w:cs="Times New Roman"/>
        </w:rPr>
        <w:t>the presence of Iranian military advisers in the Syrian Arab Republic is upon the request of the legitimate Syrian Government and in order to help in fighting designated terrorist groups who are responsible for the killing of innocent people.</w:t>
      </w:r>
      <w:r w:rsidRPr="00F80570">
        <w:rPr>
          <w:rStyle w:val="FootnoteReference"/>
          <w:rFonts w:ascii="Times New Roman" w:hAnsi="Times New Roman" w:cs="Times New Roman"/>
          <w:lang w:val="en-US"/>
        </w:rPr>
        <w:footnoteReference w:id="168"/>
      </w:r>
      <w:r w:rsidRPr="00F80570">
        <w:rPr>
          <w:rFonts w:ascii="Times New Roman" w:hAnsi="Times New Roman" w:cs="Times New Roman"/>
          <w:lang w:val="en-US"/>
        </w:rPr>
        <w:t xml:space="preserve"> As with the consensual military measures in Iraq, </w:t>
      </w:r>
      <w:r>
        <w:rPr>
          <w:rFonts w:ascii="Times New Roman" w:hAnsi="Times New Roman" w:cs="Times New Roman"/>
          <w:lang w:val="en-US"/>
        </w:rPr>
        <w:t>s</w:t>
      </w:r>
      <w:r w:rsidRPr="00F80570">
        <w:rPr>
          <w:rFonts w:ascii="Times New Roman" w:hAnsi="Times New Roman" w:cs="Times New Roman"/>
          <w:lang w:val="en-US"/>
        </w:rPr>
        <w:t xml:space="preserve">tates and international </w:t>
      </w:r>
      <w:proofErr w:type="spellStart"/>
      <w:r w:rsidRPr="00F80570">
        <w:rPr>
          <w:rFonts w:ascii="Times New Roman" w:hAnsi="Times New Roman" w:cs="Times New Roman"/>
          <w:lang w:val="en-US"/>
        </w:rPr>
        <w:t>organisations</w:t>
      </w:r>
      <w:proofErr w:type="spellEnd"/>
      <w:r w:rsidRPr="00F80570">
        <w:rPr>
          <w:rFonts w:ascii="Times New Roman" w:hAnsi="Times New Roman" w:cs="Times New Roman"/>
          <w:lang w:val="en-US"/>
        </w:rPr>
        <w:t xml:space="preserve"> did not challenge these actions.</w:t>
      </w:r>
      <w:r w:rsidRPr="00F80570">
        <w:rPr>
          <w:rStyle w:val="FootnoteReference"/>
          <w:rFonts w:ascii="Times New Roman" w:hAnsi="Times New Roman" w:cs="Times New Roman"/>
          <w:lang w:val="en-US"/>
        </w:rPr>
        <w:footnoteReference w:id="169"/>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i/>
          <w:iCs/>
          <w:lang w:val="en-US"/>
        </w:rPr>
      </w:pPr>
      <w:r w:rsidRPr="00F80570">
        <w:rPr>
          <w:rFonts w:ascii="Times New Roman" w:hAnsi="Times New Roman" w:cs="Times New Roman"/>
          <w:i/>
          <w:iCs/>
          <w:lang w:val="en-US"/>
        </w:rPr>
        <w:t>Yemen</w:t>
      </w:r>
    </w:p>
    <w:p w:rsidR="00455856" w:rsidRPr="00F80570" w:rsidRDefault="00455856" w:rsidP="00AF7273">
      <w:pPr>
        <w:spacing w:line="360" w:lineRule="auto"/>
        <w:jc w:val="both"/>
        <w:rPr>
          <w:rFonts w:ascii="Times New Roman" w:hAnsi="Times New Roman" w:cs="Times New Roman"/>
        </w:rPr>
      </w:pPr>
      <w:r w:rsidRPr="00F80570">
        <w:rPr>
          <w:rFonts w:ascii="Times New Roman" w:hAnsi="Times New Roman" w:cs="Times New Roman"/>
          <w:lang w:val="en-US"/>
        </w:rPr>
        <w:t xml:space="preserve">In March of that same year, </w:t>
      </w:r>
      <w:r w:rsidRPr="00F80570">
        <w:rPr>
          <w:rFonts w:ascii="Times New Roman" w:hAnsi="Times New Roman" w:cs="Times New Roman"/>
        </w:rPr>
        <w:t xml:space="preserve">the Houthis had seized control of territory in the north of Yemen and eventually captured its capital, Sanaa, forcing President </w:t>
      </w:r>
      <w:proofErr w:type="spellStart"/>
      <w:r w:rsidRPr="00F80570">
        <w:rPr>
          <w:rFonts w:ascii="Times New Roman" w:hAnsi="Times New Roman" w:cs="Times New Roman"/>
        </w:rPr>
        <w:t>Hadi</w:t>
      </w:r>
      <w:proofErr w:type="spellEnd"/>
      <w:r w:rsidRPr="00F80570">
        <w:rPr>
          <w:rFonts w:ascii="Times New Roman" w:hAnsi="Times New Roman" w:cs="Times New Roman"/>
        </w:rPr>
        <w:t xml:space="preserve"> into exile. In March of 2015, </w:t>
      </w:r>
      <w:proofErr w:type="spellStart"/>
      <w:r w:rsidRPr="00F80570">
        <w:rPr>
          <w:rFonts w:ascii="Times New Roman" w:hAnsi="Times New Roman" w:cs="Times New Roman"/>
          <w:lang w:val="en-US"/>
        </w:rPr>
        <w:t>Mr</w:t>
      </w:r>
      <w:proofErr w:type="spellEnd"/>
      <w:r w:rsidRPr="00F80570">
        <w:rPr>
          <w:rFonts w:ascii="Times New Roman" w:hAnsi="Times New Roman" w:cs="Times New Roman"/>
          <w:lang w:val="en-US"/>
        </w:rPr>
        <w:t xml:space="preserve"> </w:t>
      </w:r>
      <w:proofErr w:type="spellStart"/>
      <w:r w:rsidRPr="00F80570">
        <w:rPr>
          <w:rFonts w:ascii="Times New Roman" w:hAnsi="Times New Roman" w:cs="Times New Roman"/>
          <w:lang w:val="en-US"/>
        </w:rPr>
        <w:t>Hadi</w:t>
      </w:r>
      <w:proofErr w:type="spellEnd"/>
      <w:r w:rsidRPr="00F80570">
        <w:rPr>
          <w:rFonts w:ascii="Times New Roman" w:hAnsi="Times New Roman" w:cs="Times New Roman"/>
          <w:lang w:val="en-US"/>
        </w:rPr>
        <w:t>, requested military assistance to fight the Houthi insurgency in a letter sent to the Gulf Cooperation Council.</w:t>
      </w:r>
      <w:r w:rsidRPr="00F80570">
        <w:rPr>
          <w:rStyle w:val="FootnoteReference"/>
          <w:rFonts w:ascii="Times New Roman" w:hAnsi="Times New Roman" w:cs="Times New Roman"/>
          <w:lang w:val="en-US"/>
        </w:rPr>
        <w:footnoteReference w:id="170"/>
      </w:r>
      <w:r w:rsidRPr="00F80570">
        <w:rPr>
          <w:rFonts w:ascii="Times New Roman" w:hAnsi="Times New Roman" w:cs="Times New Roman"/>
        </w:rPr>
        <w:t xml:space="preserve"> </w:t>
      </w:r>
      <w:r w:rsidRPr="00F80570">
        <w:rPr>
          <w:rFonts w:ascii="Times New Roman" w:hAnsi="Times New Roman" w:cs="Times New Roman"/>
          <w:lang w:val="en-US"/>
        </w:rPr>
        <w:t>In response, Operation ‘Decisive Storm’ was launched to ‘protect the people of Yemen and its legitimate government from a takeover by the Houthis’.</w:t>
      </w:r>
      <w:r w:rsidRPr="00F80570">
        <w:rPr>
          <w:rStyle w:val="FootnoteReference"/>
          <w:rFonts w:ascii="Times New Roman" w:hAnsi="Times New Roman" w:cs="Times New Roman"/>
          <w:lang w:val="en-US"/>
        </w:rPr>
        <w:footnoteReference w:id="171"/>
      </w:r>
      <w:r w:rsidRPr="00F80570">
        <w:rPr>
          <w:rFonts w:ascii="Times New Roman" w:hAnsi="Times New Roman" w:cs="Times New Roman"/>
          <w:lang w:val="en-US"/>
        </w:rPr>
        <w:t xml:space="preserve"> Led by </w:t>
      </w:r>
      <w:r w:rsidRPr="00F80570">
        <w:rPr>
          <w:rFonts w:ascii="Times New Roman" w:hAnsi="Times New Roman" w:cs="Times New Roman"/>
          <w:lang w:val="en-US"/>
        </w:rPr>
        <w:lastRenderedPageBreak/>
        <w:t>Saudi Arabia, the operation received support from several GCC and Arab States.</w:t>
      </w:r>
      <w:r w:rsidRPr="00F80570">
        <w:rPr>
          <w:rStyle w:val="FootnoteReference"/>
          <w:rFonts w:ascii="Times New Roman" w:hAnsi="Times New Roman" w:cs="Times New Roman"/>
          <w:lang w:val="en-US"/>
        </w:rPr>
        <w:footnoteReference w:id="172"/>
      </w:r>
      <w:r w:rsidRPr="00F80570">
        <w:rPr>
          <w:rFonts w:ascii="Times New Roman" w:hAnsi="Times New Roman" w:cs="Times New Roman"/>
          <w:lang w:val="en-US"/>
        </w:rPr>
        <w:t xml:space="preserve"> Saudi Arabia, the UAE, Bahrain, Qatar and Kuwait explained, in a joint letter to the President of the UNSC, that they had ‘decided to respond to President </w:t>
      </w:r>
      <w:proofErr w:type="spellStart"/>
      <w:r w:rsidRPr="00F80570">
        <w:rPr>
          <w:rFonts w:ascii="Times New Roman" w:hAnsi="Times New Roman" w:cs="Times New Roman"/>
          <w:lang w:val="en-US"/>
        </w:rPr>
        <w:t>Hadi’s</w:t>
      </w:r>
      <w:proofErr w:type="spellEnd"/>
      <w:r w:rsidRPr="00F80570">
        <w:rPr>
          <w:rFonts w:ascii="Times New Roman" w:hAnsi="Times New Roman" w:cs="Times New Roman"/>
          <w:lang w:val="en-US"/>
        </w:rPr>
        <w:t xml:space="preserve"> appeal to protect Yemen and its great people from the aggression of the Houthi militias’.</w:t>
      </w:r>
      <w:r w:rsidRPr="00F80570">
        <w:rPr>
          <w:rStyle w:val="FootnoteReference"/>
          <w:rFonts w:ascii="Times New Roman" w:hAnsi="Times New Roman" w:cs="Times New Roman"/>
          <w:lang w:val="en-US"/>
        </w:rPr>
        <w:footnoteReference w:id="173"/>
      </w:r>
      <w:r w:rsidRPr="00F80570">
        <w:rPr>
          <w:rFonts w:ascii="Times New Roman" w:hAnsi="Times New Roman" w:cs="Times New Roman"/>
          <w:lang w:val="en-US"/>
        </w:rPr>
        <w:t xml:space="preserve"> Other States assisted in the GCC-led operations. Among others, the US, which provided logistical and intelligence support, stated that the GCC’s military action was made ‘</w:t>
      </w:r>
      <w:r w:rsidRPr="00F80570">
        <w:rPr>
          <w:rFonts w:ascii="Times New Roman" w:hAnsi="Times New Roman" w:cs="Times New Roman"/>
        </w:rPr>
        <w:t xml:space="preserve">at the request of Yemeni President Abdo </w:t>
      </w:r>
      <w:proofErr w:type="spellStart"/>
      <w:r w:rsidRPr="00F80570">
        <w:rPr>
          <w:rFonts w:ascii="Times New Roman" w:hAnsi="Times New Roman" w:cs="Times New Roman"/>
        </w:rPr>
        <w:t>Rabbo</w:t>
      </w:r>
      <w:proofErr w:type="spellEnd"/>
      <w:r w:rsidRPr="00F80570">
        <w:rPr>
          <w:rFonts w:ascii="Times New Roman" w:hAnsi="Times New Roman" w:cs="Times New Roman"/>
        </w:rPr>
        <w:t xml:space="preserve"> Mansour </w:t>
      </w:r>
      <w:proofErr w:type="spellStart"/>
      <w:r w:rsidRPr="00F80570">
        <w:rPr>
          <w:rFonts w:ascii="Times New Roman" w:hAnsi="Times New Roman" w:cs="Times New Roman"/>
        </w:rPr>
        <w:t>Hadi</w:t>
      </w:r>
      <w:proofErr w:type="spellEnd"/>
      <w:r w:rsidRPr="00F80570">
        <w:rPr>
          <w:rFonts w:ascii="Times New Roman" w:hAnsi="Times New Roman" w:cs="Times New Roman"/>
        </w:rPr>
        <w:t>’.</w:t>
      </w:r>
      <w:r w:rsidRPr="00F80570">
        <w:rPr>
          <w:rStyle w:val="FootnoteReference"/>
          <w:rFonts w:ascii="Times New Roman" w:hAnsi="Times New Roman" w:cs="Times New Roman"/>
        </w:rPr>
        <w:footnoteReference w:id="174"/>
      </w:r>
      <w:r w:rsidRPr="00F80570">
        <w:rPr>
          <w:rFonts w:ascii="Times New Roman" w:hAnsi="Times New Roman" w:cs="Times New Roman"/>
        </w:rPr>
        <w:t xml:space="preserve"> Likewise, France clarified that military operations in Yemen had been carried out ‘in response to the request by the legitimate authorities of Yemen’.</w:t>
      </w:r>
      <w:r w:rsidRPr="00F80570">
        <w:rPr>
          <w:rStyle w:val="FootnoteReference"/>
          <w:rFonts w:ascii="Times New Roman" w:hAnsi="Times New Roman" w:cs="Times New Roman"/>
        </w:rPr>
        <w:footnoteReference w:id="175"/>
      </w:r>
      <w:r w:rsidRPr="00F80570">
        <w:rPr>
          <w:rFonts w:ascii="Times New Roman" w:hAnsi="Times New Roman" w:cs="Times New Roman"/>
        </w:rPr>
        <w:t xml:space="preserve"> Canada made a similar statement.</w:t>
      </w:r>
      <w:r w:rsidRPr="00F80570">
        <w:rPr>
          <w:rStyle w:val="FootnoteReference"/>
          <w:rFonts w:ascii="Times New Roman" w:hAnsi="Times New Roman" w:cs="Times New Roman"/>
        </w:rPr>
        <w:footnoteReference w:id="176"/>
      </w:r>
      <w:r w:rsidRPr="00F80570">
        <w:rPr>
          <w:rFonts w:ascii="Times New Roman" w:hAnsi="Times New Roman" w:cs="Times New Roman"/>
        </w:rPr>
        <w:t xml:space="preserve"> The UK also provided logistical and other support to Saudi Arabia in relation to the GCC operation,</w:t>
      </w:r>
      <w:r w:rsidRPr="00F80570">
        <w:rPr>
          <w:rStyle w:val="FootnoteReference"/>
          <w:rFonts w:ascii="Times New Roman" w:hAnsi="Times New Roman" w:cs="Times New Roman"/>
        </w:rPr>
        <w:footnoteReference w:id="177"/>
      </w:r>
      <w:r w:rsidRPr="00F80570">
        <w:rPr>
          <w:rFonts w:ascii="Times New Roman" w:hAnsi="Times New Roman" w:cs="Times New Roman"/>
        </w:rPr>
        <w:t xml:space="preserve"> explaining that this had been done ‘through pre-existing arrangements’</w:t>
      </w:r>
      <w:r w:rsidRPr="00F80570">
        <w:rPr>
          <w:rStyle w:val="FootnoteReference"/>
          <w:rFonts w:ascii="Times New Roman" w:hAnsi="Times New Roman" w:cs="Times New Roman"/>
        </w:rPr>
        <w:footnoteReference w:id="178"/>
      </w:r>
      <w:r w:rsidRPr="00F80570">
        <w:rPr>
          <w:rFonts w:ascii="Times New Roman" w:hAnsi="Times New Roman" w:cs="Times New Roman"/>
        </w:rPr>
        <w:t xml:space="preserve"> and that ‘it was right to do everything possible to deter Houthi aggression, to support President </w:t>
      </w:r>
      <w:proofErr w:type="spellStart"/>
      <w:r w:rsidRPr="00F80570">
        <w:rPr>
          <w:rFonts w:ascii="Times New Roman" w:hAnsi="Times New Roman" w:cs="Times New Roman"/>
        </w:rPr>
        <w:t>Hadi</w:t>
      </w:r>
      <w:proofErr w:type="spellEnd"/>
      <w:r w:rsidRPr="00F80570">
        <w:rPr>
          <w:rFonts w:ascii="Times New Roman" w:hAnsi="Times New Roman" w:cs="Times New Roman"/>
        </w:rPr>
        <w:t xml:space="preserve"> and his legitimate government.’</w:t>
      </w:r>
      <w:r w:rsidRPr="00F80570">
        <w:rPr>
          <w:rStyle w:val="FootnoteReference"/>
          <w:rFonts w:ascii="Times New Roman" w:hAnsi="Times New Roman" w:cs="Times New Roman"/>
        </w:rPr>
        <w:footnoteReference w:id="179"/>
      </w:r>
    </w:p>
    <w:p w:rsidR="00455856" w:rsidRPr="00F80570" w:rsidRDefault="00455856" w:rsidP="00AF7273">
      <w:pPr>
        <w:spacing w:line="360" w:lineRule="auto"/>
        <w:jc w:val="both"/>
        <w:rPr>
          <w:rFonts w:ascii="Times New Roman" w:hAnsi="Times New Roman" w:cs="Times New Roman"/>
        </w:rPr>
      </w:pPr>
    </w:p>
    <w:p w:rsidR="00455856" w:rsidRPr="00F80570" w:rsidRDefault="00455856" w:rsidP="00AF7273">
      <w:pPr>
        <w:spacing w:line="360" w:lineRule="auto"/>
        <w:ind w:firstLine="720"/>
        <w:jc w:val="both"/>
        <w:rPr>
          <w:rFonts w:ascii="Times New Roman" w:hAnsi="Times New Roman" w:cs="Times New Roman"/>
        </w:rPr>
      </w:pPr>
      <w:r w:rsidRPr="00F80570">
        <w:rPr>
          <w:rFonts w:ascii="Times New Roman" w:hAnsi="Times New Roman" w:cs="Times New Roman"/>
          <w:lang w:val="en-US"/>
        </w:rPr>
        <w:t xml:space="preserve">The operation was ‘in large part lauded or, at least, acquiesced in’ by other States and international </w:t>
      </w:r>
      <w:proofErr w:type="spellStart"/>
      <w:r w:rsidRPr="00F80570">
        <w:rPr>
          <w:rFonts w:ascii="Times New Roman" w:hAnsi="Times New Roman" w:cs="Times New Roman"/>
          <w:lang w:val="en-US"/>
        </w:rPr>
        <w:t>organisations</w:t>
      </w:r>
      <w:proofErr w:type="spellEnd"/>
      <w:r w:rsidRPr="00F80570">
        <w:rPr>
          <w:rFonts w:ascii="Times New Roman" w:hAnsi="Times New Roman" w:cs="Times New Roman"/>
          <w:lang w:val="en-US"/>
        </w:rPr>
        <w:t>.</w:t>
      </w:r>
      <w:r w:rsidRPr="00F80570">
        <w:rPr>
          <w:rStyle w:val="FootnoteReference"/>
          <w:rFonts w:ascii="Times New Roman" w:hAnsi="Times New Roman" w:cs="Times New Roman"/>
          <w:lang w:val="en-US"/>
        </w:rPr>
        <w:footnoteReference w:id="180"/>
      </w:r>
      <w:r w:rsidRPr="00F80570">
        <w:rPr>
          <w:rFonts w:ascii="Times New Roman" w:hAnsi="Times New Roman" w:cs="Times New Roman"/>
          <w:lang w:val="en-US"/>
        </w:rPr>
        <w:t xml:space="preserve"> However, many actors, including China,</w:t>
      </w:r>
      <w:r w:rsidRPr="00F80570">
        <w:rPr>
          <w:rStyle w:val="FootnoteReference"/>
          <w:rFonts w:ascii="Times New Roman" w:hAnsi="Times New Roman" w:cs="Times New Roman"/>
          <w:lang w:val="en-US"/>
        </w:rPr>
        <w:footnoteReference w:id="181"/>
      </w:r>
      <w:r w:rsidRPr="00F80570">
        <w:rPr>
          <w:rFonts w:ascii="Times New Roman" w:hAnsi="Times New Roman" w:cs="Times New Roman"/>
          <w:lang w:val="en-US"/>
        </w:rPr>
        <w:t xml:space="preserve"> the EU</w:t>
      </w:r>
      <w:r w:rsidRPr="00F80570">
        <w:rPr>
          <w:rStyle w:val="FootnoteReference"/>
          <w:rFonts w:ascii="Times New Roman" w:hAnsi="Times New Roman" w:cs="Times New Roman"/>
          <w:lang w:val="en-US"/>
        </w:rPr>
        <w:footnoteReference w:id="182"/>
      </w:r>
      <w:r w:rsidRPr="00F80570">
        <w:rPr>
          <w:rFonts w:ascii="Times New Roman" w:hAnsi="Times New Roman" w:cs="Times New Roman"/>
          <w:lang w:val="en-US"/>
        </w:rPr>
        <w:t xml:space="preserve"> and the UN Secretary-General</w:t>
      </w:r>
      <w:r w:rsidRPr="00F80570">
        <w:rPr>
          <w:rStyle w:val="FootnoteReference"/>
          <w:rFonts w:ascii="Times New Roman" w:hAnsi="Times New Roman" w:cs="Times New Roman"/>
          <w:lang w:val="en-US"/>
        </w:rPr>
        <w:footnoteReference w:id="183"/>
      </w:r>
      <w:r w:rsidRPr="00F80570">
        <w:rPr>
          <w:rFonts w:ascii="Times New Roman" w:hAnsi="Times New Roman" w:cs="Times New Roman"/>
          <w:lang w:val="en-US"/>
        </w:rPr>
        <w:t xml:space="preserve"> noted that military action was not a solution, and called for continuing diplomatic dialogue.</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i/>
          <w:iCs/>
          <w:lang w:val="en-US"/>
        </w:rPr>
      </w:pPr>
      <w:r w:rsidRPr="00F80570">
        <w:rPr>
          <w:rFonts w:ascii="Times New Roman" w:hAnsi="Times New Roman" w:cs="Times New Roman"/>
          <w:i/>
          <w:iCs/>
          <w:lang w:val="en-US"/>
        </w:rPr>
        <w:t>The Gambia</w:t>
      </w: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ECOWAS launched ‘Operation Restore Democracy’ in the Gambia in 2017, at the request of President-elect </w:t>
      </w:r>
      <w:proofErr w:type="spellStart"/>
      <w:r w:rsidRPr="00F80570">
        <w:rPr>
          <w:rFonts w:ascii="Times New Roman" w:hAnsi="Times New Roman" w:cs="Times New Roman"/>
          <w:lang w:val="en-US"/>
        </w:rPr>
        <w:t>Adama</w:t>
      </w:r>
      <w:proofErr w:type="spellEnd"/>
      <w:r w:rsidRPr="00F80570">
        <w:rPr>
          <w:rFonts w:ascii="Times New Roman" w:hAnsi="Times New Roman" w:cs="Times New Roman"/>
          <w:lang w:val="en-US"/>
        </w:rPr>
        <w:t xml:space="preserve"> Barrow. President Barrow had won elections in 2016, but outgoing President Yahya Jammeh had refused to relinquish power. The operation did not involve actual hostilities and was short-lived, for diplomatic efforts by ECOWAS and other local actors ultimately succeeded in removing Jammeh from power. The operation did threaten the use of force, and there was some movement of troops along the Gambian border. Senegal justified ECOWAS’s intervention during a UNSC meeting on the basis of </w:t>
      </w:r>
      <w:r w:rsidRPr="00F80570">
        <w:rPr>
          <w:rFonts w:ascii="Times New Roman" w:hAnsi="Times New Roman" w:cs="Times New Roman"/>
        </w:rPr>
        <w:t xml:space="preserve">‘the appeal made … by President </w:t>
      </w:r>
      <w:proofErr w:type="spellStart"/>
      <w:r w:rsidRPr="00F80570">
        <w:rPr>
          <w:rFonts w:ascii="Times New Roman" w:hAnsi="Times New Roman" w:cs="Times New Roman"/>
        </w:rPr>
        <w:t>Adama</w:t>
      </w:r>
      <w:proofErr w:type="spellEnd"/>
      <w:r w:rsidRPr="00F80570">
        <w:rPr>
          <w:rFonts w:ascii="Times New Roman" w:hAnsi="Times New Roman" w:cs="Times New Roman"/>
        </w:rPr>
        <w:t xml:space="preserve"> Barrow to the international community, and in particular ECOWAS’.</w:t>
      </w:r>
      <w:r w:rsidRPr="00F80570">
        <w:rPr>
          <w:rStyle w:val="FootnoteReference"/>
          <w:rFonts w:ascii="Times New Roman" w:hAnsi="Times New Roman" w:cs="Times New Roman"/>
          <w:lang w:val="en-US"/>
        </w:rPr>
        <w:footnoteReference w:id="184"/>
      </w:r>
      <w:r w:rsidRPr="00F80570">
        <w:rPr>
          <w:rFonts w:ascii="Times New Roman" w:hAnsi="Times New Roman" w:cs="Times New Roman"/>
        </w:rPr>
        <w:t xml:space="preserve"> The legality of this intervention has been contested, given that Barrow’s authority to consent (and when he acquired this authority) was doubtful while he remained in exile and had no effective control of the Gambia.</w:t>
      </w:r>
      <w:r w:rsidRPr="00F80570">
        <w:rPr>
          <w:rStyle w:val="FootnoteReference"/>
          <w:rFonts w:ascii="Times New Roman" w:hAnsi="Times New Roman" w:cs="Times New Roman"/>
        </w:rPr>
        <w:footnoteReference w:id="185"/>
      </w:r>
      <w:r w:rsidRPr="00F80570">
        <w:rPr>
          <w:rFonts w:ascii="Times New Roman" w:hAnsi="Times New Roman" w:cs="Times New Roman"/>
        </w:rPr>
        <w:t xml:space="preserve"> There was no overt criticism of the action, although a few </w:t>
      </w:r>
      <w:r>
        <w:rPr>
          <w:rFonts w:ascii="Times New Roman" w:hAnsi="Times New Roman" w:cs="Times New Roman"/>
        </w:rPr>
        <w:t>s</w:t>
      </w:r>
      <w:r w:rsidRPr="00F80570">
        <w:rPr>
          <w:rFonts w:ascii="Times New Roman" w:hAnsi="Times New Roman" w:cs="Times New Roman"/>
        </w:rPr>
        <w:t>tates expressed concern about the use of force to resolve the situation,</w:t>
      </w:r>
      <w:r w:rsidRPr="00F80570">
        <w:rPr>
          <w:rStyle w:val="FootnoteReference"/>
          <w:rFonts w:ascii="Times New Roman" w:hAnsi="Times New Roman" w:cs="Times New Roman"/>
        </w:rPr>
        <w:footnoteReference w:id="186"/>
      </w:r>
      <w:r w:rsidRPr="00F80570">
        <w:rPr>
          <w:rFonts w:ascii="Times New Roman" w:hAnsi="Times New Roman" w:cs="Times New Roman"/>
        </w:rPr>
        <w:t xml:space="preserve"> and noted the need to exhaust peaceful means.</w:t>
      </w:r>
      <w:r w:rsidRPr="00F80570">
        <w:rPr>
          <w:rStyle w:val="FootnoteReference"/>
          <w:rFonts w:ascii="Times New Roman" w:hAnsi="Times New Roman" w:cs="Times New Roman"/>
        </w:rPr>
        <w:footnoteReference w:id="187"/>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56618C">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As this review shows, since 2001, in nearly all cases of intervention by invitation, </w:t>
      </w:r>
      <w:r>
        <w:rPr>
          <w:rFonts w:ascii="Times New Roman" w:hAnsi="Times New Roman" w:cs="Times New Roman"/>
          <w:lang w:val="en-US"/>
        </w:rPr>
        <w:t>s</w:t>
      </w:r>
      <w:r w:rsidRPr="00F80570">
        <w:rPr>
          <w:rFonts w:ascii="Times New Roman" w:hAnsi="Times New Roman" w:cs="Times New Roman"/>
          <w:lang w:val="en-US"/>
        </w:rPr>
        <w:t xml:space="preserve">tates have provided justifications for their use of force in the territory of the consenting </w:t>
      </w:r>
      <w:r>
        <w:rPr>
          <w:rFonts w:ascii="Times New Roman" w:hAnsi="Times New Roman" w:cs="Times New Roman"/>
          <w:lang w:val="en-US"/>
        </w:rPr>
        <w:t>s</w:t>
      </w:r>
      <w:r w:rsidRPr="00F80570">
        <w:rPr>
          <w:rFonts w:ascii="Times New Roman" w:hAnsi="Times New Roman" w:cs="Times New Roman"/>
          <w:lang w:val="en-US"/>
        </w:rPr>
        <w:t xml:space="preserve">tate. Out of eight cases noted above, intervening States justified their intervention on the basis of consent in at least seven cases. This was the case </w:t>
      </w:r>
      <w:r w:rsidRPr="00F80570">
        <w:rPr>
          <w:rFonts w:ascii="Times New Roman" w:hAnsi="Times New Roman" w:cs="Times New Roman"/>
          <w:i/>
          <w:lang w:val="en-US"/>
        </w:rPr>
        <w:t>even</w:t>
      </w:r>
      <w:r w:rsidRPr="00F80570">
        <w:rPr>
          <w:rFonts w:ascii="Times New Roman" w:hAnsi="Times New Roman" w:cs="Times New Roman"/>
          <w:lang w:val="en-US"/>
        </w:rPr>
        <w:t xml:space="preserve"> where the consent of the territorial </w:t>
      </w:r>
      <w:r>
        <w:rPr>
          <w:rFonts w:ascii="Times New Roman" w:hAnsi="Times New Roman" w:cs="Times New Roman"/>
          <w:lang w:val="en-US"/>
        </w:rPr>
        <w:t>s</w:t>
      </w:r>
      <w:r w:rsidRPr="00F80570">
        <w:rPr>
          <w:rFonts w:ascii="Times New Roman" w:hAnsi="Times New Roman" w:cs="Times New Roman"/>
          <w:lang w:val="en-US"/>
        </w:rPr>
        <w:t xml:space="preserve">tate was not in doubt, and when the operations received wide support (like in Mali and Iraq). Where justification was not offered by the intervening </w:t>
      </w:r>
      <w:r>
        <w:rPr>
          <w:rFonts w:ascii="Times New Roman" w:hAnsi="Times New Roman" w:cs="Times New Roman"/>
          <w:lang w:val="en-US"/>
        </w:rPr>
        <w:t>s</w:t>
      </w:r>
      <w:r w:rsidRPr="00F80570">
        <w:rPr>
          <w:rFonts w:ascii="Times New Roman" w:hAnsi="Times New Roman" w:cs="Times New Roman"/>
          <w:lang w:val="en-US"/>
        </w:rPr>
        <w:t xml:space="preserve">tate, the question of justification was addressed by other relevant actors (as in the case of Ethiopia’s intervention in Somalia). </w:t>
      </w:r>
      <w:r w:rsidR="00C769E3">
        <w:rPr>
          <w:rFonts w:ascii="Times New Roman" w:hAnsi="Times New Roman" w:cs="Times New Roman"/>
          <w:lang w:val="en-US"/>
        </w:rPr>
        <w:t>C</w:t>
      </w:r>
      <w:r w:rsidR="00C769E3" w:rsidRPr="00F80570">
        <w:rPr>
          <w:rFonts w:ascii="Times New Roman" w:hAnsi="Times New Roman" w:cs="Times New Roman"/>
          <w:lang w:val="en-US"/>
        </w:rPr>
        <w:t>ontrary to the implication of the mainstream view – that consented to acts need no justification –</w:t>
      </w:r>
      <w:r w:rsidR="00C769E3">
        <w:rPr>
          <w:rFonts w:ascii="Times New Roman" w:hAnsi="Times New Roman" w:cs="Times New Roman"/>
          <w:lang w:val="en-US"/>
        </w:rPr>
        <w:t xml:space="preserve"> t</w:t>
      </w:r>
      <w:r w:rsidR="00C769E3" w:rsidRPr="00F80570">
        <w:rPr>
          <w:rFonts w:ascii="Times New Roman" w:hAnsi="Times New Roman" w:cs="Times New Roman"/>
          <w:lang w:val="en-US"/>
        </w:rPr>
        <w:t xml:space="preserve">he practice of </w:t>
      </w:r>
      <w:r w:rsidR="00C769E3">
        <w:rPr>
          <w:rFonts w:ascii="Times New Roman" w:hAnsi="Times New Roman" w:cs="Times New Roman"/>
          <w:lang w:val="en-US"/>
        </w:rPr>
        <w:t>s</w:t>
      </w:r>
      <w:r w:rsidR="00C769E3" w:rsidRPr="00F80570">
        <w:rPr>
          <w:rFonts w:ascii="Times New Roman" w:hAnsi="Times New Roman" w:cs="Times New Roman"/>
          <w:lang w:val="en-US"/>
        </w:rPr>
        <w:t>tates on justification of consensual interventions provide some support for the extrinsic model.</w:t>
      </w:r>
      <w:r w:rsidR="00095D02" w:rsidRPr="00095D02">
        <w:rPr>
          <w:rFonts w:ascii="Times New Roman" w:hAnsi="Times New Roman" w:cs="Times New Roman"/>
          <w:lang w:val="en-US"/>
        </w:rPr>
        <w:t xml:space="preserve"> </w:t>
      </w:r>
      <w:r w:rsidR="00095D02">
        <w:rPr>
          <w:rFonts w:ascii="Times New Roman" w:hAnsi="Times New Roman" w:cs="Times New Roman"/>
          <w:lang w:val="en-US"/>
        </w:rPr>
        <w:t xml:space="preserve">Indeed if, as Gardner has noted, </w:t>
      </w:r>
      <w:r w:rsidR="0056618C">
        <w:rPr>
          <w:rFonts w:ascii="Times New Roman" w:hAnsi="Times New Roman" w:cs="Times New Roman"/>
          <w:lang w:val="en-US"/>
        </w:rPr>
        <w:t>justification is called for when one has a reason not to act as one does, then it is telling that states choose to justify their uses of consensual force. T</w:t>
      </w:r>
      <w:r w:rsidR="00C769E3">
        <w:rPr>
          <w:rFonts w:ascii="Times New Roman" w:hAnsi="Times New Roman" w:cs="Times New Roman"/>
          <w:lang w:val="en-US"/>
        </w:rPr>
        <w:t xml:space="preserve">his </w:t>
      </w:r>
      <w:r w:rsidR="00C769E3">
        <w:rPr>
          <w:rFonts w:ascii="Times New Roman" w:hAnsi="Times New Roman" w:cs="Times New Roman"/>
          <w:lang w:val="en-US"/>
        </w:rPr>
        <w:lastRenderedPageBreak/>
        <w:t>practice suggests that f</w:t>
      </w:r>
      <w:r w:rsidRPr="00F80570">
        <w:rPr>
          <w:rFonts w:ascii="Times New Roman" w:hAnsi="Times New Roman" w:cs="Times New Roman"/>
          <w:lang w:val="en-US"/>
        </w:rPr>
        <w:t xml:space="preserve">ar from being </w:t>
      </w:r>
      <w:r w:rsidRPr="00F80570">
        <w:rPr>
          <w:rFonts w:ascii="Times New Roman" w:hAnsi="Times New Roman" w:cs="Times New Roman"/>
          <w:i/>
          <w:iCs/>
          <w:lang w:val="en-US"/>
        </w:rPr>
        <w:t>ab initio</w:t>
      </w:r>
      <w:r w:rsidRPr="00F80570">
        <w:rPr>
          <w:rFonts w:ascii="Times New Roman" w:hAnsi="Times New Roman" w:cs="Times New Roman"/>
          <w:lang w:val="en-US"/>
        </w:rPr>
        <w:t xml:space="preserve"> or perfectly lawful, and thus requiring no justification, </w:t>
      </w:r>
      <w:r w:rsidR="00C769E3">
        <w:rPr>
          <w:rFonts w:ascii="Times New Roman" w:hAnsi="Times New Roman" w:cs="Times New Roman"/>
          <w:lang w:val="en-US"/>
        </w:rPr>
        <w:t xml:space="preserve">states view the </w:t>
      </w:r>
      <w:r w:rsidRPr="00F80570">
        <w:rPr>
          <w:rFonts w:ascii="Times New Roman" w:hAnsi="Times New Roman" w:cs="Times New Roman"/>
          <w:lang w:val="en-US"/>
        </w:rPr>
        <w:t xml:space="preserve">use of consensual force </w:t>
      </w:r>
      <w:r w:rsidR="00C769E3">
        <w:rPr>
          <w:rFonts w:ascii="Times New Roman" w:hAnsi="Times New Roman" w:cs="Times New Roman"/>
          <w:lang w:val="en-US"/>
        </w:rPr>
        <w:t>a</w:t>
      </w:r>
      <w:r w:rsidRPr="00F80570">
        <w:rPr>
          <w:rFonts w:ascii="Times New Roman" w:hAnsi="Times New Roman" w:cs="Times New Roman"/>
          <w:lang w:val="en-US"/>
        </w:rPr>
        <w:t xml:space="preserve">s </w:t>
      </w:r>
      <w:r w:rsidRPr="00F80570">
        <w:rPr>
          <w:rFonts w:ascii="Times New Roman" w:hAnsi="Times New Roman" w:cs="Times New Roman"/>
          <w:i/>
          <w:iCs/>
          <w:lang w:val="en-US"/>
        </w:rPr>
        <w:t xml:space="preserve">prima facie </w:t>
      </w:r>
      <w:r w:rsidRPr="00F80570">
        <w:rPr>
          <w:rFonts w:ascii="Times New Roman" w:hAnsi="Times New Roman" w:cs="Times New Roman"/>
          <w:lang w:val="en-US"/>
        </w:rPr>
        <w:t xml:space="preserve">wrongful and </w:t>
      </w:r>
      <w:r w:rsidR="00C769E3">
        <w:rPr>
          <w:rFonts w:ascii="Times New Roman" w:hAnsi="Times New Roman" w:cs="Times New Roman"/>
          <w:lang w:val="en-US"/>
        </w:rPr>
        <w:t xml:space="preserve">thus in need of </w:t>
      </w:r>
      <w:r w:rsidRPr="00F80570">
        <w:rPr>
          <w:rFonts w:ascii="Times New Roman" w:hAnsi="Times New Roman" w:cs="Times New Roman"/>
          <w:lang w:val="en-US"/>
        </w:rPr>
        <w:t xml:space="preserve">justification. </w:t>
      </w:r>
      <w:r w:rsidR="0056618C">
        <w:rPr>
          <w:rFonts w:ascii="Times New Roman" w:hAnsi="Times New Roman" w:cs="Times New Roman"/>
          <w:lang w:val="en-US"/>
        </w:rPr>
        <w:t>After all, to quote Gardner again, ‘the unobjectionable … is in no need of justification.’</w:t>
      </w:r>
      <w:r w:rsidR="0056618C">
        <w:rPr>
          <w:rStyle w:val="FootnoteReference"/>
          <w:rFonts w:ascii="Times New Roman" w:hAnsi="Times New Roman" w:cs="Times New Roman"/>
          <w:lang w:val="en-US"/>
        </w:rPr>
        <w:footnoteReference w:id="188"/>
      </w:r>
      <w:r w:rsidR="0056618C">
        <w:rPr>
          <w:rFonts w:ascii="Times New Roman" w:hAnsi="Times New Roman" w:cs="Times New Roman"/>
          <w:lang w:val="en-US"/>
        </w:rPr>
        <w:t xml:space="preserve"> </w:t>
      </w:r>
      <w:r w:rsidRPr="00F80570">
        <w:rPr>
          <w:rFonts w:ascii="Times New Roman" w:hAnsi="Times New Roman" w:cs="Times New Roman"/>
          <w:lang w:val="en-US"/>
        </w:rPr>
        <w:t>This practice, in short, provides support for the extrinsic model.</w:t>
      </w:r>
    </w:p>
    <w:p w:rsidR="00455856" w:rsidRPr="0070747C" w:rsidRDefault="00455856" w:rsidP="00AF7273">
      <w:pPr>
        <w:pStyle w:val="Heading1"/>
        <w:numPr>
          <w:ilvl w:val="0"/>
          <w:numId w:val="11"/>
        </w:numPr>
        <w:spacing w:line="360" w:lineRule="auto"/>
        <w:rPr>
          <w:rFonts w:ascii="Times New Roman" w:hAnsi="Times New Roman" w:cs="Times New Roman"/>
          <w:sz w:val="24"/>
          <w:szCs w:val="24"/>
        </w:rPr>
      </w:pPr>
      <w:bookmarkStart w:id="24" w:name="_Toc46390741"/>
      <w:r w:rsidRPr="0070747C">
        <w:rPr>
          <w:rFonts w:ascii="Times New Roman" w:hAnsi="Times New Roman" w:cs="Times New Roman"/>
          <w:sz w:val="24"/>
          <w:szCs w:val="24"/>
        </w:rPr>
        <w:t>Textual and systemic objections to the extrinsic model</w:t>
      </w:r>
      <w:bookmarkEnd w:id="24"/>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The existence of a general reason against force directly challenges the normative argument in support of the intrinsic model. But objections to the extrinsic model can still be based on the textual and systemic arguments discussed earlier. There is some overlap between the arguments invoked in each case, as will be seen, and there may be disagreements as to the bundling of the various objections under one or the other section. For expositional clarity, however, they are best addressed as pertaining to the text of the Charter (textual objection) or to the character of the prohibition of force as peremptory (systemic objection).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pStyle w:val="Heading3"/>
        <w:ind w:left="0"/>
      </w:pPr>
      <w:bookmarkStart w:id="25" w:name="_Toc38870544"/>
      <w:bookmarkStart w:id="26" w:name="_Toc46390742"/>
      <w:bookmarkStart w:id="27" w:name="_Toc35859249"/>
      <w:r>
        <w:t xml:space="preserve">5.1. </w:t>
      </w:r>
      <w:r>
        <w:tab/>
      </w:r>
      <w:r w:rsidRPr="00F80570">
        <w:t>Textual objection: Article 103 of the Charter</w:t>
      </w:r>
      <w:bookmarkEnd w:id="25"/>
      <w:bookmarkEnd w:id="26"/>
      <w:r w:rsidRPr="00F80570">
        <w:t xml:space="preserve"> </w:t>
      </w:r>
      <w:bookmarkEnd w:id="27"/>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The textual argument in support of the intrinsic model reads the permission of consent as implicit in the wording of Charter Article 2(4). As was shown, however, the permission of consent can be anchored in the words of this provision only with some difficulty. Indeed, the language of Article 2(4) can just as easily (perhaps even more so) accommodate the extrinsic model: Article 2(4) can be read as a general ban, articulating a general reason against force based on the maintenance of international peace and security. Nevertheless, other parts of the Charter may pose a bar to the extrinsic model, making it unworkable.</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Article 103 of the Charter states that obligations arising under the Charter take precedence over other ‘</w:t>
      </w:r>
      <w:r w:rsidRPr="00F80570">
        <w:rPr>
          <w:rFonts w:ascii="Times New Roman" w:hAnsi="Times New Roman" w:cs="Times New Roman"/>
        </w:rPr>
        <w:t>obligations under any other international agreement’. While the text of this provision extends to treaty obligations only, it has been argued that it also applies by analogy to customary obligations.</w:t>
      </w:r>
      <w:r w:rsidRPr="00F80570">
        <w:rPr>
          <w:rStyle w:val="FootnoteReference"/>
          <w:rFonts w:ascii="Times New Roman" w:hAnsi="Times New Roman" w:cs="Times New Roman"/>
        </w:rPr>
        <w:footnoteReference w:id="189"/>
      </w:r>
      <w:r w:rsidRPr="00F80570">
        <w:rPr>
          <w:rFonts w:ascii="Times New Roman" w:hAnsi="Times New Roman" w:cs="Times New Roman"/>
        </w:rPr>
        <w:t xml:space="preserve"> Moreover, it is also accepted that the conflict in question may arise between a prohibition and a permission.</w:t>
      </w:r>
      <w:r w:rsidRPr="00F80570">
        <w:rPr>
          <w:rStyle w:val="FootnoteReference"/>
          <w:rFonts w:ascii="Times New Roman" w:hAnsi="Times New Roman" w:cs="Times New Roman"/>
        </w:rPr>
        <w:footnoteReference w:id="190"/>
      </w:r>
      <w:r w:rsidRPr="00F80570">
        <w:rPr>
          <w:rFonts w:ascii="Times New Roman" w:hAnsi="Times New Roman" w:cs="Times New Roman"/>
        </w:rPr>
        <w:t xml:space="preserve"> Consequently, a customary permission of consensual force would be inoperative as against a Charter prohibition of force. The extrinsic account would be precluded by the Charter itself.</w:t>
      </w:r>
    </w:p>
    <w:p w:rsidR="00455856" w:rsidRPr="00F80570" w:rsidRDefault="00455856" w:rsidP="00AF7273">
      <w:pPr>
        <w:spacing w:line="360" w:lineRule="auto"/>
        <w:jc w:val="both"/>
        <w:rPr>
          <w:rFonts w:ascii="Times New Roman" w:hAnsi="Times New Roman" w:cs="Times New Roman"/>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rPr>
        <w:t xml:space="preserve">It does not appear that Article 103 of the Charter intended to exclude reliance on the defences in the law of responsibility in respect of alleged Charter breaches. For example, the Charter guarantees the right of States to territorial integrity and political independence in Article 2(4). And yet, consent is a valid justification against a claim of breach of this right. The ICJ in </w:t>
      </w:r>
      <w:r w:rsidRPr="00F80570">
        <w:rPr>
          <w:rFonts w:ascii="Times New Roman" w:hAnsi="Times New Roman" w:cs="Times New Roman"/>
          <w:i/>
        </w:rPr>
        <w:t>DRC v Uganda</w:t>
      </w:r>
      <w:r w:rsidRPr="00F80570">
        <w:rPr>
          <w:rFonts w:ascii="Times New Roman" w:hAnsi="Times New Roman" w:cs="Times New Roman"/>
        </w:rPr>
        <w:t xml:space="preserve"> accepted that the DRC’s consent justified Uganda’s encroachment of the DRC’s sovereignty, including its political independence.</w:t>
      </w:r>
      <w:r w:rsidRPr="00F80570">
        <w:rPr>
          <w:rStyle w:val="FootnoteReference"/>
          <w:rFonts w:ascii="Times New Roman" w:hAnsi="Times New Roman" w:cs="Times New Roman"/>
        </w:rPr>
        <w:footnoteReference w:id="191"/>
      </w:r>
      <w:r w:rsidRPr="00F80570">
        <w:rPr>
          <w:rFonts w:ascii="Times New Roman" w:hAnsi="Times New Roman" w:cs="Times New Roman"/>
        </w:rPr>
        <w:t xml:space="preserve"> Likewise, self-defence in Article 21 of ARSIWA is potentially applicable to the alleged violation of these rights as well.</w:t>
      </w:r>
      <w:r w:rsidRPr="00F80570">
        <w:rPr>
          <w:rStyle w:val="FootnoteReference"/>
          <w:rFonts w:ascii="Times New Roman" w:hAnsi="Times New Roman" w:cs="Times New Roman"/>
        </w:rPr>
        <w:footnoteReference w:id="192"/>
      </w:r>
      <w:r w:rsidRPr="00F80570">
        <w:rPr>
          <w:rFonts w:ascii="Times New Roman" w:hAnsi="Times New Roman" w:cs="Times New Roman"/>
        </w:rPr>
        <w:t xml:space="preserve"> As a result, Article 103 would not pose an insurmountable obstacle to the extrinsic model of consent in respect of the prohibition of force.</w:t>
      </w:r>
    </w:p>
    <w:p w:rsidR="00455856" w:rsidRPr="00F80570" w:rsidRDefault="00455856" w:rsidP="00AF7273">
      <w:pPr>
        <w:spacing w:line="360" w:lineRule="auto"/>
        <w:rPr>
          <w:rFonts w:ascii="Times New Roman" w:hAnsi="Times New Roman" w:cs="Times New Roman"/>
          <w:lang w:val="en-US"/>
        </w:rPr>
      </w:pPr>
    </w:p>
    <w:p w:rsidR="00455856" w:rsidRPr="00F80570" w:rsidRDefault="00455856" w:rsidP="00AF7273">
      <w:pPr>
        <w:pStyle w:val="Heading3"/>
        <w:ind w:left="0"/>
      </w:pPr>
      <w:bookmarkStart w:id="28" w:name="_Toc38870545"/>
      <w:bookmarkStart w:id="29" w:name="_Toc46390743"/>
      <w:r>
        <w:t xml:space="preserve">5.2. </w:t>
      </w:r>
      <w:r>
        <w:tab/>
      </w:r>
      <w:r w:rsidRPr="00F80570">
        <w:t>Systemic objection: The question of peremptoriness</w:t>
      </w:r>
      <w:bookmarkEnd w:id="28"/>
      <w:bookmarkEnd w:id="29"/>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The extrinsic account presupposes that the prohibition of force is not a rule of </w:t>
      </w:r>
      <w:r w:rsidRPr="00F80570">
        <w:rPr>
          <w:rFonts w:ascii="Times New Roman" w:hAnsi="Times New Roman" w:cs="Times New Roman"/>
          <w:i/>
          <w:iCs/>
          <w:lang w:val="en-US"/>
        </w:rPr>
        <w:t>jus cogens</w:t>
      </w:r>
      <w:r w:rsidRPr="00F80570">
        <w:rPr>
          <w:rFonts w:ascii="Times New Roman" w:hAnsi="Times New Roman" w:cs="Times New Roman"/>
          <w:lang w:val="en-US"/>
        </w:rPr>
        <w:t xml:space="preserve">. As noted earlier, </w:t>
      </w:r>
      <w:r w:rsidRPr="00F80570">
        <w:rPr>
          <w:rFonts w:ascii="Times New Roman" w:hAnsi="Times New Roman" w:cs="Times New Roman"/>
          <w:i/>
          <w:iCs/>
          <w:lang w:val="en-US"/>
        </w:rPr>
        <w:t>jus cogens</w:t>
      </w:r>
      <w:r w:rsidRPr="00F80570">
        <w:rPr>
          <w:rFonts w:ascii="Times New Roman" w:hAnsi="Times New Roman" w:cs="Times New Roman"/>
          <w:lang w:val="en-US"/>
        </w:rPr>
        <w:t xml:space="preserve"> rules cannot be set aside by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so that, if the prohibition of force were peremptory, it could not be set aside by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consent. The extrinsic account only works if </w:t>
      </w:r>
      <w:r w:rsidRPr="00F80570">
        <w:rPr>
          <w:rFonts w:ascii="Times New Roman" w:hAnsi="Times New Roman" w:cs="Times New Roman"/>
          <w:i/>
          <w:iCs/>
          <w:lang w:val="en-US"/>
        </w:rPr>
        <w:t>jus cogens</w:t>
      </w:r>
      <w:r w:rsidRPr="00F80570">
        <w:rPr>
          <w:rFonts w:ascii="Times New Roman" w:hAnsi="Times New Roman" w:cs="Times New Roman"/>
          <w:lang w:val="en-US"/>
        </w:rPr>
        <w:t xml:space="preserve"> status is reserved to the prohibition of aggression,</w:t>
      </w:r>
      <w:r w:rsidRPr="00F80570">
        <w:rPr>
          <w:rStyle w:val="FootnoteReference"/>
          <w:rFonts w:ascii="Times New Roman" w:hAnsi="Times New Roman" w:cs="Times New Roman"/>
          <w:lang w:val="en-US"/>
        </w:rPr>
        <w:footnoteReference w:id="193"/>
      </w:r>
      <w:r w:rsidRPr="00F80570">
        <w:rPr>
          <w:rFonts w:ascii="Times New Roman" w:hAnsi="Times New Roman" w:cs="Times New Roman"/>
          <w:lang w:val="en-US"/>
        </w:rPr>
        <w:t xml:space="preserve"> leaving the broader prohibition of force on the level of dispositive international law. This demotion, as it were, carries practical consequences for the law on the use of force. These consequences may be seen as undesirable or detrimental and, as such, pose an obstacle to the extrinsic model. None of these, however, are as problematic as would first appear.</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rPr>
      </w:pPr>
      <w:r w:rsidRPr="00F80570">
        <w:rPr>
          <w:rFonts w:ascii="Times New Roman" w:hAnsi="Times New Roman" w:cs="Times New Roman"/>
          <w:lang w:val="en-US"/>
        </w:rPr>
        <w:t xml:space="preserve">First is the potential applicability of other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to justify the use of force. Once the protective layer offered by </w:t>
      </w:r>
      <w:r w:rsidRPr="00F80570">
        <w:rPr>
          <w:rFonts w:ascii="Times New Roman" w:hAnsi="Times New Roman" w:cs="Times New Roman"/>
          <w:i/>
          <w:iCs/>
          <w:lang w:val="en-US"/>
        </w:rPr>
        <w:t>jus cogens</w:t>
      </w:r>
      <w:r w:rsidRPr="00F80570">
        <w:rPr>
          <w:rFonts w:ascii="Times New Roman" w:hAnsi="Times New Roman" w:cs="Times New Roman"/>
          <w:lang w:val="en-US"/>
        </w:rPr>
        <w:t xml:space="preserve"> is removed (and, one might add, the protective layer offered by Article 103 of the Charter), the prohibition of force becomes susceptible to override </w:t>
      </w:r>
      <w:r w:rsidRPr="00F80570">
        <w:rPr>
          <w:rFonts w:ascii="Times New Roman" w:hAnsi="Times New Roman" w:cs="Times New Roman"/>
          <w:lang w:val="en-US"/>
        </w:rPr>
        <w:lastRenderedPageBreak/>
        <w:t xml:space="preserve">by other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the law of </w:t>
      </w:r>
      <w:r>
        <w:rPr>
          <w:rFonts w:ascii="Times New Roman" w:hAnsi="Times New Roman" w:cs="Times New Roman"/>
          <w:lang w:val="en-US"/>
        </w:rPr>
        <w:t>s</w:t>
      </w:r>
      <w:r w:rsidRPr="00F80570">
        <w:rPr>
          <w:rFonts w:ascii="Times New Roman" w:hAnsi="Times New Roman" w:cs="Times New Roman"/>
          <w:lang w:val="en-US"/>
        </w:rPr>
        <w:t xml:space="preserve">tate responsibility. This is the case, in particular, for the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of necessity and countermeasures. However,  </w:t>
      </w:r>
      <w:r w:rsidRPr="00F80570">
        <w:rPr>
          <w:rFonts w:ascii="Times New Roman" w:hAnsi="Times New Roman" w:cs="Times New Roman"/>
        </w:rPr>
        <w:t>aside from the status of the prohibition of force as a peremptory rule, positive law already restricts reliance on these defences as a basis for the use of force. This restriction is put in place by the UN Charter system of collective security itself, as argued by Olivier Corten</w:t>
      </w:r>
      <w:r w:rsidR="001165B7">
        <w:rPr>
          <w:rFonts w:ascii="Times New Roman" w:hAnsi="Times New Roman" w:cs="Times New Roman"/>
        </w:rPr>
        <w:t xml:space="preserve">, which would operate as a </w:t>
      </w:r>
      <w:proofErr w:type="spellStart"/>
      <w:r w:rsidR="001165B7">
        <w:rPr>
          <w:rFonts w:ascii="Times New Roman" w:hAnsi="Times New Roman" w:cs="Times New Roman"/>
          <w:i/>
          <w:iCs/>
        </w:rPr>
        <w:t>lex</w:t>
      </w:r>
      <w:proofErr w:type="spellEnd"/>
      <w:r w:rsidR="001165B7">
        <w:rPr>
          <w:rFonts w:ascii="Times New Roman" w:hAnsi="Times New Roman" w:cs="Times New Roman"/>
          <w:i/>
          <w:iCs/>
        </w:rPr>
        <w:t xml:space="preserve"> </w:t>
      </w:r>
      <w:proofErr w:type="spellStart"/>
      <w:r w:rsidR="001165B7">
        <w:rPr>
          <w:rFonts w:ascii="Times New Roman" w:hAnsi="Times New Roman" w:cs="Times New Roman"/>
          <w:i/>
          <w:iCs/>
        </w:rPr>
        <w:t>specialis</w:t>
      </w:r>
      <w:proofErr w:type="spellEnd"/>
      <w:r w:rsidR="001165B7">
        <w:rPr>
          <w:rFonts w:ascii="Times New Roman" w:hAnsi="Times New Roman" w:cs="Times New Roman"/>
        </w:rPr>
        <w:t xml:space="preserve"> in relation to the defences in the law of responsibility</w:t>
      </w:r>
      <w:r w:rsidRPr="00F80570">
        <w:rPr>
          <w:rFonts w:ascii="Times New Roman" w:hAnsi="Times New Roman" w:cs="Times New Roman"/>
        </w:rPr>
        <w:t>.</w:t>
      </w:r>
      <w:r w:rsidRPr="00F80570">
        <w:rPr>
          <w:rStyle w:val="FootnoteReference"/>
          <w:rFonts w:ascii="Times New Roman" w:hAnsi="Times New Roman" w:cs="Times New Roman"/>
        </w:rPr>
        <w:footnoteReference w:id="194"/>
      </w:r>
      <w:r w:rsidRPr="00F80570">
        <w:rPr>
          <w:rFonts w:ascii="Times New Roman" w:hAnsi="Times New Roman" w:cs="Times New Roman"/>
        </w:rPr>
        <w:t xml:space="preserve"> It is further confirmed by the practice and </w:t>
      </w:r>
      <w:proofErr w:type="spellStart"/>
      <w:r w:rsidRPr="00F80570">
        <w:rPr>
          <w:rFonts w:ascii="Times New Roman" w:hAnsi="Times New Roman" w:cs="Times New Roman"/>
          <w:i/>
          <w:iCs/>
        </w:rPr>
        <w:t>opinio</w:t>
      </w:r>
      <w:proofErr w:type="spellEnd"/>
      <w:r w:rsidRPr="00F80570">
        <w:rPr>
          <w:rFonts w:ascii="Times New Roman" w:hAnsi="Times New Roman" w:cs="Times New Roman"/>
          <w:i/>
          <w:iCs/>
        </w:rPr>
        <w:t xml:space="preserve"> juris</w:t>
      </w:r>
      <w:r w:rsidRPr="00F80570">
        <w:rPr>
          <w:rFonts w:ascii="Times New Roman" w:hAnsi="Times New Roman" w:cs="Times New Roman"/>
        </w:rPr>
        <w:t xml:space="preserve"> of States in respect of each of these two defences. In respect of countermeasures, forcible countermeasures became unlawful in the interwar period,</w:t>
      </w:r>
      <w:r w:rsidRPr="00F80570">
        <w:rPr>
          <w:rStyle w:val="FootnoteReference"/>
          <w:rFonts w:ascii="Times New Roman" w:hAnsi="Times New Roman" w:cs="Times New Roman"/>
        </w:rPr>
        <w:footnoteReference w:id="195"/>
      </w:r>
      <w:r w:rsidRPr="00F80570">
        <w:rPr>
          <w:rFonts w:ascii="Times New Roman" w:hAnsi="Times New Roman" w:cs="Times New Roman"/>
        </w:rPr>
        <w:t xml:space="preserve"> and remain prohibited in contemporary international law. It is telling that, in its list of obligations which may not be affected by countermeasures, ARSIWA Article 50 includes </w:t>
      </w:r>
      <w:r w:rsidRPr="00F80570">
        <w:rPr>
          <w:rFonts w:ascii="Times New Roman" w:hAnsi="Times New Roman" w:cs="Times New Roman"/>
          <w:i/>
          <w:iCs/>
        </w:rPr>
        <w:t>both</w:t>
      </w:r>
      <w:r w:rsidRPr="00F80570">
        <w:rPr>
          <w:rFonts w:ascii="Times New Roman" w:hAnsi="Times New Roman" w:cs="Times New Roman"/>
        </w:rPr>
        <w:t xml:space="preserve"> the prohibition of force, in paragraph (1)(a), and other peremptory rules of international law, in paragraph (1)(d). This suggests that forcible countermeasures are not prohibited because </w:t>
      </w:r>
      <w:r w:rsidR="000F0FC8">
        <w:rPr>
          <w:rFonts w:ascii="Times New Roman" w:hAnsi="Times New Roman" w:cs="Times New Roman"/>
        </w:rPr>
        <w:t xml:space="preserve">of the </w:t>
      </w:r>
      <w:r w:rsidR="000F0FC8">
        <w:rPr>
          <w:rFonts w:ascii="Times New Roman" w:hAnsi="Times New Roman" w:cs="Times New Roman"/>
          <w:i/>
          <w:iCs/>
        </w:rPr>
        <w:t xml:space="preserve">jus cogens </w:t>
      </w:r>
      <w:r w:rsidR="000F0FC8">
        <w:rPr>
          <w:rFonts w:ascii="Times New Roman" w:hAnsi="Times New Roman" w:cs="Times New Roman"/>
        </w:rPr>
        <w:t xml:space="preserve">status of </w:t>
      </w:r>
      <w:r w:rsidRPr="00F80570">
        <w:rPr>
          <w:rFonts w:ascii="Times New Roman" w:hAnsi="Times New Roman" w:cs="Times New Roman"/>
        </w:rPr>
        <w:t xml:space="preserve">the prohibition of force, they are rather prohibited independently of this status. </w:t>
      </w:r>
    </w:p>
    <w:p w:rsidR="00455856" w:rsidRPr="00F80570" w:rsidRDefault="00455856" w:rsidP="00AF7273">
      <w:pPr>
        <w:spacing w:line="360" w:lineRule="auto"/>
        <w:ind w:firstLine="720"/>
        <w:jc w:val="both"/>
        <w:rPr>
          <w:rFonts w:ascii="Times New Roman" w:hAnsi="Times New Roman" w:cs="Times New Roman"/>
        </w:rPr>
      </w:pPr>
    </w:p>
    <w:p w:rsidR="00455856" w:rsidRPr="00F80570" w:rsidRDefault="00455856" w:rsidP="00AF7273">
      <w:pPr>
        <w:spacing w:line="360" w:lineRule="auto"/>
        <w:ind w:firstLine="720"/>
        <w:jc w:val="both"/>
        <w:rPr>
          <w:rFonts w:ascii="Times New Roman" w:hAnsi="Times New Roman" w:cs="Times New Roman"/>
        </w:rPr>
      </w:pPr>
      <w:r w:rsidRPr="00F80570">
        <w:rPr>
          <w:rFonts w:ascii="Times New Roman" w:hAnsi="Times New Roman" w:cs="Times New Roman"/>
        </w:rPr>
        <w:t>As for state of necessity, the Commentary to ARSIWA Article 25 states that: ‘The question whether measures of forcible humanitarian intervention, not sanctioned pursuant to Chapters VII or VIII of the Charter of the United Nations, may be lawful under modern international law is not covered by article 25’.</w:t>
      </w:r>
      <w:r w:rsidRPr="00F80570">
        <w:rPr>
          <w:rStyle w:val="FootnoteReference"/>
          <w:rFonts w:ascii="Times New Roman" w:hAnsi="Times New Roman" w:cs="Times New Roman"/>
        </w:rPr>
        <w:footnoteReference w:id="196"/>
      </w:r>
      <w:r w:rsidRPr="00F80570">
        <w:rPr>
          <w:rFonts w:ascii="Times New Roman" w:hAnsi="Times New Roman" w:cs="Times New Roman"/>
        </w:rPr>
        <w:t xml:space="preserve"> The statement is somewhat obscure, but it is plausible to interpret it as excluding the possibility that necessity may be a justification for the use of force. Indeed, </w:t>
      </w:r>
      <w:r w:rsidR="000F0FC8">
        <w:rPr>
          <w:rFonts w:ascii="Times New Roman" w:hAnsi="Times New Roman" w:cs="Times New Roman"/>
        </w:rPr>
        <w:t>s</w:t>
      </w:r>
      <w:r w:rsidRPr="00F80570">
        <w:rPr>
          <w:rFonts w:ascii="Times New Roman" w:hAnsi="Times New Roman" w:cs="Times New Roman"/>
        </w:rPr>
        <w:t>tates do not (and certainly have not since the adoption of ARSIWA in 2001)</w:t>
      </w:r>
      <w:r w:rsidRPr="00F80570">
        <w:rPr>
          <w:rStyle w:val="FootnoteReference"/>
          <w:rFonts w:ascii="Times New Roman" w:hAnsi="Times New Roman" w:cs="Times New Roman"/>
        </w:rPr>
        <w:footnoteReference w:id="197"/>
      </w:r>
      <w:r w:rsidRPr="00F80570">
        <w:rPr>
          <w:rFonts w:ascii="Times New Roman" w:hAnsi="Times New Roman" w:cs="Times New Roman"/>
        </w:rPr>
        <w:t xml:space="preserve"> invoked the plea of necessity as a justification for the use of force. There is also what might be termed </w:t>
      </w:r>
      <w:proofErr w:type="spellStart"/>
      <w:r w:rsidRPr="00F80570">
        <w:rPr>
          <w:rFonts w:ascii="Times New Roman" w:hAnsi="Times New Roman" w:cs="Times New Roman"/>
          <w:i/>
        </w:rPr>
        <w:t>opinio</w:t>
      </w:r>
      <w:proofErr w:type="spellEnd"/>
      <w:r w:rsidRPr="00F80570">
        <w:rPr>
          <w:rFonts w:ascii="Times New Roman" w:hAnsi="Times New Roman" w:cs="Times New Roman"/>
          <w:i/>
        </w:rPr>
        <w:t xml:space="preserve"> non juris</w:t>
      </w:r>
      <w:r w:rsidRPr="00F80570">
        <w:rPr>
          <w:rFonts w:ascii="Times New Roman" w:hAnsi="Times New Roman" w:cs="Times New Roman"/>
        </w:rPr>
        <w:t xml:space="preserve">: several </w:t>
      </w:r>
      <w:r>
        <w:rPr>
          <w:rFonts w:ascii="Times New Roman" w:hAnsi="Times New Roman" w:cs="Times New Roman"/>
        </w:rPr>
        <w:t>s</w:t>
      </w:r>
      <w:r w:rsidRPr="00F80570">
        <w:rPr>
          <w:rFonts w:ascii="Times New Roman" w:hAnsi="Times New Roman" w:cs="Times New Roman"/>
        </w:rPr>
        <w:t>tates, during the drafting of Article 25, expressly rejected that the plea of necessity might offer a justification for forcible humanitarian intervention.</w:t>
      </w:r>
      <w:r w:rsidRPr="00F80570">
        <w:rPr>
          <w:rStyle w:val="FootnoteReference"/>
          <w:rFonts w:ascii="Times New Roman" w:hAnsi="Times New Roman" w:cs="Times New Roman"/>
        </w:rPr>
        <w:footnoteReference w:id="198"/>
      </w:r>
      <w:r w:rsidRPr="00F80570">
        <w:rPr>
          <w:rFonts w:ascii="Times New Roman" w:hAnsi="Times New Roman" w:cs="Times New Roman"/>
        </w:rPr>
        <w:t xml:space="preserve"> The practice and </w:t>
      </w:r>
      <w:proofErr w:type="spellStart"/>
      <w:r w:rsidRPr="00F80570">
        <w:rPr>
          <w:rFonts w:ascii="Times New Roman" w:hAnsi="Times New Roman" w:cs="Times New Roman"/>
          <w:i/>
        </w:rPr>
        <w:t>opinio</w:t>
      </w:r>
      <w:proofErr w:type="spellEnd"/>
      <w:r w:rsidRPr="00F80570">
        <w:rPr>
          <w:rFonts w:ascii="Times New Roman" w:hAnsi="Times New Roman" w:cs="Times New Roman"/>
          <w:i/>
        </w:rPr>
        <w:t xml:space="preserve"> juris</w:t>
      </w:r>
      <w:r w:rsidRPr="00F80570">
        <w:rPr>
          <w:rFonts w:ascii="Times New Roman" w:hAnsi="Times New Roman" w:cs="Times New Roman"/>
        </w:rPr>
        <w:t xml:space="preserve"> of </w:t>
      </w:r>
      <w:r>
        <w:rPr>
          <w:rFonts w:ascii="Times New Roman" w:hAnsi="Times New Roman" w:cs="Times New Roman"/>
        </w:rPr>
        <w:t>s</w:t>
      </w:r>
      <w:r w:rsidRPr="00F80570">
        <w:rPr>
          <w:rFonts w:ascii="Times New Roman" w:hAnsi="Times New Roman" w:cs="Times New Roman"/>
        </w:rPr>
        <w:t>tates exclude reliance on this defence in relation to the use of force as well</w:t>
      </w:r>
      <w:r w:rsidR="000F0FC8">
        <w:rPr>
          <w:rFonts w:ascii="Times New Roman" w:hAnsi="Times New Roman" w:cs="Times New Roman"/>
        </w:rPr>
        <w:t>,</w:t>
      </w:r>
      <w:r w:rsidRPr="00F80570">
        <w:rPr>
          <w:rFonts w:ascii="Times New Roman" w:hAnsi="Times New Roman" w:cs="Times New Roman"/>
        </w:rPr>
        <w:t xml:space="preserve"> and this exclusion is independent of the prohibition’s peremptory status.</w:t>
      </w:r>
      <w:r w:rsidRPr="00F80570">
        <w:rPr>
          <w:rStyle w:val="FootnoteReference"/>
          <w:rFonts w:ascii="Times New Roman" w:hAnsi="Times New Roman" w:cs="Times New Roman"/>
        </w:rPr>
        <w:footnoteReference w:id="199"/>
      </w:r>
      <w:r w:rsidRPr="00F80570">
        <w:rPr>
          <w:rFonts w:ascii="Times New Roman" w:hAnsi="Times New Roman" w:cs="Times New Roman"/>
        </w:rPr>
        <w:t xml:space="preserve"> </w:t>
      </w:r>
    </w:p>
    <w:p w:rsidR="00455856" w:rsidRPr="00F80570" w:rsidRDefault="00455856" w:rsidP="00AF7273">
      <w:pPr>
        <w:spacing w:line="360" w:lineRule="auto"/>
        <w:ind w:firstLine="720"/>
        <w:jc w:val="both"/>
        <w:rPr>
          <w:rFonts w:ascii="Times New Roman" w:hAnsi="Times New Roman" w:cs="Times New Roman"/>
        </w:rPr>
      </w:pPr>
    </w:p>
    <w:p w:rsidR="00455856" w:rsidRPr="00F80570" w:rsidRDefault="00455856" w:rsidP="00AF7273">
      <w:pPr>
        <w:spacing w:line="360" w:lineRule="auto"/>
        <w:ind w:firstLine="720"/>
        <w:jc w:val="both"/>
        <w:rPr>
          <w:rFonts w:ascii="Times New Roman" w:hAnsi="Times New Roman" w:cs="Times New Roman"/>
        </w:rPr>
      </w:pPr>
      <w:r w:rsidRPr="00F80570">
        <w:rPr>
          <w:rFonts w:ascii="Times New Roman" w:hAnsi="Times New Roman" w:cs="Times New Roman"/>
        </w:rPr>
        <w:lastRenderedPageBreak/>
        <w:t>Even if one peels away the protective layer offered by peremptory law, the prohibition of force is still insulated from these two defences by two further layers: the Charter and the customary law of the defences themselves. The risk nevertheless remains that given the ‘lower’ threshold for change of non-peremptory rules, the prohibition of force or the relevant defences may be modified through ordinary processes of law creation and change so as to expand the bases of permissible force, the point addressed next.</w:t>
      </w:r>
    </w:p>
    <w:p w:rsidR="00455856" w:rsidRPr="00F80570" w:rsidRDefault="00455856" w:rsidP="00AF7273">
      <w:pPr>
        <w:spacing w:line="360" w:lineRule="auto"/>
        <w:ind w:firstLine="720"/>
        <w:jc w:val="both"/>
        <w:rPr>
          <w:rFonts w:ascii="Times New Roman" w:hAnsi="Times New Roman" w:cs="Times New Roman"/>
        </w:rPr>
      </w:pPr>
    </w:p>
    <w:p w:rsidR="00455856" w:rsidRPr="00F80570" w:rsidRDefault="00455856" w:rsidP="00AF7273">
      <w:pPr>
        <w:spacing w:line="360" w:lineRule="auto"/>
        <w:ind w:firstLine="720"/>
        <w:jc w:val="both"/>
        <w:rPr>
          <w:rFonts w:ascii="Times New Roman" w:hAnsi="Times New Roman" w:cs="Times New Roman"/>
        </w:rPr>
      </w:pPr>
      <w:r w:rsidRPr="00F80570">
        <w:rPr>
          <w:rFonts w:ascii="Times New Roman" w:hAnsi="Times New Roman" w:cs="Times New Roman"/>
        </w:rPr>
        <w:t>Second is the question of legal change. The prohibition of force is not immutable: it is not immune from legal change, regardless of its ordinary or peremptory status. States can change its content, following the relevant process of legal change. Of these, the process of peremptory law creation is more burdensome than the process of law creation of ordinary</w:t>
      </w:r>
      <w:r w:rsidR="000F0FC8">
        <w:rPr>
          <w:rFonts w:ascii="Times New Roman" w:hAnsi="Times New Roman" w:cs="Times New Roman"/>
        </w:rPr>
        <w:t xml:space="preserve"> customary</w:t>
      </w:r>
      <w:r w:rsidRPr="00F80570">
        <w:rPr>
          <w:rFonts w:ascii="Times New Roman" w:hAnsi="Times New Roman" w:cs="Times New Roman"/>
        </w:rPr>
        <w:t xml:space="preserve"> rules, as it requires that the rule be ‘accepted and recognised’ by the ‘international community of States as a whole’ as a </w:t>
      </w:r>
      <w:r w:rsidRPr="00F80570">
        <w:rPr>
          <w:rFonts w:ascii="Times New Roman" w:hAnsi="Times New Roman" w:cs="Times New Roman"/>
          <w:i/>
          <w:iCs/>
        </w:rPr>
        <w:t>jus cogens</w:t>
      </w:r>
      <w:r w:rsidRPr="00F80570">
        <w:rPr>
          <w:rFonts w:ascii="Times New Roman" w:hAnsi="Times New Roman" w:cs="Times New Roman"/>
        </w:rPr>
        <w:t xml:space="preserve"> norm.</w:t>
      </w:r>
      <w:r w:rsidR="000F0FC8">
        <w:rPr>
          <w:rStyle w:val="FootnoteReference"/>
          <w:rFonts w:ascii="Times New Roman" w:hAnsi="Times New Roman" w:cs="Times New Roman"/>
        </w:rPr>
        <w:footnoteReference w:id="200"/>
      </w:r>
      <w:r w:rsidRPr="00F80570">
        <w:rPr>
          <w:rFonts w:ascii="Times New Roman" w:hAnsi="Times New Roman" w:cs="Times New Roman"/>
        </w:rPr>
        <w:t xml:space="preserve"> This increased burden makes these rules more difficult to change. Demoting the prohibition of force to ordinary international law would render it more vulnerable to change by a fewer number of </w:t>
      </w:r>
      <w:r>
        <w:rPr>
          <w:rFonts w:ascii="Times New Roman" w:hAnsi="Times New Roman" w:cs="Times New Roman"/>
        </w:rPr>
        <w:t>s</w:t>
      </w:r>
      <w:r w:rsidRPr="00F80570">
        <w:rPr>
          <w:rFonts w:ascii="Times New Roman" w:hAnsi="Times New Roman" w:cs="Times New Roman"/>
        </w:rPr>
        <w:t xml:space="preserve">tates than would otherwise be required. James Green has argued that this is a </w:t>
      </w:r>
      <w:r w:rsidRPr="00F80570">
        <w:rPr>
          <w:rFonts w:ascii="Times New Roman" w:hAnsi="Times New Roman" w:cs="Times New Roman"/>
          <w:i/>
          <w:iCs/>
        </w:rPr>
        <w:t>good thing</w:t>
      </w:r>
      <w:r w:rsidRPr="00F80570">
        <w:rPr>
          <w:rFonts w:ascii="Times New Roman" w:hAnsi="Times New Roman" w:cs="Times New Roman"/>
        </w:rPr>
        <w:t xml:space="preserve"> for it is important that the rules regulating force be susceptible to modification in a way that allows them to adapt to changing technologies and threats.</w:t>
      </w:r>
      <w:r w:rsidRPr="00F80570">
        <w:rPr>
          <w:rStyle w:val="FootnoteReference"/>
          <w:rFonts w:ascii="Times New Roman" w:hAnsi="Times New Roman" w:cs="Times New Roman"/>
        </w:rPr>
        <w:footnoteReference w:id="201"/>
      </w:r>
      <w:r w:rsidRPr="00F80570">
        <w:rPr>
          <w:rFonts w:ascii="Times New Roman" w:hAnsi="Times New Roman" w:cs="Times New Roman"/>
        </w:rPr>
        <w:t xml:space="preserve"> But even if this is so, legal change in this field remains burdensome as a result of the duality of sources of the law on the use of force, which are found in both treaty and custom. The interaction between these two sources renders change in each of them complex and difficult to achieve. </w:t>
      </w:r>
      <w:proofErr w:type="spellStart"/>
      <w:r w:rsidRPr="00F80570">
        <w:rPr>
          <w:rFonts w:ascii="Times New Roman" w:hAnsi="Times New Roman" w:cs="Times New Roman"/>
        </w:rPr>
        <w:t>Dapo</w:t>
      </w:r>
      <w:proofErr w:type="spellEnd"/>
      <w:r w:rsidRPr="00F80570">
        <w:rPr>
          <w:rFonts w:ascii="Times New Roman" w:hAnsi="Times New Roman" w:cs="Times New Roman"/>
        </w:rPr>
        <w:t xml:space="preserve"> Akande has thus observed that ‘it is difficult to see how customary law can affect the prohibition of the use of force in Art. 2(4), that is, it is difficult to see how custom can create new exceptions to the prohibition’.</w:t>
      </w:r>
      <w:r w:rsidRPr="00F80570">
        <w:rPr>
          <w:rStyle w:val="FootnoteReference"/>
          <w:rFonts w:ascii="Times New Roman" w:hAnsi="Times New Roman" w:cs="Times New Roman"/>
        </w:rPr>
        <w:footnoteReference w:id="202"/>
      </w:r>
      <w:r w:rsidRPr="00F80570">
        <w:rPr>
          <w:rFonts w:ascii="Times New Roman" w:hAnsi="Times New Roman" w:cs="Times New Roman"/>
        </w:rPr>
        <w:t xml:space="preserve"> So even without peremptory status, the prohibition of force is to some extent protected from being easily modified.</w:t>
      </w:r>
    </w:p>
    <w:p w:rsidR="00455856" w:rsidRPr="00F80570" w:rsidRDefault="00455856" w:rsidP="00AF7273">
      <w:pPr>
        <w:spacing w:line="360" w:lineRule="auto"/>
        <w:ind w:firstLine="720"/>
        <w:jc w:val="both"/>
        <w:rPr>
          <w:rFonts w:ascii="Times New Roman" w:hAnsi="Times New Roman" w:cs="Times New Roman"/>
        </w:rPr>
      </w:pPr>
    </w:p>
    <w:p w:rsidR="00455856" w:rsidRPr="00F80570" w:rsidRDefault="00455856" w:rsidP="00AF7273">
      <w:pPr>
        <w:spacing w:line="360" w:lineRule="auto"/>
        <w:ind w:firstLine="720"/>
        <w:jc w:val="both"/>
        <w:rPr>
          <w:rFonts w:ascii="Times New Roman" w:hAnsi="Times New Roman" w:cs="Times New Roman"/>
        </w:rPr>
      </w:pPr>
      <w:r w:rsidRPr="00F80570">
        <w:rPr>
          <w:rFonts w:ascii="Times New Roman" w:hAnsi="Times New Roman" w:cs="Times New Roman"/>
        </w:rPr>
        <w:t xml:space="preserve">Third is the fact that recognising rules as peremptory is often a way of signalling their importance in the international order. That is, </w:t>
      </w:r>
      <w:r>
        <w:rPr>
          <w:rFonts w:ascii="Times New Roman" w:hAnsi="Times New Roman" w:cs="Times New Roman"/>
        </w:rPr>
        <w:t>s</w:t>
      </w:r>
      <w:r w:rsidRPr="00F80570">
        <w:rPr>
          <w:rFonts w:ascii="Times New Roman" w:hAnsi="Times New Roman" w:cs="Times New Roman"/>
        </w:rPr>
        <w:t xml:space="preserve">tates may choose to recognise certain rules as peremptory because they believe that the values protected by such norms are of particular </w:t>
      </w:r>
      <w:r w:rsidRPr="00F80570">
        <w:rPr>
          <w:rFonts w:ascii="Times New Roman" w:hAnsi="Times New Roman" w:cs="Times New Roman"/>
        </w:rPr>
        <w:lastRenderedPageBreak/>
        <w:t>importance.</w:t>
      </w:r>
      <w:r w:rsidRPr="00F80570">
        <w:rPr>
          <w:rStyle w:val="FootnoteReference"/>
          <w:rFonts w:ascii="Times New Roman" w:hAnsi="Times New Roman" w:cs="Times New Roman"/>
        </w:rPr>
        <w:footnoteReference w:id="203"/>
      </w:r>
      <w:r w:rsidRPr="00F80570">
        <w:rPr>
          <w:rFonts w:ascii="Times New Roman" w:hAnsi="Times New Roman" w:cs="Times New Roman"/>
        </w:rPr>
        <w:t xml:space="preserve"> Thus, by endorsing the peremptory status of the prohibition of force </w:t>
      </w:r>
      <w:r>
        <w:rPr>
          <w:rFonts w:ascii="Times New Roman" w:hAnsi="Times New Roman" w:cs="Times New Roman"/>
        </w:rPr>
        <w:t>s</w:t>
      </w:r>
      <w:r w:rsidRPr="00F80570">
        <w:rPr>
          <w:rFonts w:ascii="Times New Roman" w:hAnsi="Times New Roman" w:cs="Times New Roman"/>
        </w:rPr>
        <w:t xml:space="preserve">tates are signalling the importance of the value protected by this rule. By demoting it from this status, we would, </w:t>
      </w:r>
      <w:r w:rsidRPr="00F80570">
        <w:rPr>
          <w:rFonts w:ascii="Times New Roman" w:hAnsi="Times New Roman" w:cs="Times New Roman"/>
          <w:i/>
          <w:iCs/>
        </w:rPr>
        <w:t xml:space="preserve">a </w:t>
      </w:r>
      <w:proofErr w:type="spellStart"/>
      <w:r w:rsidRPr="00F80570">
        <w:rPr>
          <w:rFonts w:ascii="Times New Roman" w:hAnsi="Times New Roman" w:cs="Times New Roman"/>
          <w:i/>
          <w:iCs/>
        </w:rPr>
        <w:t>contrario</w:t>
      </w:r>
      <w:proofErr w:type="spellEnd"/>
      <w:r w:rsidRPr="00F80570">
        <w:rPr>
          <w:rFonts w:ascii="Times New Roman" w:hAnsi="Times New Roman" w:cs="Times New Roman"/>
        </w:rPr>
        <w:t xml:space="preserve">, signal that this is not a norm that protects a fundamental value of the international community. It is not clear, however, that the intrinsic account required to preserve the peremptory status of the prohibition achieves this. Recall that the prohibition is narrowed by the exception(s) contained within it, such that it only gives a </w:t>
      </w:r>
      <w:r w:rsidR="000F0FC8">
        <w:rPr>
          <w:rFonts w:ascii="Times New Roman" w:hAnsi="Times New Roman" w:cs="Times New Roman"/>
        </w:rPr>
        <w:t xml:space="preserve">(limited) </w:t>
      </w:r>
      <w:r w:rsidRPr="00F80570">
        <w:rPr>
          <w:rFonts w:ascii="Times New Roman" w:hAnsi="Times New Roman" w:cs="Times New Roman"/>
        </w:rPr>
        <w:t xml:space="preserve">reason against non-consensual force. </w:t>
      </w:r>
      <w:r w:rsidR="000F0FC8">
        <w:rPr>
          <w:rFonts w:ascii="Times New Roman" w:hAnsi="Times New Roman" w:cs="Times New Roman"/>
        </w:rPr>
        <w:t xml:space="preserve">Such a rule </w:t>
      </w:r>
      <w:r w:rsidRPr="00F80570">
        <w:rPr>
          <w:rFonts w:ascii="Times New Roman" w:hAnsi="Times New Roman" w:cs="Times New Roman"/>
        </w:rPr>
        <w:t xml:space="preserve">would not provide a </w:t>
      </w:r>
      <w:r w:rsidRPr="00F80570">
        <w:rPr>
          <w:rFonts w:ascii="Times New Roman" w:hAnsi="Times New Roman" w:cs="Times New Roman"/>
          <w:i/>
          <w:iCs/>
        </w:rPr>
        <w:t>general reason against force</w:t>
      </w:r>
      <w:r w:rsidRPr="00F80570">
        <w:rPr>
          <w:rFonts w:ascii="Times New Roman" w:hAnsi="Times New Roman" w:cs="Times New Roman"/>
        </w:rPr>
        <w:t xml:space="preserve">. As a result, the value seemingly protected by the rule is that of consent, rather than the value of non-use of force a such. Perhaps ironically, the value of </w:t>
      </w:r>
      <w:r>
        <w:rPr>
          <w:rFonts w:ascii="Times New Roman" w:hAnsi="Times New Roman" w:cs="Times New Roman"/>
        </w:rPr>
        <w:t xml:space="preserve">peace (at least, in its negative content as </w:t>
      </w:r>
      <w:r w:rsidR="000F0FC8">
        <w:rPr>
          <w:rFonts w:ascii="Times New Roman" w:hAnsi="Times New Roman" w:cs="Times New Roman"/>
        </w:rPr>
        <w:t>the absence of armed conflict</w:t>
      </w:r>
      <w:r>
        <w:rPr>
          <w:rFonts w:ascii="Times New Roman" w:hAnsi="Times New Roman" w:cs="Times New Roman"/>
        </w:rPr>
        <w:t>)</w:t>
      </w:r>
      <w:r w:rsidRPr="00F80570">
        <w:rPr>
          <w:rFonts w:ascii="Times New Roman" w:hAnsi="Times New Roman" w:cs="Times New Roman"/>
        </w:rPr>
        <w:t xml:space="preserve"> is better reflected by a non-peremptory rule that was able to clearly articulate a general reason </w:t>
      </w:r>
      <w:r w:rsidR="000F0FC8">
        <w:rPr>
          <w:rFonts w:ascii="Times New Roman" w:hAnsi="Times New Roman" w:cs="Times New Roman"/>
        </w:rPr>
        <w:t>against</w:t>
      </w:r>
      <w:r w:rsidRPr="00F80570">
        <w:rPr>
          <w:rFonts w:ascii="Times New Roman" w:hAnsi="Times New Roman" w:cs="Times New Roman"/>
        </w:rPr>
        <w:t xml:space="preserve"> </w:t>
      </w:r>
      <w:r w:rsidR="000F0FC8">
        <w:rPr>
          <w:rFonts w:ascii="Times New Roman" w:hAnsi="Times New Roman" w:cs="Times New Roman"/>
        </w:rPr>
        <w:t>force</w:t>
      </w:r>
      <w:r w:rsidRPr="00F80570">
        <w:rPr>
          <w:rFonts w:ascii="Times New Roman" w:hAnsi="Times New Roman" w:cs="Times New Roman"/>
        </w:rPr>
        <w:t>.</w:t>
      </w:r>
    </w:p>
    <w:p w:rsidR="00455856" w:rsidRPr="00F80570" w:rsidRDefault="00455856" w:rsidP="00AF7273">
      <w:pPr>
        <w:spacing w:line="360" w:lineRule="auto"/>
        <w:ind w:firstLine="720"/>
        <w:jc w:val="both"/>
        <w:rPr>
          <w:rFonts w:ascii="Times New Roman" w:hAnsi="Times New Roman" w:cs="Times New Roman"/>
        </w:rPr>
      </w:pPr>
    </w:p>
    <w:p w:rsidR="00455856" w:rsidRPr="00F80570" w:rsidRDefault="00455856" w:rsidP="00AF7273">
      <w:pPr>
        <w:spacing w:line="360" w:lineRule="auto"/>
        <w:ind w:firstLine="720"/>
        <w:jc w:val="both"/>
        <w:rPr>
          <w:rFonts w:ascii="Times New Roman" w:hAnsi="Times New Roman" w:cs="Times New Roman"/>
        </w:rPr>
      </w:pPr>
      <w:r w:rsidRPr="00F80570">
        <w:rPr>
          <w:rFonts w:ascii="Times New Roman" w:hAnsi="Times New Roman" w:cs="Times New Roman"/>
        </w:rPr>
        <w:t xml:space="preserve">None of this, of course, alters the fact that several </w:t>
      </w:r>
      <w:r>
        <w:rPr>
          <w:rFonts w:ascii="Times New Roman" w:hAnsi="Times New Roman" w:cs="Times New Roman"/>
        </w:rPr>
        <w:t>s</w:t>
      </w:r>
      <w:r w:rsidRPr="00F80570">
        <w:rPr>
          <w:rFonts w:ascii="Times New Roman" w:hAnsi="Times New Roman" w:cs="Times New Roman"/>
        </w:rPr>
        <w:t>tates have endorsed the status of the prohibition of force as a peremptory rule.</w:t>
      </w:r>
      <w:r w:rsidRPr="00F80570">
        <w:rPr>
          <w:rStyle w:val="FootnoteReference"/>
          <w:rFonts w:ascii="Times New Roman" w:hAnsi="Times New Roman" w:cs="Times New Roman"/>
        </w:rPr>
        <w:footnoteReference w:id="204"/>
      </w:r>
      <w:r w:rsidRPr="00F80570">
        <w:rPr>
          <w:rFonts w:ascii="Times New Roman" w:hAnsi="Times New Roman" w:cs="Times New Roman"/>
        </w:rPr>
        <w:t xml:space="preserve"> But even if this is the case, it is the role of scholars critically to assess the practice and views of </w:t>
      </w:r>
      <w:r>
        <w:rPr>
          <w:rFonts w:ascii="Times New Roman" w:hAnsi="Times New Roman" w:cs="Times New Roman"/>
        </w:rPr>
        <w:t>s</w:t>
      </w:r>
      <w:r w:rsidRPr="00F80570">
        <w:rPr>
          <w:rFonts w:ascii="Times New Roman" w:hAnsi="Times New Roman" w:cs="Times New Roman"/>
        </w:rPr>
        <w:t xml:space="preserve">tates, and the international law norms that result from </w:t>
      </w:r>
      <w:r>
        <w:rPr>
          <w:rFonts w:ascii="Times New Roman" w:hAnsi="Times New Roman" w:cs="Times New Roman"/>
        </w:rPr>
        <w:t>s</w:t>
      </w:r>
      <w:r w:rsidRPr="00F80570">
        <w:rPr>
          <w:rFonts w:ascii="Times New Roman" w:hAnsi="Times New Roman" w:cs="Times New Roman"/>
        </w:rPr>
        <w:t xml:space="preserve">tates’ practice. Scholars are not passive recorders of </w:t>
      </w:r>
      <w:r>
        <w:rPr>
          <w:rFonts w:ascii="Times New Roman" w:hAnsi="Times New Roman" w:cs="Times New Roman"/>
        </w:rPr>
        <w:t>s</w:t>
      </w:r>
      <w:r w:rsidRPr="00F80570">
        <w:rPr>
          <w:rFonts w:ascii="Times New Roman" w:hAnsi="Times New Roman" w:cs="Times New Roman"/>
        </w:rPr>
        <w:t>tate practice – they are not mere apologists of power.</w:t>
      </w:r>
      <w:r w:rsidRPr="00F80570">
        <w:rPr>
          <w:rStyle w:val="FootnoteReference"/>
          <w:rFonts w:ascii="Times New Roman" w:hAnsi="Times New Roman" w:cs="Times New Roman"/>
        </w:rPr>
        <w:footnoteReference w:id="205"/>
      </w:r>
      <w:r w:rsidRPr="00F80570">
        <w:rPr>
          <w:rFonts w:ascii="Times New Roman" w:hAnsi="Times New Roman" w:cs="Times New Roman"/>
        </w:rPr>
        <w:t xml:space="preserve"> And indeed, other scholars before me have pointed out the difficulties of classifying the prohibition of force as a peremptory rule, as noted earlier.</w:t>
      </w:r>
      <w:r w:rsidRPr="00F80570">
        <w:rPr>
          <w:rStyle w:val="FootnoteReference"/>
          <w:rFonts w:ascii="Times New Roman" w:hAnsi="Times New Roman" w:cs="Times New Roman"/>
        </w:rPr>
        <w:footnoteReference w:id="206"/>
      </w:r>
      <w:r w:rsidRPr="00F80570">
        <w:rPr>
          <w:rFonts w:ascii="Times New Roman" w:hAnsi="Times New Roman" w:cs="Times New Roman"/>
        </w:rPr>
        <w:t xml:space="preserve"> It is of utmost importance, in particular in respect of rules such as the prohibition of force, which is hailed as the ‘cornerstone’ of the </w:t>
      </w:r>
      <w:r w:rsidR="000F0FC8">
        <w:rPr>
          <w:rFonts w:ascii="Times New Roman" w:hAnsi="Times New Roman" w:cs="Times New Roman"/>
        </w:rPr>
        <w:t>UN Charter system</w:t>
      </w:r>
      <w:r w:rsidR="000F0FC8" w:rsidRPr="00F80570">
        <w:rPr>
          <w:rStyle w:val="FootnoteReference"/>
          <w:rFonts w:ascii="Times New Roman" w:hAnsi="Times New Roman" w:cs="Times New Roman"/>
        </w:rPr>
        <w:footnoteReference w:id="207"/>
      </w:r>
      <w:r w:rsidR="000F0FC8">
        <w:rPr>
          <w:rFonts w:ascii="Times New Roman" w:hAnsi="Times New Roman" w:cs="Times New Roman"/>
        </w:rPr>
        <w:t xml:space="preserve"> and the contemporary international legal order,</w:t>
      </w:r>
      <w:r w:rsidR="000F0FC8">
        <w:rPr>
          <w:rStyle w:val="FootnoteReference"/>
          <w:rFonts w:ascii="Times New Roman" w:hAnsi="Times New Roman" w:cs="Times New Roman"/>
        </w:rPr>
        <w:footnoteReference w:id="208"/>
      </w:r>
      <w:r w:rsidR="000F0FC8">
        <w:rPr>
          <w:rFonts w:ascii="Times New Roman" w:hAnsi="Times New Roman" w:cs="Times New Roman"/>
        </w:rPr>
        <w:t xml:space="preserve"> </w:t>
      </w:r>
      <w:r w:rsidRPr="00F80570">
        <w:rPr>
          <w:rFonts w:ascii="Times New Roman" w:hAnsi="Times New Roman" w:cs="Times New Roman"/>
        </w:rPr>
        <w:t xml:space="preserve">that the practice and views of </w:t>
      </w:r>
      <w:r>
        <w:rPr>
          <w:rFonts w:ascii="Times New Roman" w:hAnsi="Times New Roman" w:cs="Times New Roman"/>
        </w:rPr>
        <w:t>s</w:t>
      </w:r>
      <w:r w:rsidRPr="00F80570">
        <w:rPr>
          <w:rFonts w:ascii="Times New Roman" w:hAnsi="Times New Roman" w:cs="Times New Roman"/>
        </w:rPr>
        <w:t>tates be reviewed and assessed – not just to attest their consistency with the rule itself, but also to assess the coherence of these views, and of the ban on force, with the rest of the legal order.</w:t>
      </w:r>
    </w:p>
    <w:p w:rsidR="00455856" w:rsidRPr="0070747C" w:rsidRDefault="00455856" w:rsidP="00AF7273">
      <w:pPr>
        <w:pStyle w:val="Heading1"/>
        <w:numPr>
          <w:ilvl w:val="0"/>
          <w:numId w:val="11"/>
        </w:numPr>
        <w:spacing w:line="360" w:lineRule="auto"/>
        <w:rPr>
          <w:rFonts w:ascii="Times New Roman" w:hAnsi="Times New Roman" w:cs="Times New Roman"/>
          <w:sz w:val="24"/>
          <w:szCs w:val="24"/>
        </w:rPr>
      </w:pPr>
      <w:bookmarkStart w:id="30" w:name="_Toc46390744"/>
      <w:r w:rsidRPr="0070747C">
        <w:rPr>
          <w:rFonts w:ascii="Times New Roman" w:hAnsi="Times New Roman" w:cs="Times New Roman"/>
          <w:sz w:val="24"/>
          <w:szCs w:val="24"/>
        </w:rPr>
        <w:t>Conclusion</w:t>
      </w:r>
      <w:bookmarkEnd w:id="30"/>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 xml:space="preserve">The relation between the prohibition of force and the permission of consent has given rise to doctrinal difficulties, in particular as a result of the omission to include an exception of consent </w:t>
      </w:r>
      <w:r w:rsidRPr="00F80570">
        <w:rPr>
          <w:rFonts w:ascii="Times New Roman" w:hAnsi="Times New Roman" w:cs="Times New Roman"/>
          <w:lang w:val="en-US"/>
        </w:rPr>
        <w:lastRenderedPageBreak/>
        <w:t xml:space="preserve">in the Charter and the peremptory status of the prohibition of force. The solution to this difficulty has been to redefine the prohibition of force as a prohibition of non-consensual force: namely, to read the exception of consent as a negative element of the definition of the prohibition. While this solution has been widely accepted in the literature, it carries undesirable implications and presuppositions, in particular that force is not itself a harm and that resort to force does not always require justification. It implies that there is, in short, no general reason against force in international society – but only a limited </w:t>
      </w:r>
      <w:r>
        <w:rPr>
          <w:rFonts w:ascii="Times New Roman" w:hAnsi="Times New Roman" w:cs="Times New Roman"/>
          <w:lang w:val="en-US"/>
        </w:rPr>
        <w:t>reason against it</w:t>
      </w:r>
      <w:r w:rsidRPr="00F80570">
        <w:rPr>
          <w:rFonts w:ascii="Times New Roman" w:hAnsi="Times New Roman" w:cs="Times New Roman"/>
          <w:lang w:val="en-US"/>
        </w:rPr>
        <w:t>.</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These implications and presuppositions seem at odds with features of the international legal order. Indeed, the paramount purpose of the UN is the maintenance of international peace. International peace is harmed, or at least threatened, by armed conflict – international or internal as it may be. As such, the maintenance of international peace must count as a reason against force </w:t>
      </w:r>
      <w:r w:rsidRPr="00F80570">
        <w:rPr>
          <w:rFonts w:ascii="Times New Roman" w:hAnsi="Times New Roman" w:cs="Times New Roman"/>
          <w:i/>
          <w:iCs/>
          <w:lang w:val="en-US"/>
        </w:rPr>
        <w:t>in every case</w:t>
      </w:r>
      <w:r w:rsidRPr="00F80570">
        <w:rPr>
          <w:rFonts w:ascii="Times New Roman" w:hAnsi="Times New Roman" w:cs="Times New Roman"/>
          <w:lang w:val="en-US"/>
        </w:rPr>
        <w:t xml:space="preserve"> in which </w:t>
      </w:r>
      <w:r>
        <w:rPr>
          <w:rFonts w:ascii="Times New Roman" w:hAnsi="Times New Roman" w:cs="Times New Roman"/>
          <w:lang w:val="en-US"/>
        </w:rPr>
        <w:t>s</w:t>
      </w:r>
      <w:r w:rsidRPr="00F80570">
        <w:rPr>
          <w:rFonts w:ascii="Times New Roman" w:hAnsi="Times New Roman" w:cs="Times New Roman"/>
          <w:lang w:val="en-US"/>
        </w:rPr>
        <w:t xml:space="preserve">tates resort to force in international society. This is not to say that this general reason is conclusive and that, therefore, every use of force is unlawful. After all, the general reason is a </w:t>
      </w:r>
      <w:r w:rsidRPr="00F80570">
        <w:rPr>
          <w:rFonts w:ascii="Times New Roman" w:hAnsi="Times New Roman" w:cs="Times New Roman"/>
          <w:i/>
          <w:iCs/>
          <w:lang w:val="en-US"/>
        </w:rPr>
        <w:t xml:space="preserve">prima facie </w:t>
      </w:r>
      <w:r w:rsidRPr="00F80570">
        <w:rPr>
          <w:rFonts w:ascii="Times New Roman" w:hAnsi="Times New Roman" w:cs="Times New Roman"/>
          <w:lang w:val="en-US"/>
        </w:rPr>
        <w:t>reason only</w:t>
      </w:r>
      <w:r w:rsidR="00F46C9A">
        <w:rPr>
          <w:rFonts w:ascii="Times New Roman" w:hAnsi="Times New Roman" w:cs="Times New Roman"/>
          <w:lang w:val="en-US"/>
        </w:rPr>
        <w:t xml:space="preserve"> and</w:t>
      </w:r>
      <w:r w:rsidRPr="00F80570">
        <w:rPr>
          <w:rFonts w:ascii="Times New Roman" w:hAnsi="Times New Roman" w:cs="Times New Roman"/>
          <w:lang w:val="en-US"/>
        </w:rPr>
        <w:t xml:space="preserve"> can be overcome by other (legally </w:t>
      </w:r>
      <w:proofErr w:type="spellStart"/>
      <w:r w:rsidRPr="00F80570">
        <w:rPr>
          <w:rFonts w:ascii="Times New Roman" w:hAnsi="Times New Roman" w:cs="Times New Roman"/>
          <w:lang w:val="en-US"/>
        </w:rPr>
        <w:t>recognised</w:t>
      </w:r>
      <w:proofErr w:type="spellEnd"/>
      <w:r w:rsidRPr="00F80570">
        <w:rPr>
          <w:rFonts w:ascii="Times New Roman" w:hAnsi="Times New Roman" w:cs="Times New Roman"/>
          <w:lang w:val="en-US"/>
        </w:rPr>
        <w:t>) factors or considerations, including consent. It does mean, however, that every use of force</w:t>
      </w:r>
      <w:r w:rsidR="00F46C9A">
        <w:rPr>
          <w:rFonts w:ascii="Times New Roman" w:hAnsi="Times New Roman" w:cs="Times New Roman"/>
          <w:lang w:val="en-US"/>
        </w:rPr>
        <w:t>, including consensual force,</w:t>
      </w:r>
      <w:r w:rsidRPr="00F80570">
        <w:rPr>
          <w:rFonts w:ascii="Times New Roman" w:hAnsi="Times New Roman" w:cs="Times New Roman"/>
          <w:lang w:val="en-US"/>
        </w:rPr>
        <w:t xml:space="preserve"> is a </w:t>
      </w:r>
      <w:r w:rsidRPr="00F80570">
        <w:rPr>
          <w:rFonts w:ascii="Times New Roman" w:hAnsi="Times New Roman" w:cs="Times New Roman"/>
          <w:i/>
          <w:iCs/>
          <w:lang w:val="en-US"/>
        </w:rPr>
        <w:t xml:space="preserve">prima facie </w:t>
      </w:r>
      <w:r w:rsidRPr="00F80570">
        <w:rPr>
          <w:rFonts w:ascii="Times New Roman" w:hAnsi="Times New Roman" w:cs="Times New Roman"/>
          <w:lang w:val="en-US"/>
        </w:rPr>
        <w:t xml:space="preserve">wrong and that it needs to be justified. And indeed, in their practice </w:t>
      </w:r>
      <w:r>
        <w:rPr>
          <w:rFonts w:ascii="Times New Roman" w:hAnsi="Times New Roman" w:cs="Times New Roman"/>
          <w:lang w:val="en-US"/>
        </w:rPr>
        <w:t>s</w:t>
      </w:r>
      <w:r w:rsidRPr="00F80570">
        <w:rPr>
          <w:rFonts w:ascii="Times New Roman" w:hAnsi="Times New Roman" w:cs="Times New Roman"/>
          <w:lang w:val="en-US"/>
        </w:rPr>
        <w:t>tates do justify their uses of force even when these count with consent and such consent is widely accepted to be valid.</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F46C9A">
      <w:pPr>
        <w:spacing w:line="360" w:lineRule="auto"/>
        <w:ind w:firstLine="720"/>
        <w:jc w:val="both"/>
        <w:rPr>
          <w:rFonts w:ascii="Times New Roman" w:hAnsi="Times New Roman" w:cs="Times New Roman"/>
          <w:lang w:val="en-US"/>
        </w:rPr>
      </w:pPr>
      <w:r w:rsidRPr="00F80570">
        <w:rPr>
          <w:rFonts w:ascii="Times New Roman" w:hAnsi="Times New Roman" w:cs="Times New Roman"/>
          <w:lang w:val="en-US"/>
        </w:rPr>
        <w:t xml:space="preserve">If rules guide behavior, and they do so by giving actors reasons for or against action, any rule prohibiting force in international affairs ought to be able to reflect the existence of this general reason against force. The intrinsic approach </w:t>
      </w:r>
      <w:proofErr w:type="spellStart"/>
      <w:r w:rsidRPr="00F80570">
        <w:rPr>
          <w:rFonts w:ascii="Times New Roman" w:hAnsi="Times New Roman" w:cs="Times New Roman"/>
          <w:lang w:val="en-US"/>
        </w:rPr>
        <w:t>favoured</w:t>
      </w:r>
      <w:proofErr w:type="spellEnd"/>
      <w:r w:rsidRPr="00F80570">
        <w:rPr>
          <w:rFonts w:ascii="Times New Roman" w:hAnsi="Times New Roman" w:cs="Times New Roman"/>
          <w:lang w:val="en-US"/>
        </w:rPr>
        <w:t xml:space="preserve"> by the majority of scholars is incapable of doing this. Instead, the relation between the prohibition of force and the permission of consent ought to be articulated following the extrinsic model: consent, that is, </w:t>
      </w:r>
      <w:r w:rsidR="00F46C9A">
        <w:rPr>
          <w:rFonts w:ascii="Times New Roman" w:hAnsi="Times New Roman" w:cs="Times New Roman"/>
          <w:lang w:val="en-US"/>
        </w:rPr>
        <w:t>must operate as</w:t>
      </w:r>
      <w:r w:rsidRPr="00F80570">
        <w:rPr>
          <w:rFonts w:ascii="Times New Roman" w:hAnsi="Times New Roman" w:cs="Times New Roman"/>
          <w:lang w:val="en-US"/>
        </w:rPr>
        <w:t xml:space="preserve">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against the prohibition. This reformulation of the relation </w:t>
      </w:r>
      <w:r w:rsidR="00F46C9A">
        <w:rPr>
          <w:rFonts w:ascii="Times New Roman" w:hAnsi="Times New Roman" w:cs="Times New Roman"/>
          <w:lang w:val="en-US"/>
        </w:rPr>
        <w:t xml:space="preserve">does not require a change in positive law – treaty or customary as it may be. It </w:t>
      </w:r>
      <w:r w:rsidRPr="00F80570">
        <w:rPr>
          <w:rFonts w:ascii="Times New Roman" w:hAnsi="Times New Roman" w:cs="Times New Roman"/>
          <w:lang w:val="en-US"/>
        </w:rPr>
        <w:t xml:space="preserve">merely requires </w:t>
      </w:r>
      <w:r w:rsidR="00F46C9A">
        <w:rPr>
          <w:rFonts w:ascii="Times New Roman" w:hAnsi="Times New Roman" w:cs="Times New Roman"/>
          <w:lang w:val="en-US"/>
        </w:rPr>
        <w:t xml:space="preserve">a conceptual moving of </w:t>
      </w:r>
      <w:r w:rsidRPr="00F80570">
        <w:rPr>
          <w:rFonts w:ascii="Times New Roman" w:hAnsi="Times New Roman" w:cs="Times New Roman"/>
          <w:lang w:val="en-US"/>
        </w:rPr>
        <w:t xml:space="preserve">the pieces of the existing positive law puzzle, as it were. The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of consent would no longer be found in the words of Article 2(4), but be found in customary law as </w:t>
      </w:r>
      <w:r w:rsidR="008A32F5">
        <w:rPr>
          <w:rFonts w:ascii="Times New Roman" w:hAnsi="Times New Roman" w:cs="Times New Roman"/>
          <w:lang w:val="en-US"/>
        </w:rPr>
        <w:t xml:space="preserve">codified </w:t>
      </w:r>
      <w:r w:rsidRPr="00F80570">
        <w:rPr>
          <w:rFonts w:ascii="Times New Roman" w:hAnsi="Times New Roman" w:cs="Times New Roman"/>
          <w:lang w:val="en-US"/>
        </w:rPr>
        <w:t>in ARSIWA Article 20. Crucially, no reformulation of the Charter would be necessary</w:t>
      </w:r>
      <w:r w:rsidR="008A32F5">
        <w:rPr>
          <w:rFonts w:ascii="Times New Roman" w:hAnsi="Times New Roman" w:cs="Times New Roman"/>
          <w:lang w:val="en-US"/>
        </w:rPr>
        <w:t xml:space="preserve">: the text of Article 2(4) can be read as formulating a general ban on all forms of force, including consensual, in international relations. </w:t>
      </w:r>
      <w:r w:rsidRPr="00F80570">
        <w:rPr>
          <w:rFonts w:ascii="Times New Roman" w:hAnsi="Times New Roman" w:cs="Times New Roman"/>
          <w:lang w:val="en-US"/>
        </w:rPr>
        <w:t xml:space="preserve">Likewise, peremptory status may be limited to the prohibition of aggression, a position which is supported by the ILC and shared by some </w:t>
      </w:r>
      <w:r>
        <w:rPr>
          <w:rFonts w:ascii="Times New Roman" w:hAnsi="Times New Roman" w:cs="Times New Roman"/>
          <w:lang w:val="en-US"/>
        </w:rPr>
        <w:t>s</w:t>
      </w:r>
      <w:r w:rsidRPr="00F80570">
        <w:rPr>
          <w:rFonts w:ascii="Times New Roman" w:hAnsi="Times New Roman" w:cs="Times New Roman"/>
          <w:lang w:val="en-US"/>
        </w:rPr>
        <w:t xml:space="preserve">tates as well. </w:t>
      </w:r>
    </w:p>
    <w:p w:rsidR="00455856" w:rsidRPr="00F80570" w:rsidRDefault="00455856" w:rsidP="00AF7273">
      <w:pPr>
        <w:spacing w:line="360" w:lineRule="auto"/>
        <w:jc w:val="both"/>
        <w:rPr>
          <w:rFonts w:ascii="Times New Roman" w:hAnsi="Times New Roman" w:cs="Times New Roman"/>
          <w:lang w:val="en-US"/>
        </w:rPr>
      </w:pPr>
    </w:p>
    <w:p w:rsidR="00455856" w:rsidRPr="00F80570" w:rsidRDefault="00455856" w:rsidP="00AF7273">
      <w:pPr>
        <w:spacing w:line="360" w:lineRule="auto"/>
        <w:jc w:val="both"/>
        <w:rPr>
          <w:rFonts w:ascii="Times New Roman" w:hAnsi="Times New Roman" w:cs="Times New Roman"/>
          <w:lang w:val="en-US"/>
        </w:rPr>
      </w:pPr>
      <w:r w:rsidRPr="00F80570">
        <w:rPr>
          <w:rFonts w:ascii="Times New Roman" w:hAnsi="Times New Roman" w:cs="Times New Roman"/>
          <w:lang w:val="en-US"/>
        </w:rPr>
        <w:tab/>
        <w:t xml:space="preserve">The argument in this </w:t>
      </w:r>
      <w:r>
        <w:rPr>
          <w:rFonts w:ascii="Times New Roman" w:hAnsi="Times New Roman" w:cs="Times New Roman"/>
          <w:lang w:val="en-US"/>
        </w:rPr>
        <w:t>article</w:t>
      </w:r>
      <w:r w:rsidRPr="00F80570">
        <w:rPr>
          <w:rFonts w:ascii="Times New Roman" w:hAnsi="Times New Roman" w:cs="Times New Roman"/>
          <w:lang w:val="en-US"/>
        </w:rPr>
        <w:t xml:space="preserve"> is conceptual: it was an attempt to answer a theoretical question about the relation between rules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But it should not be thought </w:t>
      </w:r>
      <w:r>
        <w:rPr>
          <w:rFonts w:ascii="Times New Roman" w:hAnsi="Times New Roman" w:cs="Times New Roman"/>
          <w:lang w:val="en-US"/>
        </w:rPr>
        <w:t xml:space="preserve">of </w:t>
      </w:r>
      <w:r w:rsidRPr="00F80570">
        <w:rPr>
          <w:rFonts w:ascii="Times New Roman" w:hAnsi="Times New Roman" w:cs="Times New Roman"/>
          <w:lang w:val="en-US"/>
        </w:rPr>
        <w:t xml:space="preserve">as having only theoretical relevance. Articulating the relation between the prohibition of force and consent along the lines of the extrinsic model has some important practical consequences. To begin with, it entrenches the need for justification, even public justification, whenever consensual force is used. If the use of force is a </w:t>
      </w:r>
      <w:r w:rsidRPr="00F80570">
        <w:rPr>
          <w:rFonts w:ascii="Times New Roman" w:hAnsi="Times New Roman" w:cs="Times New Roman"/>
          <w:i/>
          <w:iCs/>
          <w:lang w:val="en-US"/>
        </w:rPr>
        <w:t>prima facie</w:t>
      </w:r>
      <w:r w:rsidRPr="00F80570">
        <w:rPr>
          <w:rFonts w:ascii="Times New Roman" w:hAnsi="Times New Roman" w:cs="Times New Roman"/>
          <w:lang w:val="en-US"/>
        </w:rPr>
        <w:t xml:space="preserve"> wrong, </w:t>
      </w:r>
      <w:r w:rsidRPr="00F80570">
        <w:rPr>
          <w:rFonts w:ascii="Times New Roman" w:hAnsi="Times New Roman" w:cs="Times New Roman"/>
          <w:color w:val="000000" w:themeColor="text1"/>
        </w:rPr>
        <w:t xml:space="preserve">then </w:t>
      </w:r>
      <w:r>
        <w:rPr>
          <w:rFonts w:ascii="Times New Roman" w:hAnsi="Times New Roman" w:cs="Times New Roman"/>
          <w:color w:val="000000" w:themeColor="text1"/>
        </w:rPr>
        <w:t>s</w:t>
      </w:r>
      <w:r w:rsidRPr="00F80570">
        <w:rPr>
          <w:rFonts w:ascii="Times New Roman" w:hAnsi="Times New Roman" w:cs="Times New Roman"/>
          <w:color w:val="000000" w:themeColor="text1"/>
        </w:rPr>
        <w:t xml:space="preserve">tates are more likely to offer justifications for their behaviour so as to clarify that they are acting within the boundaries of the law. Given the decentralisation of the international legal order, and the lack of institutions with mandatory powers of review of </w:t>
      </w:r>
      <w:r>
        <w:rPr>
          <w:rFonts w:ascii="Times New Roman" w:hAnsi="Times New Roman" w:cs="Times New Roman"/>
          <w:color w:val="000000" w:themeColor="text1"/>
        </w:rPr>
        <w:t>s</w:t>
      </w:r>
      <w:r w:rsidRPr="00F80570">
        <w:rPr>
          <w:rFonts w:ascii="Times New Roman" w:hAnsi="Times New Roman" w:cs="Times New Roman"/>
          <w:color w:val="000000" w:themeColor="text1"/>
        </w:rPr>
        <w:t xml:space="preserve">tate uses of force, it is only through the process of justification and reaction that we can assess the legality of </w:t>
      </w:r>
      <w:r>
        <w:rPr>
          <w:rFonts w:ascii="Times New Roman" w:hAnsi="Times New Roman" w:cs="Times New Roman"/>
          <w:color w:val="000000" w:themeColor="text1"/>
        </w:rPr>
        <w:t>s</w:t>
      </w:r>
      <w:r w:rsidRPr="00F80570">
        <w:rPr>
          <w:rFonts w:ascii="Times New Roman" w:hAnsi="Times New Roman" w:cs="Times New Roman"/>
          <w:color w:val="000000" w:themeColor="text1"/>
        </w:rPr>
        <w:t>tates’ actions involving military force. But perhaps most importantly, the extrinsic model reaffirms that force is a harm, one that is to be avoided, even when it is consensual.</w:t>
      </w:r>
    </w:p>
    <w:p w:rsidR="00455856" w:rsidRPr="00F80570" w:rsidRDefault="00455856" w:rsidP="00AF7273">
      <w:pPr>
        <w:spacing w:line="360" w:lineRule="auto"/>
        <w:rPr>
          <w:rFonts w:ascii="Times New Roman" w:hAnsi="Times New Roman" w:cs="Times New Roman"/>
          <w:lang w:val="en-US"/>
        </w:rPr>
      </w:pPr>
    </w:p>
    <w:p w:rsidR="00455856" w:rsidRDefault="00455856" w:rsidP="00AF7273">
      <w:pPr>
        <w:spacing w:line="360" w:lineRule="auto"/>
        <w:rPr>
          <w:rFonts w:ascii="Times New Roman" w:hAnsi="Times New Roman" w:cs="Times New Roman"/>
          <w:b/>
          <w:bCs/>
          <w:lang w:val="en-US"/>
        </w:rPr>
      </w:pPr>
      <w:r w:rsidRPr="00F80570">
        <w:rPr>
          <w:rFonts w:ascii="Times New Roman" w:hAnsi="Times New Roman" w:cs="Times New Roman"/>
          <w:b/>
          <w:bCs/>
          <w:lang w:val="en-US"/>
        </w:rPr>
        <w:t>Acknowledgements</w:t>
      </w:r>
    </w:p>
    <w:p w:rsidR="00455856" w:rsidRPr="00F80570" w:rsidRDefault="00455856" w:rsidP="00AF7273">
      <w:pPr>
        <w:spacing w:line="360" w:lineRule="auto"/>
        <w:jc w:val="both"/>
        <w:rPr>
          <w:rFonts w:ascii="Times New Roman" w:hAnsi="Times New Roman" w:cs="Times New Roman"/>
          <w:b/>
          <w:bCs/>
          <w:lang w:val="en-US"/>
        </w:rPr>
      </w:pPr>
      <w:r w:rsidRPr="00F80570">
        <w:rPr>
          <w:rFonts w:ascii="Times New Roman" w:hAnsi="Times New Roman" w:cs="Times New Roman"/>
        </w:rPr>
        <w:t xml:space="preserve">In addition to the editors of the journal, James Green and Tom </w:t>
      </w:r>
      <w:proofErr w:type="spellStart"/>
      <w:r w:rsidRPr="00F80570">
        <w:rPr>
          <w:rFonts w:ascii="Times New Roman" w:hAnsi="Times New Roman" w:cs="Times New Roman"/>
        </w:rPr>
        <w:t>Ruys</w:t>
      </w:r>
      <w:proofErr w:type="spellEnd"/>
      <w:r w:rsidRPr="00F80570">
        <w:rPr>
          <w:rFonts w:ascii="Times New Roman" w:hAnsi="Times New Roman" w:cs="Times New Roman"/>
        </w:rPr>
        <w:t xml:space="preserve">, I am grateful to Sarah </w:t>
      </w:r>
      <w:proofErr w:type="spellStart"/>
      <w:r w:rsidRPr="00F80570">
        <w:rPr>
          <w:rFonts w:ascii="Times New Roman" w:hAnsi="Times New Roman" w:cs="Times New Roman"/>
        </w:rPr>
        <w:t>Gucanin</w:t>
      </w:r>
      <w:proofErr w:type="spellEnd"/>
      <w:r w:rsidRPr="00F80570">
        <w:rPr>
          <w:rFonts w:ascii="Times New Roman" w:hAnsi="Times New Roman" w:cs="Times New Roman"/>
        </w:rPr>
        <w:t xml:space="preserve">, Adil Haque, Katie Johnston, Claus </w:t>
      </w:r>
      <w:proofErr w:type="spellStart"/>
      <w:r w:rsidRPr="00F80570">
        <w:rPr>
          <w:rFonts w:ascii="Times New Roman" w:hAnsi="Times New Roman" w:cs="Times New Roman"/>
        </w:rPr>
        <w:t>Kre</w:t>
      </w:r>
      <w:r w:rsidRPr="00F80570">
        <w:rPr>
          <w:rFonts w:ascii="Times New Roman" w:hAnsi="Times New Roman" w:cs="Times New Roman"/>
          <w:noProof/>
        </w:rPr>
        <w:t>ß</w:t>
      </w:r>
      <w:proofErr w:type="spellEnd"/>
      <w:r w:rsidRPr="00F80570">
        <w:rPr>
          <w:rFonts w:ascii="Times New Roman" w:hAnsi="Times New Roman" w:cs="Times New Roman"/>
        </w:rPr>
        <w:t xml:space="preserve">, </w:t>
      </w:r>
      <w:proofErr w:type="spellStart"/>
      <w:r w:rsidRPr="00F80570">
        <w:rPr>
          <w:rFonts w:ascii="Times New Roman" w:hAnsi="Times New Roman" w:cs="Times New Roman"/>
        </w:rPr>
        <w:t>Eliav</w:t>
      </w:r>
      <w:proofErr w:type="spellEnd"/>
      <w:r w:rsidRPr="00F80570">
        <w:rPr>
          <w:rFonts w:ascii="Times New Roman" w:hAnsi="Times New Roman" w:cs="Times New Roman"/>
        </w:rPr>
        <w:t xml:space="preserve"> Lieblich, Svenja </w:t>
      </w:r>
      <w:proofErr w:type="spellStart"/>
      <w:r w:rsidRPr="00F80570">
        <w:rPr>
          <w:rFonts w:ascii="Times New Roman" w:hAnsi="Times New Roman" w:cs="Times New Roman"/>
        </w:rPr>
        <w:t>Raube</w:t>
      </w:r>
      <w:proofErr w:type="spellEnd"/>
      <w:r w:rsidRPr="00F80570">
        <w:rPr>
          <w:rFonts w:ascii="Times New Roman" w:hAnsi="Times New Roman" w:cs="Times New Roman"/>
        </w:rPr>
        <w:t xml:space="preserve">, and </w:t>
      </w:r>
      <w:proofErr w:type="spellStart"/>
      <w:r w:rsidRPr="00F80570">
        <w:rPr>
          <w:rFonts w:ascii="Times New Roman" w:hAnsi="Times New Roman" w:cs="Times New Roman"/>
        </w:rPr>
        <w:t>Yahli</w:t>
      </w:r>
      <w:proofErr w:type="spellEnd"/>
      <w:r w:rsidRPr="00F80570">
        <w:rPr>
          <w:rFonts w:ascii="Times New Roman" w:hAnsi="Times New Roman" w:cs="Times New Roman"/>
        </w:rPr>
        <w:t xml:space="preserve"> </w:t>
      </w:r>
      <w:proofErr w:type="spellStart"/>
      <w:r w:rsidR="00B27BB0" w:rsidRPr="00F80570">
        <w:rPr>
          <w:rFonts w:ascii="Times New Roman" w:hAnsi="Times New Roman" w:cs="Times New Roman"/>
        </w:rPr>
        <w:t>Shere</w:t>
      </w:r>
      <w:r w:rsidR="00B27BB0">
        <w:rPr>
          <w:rFonts w:ascii="Times New Roman" w:hAnsi="Times New Roman" w:cs="Times New Roman"/>
        </w:rPr>
        <w:t>s</w:t>
      </w:r>
      <w:r w:rsidR="00B27BB0" w:rsidRPr="00F80570">
        <w:rPr>
          <w:rFonts w:ascii="Times New Roman" w:hAnsi="Times New Roman" w:cs="Times New Roman"/>
        </w:rPr>
        <w:t>hevsk</w:t>
      </w:r>
      <w:r w:rsidR="00B27BB0">
        <w:rPr>
          <w:rFonts w:ascii="Times New Roman" w:hAnsi="Times New Roman" w:cs="Times New Roman"/>
        </w:rPr>
        <w:t>y</w:t>
      </w:r>
      <w:proofErr w:type="spellEnd"/>
      <w:r w:rsidR="00B27BB0" w:rsidRPr="00F80570">
        <w:rPr>
          <w:rFonts w:ascii="Times New Roman" w:hAnsi="Times New Roman" w:cs="Times New Roman"/>
        </w:rPr>
        <w:t xml:space="preserve"> </w:t>
      </w:r>
      <w:r w:rsidRPr="00F80570">
        <w:rPr>
          <w:rFonts w:ascii="Times New Roman" w:hAnsi="Times New Roman" w:cs="Times New Roman"/>
        </w:rPr>
        <w:t xml:space="preserve">for their useful comments on previous drafts of this </w:t>
      </w:r>
      <w:r>
        <w:rPr>
          <w:rFonts w:ascii="Times New Roman" w:hAnsi="Times New Roman" w:cs="Times New Roman"/>
        </w:rPr>
        <w:t>article</w:t>
      </w:r>
      <w:r w:rsidRPr="00F80570">
        <w:rPr>
          <w:rFonts w:ascii="Times New Roman" w:hAnsi="Times New Roman" w:cs="Times New Roman"/>
        </w:rPr>
        <w:t xml:space="preserve">. I am also grateful to Fernando </w:t>
      </w:r>
      <w:proofErr w:type="spellStart"/>
      <w:r w:rsidRPr="00F80570">
        <w:rPr>
          <w:rFonts w:ascii="Times New Roman" w:hAnsi="Times New Roman" w:cs="Times New Roman"/>
        </w:rPr>
        <w:t>Lusa</w:t>
      </w:r>
      <w:proofErr w:type="spellEnd"/>
      <w:r w:rsidRPr="00F80570">
        <w:rPr>
          <w:rFonts w:ascii="Times New Roman" w:hAnsi="Times New Roman" w:cs="Times New Roman"/>
        </w:rPr>
        <w:t xml:space="preserve"> </w:t>
      </w:r>
      <w:proofErr w:type="spellStart"/>
      <w:r w:rsidRPr="00F80570">
        <w:rPr>
          <w:rFonts w:ascii="Times New Roman" w:hAnsi="Times New Roman" w:cs="Times New Roman"/>
        </w:rPr>
        <w:t>Bordin</w:t>
      </w:r>
      <w:proofErr w:type="spellEnd"/>
      <w:r w:rsidRPr="00F80570">
        <w:rPr>
          <w:rFonts w:ascii="Times New Roman" w:hAnsi="Times New Roman" w:cs="Times New Roman"/>
        </w:rPr>
        <w:t xml:space="preserve">, Brendan Plant, Hannah </w:t>
      </w:r>
      <w:proofErr w:type="spellStart"/>
      <w:r w:rsidRPr="00F80570">
        <w:rPr>
          <w:rFonts w:ascii="Times New Roman" w:hAnsi="Times New Roman" w:cs="Times New Roman"/>
        </w:rPr>
        <w:t>Woolaver</w:t>
      </w:r>
      <w:proofErr w:type="spellEnd"/>
      <w:r w:rsidRPr="00F80570">
        <w:rPr>
          <w:rFonts w:ascii="Times New Roman" w:hAnsi="Times New Roman" w:cs="Times New Roman"/>
        </w:rPr>
        <w:t xml:space="preserve">, and audiences in Ghent, Tel Aviv, and Jerusalem for discussing various aspects of this </w:t>
      </w:r>
      <w:r>
        <w:rPr>
          <w:rFonts w:ascii="Times New Roman" w:hAnsi="Times New Roman" w:cs="Times New Roman"/>
        </w:rPr>
        <w:t>article</w:t>
      </w:r>
      <w:r w:rsidRPr="00F80570">
        <w:rPr>
          <w:rFonts w:ascii="Times New Roman" w:hAnsi="Times New Roman" w:cs="Times New Roman"/>
        </w:rPr>
        <w:t xml:space="preserve"> with me over the last few months.</w:t>
      </w:r>
      <w:r>
        <w:rPr>
          <w:rFonts w:ascii="Times New Roman" w:hAnsi="Times New Roman" w:cs="Times New Roman"/>
        </w:rPr>
        <w:t xml:space="preserve"> I am grateful to the Centre for Research in the Arts, Social Sciences and Humanities (CRASSH) at the University of Cambridge, for funding my Early Career Fellow</w:t>
      </w:r>
      <w:r w:rsidR="00095D02">
        <w:rPr>
          <w:rFonts w:ascii="Times New Roman" w:hAnsi="Times New Roman" w:cs="Times New Roman"/>
        </w:rPr>
        <w:t>ship</w:t>
      </w:r>
      <w:r>
        <w:rPr>
          <w:rFonts w:ascii="Times New Roman" w:hAnsi="Times New Roman" w:cs="Times New Roman"/>
        </w:rPr>
        <w:t xml:space="preserve"> in Michaelmas Term 2019 so that I could work on this article.</w:t>
      </w:r>
    </w:p>
    <w:p w:rsidR="00C63B68" w:rsidRDefault="00C63B68"/>
    <w:sectPr w:rsidR="00C63B68" w:rsidSect="00FF0DC5">
      <w:footerReference w:type="even" r:id="rId8"/>
      <w:footerReference w:type="default" r:id="rId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375C4" w:rsidRDefault="009375C4" w:rsidP="00455856">
      <w:r>
        <w:separator/>
      </w:r>
    </w:p>
  </w:endnote>
  <w:endnote w:type="continuationSeparator" w:id="0">
    <w:p w:rsidR="009375C4" w:rsidRDefault="009375C4" w:rsidP="004558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 New Roman (Headings CS)">
    <w:altName w:val="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633135881"/>
      <w:docPartObj>
        <w:docPartGallery w:val="Page Numbers (Bottom of Page)"/>
        <w:docPartUnique/>
      </w:docPartObj>
    </w:sdtPr>
    <w:sdtEndPr>
      <w:rPr>
        <w:rStyle w:val="PageNumber"/>
      </w:rPr>
    </w:sdtEndPr>
    <w:sdtContent>
      <w:p w:rsidR="00AF7273" w:rsidRDefault="00AF7273" w:rsidP="00AF727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AF7273" w:rsidRDefault="00AF7273" w:rsidP="00AF727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19825625"/>
      <w:docPartObj>
        <w:docPartGallery w:val="Page Numbers (Bottom of Page)"/>
        <w:docPartUnique/>
      </w:docPartObj>
    </w:sdtPr>
    <w:sdtEndPr>
      <w:rPr>
        <w:rStyle w:val="PageNumber"/>
      </w:rPr>
    </w:sdtEndPr>
    <w:sdtContent>
      <w:p w:rsidR="00AF7273" w:rsidRDefault="00AF7273" w:rsidP="00AF727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AF7273" w:rsidRDefault="00AF7273" w:rsidP="00AF727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375C4" w:rsidRDefault="009375C4" w:rsidP="00455856">
      <w:r>
        <w:separator/>
      </w:r>
    </w:p>
  </w:footnote>
  <w:footnote w:type="continuationSeparator" w:id="0">
    <w:p w:rsidR="009375C4" w:rsidRDefault="009375C4" w:rsidP="00455856">
      <w:r>
        <w:continuationSeparator/>
      </w:r>
    </w:p>
  </w:footnote>
  <w:footnote w:id="1">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t>*</w:t>
      </w:r>
      <w:r w:rsidR="0056618C">
        <w:rPr>
          <w:rStyle w:val="FootnoteReference"/>
          <w:rFonts w:ascii="Times New Roman" w:hAnsi="Times New Roman" w:cs="Times New Roman"/>
        </w:rPr>
        <w:t xml:space="preserve"> </w:t>
      </w:r>
      <w:r>
        <w:rPr>
          <w:rFonts w:ascii="Times New Roman" w:hAnsi="Times New Roman" w:cs="Times New Roman"/>
        </w:rPr>
        <w:t>All links were last accessed on 22 July 2020.</w:t>
      </w:r>
    </w:p>
  </w:footnote>
  <w:footnote w:id="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John Gardner, ‘Justifications and Reasons’</w:t>
      </w:r>
      <w:r>
        <w:rPr>
          <w:rFonts w:ascii="Times New Roman" w:hAnsi="Times New Roman" w:cs="Times New Roman"/>
          <w:noProof/>
        </w:rPr>
        <w:t>, in</w:t>
      </w:r>
      <w:r w:rsidRPr="00F80570">
        <w:rPr>
          <w:rFonts w:ascii="Times New Roman" w:hAnsi="Times New Roman" w:cs="Times New Roman"/>
          <w:noProof/>
        </w:rPr>
        <w:t xml:space="preserve"> </w:t>
      </w:r>
      <w:r w:rsidRPr="00F80570">
        <w:rPr>
          <w:rFonts w:ascii="Times New Roman" w:hAnsi="Times New Roman" w:cs="Times New Roman"/>
          <w:i/>
          <w:noProof/>
        </w:rPr>
        <w:t>Offences and Defences: Selected Essays in the Philosophy of Criminal Law</w:t>
      </w:r>
      <w:r w:rsidRPr="00F80570">
        <w:rPr>
          <w:rFonts w:ascii="Times New Roman" w:hAnsi="Times New Roman" w:cs="Times New Roman"/>
          <w:noProof/>
        </w:rPr>
        <w:t xml:space="preserve"> (OUP, 2007), 95.</w:t>
      </w:r>
    </w:p>
  </w:footnote>
  <w:footnote w:id="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Heidi M Hurd, ‘The Moral Magic of Consent’ (1996) 2 </w:t>
      </w:r>
      <w:r w:rsidRPr="00F80570">
        <w:rPr>
          <w:rFonts w:ascii="Times New Roman" w:hAnsi="Times New Roman" w:cs="Times New Roman"/>
          <w:i/>
          <w:noProof/>
        </w:rPr>
        <w:t xml:space="preserve">Legal Theory </w:t>
      </w:r>
      <w:r w:rsidRPr="00F80570">
        <w:rPr>
          <w:rFonts w:ascii="Times New Roman" w:hAnsi="Times New Roman" w:cs="Times New Roman"/>
          <w:noProof/>
        </w:rPr>
        <w:t>121, 123.</w:t>
      </w:r>
    </w:p>
  </w:footnote>
  <w:footnote w:id="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See, e</w:t>
      </w:r>
      <w:r>
        <w:rPr>
          <w:rFonts w:ascii="Times New Roman" w:hAnsi="Times New Roman" w:cs="Times New Roman"/>
        </w:rPr>
        <w:t>.</w:t>
      </w:r>
      <w:r w:rsidRPr="00F80570">
        <w:rPr>
          <w:rFonts w:ascii="Times New Roman" w:hAnsi="Times New Roman" w:cs="Times New Roman"/>
        </w:rPr>
        <w:t>g</w:t>
      </w:r>
      <w:r>
        <w:rPr>
          <w:rFonts w:ascii="Times New Roman" w:hAnsi="Times New Roman" w:cs="Times New Roman"/>
        </w:rPr>
        <w:t>.</w:t>
      </w:r>
      <w:r w:rsidRPr="00F80570">
        <w:rPr>
          <w:rFonts w:ascii="Times New Roman" w:hAnsi="Times New Roman" w:cs="Times New Roman"/>
        </w:rPr>
        <w:t xml:space="preserve"> </w:t>
      </w:r>
      <w:r w:rsidRPr="00F80570">
        <w:rPr>
          <w:rFonts w:ascii="Times New Roman" w:hAnsi="Times New Roman" w:cs="Times New Roman"/>
          <w:lang w:val="en-US"/>
        </w:rPr>
        <w:t xml:space="preserve">agreements on hot pursuit on land in Europe, on which see </w:t>
      </w:r>
      <w:r w:rsidRPr="00F80570">
        <w:rPr>
          <w:rFonts w:ascii="Times New Roman" w:hAnsi="Times New Roman" w:cs="Times New Roman"/>
          <w:noProof/>
          <w:lang w:val="en-US"/>
        </w:rPr>
        <w:t xml:space="preserve">Maarten Daman, ‘Cross-Border Hot Pursuit in the EU’ (2008) 16 </w:t>
      </w:r>
      <w:r w:rsidRPr="00F80570">
        <w:rPr>
          <w:rFonts w:ascii="Times New Roman" w:hAnsi="Times New Roman" w:cs="Times New Roman"/>
          <w:i/>
          <w:noProof/>
          <w:lang w:val="en-US"/>
        </w:rPr>
        <w:t>Eur</w:t>
      </w:r>
      <w:r>
        <w:rPr>
          <w:rFonts w:ascii="Times New Roman" w:hAnsi="Times New Roman" w:cs="Times New Roman"/>
          <w:i/>
          <w:noProof/>
          <w:lang w:val="en-US"/>
        </w:rPr>
        <w:t>opean</w:t>
      </w:r>
      <w:r w:rsidRPr="00F80570">
        <w:rPr>
          <w:rFonts w:ascii="Times New Roman" w:hAnsi="Times New Roman" w:cs="Times New Roman"/>
          <w:i/>
          <w:noProof/>
          <w:lang w:val="en-US"/>
        </w:rPr>
        <w:t xml:space="preserve"> J</w:t>
      </w:r>
      <w:r>
        <w:rPr>
          <w:rFonts w:ascii="Times New Roman" w:hAnsi="Times New Roman" w:cs="Times New Roman"/>
          <w:i/>
          <w:noProof/>
          <w:lang w:val="en-US"/>
        </w:rPr>
        <w:t>ournal of</w:t>
      </w:r>
      <w:r w:rsidRPr="00F80570">
        <w:rPr>
          <w:rFonts w:ascii="Times New Roman" w:hAnsi="Times New Roman" w:cs="Times New Roman"/>
          <w:i/>
          <w:noProof/>
          <w:lang w:val="en-US"/>
        </w:rPr>
        <w:t xml:space="preserve">  Crime</w:t>
      </w:r>
      <w:r>
        <w:rPr>
          <w:rFonts w:ascii="Times New Roman" w:hAnsi="Times New Roman" w:cs="Times New Roman"/>
          <w:i/>
          <w:noProof/>
          <w:lang w:val="en-US"/>
        </w:rPr>
        <w:t>,</w:t>
      </w:r>
      <w:r w:rsidRPr="00F80570">
        <w:rPr>
          <w:rFonts w:ascii="Times New Roman" w:hAnsi="Times New Roman" w:cs="Times New Roman"/>
          <w:i/>
          <w:noProof/>
          <w:lang w:val="en-US"/>
        </w:rPr>
        <w:t xml:space="preserve"> Crim</w:t>
      </w:r>
      <w:r>
        <w:rPr>
          <w:rFonts w:ascii="Times New Roman" w:hAnsi="Times New Roman" w:cs="Times New Roman"/>
          <w:i/>
          <w:noProof/>
          <w:lang w:val="en-US"/>
        </w:rPr>
        <w:t>inal</w:t>
      </w:r>
      <w:r w:rsidRPr="00F80570">
        <w:rPr>
          <w:rFonts w:ascii="Times New Roman" w:hAnsi="Times New Roman" w:cs="Times New Roman"/>
          <w:i/>
          <w:noProof/>
          <w:lang w:val="en-US"/>
        </w:rPr>
        <w:t xml:space="preserve"> L</w:t>
      </w:r>
      <w:r>
        <w:rPr>
          <w:rFonts w:ascii="Times New Roman" w:hAnsi="Times New Roman" w:cs="Times New Roman"/>
          <w:i/>
          <w:noProof/>
          <w:lang w:val="en-US"/>
        </w:rPr>
        <w:t>aw</w:t>
      </w:r>
      <w:r w:rsidRPr="00F80570">
        <w:rPr>
          <w:rFonts w:ascii="Times New Roman" w:hAnsi="Times New Roman" w:cs="Times New Roman"/>
          <w:i/>
          <w:noProof/>
          <w:lang w:val="en-US"/>
        </w:rPr>
        <w:t xml:space="preserve"> &amp; Crim</w:t>
      </w:r>
      <w:r>
        <w:rPr>
          <w:rFonts w:ascii="Times New Roman" w:hAnsi="Times New Roman" w:cs="Times New Roman"/>
          <w:i/>
          <w:noProof/>
          <w:lang w:val="en-US"/>
        </w:rPr>
        <w:t>inal</w:t>
      </w:r>
      <w:r w:rsidRPr="00F80570">
        <w:rPr>
          <w:rFonts w:ascii="Times New Roman" w:hAnsi="Times New Roman" w:cs="Times New Roman"/>
          <w:i/>
          <w:noProof/>
          <w:lang w:val="en-US"/>
        </w:rPr>
        <w:t xml:space="preserve"> Justice </w:t>
      </w:r>
      <w:r w:rsidRPr="00F80570">
        <w:rPr>
          <w:rFonts w:ascii="Times New Roman" w:hAnsi="Times New Roman" w:cs="Times New Roman"/>
          <w:noProof/>
          <w:lang w:val="en-US"/>
        </w:rPr>
        <w:t>171.</w:t>
      </w:r>
    </w:p>
  </w:footnote>
  <w:footnote w:id="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Hurd </w:t>
      </w:r>
      <w:r>
        <w:rPr>
          <w:rFonts w:ascii="Times New Roman" w:hAnsi="Times New Roman" w:cs="Times New Roman"/>
          <w:noProof/>
        </w:rPr>
        <w:t>(n 2)</w:t>
      </w:r>
      <w:r w:rsidRPr="00F80570">
        <w:rPr>
          <w:rFonts w:ascii="Times New Roman" w:hAnsi="Times New Roman" w:cs="Times New Roman"/>
          <w:noProof/>
        </w:rPr>
        <w:t xml:space="preserve"> 123.</w:t>
      </w:r>
    </w:p>
  </w:footnote>
  <w:footnote w:id="6">
    <w:p w:rsidR="00AF7273" w:rsidRPr="00EB3E7A"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There remain disagreements about the precise contours and scope of the consent given, for example who can give consent on behalf of the </w:t>
      </w:r>
      <w:r>
        <w:rPr>
          <w:rFonts w:ascii="Times New Roman" w:hAnsi="Times New Roman" w:cs="Times New Roman"/>
        </w:rPr>
        <w:t>s</w:t>
      </w:r>
      <w:r w:rsidRPr="00F80570">
        <w:rPr>
          <w:rFonts w:ascii="Times New Roman" w:hAnsi="Times New Roman" w:cs="Times New Roman"/>
        </w:rPr>
        <w:t xml:space="preserve">tate, whether any formalities are required for its withdrawal, etc. Likewise, there are disagreements about the circumstances in which a </w:t>
      </w:r>
      <w:r>
        <w:rPr>
          <w:rFonts w:ascii="Times New Roman" w:hAnsi="Times New Roman" w:cs="Times New Roman"/>
        </w:rPr>
        <w:t>s</w:t>
      </w:r>
      <w:r w:rsidRPr="00F80570">
        <w:rPr>
          <w:rFonts w:ascii="Times New Roman" w:hAnsi="Times New Roman" w:cs="Times New Roman"/>
        </w:rPr>
        <w:t xml:space="preserve">tate can consent to the use of force in its territory by another </w:t>
      </w:r>
      <w:r>
        <w:rPr>
          <w:rFonts w:ascii="Times New Roman" w:hAnsi="Times New Roman" w:cs="Times New Roman"/>
        </w:rPr>
        <w:t>s</w:t>
      </w:r>
      <w:r w:rsidRPr="00F80570">
        <w:rPr>
          <w:rFonts w:ascii="Times New Roman" w:hAnsi="Times New Roman" w:cs="Times New Roman"/>
        </w:rPr>
        <w:t xml:space="preserve">tate, in particular whether </w:t>
      </w:r>
      <w:r>
        <w:rPr>
          <w:rFonts w:ascii="Times New Roman" w:hAnsi="Times New Roman" w:cs="Times New Roman"/>
        </w:rPr>
        <w:t>s</w:t>
      </w:r>
      <w:r w:rsidRPr="00F80570">
        <w:rPr>
          <w:rFonts w:ascii="Times New Roman" w:hAnsi="Times New Roman" w:cs="Times New Roman"/>
        </w:rPr>
        <w:t xml:space="preserve">tates can lawfully consent to intervention in situations of civil war. These disagreements, important as they are, do not affect the central claim: that consensual force is permissible in international law. </w:t>
      </w:r>
      <w:r>
        <w:rPr>
          <w:rFonts w:ascii="Times New Roman" w:hAnsi="Times New Roman" w:cs="Times New Roman"/>
        </w:rPr>
        <w:t xml:space="preserve">For a recent analysis of the limits of consent in respect of military intervention, see Erika de Wet, </w:t>
      </w:r>
      <w:r>
        <w:rPr>
          <w:rFonts w:ascii="Times New Roman" w:hAnsi="Times New Roman" w:cs="Times New Roman"/>
          <w:i/>
          <w:iCs/>
        </w:rPr>
        <w:t xml:space="preserve">Military Assistance on Request and the Use of Force </w:t>
      </w:r>
      <w:r>
        <w:rPr>
          <w:rFonts w:ascii="Times New Roman" w:hAnsi="Times New Roman" w:cs="Times New Roman"/>
        </w:rPr>
        <w:t>(OUP, 2020).</w:t>
      </w:r>
    </w:p>
  </w:footnote>
  <w:footnote w:id="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David Wippman, ‘Pro-Democratic Intervention by Invitation’ in </w:t>
      </w:r>
      <w:r>
        <w:rPr>
          <w:rFonts w:ascii="Times New Roman" w:hAnsi="Times New Roman" w:cs="Times New Roman"/>
          <w:noProof/>
        </w:rPr>
        <w:t xml:space="preserve">Gregory H </w:t>
      </w:r>
      <w:r w:rsidRPr="00F80570">
        <w:rPr>
          <w:rFonts w:ascii="Times New Roman" w:hAnsi="Times New Roman" w:cs="Times New Roman"/>
          <w:noProof/>
        </w:rPr>
        <w:t xml:space="preserve">Fox and </w:t>
      </w:r>
      <w:r>
        <w:rPr>
          <w:rFonts w:ascii="Times New Roman" w:hAnsi="Times New Roman" w:cs="Times New Roman"/>
          <w:noProof/>
        </w:rPr>
        <w:t xml:space="preserve">Brad R </w:t>
      </w:r>
      <w:r w:rsidRPr="00F80570">
        <w:rPr>
          <w:rFonts w:ascii="Times New Roman" w:hAnsi="Times New Roman" w:cs="Times New Roman"/>
          <w:noProof/>
        </w:rPr>
        <w:t xml:space="preserve">Roth (eds), </w:t>
      </w:r>
      <w:r w:rsidRPr="00F80570">
        <w:rPr>
          <w:rFonts w:ascii="Times New Roman" w:hAnsi="Times New Roman" w:cs="Times New Roman"/>
          <w:i/>
          <w:noProof/>
        </w:rPr>
        <w:t>Democratic Governance and International Law</w:t>
      </w:r>
      <w:r w:rsidRPr="00F80570">
        <w:rPr>
          <w:rFonts w:ascii="Times New Roman" w:hAnsi="Times New Roman" w:cs="Times New Roman"/>
          <w:noProof/>
        </w:rPr>
        <w:t xml:space="preserve"> (CUP, 2000), 295.</w:t>
      </w:r>
    </w:p>
  </w:footnote>
  <w:footnote w:id="8">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Note that the ILA has even drawn a difference between consensual force and other forms of permissible force: ‘Report of the Committee on the Use of Force’, Sydney Conference (2018), section B.3, available at: </w:t>
      </w:r>
      <w:hyperlink r:id="rId1" w:history="1">
        <w:r w:rsidRPr="00F80570">
          <w:rPr>
            <w:rStyle w:val="Hyperlink"/>
            <w:rFonts w:ascii="Times New Roman" w:hAnsi="Times New Roman" w:cs="Times New Roman"/>
          </w:rPr>
          <w:t>https://www.ila-hq.org/images/ILA/DraftReports/DraftReport_UseOfForce.pdf</w:t>
        </w:r>
      </w:hyperlink>
      <w:r w:rsidRPr="00F80570">
        <w:rPr>
          <w:rFonts w:ascii="Times New Roman" w:hAnsi="Times New Roman" w:cs="Times New Roman"/>
        </w:rPr>
        <w:t xml:space="preserve">. Further references are provided in section </w:t>
      </w:r>
      <w:r>
        <w:rPr>
          <w:rFonts w:ascii="Times New Roman" w:hAnsi="Times New Roman" w:cs="Times New Roman"/>
        </w:rPr>
        <w:t>3</w:t>
      </w:r>
      <w:r w:rsidRPr="00F80570">
        <w:rPr>
          <w:rFonts w:ascii="Times New Roman" w:hAnsi="Times New Roman" w:cs="Times New Roman"/>
        </w:rPr>
        <w:t xml:space="preserve">.1. below. It is not clear, from this argument, how self-defence and UNSC authorisation could operate in a manner different to consent. After all, if the prohibition of force is indeed peremptory, such that any permitted derogations must be intrinsic to it for they would otherwise be invalid, then </w:t>
      </w:r>
      <w:r w:rsidRPr="00F80570">
        <w:rPr>
          <w:rFonts w:ascii="Times New Roman" w:hAnsi="Times New Roman" w:cs="Times New Roman"/>
          <w:i/>
          <w:iCs/>
        </w:rPr>
        <w:t>all possible instances of permissible force ought to be intrinsic to the prohibition</w:t>
      </w:r>
      <w:r w:rsidRPr="00F80570">
        <w:rPr>
          <w:rFonts w:ascii="Times New Roman" w:hAnsi="Times New Roman" w:cs="Times New Roman"/>
        </w:rPr>
        <w:t xml:space="preserve">. If this is the case, then all instances of permissible force are, to use the language of the ILA report, </w:t>
      </w:r>
      <w:r w:rsidRPr="00F80570">
        <w:rPr>
          <w:rFonts w:ascii="Times New Roman" w:hAnsi="Times New Roman" w:cs="Times New Roman"/>
          <w:i/>
          <w:iCs/>
        </w:rPr>
        <w:t>ab initio</w:t>
      </w:r>
      <w:r w:rsidRPr="00F80570">
        <w:rPr>
          <w:rFonts w:ascii="Times New Roman" w:hAnsi="Times New Roman" w:cs="Times New Roman"/>
        </w:rPr>
        <w:t xml:space="preserve"> lawful.</w:t>
      </w:r>
    </w:p>
  </w:footnote>
  <w:footnote w:id="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On rules as reasons for or against action, see generally: </w:t>
      </w:r>
      <w:r w:rsidRPr="00F80570">
        <w:rPr>
          <w:rFonts w:ascii="Times New Roman" w:hAnsi="Times New Roman" w:cs="Times New Roman"/>
          <w:noProof/>
        </w:rPr>
        <w:t xml:space="preserve">Joseph Raz, </w:t>
      </w:r>
      <w:r w:rsidRPr="00F80570">
        <w:rPr>
          <w:rFonts w:ascii="Times New Roman" w:hAnsi="Times New Roman" w:cs="Times New Roman"/>
          <w:i/>
          <w:noProof/>
        </w:rPr>
        <w:t>Practical Reasons and Norms</w:t>
      </w:r>
      <w:r w:rsidRPr="00F80570">
        <w:rPr>
          <w:rFonts w:ascii="Times New Roman" w:hAnsi="Times New Roman" w:cs="Times New Roman"/>
          <w:noProof/>
        </w:rPr>
        <w:t xml:space="preserve"> (revised edition with new postscript, OUP 1990).</w:t>
      </w:r>
    </w:p>
  </w:footnote>
  <w:footnote w:id="10">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0D0681">
        <w:rPr>
          <w:rFonts w:ascii="Times New Roman" w:hAnsi="Times New Roman" w:cs="Times New Roman"/>
        </w:rPr>
        <w:t xml:space="preserve">UNSG, ‘In larger freedom: towards development, security and human rights for all’, UN </w:t>
      </w:r>
      <w:r w:rsidRPr="0067145F">
        <w:rPr>
          <w:rFonts w:ascii="Times New Roman" w:hAnsi="Times New Roman" w:cs="Times New Roman"/>
        </w:rPr>
        <w:t>Doc A/59/2005 of 21 March 2005, para 78.</w:t>
      </w:r>
    </w:p>
  </w:footnote>
  <w:footnote w:id="11">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There are additional challenges to the intrinsic model of consent in relation to the prohibition of force. Indeed, the same arguments that militate in favour of the incorporation of consent into the prohibition of force are (indeed, must be) equally applicable to all other exceptions to the prohibition: self-defence and UNSC authorisation, at the very least, but potentially also permissions to use force included in </w:t>
      </w:r>
      <w:r>
        <w:rPr>
          <w:rFonts w:ascii="Times New Roman" w:hAnsi="Times New Roman" w:cs="Times New Roman"/>
        </w:rPr>
        <w:t xml:space="preserve">arts </w:t>
      </w:r>
      <w:r w:rsidRPr="00F80570">
        <w:rPr>
          <w:rFonts w:ascii="Times New Roman" w:hAnsi="Times New Roman" w:cs="Times New Roman"/>
        </w:rPr>
        <w:t xml:space="preserve">105, 110, and 111 of </w:t>
      </w:r>
      <w:r w:rsidRPr="00F80570">
        <w:rPr>
          <w:rFonts w:ascii="Times New Roman" w:hAnsi="Times New Roman" w:cs="Times New Roman"/>
          <w:noProof/>
        </w:rPr>
        <w:t>United Nations Convention on the Law of the Sea (1982) 1833 UNTS 397</w:t>
      </w:r>
      <w:r w:rsidRPr="00F80570">
        <w:rPr>
          <w:rFonts w:ascii="Times New Roman" w:hAnsi="Times New Roman" w:cs="Times New Roman"/>
        </w:rPr>
        <w:t>)</w:t>
      </w:r>
      <w:r>
        <w:rPr>
          <w:rFonts w:ascii="Times New Roman" w:hAnsi="Times New Roman" w:cs="Times New Roman"/>
        </w:rPr>
        <w:t xml:space="preserve">, </w:t>
      </w:r>
      <w:r w:rsidRPr="00F80570">
        <w:rPr>
          <w:rFonts w:ascii="Times New Roman" w:hAnsi="Times New Roman" w:cs="Times New Roman"/>
        </w:rPr>
        <w:t xml:space="preserve"> and other regional treaties, such as </w:t>
      </w:r>
      <w:r w:rsidRPr="00F80570">
        <w:rPr>
          <w:rFonts w:ascii="Times New Roman" w:hAnsi="Times New Roman" w:cs="Times New Roman"/>
          <w:lang w:val="en-US"/>
        </w:rPr>
        <w:t xml:space="preserve">Article 4(h) Constitutive Act of the African Union  (2001) 2158 UNTS 3. The resulting norm </w:t>
      </w:r>
      <w:r w:rsidRPr="00F80570">
        <w:rPr>
          <w:rFonts w:ascii="Times New Roman" w:hAnsi="Times New Roman" w:cs="Times New Roman"/>
        </w:rPr>
        <w:t>prohibiting force would be very long and complicated and, as such, fail to adequately guide behaviour. Furthermore, all of the exceptions would, by implication, also become part of jus cogens – and yet, there is no support in State practice for the peremptory status of consent, or of self-defence, etc. See, e</w:t>
      </w:r>
      <w:r>
        <w:rPr>
          <w:rFonts w:ascii="Times New Roman" w:hAnsi="Times New Roman" w:cs="Times New Roman"/>
        </w:rPr>
        <w:t>.</w:t>
      </w:r>
      <w:r w:rsidRPr="00F80570">
        <w:rPr>
          <w:rFonts w:ascii="Times New Roman" w:hAnsi="Times New Roman" w:cs="Times New Roman"/>
        </w:rPr>
        <w:t>g</w:t>
      </w:r>
      <w:r>
        <w:rPr>
          <w:rFonts w:ascii="Times New Roman" w:hAnsi="Times New Roman" w:cs="Times New Roman"/>
        </w:rPr>
        <w:t>.</w:t>
      </w:r>
      <w:r w:rsidRPr="00F80570">
        <w:rPr>
          <w:rFonts w:ascii="Times New Roman" w:hAnsi="Times New Roman" w:cs="Times New Roman"/>
        </w:rPr>
        <w:t xml:space="preserve"> </w:t>
      </w:r>
      <w:r w:rsidRPr="00F80570">
        <w:rPr>
          <w:rFonts w:ascii="Times New Roman" w:hAnsi="Times New Roman" w:cs="Times New Roman"/>
          <w:noProof/>
        </w:rPr>
        <w:t xml:space="preserve">Ulf Linderfalk, ‘The Effect of </w:t>
      </w:r>
      <w:r w:rsidRPr="00F80570">
        <w:rPr>
          <w:rFonts w:ascii="Times New Roman" w:hAnsi="Times New Roman" w:cs="Times New Roman"/>
          <w:i/>
          <w:noProof/>
        </w:rPr>
        <w:t>Jus Cogens</w:t>
      </w:r>
      <w:r w:rsidRPr="00F80570">
        <w:rPr>
          <w:rFonts w:ascii="Times New Roman" w:hAnsi="Times New Roman" w:cs="Times New Roman"/>
          <w:noProof/>
        </w:rPr>
        <w:t xml:space="preserve"> Norms: Whoever Opened Pandora’s Box, Did You Ever Think About the Consequences?’ (2007) 18 </w:t>
      </w:r>
      <w:r w:rsidRPr="00F80570">
        <w:rPr>
          <w:rFonts w:ascii="Times New Roman" w:hAnsi="Times New Roman" w:cs="Times New Roman"/>
          <w:i/>
          <w:noProof/>
        </w:rPr>
        <w:t>E</w:t>
      </w:r>
      <w:r>
        <w:rPr>
          <w:rFonts w:ascii="Times New Roman" w:hAnsi="Times New Roman" w:cs="Times New Roman"/>
          <w:i/>
          <w:noProof/>
        </w:rPr>
        <w:t xml:space="preserve">uropean </w:t>
      </w:r>
      <w:r w:rsidRPr="00F80570">
        <w:rPr>
          <w:rFonts w:ascii="Times New Roman" w:hAnsi="Times New Roman" w:cs="Times New Roman"/>
          <w:i/>
          <w:noProof/>
        </w:rPr>
        <w:t>J</w:t>
      </w:r>
      <w:r>
        <w:rPr>
          <w:rFonts w:ascii="Times New Roman" w:hAnsi="Times New Roman" w:cs="Times New Roman"/>
          <w:i/>
          <w:noProof/>
        </w:rPr>
        <w:t xml:space="preserve">ournal of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 xml:space="preserve">853; James A Green, ‘Questioning the Peremptory Status of the Prohibition of the Use of Force’ (2011) 32 </w:t>
      </w:r>
      <w:r w:rsidRPr="00F80570">
        <w:rPr>
          <w:rFonts w:ascii="Times New Roman" w:hAnsi="Times New Roman" w:cs="Times New Roman"/>
          <w:i/>
          <w:noProof/>
        </w:rPr>
        <w:t>Mich</w:t>
      </w:r>
      <w:r>
        <w:rPr>
          <w:rFonts w:ascii="Times New Roman" w:hAnsi="Times New Roman" w:cs="Times New Roman"/>
          <w:i/>
          <w:noProof/>
        </w:rPr>
        <w:t>igan</w:t>
      </w:r>
      <w:r w:rsidRPr="00F80570">
        <w:rPr>
          <w:rFonts w:ascii="Times New Roman" w:hAnsi="Times New Roman" w:cs="Times New Roman"/>
          <w:i/>
          <w:noProof/>
        </w:rPr>
        <w:t xml:space="preserve"> J</w:t>
      </w:r>
      <w:r>
        <w:rPr>
          <w:rFonts w:ascii="Times New Roman" w:hAnsi="Times New Roman" w:cs="Times New Roman"/>
          <w:i/>
          <w:noProof/>
        </w:rPr>
        <w:t xml:space="preserve">ournal of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 xml:space="preserve">215; André de Hoogh, ‘The Compelling Law of </w:t>
      </w:r>
      <w:r w:rsidRPr="00F80570">
        <w:rPr>
          <w:rFonts w:ascii="Times New Roman" w:hAnsi="Times New Roman" w:cs="Times New Roman"/>
          <w:i/>
          <w:noProof/>
        </w:rPr>
        <w:t>Jus Cogens</w:t>
      </w:r>
      <w:r w:rsidRPr="00F80570">
        <w:rPr>
          <w:rFonts w:ascii="Times New Roman" w:hAnsi="Times New Roman" w:cs="Times New Roman"/>
          <w:noProof/>
        </w:rPr>
        <w:t xml:space="preserve"> and Exceptions to Peremptory Norms: To Derogate or Not to Derogate, That is the Question!’ in </w:t>
      </w:r>
      <w:r>
        <w:rPr>
          <w:rFonts w:ascii="Times New Roman" w:hAnsi="Times New Roman" w:cs="Times New Roman"/>
          <w:noProof/>
        </w:rPr>
        <w:t xml:space="preserve">Lorand </w:t>
      </w:r>
      <w:r w:rsidRPr="00F80570">
        <w:rPr>
          <w:rFonts w:ascii="Times New Roman" w:hAnsi="Times New Roman" w:cs="Times New Roman"/>
          <w:noProof/>
        </w:rPr>
        <w:t xml:space="preserve">Bartels and </w:t>
      </w:r>
      <w:r>
        <w:rPr>
          <w:rFonts w:ascii="Times New Roman" w:hAnsi="Times New Roman" w:cs="Times New Roman"/>
          <w:noProof/>
        </w:rPr>
        <w:t xml:space="preserve">Federica </w:t>
      </w:r>
      <w:r w:rsidRPr="00F80570">
        <w:rPr>
          <w:rFonts w:ascii="Times New Roman" w:hAnsi="Times New Roman" w:cs="Times New Roman"/>
          <w:noProof/>
        </w:rPr>
        <w:t xml:space="preserve">Paddeu (eds), </w:t>
      </w:r>
      <w:r w:rsidRPr="00F80570">
        <w:rPr>
          <w:rFonts w:ascii="Times New Roman" w:hAnsi="Times New Roman" w:cs="Times New Roman"/>
          <w:i/>
          <w:noProof/>
        </w:rPr>
        <w:t>Exceptions in International Law</w:t>
      </w:r>
      <w:r w:rsidRPr="00F80570">
        <w:rPr>
          <w:rFonts w:ascii="Times New Roman" w:hAnsi="Times New Roman" w:cs="Times New Roman"/>
          <w:noProof/>
        </w:rPr>
        <w:t xml:space="preserve"> (OUP, 2020), </w:t>
      </w:r>
      <w:r w:rsidR="008A5D49">
        <w:rPr>
          <w:rFonts w:ascii="Times New Roman" w:hAnsi="Times New Roman" w:cs="Times New Roman"/>
          <w:noProof/>
        </w:rPr>
        <w:t>127</w:t>
      </w:r>
      <w:r w:rsidRPr="00F80570">
        <w:rPr>
          <w:rFonts w:ascii="Times New Roman" w:hAnsi="Times New Roman" w:cs="Times New Roman"/>
          <w:noProof/>
        </w:rPr>
        <w:t>.</w:t>
      </w:r>
      <w:r w:rsidRPr="00F80570">
        <w:rPr>
          <w:rFonts w:ascii="Times New Roman" w:hAnsi="Times New Roman" w:cs="Times New Roman"/>
        </w:rPr>
        <w:t xml:space="preserve"> Nothing else will be said about these difficulties in the present paper, as these have already been expertly covered in the literature.</w:t>
      </w:r>
    </w:p>
  </w:footnote>
  <w:footnote w:id="12">
    <w:p w:rsidR="00AF7273" w:rsidRPr="00F80570" w:rsidRDefault="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I am grateful to </w:t>
      </w:r>
      <w:proofErr w:type="spellStart"/>
      <w:r w:rsidRPr="00F80570">
        <w:rPr>
          <w:rFonts w:ascii="Times New Roman" w:hAnsi="Times New Roman" w:cs="Times New Roman"/>
        </w:rPr>
        <w:t>Yahli</w:t>
      </w:r>
      <w:proofErr w:type="spellEnd"/>
      <w:r w:rsidRPr="00F80570">
        <w:rPr>
          <w:rFonts w:ascii="Times New Roman" w:hAnsi="Times New Roman" w:cs="Times New Roman"/>
        </w:rPr>
        <w:t xml:space="preserve"> </w:t>
      </w:r>
      <w:proofErr w:type="spellStart"/>
      <w:r w:rsidRPr="00F80570">
        <w:rPr>
          <w:rFonts w:ascii="Times New Roman" w:hAnsi="Times New Roman" w:cs="Times New Roman"/>
        </w:rPr>
        <w:t>Shere</w:t>
      </w:r>
      <w:r w:rsidR="00B27BB0">
        <w:rPr>
          <w:rFonts w:ascii="Times New Roman" w:hAnsi="Times New Roman" w:cs="Times New Roman"/>
        </w:rPr>
        <w:t>s</w:t>
      </w:r>
      <w:r w:rsidRPr="00F80570">
        <w:rPr>
          <w:rFonts w:ascii="Times New Roman" w:hAnsi="Times New Roman" w:cs="Times New Roman"/>
        </w:rPr>
        <w:t>hevsk</w:t>
      </w:r>
      <w:r w:rsidR="00B27BB0">
        <w:rPr>
          <w:rFonts w:ascii="Times New Roman" w:hAnsi="Times New Roman" w:cs="Times New Roman"/>
        </w:rPr>
        <w:t>y</w:t>
      </w:r>
      <w:proofErr w:type="spellEnd"/>
      <w:r w:rsidRPr="00F80570">
        <w:rPr>
          <w:rFonts w:ascii="Times New Roman" w:hAnsi="Times New Roman" w:cs="Times New Roman"/>
        </w:rPr>
        <w:t xml:space="preserve"> for </w:t>
      </w:r>
      <w:r w:rsidR="00B27BB0">
        <w:rPr>
          <w:rFonts w:ascii="Times New Roman" w:hAnsi="Times New Roman" w:cs="Times New Roman"/>
        </w:rPr>
        <w:t>pressing</w:t>
      </w:r>
      <w:r w:rsidRPr="00F80570">
        <w:rPr>
          <w:rFonts w:ascii="Times New Roman" w:hAnsi="Times New Roman" w:cs="Times New Roman"/>
        </w:rPr>
        <w:t xml:space="preserve"> me on this point.</w:t>
      </w:r>
    </w:p>
  </w:footnote>
  <w:footnote w:id="1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Giovanni Sartor, ‘Rules and Exceptions, in Law and Elsewhere’ in</w:t>
      </w:r>
      <w:r>
        <w:rPr>
          <w:rFonts w:ascii="Times New Roman" w:hAnsi="Times New Roman" w:cs="Times New Roman"/>
          <w:noProof/>
        </w:rPr>
        <w:t xml:space="preserve"> </w:t>
      </w:r>
      <w:r w:rsidRPr="00F80570">
        <w:rPr>
          <w:rFonts w:ascii="Times New Roman" w:hAnsi="Times New Roman" w:cs="Times New Roman"/>
          <w:noProof/>
        </w:rPr>
        <w:t xml:space="preserve">Bartels and Paddeu </w:t>
      </w:r>
      <w:r>
        <w:rPr>
          <w:rFonts w:ascii="Times New Roman" w:hAnsi="Times New Roman" w:cs="Times New Roman"/>
          <w:noProof/>
        </w:rPr>
        <w:t>(n 10)</w:t>
      </w:r>
      <w:r w:rsidRPr="00F80570">
        <w:rPr>
          <w:rFonts w:ascii="Times New Roman" w:hAnsi="Times New Roman" w:cs="Times New Roman"/>
          <w:noProof/>
        </w:rPr>
        <w:t xml:space="preserve"> 35.</w:t>
      </w:r>
    </w:p>
  </w:footnote>
  <w:footnote w:id="1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See, however, the collection of papers dedicated to this issue in Bartels and Paddeu</w:t>
      </w:r>
      <w:r>
        <w:rPr>
          <w:rFonts w:ascii="Times New Roman" w:hAnsi="Times New Roman" w:cs="Times New Roman"/>
        </w:rPr>
        <w:t xml:space="preserve"> (n 10).</w:t>
      </w:r>
    </w:p>
  </w:footnote>
  <w:footnote w:id="1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Glanville L Williams, ‘The Logic of “Exceptions”’ (1988) 47 </w:t>
      </w:r>
      <w:r w:rsidRPr="00F80570">
        <w:rPr>
          <w:rFonts w:ascii="Times New Roman" w:hAnsi="Times New Roman" w:cs="Times New Roman"/>
          <w:i/>
          <w:noProof/>
        </w:rPr>
        <w:t>C</w:t>
      </w:r>
      <w:r>
        <w:rPr>
          <w:rFonts w:ascii="Times New Roman" w:hAnsi="Times New Roman" w:cs="Times New Roman"/>
          <w:i/>
          <w:noProof/>
        </w:rPr>
        <w:t xml:space="preserve">ambridge </w:t>
      </w:r>
      <w:r w:rsidRPr="00F80570">
        <w:rPr>
          <w:rFonts w:ascii="Times New Roman" w:hAnsi="Times New Roman" w:cs="Times New Roman"/>
          <w:i/>
          <w:noProof/>
        </w:rPr>
        <w:t>L</w:t>
      </w:r>
      <w:r>
        <w:rPr>
          <w:rFonts w:ascii="Times New Roman" w:hAnsi="Times New Roman" w:cs="Times New Roman"/>
          <w:i/>
          <w:noProof/>
        </w:rPr>
        <w:t xml:space="preserve">aw </w:t>
      </w:r>
      <w:r w:rsidRPr="00F80570">
        <w:rPr>
          <w:rFonts w:ascii="Times New Roman" w:hAnsi="Times New Roman" w:cs="Times New Roman"/>
          <w:i/>
          <w:noProof/>
        </w:rPr>
        <w:t>J</w:t>
      </w:r>
      <w:r>
        <w:rPr>
          <w:rFonts w:ascii="Times New Roman" w:hAnsi="Times New Roman" w:cs="Times New Roman"/>
          <w:i/>
          <w:noProof/>
        </w:rPr>
        <w:t>ournal</w:t>
      </w:r>
      <w:r w:rsidRPr="00F80570">
        <w:rPr>
          <w:rFonts w:ascii="Times New Roman" w:hAnsi="Times New Roman" w:cs="Times New Roman"/>
          <w:i/>
          <w:noProof/>
        </w:rPr>
        <w:t xml:space="preserve"> </w:t>
      </w:r>
      <w:r w:rsidRPr="00F80570">
        <w:rPr>
          <w:rFonts w:ascii="Times New Roman" w:hAnsi="Times New Roman" w:cs="Times New Roman"/>
          <w:noProof/>
        </w:rPr>
        <w:t>261, 279.</w:t>
      </w:r>
      <w:r w:rsidRPr="00F80570">
        <w:rPr>
          <w:rFonts w:ascii="Times New Roman" w:hAnsi="Times New Roman" w:cs="Times New Roman"/>
        </w:rPr>
        <w:t xml:space="preserve"> In this section, I rely on writings on this topic in English and, so, focussing on the common law. But note that these arguments are not exclusive to the common law and have been made in continental legal systems as well.</w:t>
      </w:r>
    </w:p>
  </w:footnote>
  <w:footnote w:id="1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noProof/>
        </w:rPr>
        <w:t>Ibid</w:t>
      </w:r>
      <w:r w:rsidRPr="00F80570">
        <w:rPr>
          <w:rFonts w:ascii="Times New Roman" w:hAnsi="Times New Roman" w:cs="Times New Roman"/>
          <w:noProof/>
        </w:rPr>
        <w:t>, 279.</w:t>
      </w:r>
    </w:p>
  </w:footnote>
  <w:footnote w:id="1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noProof/>
        </w:rPr>
        <w:t>Ibid</w:t>
      </w:r>
      <w:r w:rsidRPr="00F80570">
        <w:rPr>
          <w:rFonts w:ascii="Times New Roman" w:hAnsi="Times New Roman" w:cs="Times New Roman"/>
          <w:noProof/>
        </w:rPr>
        <w:t>, 280.</w:t>
      </w:r>
    </w:p>
  </w:footnote>
  <w:footnote w:id="1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noProof/>
        </w:rPr>
        <w:t>Ibid</w:t>
      </w:r>
      <w:r w:rsidRPr="00F80570">
        <w:rPr>
          <w:rFonts w:ascii="Times New Roman" w:hAnsi="Times New Roman" w:cs="Times New Roman"/>
          <w:noProof/>
        </w:rPr>
        <w:t>, 278.</w:t>
      </w:r>
    </w:p>
  </w:footnote>
  <w:footnote w:id="1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0056618C">
        <w:rPr>
          <w:rFonts w:ascii="Times New Roman" w:hAnsi="Times New Roman" w:cs="Times New Roman"/>
          <w:noProof/>
        </w:rPr>
        <w:t>Id</w:t>
      </w:r>
      <w:r w:rsidRPr="00F80570">
        <w:rPr>
          <w:rFonts w:ascii="Times New Roman" w:hAnsi="Times New Roman" w:cs="Times New Roman"/>
          <w:noProof/>
        </w:rPr>
        <w:t>.</w:t>
      </w:r>
    </w:p>
  </w:footnote>
  <w:footnote w:id="2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Julius Stone, ‘Burden of Proof and the Judicial Process’ (1944) 60 </w:t>
      </w:r>
      <w:r w:rsidRPr="00F80570">
        <w:rPr>
          <w:rFonts w:ascii="Times New Roman" w:hAnsi="Times New Roman" w:cs="Times New Roman"/>
          <w:i/>
          <w:noProof/>
        </w:rPr>
        <w:t>L</w:t>
      </w:r>
      <w:r>
        <w:rPr>
          <w:rFonts w:ascii="Times New Roman" w:hAnsi="Times New Roman" w:cs="Times New Roman"/>
          <w:i/>
          <w:noProof/>
        </w:rPr>
        <w:t xml:space="preserve">aw Quarterly </w:t>
      </w:r>
      <w:r w:rsidRPr="00F80570">
        <w:rPr>
          <w:rFonts w:ascii="Times New Roman" w:hAnsi="Times New Roman" w:cs="Times New Roman"/>
          <w:i/>
          <w:noProof/>
        </w:rPr>
        <w:t>R</w:t>
      </w:r>
      <w:r>
        <w:rPr>
          <w:rFonts w:ascii="Times New Roman" w:hAnsi="Times New Roman" w:cs="Times New Roman"/>
          <w:i/>
          <w:noProof/>
        </w:rPr>
        <w:t>eview</w:t>
      </w:r>
      <w:r w:rsidRPr="00F80570">
        <w:rPr>
          <w:rFonts w:ascii="Times New Roman" w:hAnsi="Times New Roman" w:cs="Times New Roman"/>
          <w:i/>
          <w:noProof/>
        </w:rPr>
        <w:t xml:space="preserve"> </w:t>
      </w:r>
      <w:r w:rsidRPr="00F80570">
        <w:rPr>
          <w:rFonts w:ascii="Times New Roman" w:hAnsi="Times New Roman" w:cs="Times New Roman"/>
          <w:noProof/>
        </w:rPr>
        <w:t>262, 280.</w:t>
      </w:r>
    </w:p>
  </w:footnote>
  <w:footnote w:id="2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0056618C">
        <w:rPr>
          <w:rFonts w:ascii="Times New Roman" w:hAnsi="Times New Roman" w:cs="Times New Roman"/>
          <w:noProof/>
        </w:rPr>
        <w:t>I</w:t>
      </w:r>
      <w:r>
        <w:rPr>
          <w:rFonts w:ascii="Times New Roman" w:hAnsi="Times New Roman" w:cs="Times New Roman"/>
          <w:noProof/>
        </w:rPr>
        <w:t>d</w:t>
      </w:r>
      <w:r w:rsidRPr="00F80570">
        <w:rPr>
          <w:rFonts w:ascii="Times New Roman" w:hAnsi="Times New Roman" w:cs="Times New Roman"/>
          <w:noProof/>
        </w:rPr>
        <w:t>.</w:t>
      </w:r>
    </w:p>
  </w:footnote>
  <w:footnote w:id="2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Frederick Schauer, ‘Lu</w:t>
      </w:r>
      <w:r>
        <w:rPr>
          <w:rFonts w:ascii="Times New Roman" w:hAnsi="Times New Roman" w:cs="Times New Roman"/>
          <w:noProof/>
        </w:rPr>
        <w:t>í</w:t>
      </w:r>
      <w:r w:rsidRPr="00F80570">
        <w:rPr>
          <w:rFonts w:ascii="Times New Roman" w:hAnsi="Times New Roman" w:cs="Times New Roman"/>
          <w:noProof/>
        </w:rPr>
        <w:t xml:space="preserve">s Duarte d’Almeida, </w:t>
      </w:r>
      <w:r w:rsidRPr="00F80570">
        <w:rPr>
          <w:rFonts w:ascii="Times New Roman" w:hAnsi="Times New Roman" w:cs="Times New Roman"/>
          <w:i/>
          <w:noProof/>
        </w:rPr>
        <w:t>Allowing for Exceptions: A Theory of Defences and Defeasibility in Law</w:t>
      </w:r>
      <w:r w:rsidRPr="00F80570">
        <w:rPr>
          <w:rFonts w:ascii="Times New Roman" w:hAnsi="Times New Roman" w:cs="Times New Roman"/>
          <w:noProof/>
        </w:rPr>
        <w:t xml:space="preserve">, Oxford University Press, 2015, 293pp., $98.50 (hbk), ISBN 9780199685783’ (2016)  </w:t>
      </w:r>
      <w:r w:rsidRPr="00F80570">
        <w:rPr>
          <w:rFonts w:ascii="Times New Roman" w:hAnsi="Times New Roman" w:cs="Times New Roman"/>
          <w:i/>
          <w:noProof/>
        </w:rPr>
        <w:t>Notre Dame Philosophical Reviews (https://ndpr.nd.edu/news/allowing-for-exceptions-a-theory-of-defences-and-defeasibility-in-law/)</w:t>
      </w:r>
      <w:r w:rsidRPr="00F80570">
        <w:rPr>
          <w:rFonts w:ascii="Times New Roman" w:hAnsi="Times New Roman" w:cs="Times New Roman"/>
          <w:noProof/>
        </w:rPr>
        <w:t>.</w:t>
      </w:r>
    </w:p>
  </w:footnote>
  <w:footnote w:id="2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Stone </w:t>
      </w:r>
      <w:r>
        <w:rPr>
          <w:rFonts w:ascii="Times New Roman" w:hAnsi="Times New Roman" w:cs="Times New Roman"/>
          <w:noProof/>
        </w:rPr>
        <w:t>(n 19)</w:t>
      </w:r>
      <w:r w:rsidRPr="00F80570">
        <w:rPr>
          <w:rFonts w:ascii="Times New Roman" w:hAnsi="Times New Roman" w:cs="Times New Roman"/>
          <w:noProof/>
        </w:rPr>
        <w:t xml:space="preserve"> 281.</w:t>
      </w:r>
    </w:p>
  </w:footnote>
  <w:footnote w:id="2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To use Michelle </w:t>
      </w:r>
      <w:proofErr w:type="spellStart"/>
      <w:r w:rsidRPr="00F80570">
        <w:rPr>
          <w:rFonts w:ascii="Times New Roman" w:hAnsi="Times New Roman" w:cs="Times New Roman"/>
        </w:rPr>
        <w:t>Grando’s</w:t>
      </w:r>
      <w:proofErr w:type="spellEnd"/>
      <w:r w:rsidRPr="00F80570">
        <w:rPr>
          <w:rFonts w:ascii="Times New Roman" w:hAnsi="Times New Roman" w:cs="Times New Roman"/>
        </w:rPr>
        <w:t xml:space="preserve"> terms: </w:t>
      </w:r>
      <w:r w:rsidRPr="00F80570">
        <w:rPr>
          <w:rFonts w:ascii="Times New Roman" w:hAnsi="Times New Roman" w:cs="Times New Roman"/>
          <w:i/>
          <w:noProof/>
        </w:rPr>
        <w:t>Evidence, Proof, and Fact-Finding in WTO Dispute Settlement</w:t>
      </w:r>
      <w:r w:rsidRPr="00F80570">
        <w:rPr>
          <w:rFonts w:ascii="Times New Roman" w:hAnsi="Times New Roman" w:cs="Times New Roman"/>
          <w:noProof/>
        </w:rPr>
        <w:t xml:space="preserve"> (OUP, 2009), 187.</w:t>
      </w:r>
    </w:p>
  </w:footnote>
  <w:footnote w:id="2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lang w:val="en-US"/>
        </w:rPr>
        <w:t xml:space="preserve">In criminal law, while the legal burden rests on the prosecution – after all, the defendant is presumed innocent – the defendant still has an ‘evidential burden’ in respect of available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rPr>
        <w:t xml:space="preserve">. For a general discussion in English law, see: </w:t>
      </w:r>
      <w:r w:rsidRPr="00F80570">
        <w:rPr>
          <w:rFonts w:ascii="Times New Roman" w:hAnsi="Times New Roman" w:cs="Times New Roman"/>
          <w:noProof/>
        </w:rPr>
        <w:t>A</w:t>
      </w:r>
      <w:r>
        <w:rPr>
          <w:rFonts w:ascii="Times New Roman" w:hAnsi="Times New Roman" w:cs="Times New Roman"/>
          <w:noProof/>
        </w:rPr>
        <w:t xml:space="preserve">ndrew </w:t>
      </w:r>
      <w:r w:rsidRPr="00F80570">
        <w:rPr>
          <w:rFonts w:ascii="Times New Roman" w:hAnsi="Times New Roman" w:cs="Times New Roman"/>
          <w:noProof/>
        </w:rPr>
        <w:t>P Simester</w:t>
      </w:r>
      <w:r w:rsidRPr="00F80570">
        <w:rPr>
          <w:rFonts w:ascii="Times New Roman" w:hAnsi="Times New Roman" w:cs="Times New Roman"/>
          <w:i/>
          <w:noProof/>
        </w:rPr>
        <w:t xml:space="preserve"> et al</w:t>
      </w:r>
      <w:r w:rsidRPr="00F80570">
        <w:rPr>
          <w:rFonts w:ascii="Times New Roman" w:hAnsi="Times New Roman" w:cs="Times New Roman"/>
          <w:noProof/>
        </w:rPr>
        <w:t xml:space="preserve">, </w:t>
      </w:r>
      <w:r w:rsidRPr="00F80570">
        <w:rPr>
          <w:rFonts w:ascii="Times New Roman" w:hAnsi="Times New Roman" w:cs="Times New Roman"/>
          <w:i/>
          <w:noProof/>
        </w:rPr>
        <w:t>Criminal Law: Theory and Doctrine</w:t>
      </w:r>
      <w:r w:rsidRPr="00F80570">
        <w:rPr>
          <w:rFonts w:ascii="Times New Roman" w:hAnsi="Times New Roman" w:cs="Times New Roman"/>
          <w:noProof/>
        </w:rPr>
        <w:t xml:space="preserve"> (Hart, </w:t>
      </w:r>
      <w:r>
        <w:rPr>
          <w:rFonts w:ascii="Times New Roman" w:hAnsi="Times New Roman" w:cs="Times New Roman"/>
          <w:noProof/>
        </w:rPr>
        <w:t xml:space="preserve">7th edn </w:t>
      </w:r>
      <w:r w:rsidRPr="00F80570">
        <w:rPr>
          <w:rFonts w:ascii="Times New Roman" w:hAnsi="Times New Roman" w:cs="Times New Roman"/>
          <w:noProof/>
        </w:rPr>
        <w:t>2019), 62-72.</w:t>
      </w:r>
    </w:p>
  </w:footnote>
  <w:footnote w:id="2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generally, </w:t>
      </w:r>
      <w:r w:rsidRPr="00F80570">
        <w:rPr>
          <w:rFonts w:ascii="Times New Roman" w:hAnsi="Times New Roman" w:cs="Times New Roman"/>
          <w:noProof/>
        </w:rPr>
        <w:t xml:space="preserve">Mojtaba Kazazi, </w:t>
      </w:r>
      <w:r w:rsidRPr="00F80570">
        <w:rPr>
          <w:rFonts w:ascii="Times New Roman" w:hAnsi="Times New Roman" w:cs="Times New Roman"/>
          <w:i/>
          <w:noProof/>
        </w:rPr>
        <w:t>Burden of Proof and Related Issues: A Study on Evidence before International Tribunals</w:t>
      </w:r>
      <w:r w:rsidRPr="00F80570">
        <w:rPr>
          <w:rFonts w:ascii="Times New Roman" w:hAnsi="Times New Roman" w:cs="Times New Roman"/>
          <w:noProof/>
        </w:rPr>
        <w:t xml:space="preserve"> (Kluwer Law International, 1996), 111-2; Joost Pauwelyn, ‘Evidence, Proof and Persuasion in WTO Dispute Settlement: Who Bears the Burden?’ (1998) 1 </w:t>
      </w:r>
      <w:r w:rsidRPr="00F80570">
        <w:rPr>
          <w:rFonts w:ascii="Times New Roman" w:hAnsi="Times New Roman" w:cs="Times New Roman"/>
          <w:i/>
          <w:noProof/>
        </w:rPr>
        <w:t>J</w:t>
      </w:r>
      <w:r>
        <w:rPr>
          <w:rFonts w:ascii="Times New Roman" w:hAnsi="Times New Roman" w:cs="Times New Roman"/>
          <w:i/>
          <w:noProof/>
        </w:rPr>
        <w:t xml:space="preserve">ournal of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E</w:t>
      </w:r>
      <w:r>
        <w:rPr>
          <w:rFonts w:ascii="Times New Roman" w:hAnsi="Times New Roman" w:cs="Times New Roman"/>
          <w:i/>
          <w:noProof/>
        </w:rPr>
        <w:t xml:space="preserve">conomic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 xml:space="preserve">227, 232, 235; Chittharanjan Amerasinghe, </w:t>
      </w:r>
      <w:r w:rsidRPr="00F80570">
        <w:rPr>
          <w:rFonts w:ascii="Times New Roman" w:hAnsi="Times New Roman" w:cs="Times New Roman"/>
          <w:i/>
          <w:noProof/>
        </w:rPr>
        <w:t>Evidence in International Litigation</w:t>
      </w:r>
      <w:r w:rsidRPr="00F80570">
        <w:rPr>
          <w:rFonts w:ascii="Times New Roman" w:hAnsi="Times New Roman" w:cs="Times New Roman"/>
          <w:noProof/>
        </w:rPr>
        <w:t xml:space="preserve"> (Martinus Nijhoff, 2005); Anna Riddell and Brendan Plant, </w:t>
      </w:r>
      <w:r w:rsidRPr="00F80570">
        <w:rPr>
          <w:rFonts w:ascii="Times New Roman" w:hAnsi="Times New Roman" w:cs="Times New Roman"/>
          <w:i/>
          <w:noProof/>
        </w:rPr>
        <w:t>Evidence before the International Court of Justice</w:t>
      </w:r>
      <w:r w:rsidRPr="00F80570">
        <w:rPr>
          <w:rFonts w:ascii="Times New Roman" w:hAnsi="Times New Roman" w:cs="Times New Roman"/>
          <w:noProof/>
        </w:rPr>
        <w:t xml:space="preserve"> (BIICL, 2009), 87; Caroline Foster, </w:t>
      </w:r>
      <w:r w:rsidRPr="00F80570">
        <w:rPr>
          <w:rFonts w:ascii="Times New Roman" w:hAnsi="Times New Roman" w:cs="Times New Roman"/>
          <w:i/>
          <w:noProof/>
        </w:rPr>
        <w:t>Science and the Precautionary Principle in International Courts and Tribunals</w:t>
      </w:r>
      <w:r w:rsidRPr="00F80570">
        <w:rPr>
          <w:rFonts w:ascii="Times New Roman" w:hAnsi="Times New Roman" w:cs="Times New Roman"/>
          <w:noProof/>
        </w:rPr>
        <w:t xml:space="preserve"> (CUP, 2011), 209-10.</w:t>
      </w:r>
    </w:p>
  </w:footnote>
  <w:footnote w:id="2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For a ‘proof-based’ account of defences, see: </w:t>
      </w:r>
      <w:r w:rsidRPr="00F80570">
        <w:rPr>
          <w:rFonts w:ascii="Times New Roman" w:hAnsi="Times New Roman" w:cs="Times New Roman"/>
          <w:noProof/>
        </w:rPr>
        <w:t>Lu</w:t>
      </w:r>
      <w:r>
        <w:rPr>
          <w:rFonts w:ascii="Times New Roman" w:hAnsi="Times New Roman" w:cs="Times New Roman"/>
          <w:noProof/>
        </w:rPr>
        <w:t>í</w:t>
      </w:r>
      <w:r w:rsidRPr="00F80570">
        <w:rPr>
          <w:rFonts w:ascii="Times New Roman" w:hAnsi="Times New Roman" w:cs="Times New Roman"/>
          <w:noProof/>
        </w:rPr>
        <w:t xml:space="preserve">s Duarte d’Almeida, </w:t>
      </w:r>
      <w:r w:rsidRPr="00F80570">
        <w:rPr>
          <w:rFonts w:ascii="Times New Roman" w:hAnsi="Times New Roman" w:cs="Times New Roman"/>
          <w:i/>
          <w:noProof/>
        </w:rPr>
        <w:t>Allowing for Exceptions: A Theory of Defences and Defeasibility in Law</w:t>
      </w:r>
      <w:r w:rsidRPr="00F80570">
        <w:rPr>
          <w:rFonts w:ascii="Times New Roman" w:hAnsi="Times New Roman" w:cs="Times New Roman"/>
          <w:noProof/>
        </w:rPr>
        <w:t xml:space="preserve"> (OUP, 2015).</w:t>
      </w:r>
    </w:p>
  </w:footnote>
  <w:footnote w:id="2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i/>
          <w:noProof/>
        </w:rPr>
        <w:t>Armed Activities on the Territory of the Congo (DRC v Uganda)</w:t>
      </w:r>
      <w:r>
        <w:rPr>
          <w:rFonts w:ascii="Times New Roman" w:hAnsi="Times New Roman" w:cs="Times New Roman"/>
          <w:i/>
          <w:noProof/>
        </w:rPr>
        <w:t xml:space="preserve"> </w:t>
      </w:r>
      <w:r w:rsidRPr="00746D74">
        <w:rPr>
          <w:rFonts w:ascii="Times New Roman" w:hAnsi="Times New Roman" w:cs="Times New Roman"/>
          <w:iCs/>
          <w:noProof/>
        </w:rPr>
        <w:t>(merits)</w:t>
      </w:r>
      <w:r>
        <w:rPr>
          <w:rFonts w:ascii="Times New Roman" w:hAnsi="Times New Roman" w:cs="Times New Roman"/>
          <w:i/>
          <w:noProof/>
        </w:rPr>
        <w:t xml:space="preserve"> </w:t>
      </w:r>
      <w:r>
        <w:rPr>
          <w:rFonts w:ascii="Times New Roman" w:hAnsi="Times New Roman" w:cs="Times New Roman"/>
          <w:noProof/>
        </w:rPr>
        <w:t>[</w:t>
      </w:r>
      <w:r w:rsidRPr="00F80570">
        <w:rPr>
          <w:rFonts w:ascii="Times New Roman" w:hAnsi="Times New Roman" w:cs="Times New Roman"/>
          <w:noProof/>
        </w:rPr>
        <w:t>2005</w:t>
      </w:r>
      <w:r>
        <w:rPr>
          <w:rFonts w:ascii="Times New Roman" w:hAnsi="Times New Roman" w:cs="Times New Roman"/>
          <w:noProof/>
        </w:rPr>
        <w:t>]</w:t>
      </w:r>
      <w:r w:rsidRPr="00F80570">
        <w:rPr>
          <w:rFonts w:ascii="Times New Roman" w:hAnsi="Times New Roman" w:cs="Times New Roman"/>
          <w:noProof/>
        </w:rPr>
        <w:t xml:space="preserve"> ICJ Rep 168.</w:t>
      </w:r>
    </w:p>
  </w:footnote>
  <w:footnote w:id="2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Raz </w:t>
      </w:r>
      <w:r>
        <w:rPr>
          <w:rFonts w:ascii="Times New Roman" w:hAnsi="Times New Roman" w:cs="Times New Roman"/>
          <w:noProof/>
        </w:rPr>
        <w:t>(</w:t>
      </w:r>
      <w:r>
        <w:rPr>
          <w:rFonts w:ascii="Times New Roman" w:hAnsi="Times New Roman" w:cs="Times New Roman"/>
          <w:iCs/>
          <w:noProof/>
        </w:rPr>
        <w:t>n 8)</w:t>
      </w:r>
      <w:r w:rsidRPr="00F80570">
        <w:rPr>
          <w:rFonts w:ascii="Times New Roman" w:hAnsi="Times New Roman" w:cs="Times New Roman"/>
          <w:noProof/>
        </w:rPr>
        <w:t xml:space="preserve"> 27.</w:t>
      </w:r>
    </w:p>
  </w:footnote>
  <w:footnote w:id="3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noProof/>
        </w:rPr>
        <w:t xml:space="preserve"> I</w:t>
      </w:r>
      <w:r>
        <w:rPr>
          <w:rFonts w:ascii="Times New Roman" w:hAnsi="Times New Roman" w:cs="Times New Roman"/>
          <w:noProof/>
        </w:rPr>
        <w:t>d</w:t>
      </w:r>
      <w:r w:rsidRPr="00F80570">
        <w:rPr>
          <w:rFonts w:ascii="Times New Roman" w:hAnsi="Times New Roman" w:cs="Times New Roman"/>
          <w:noProof/>
        </w:rPr>
        <w:t>.</w:t>
      </w:r>
    </w:p>
  </w:footnote>
  <w:footnote w:id="3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noProof/>
        </w:rPr>
        <w:t xml:space="preserve"> I</w:t>
      </w:r>
      <w:r>
        <w:rPr>
          <w:rFonts w:ascii="Times New Roman" w:hAnsi="Times New Roman" w:cs="Times New Roman"/>
          <w:noProof/>
        </w:rPr>
        <w:t>d</w:t>
      </w:r>
      <w:r w:rsidRPr="00F80570">
        <w:rPr>
          <w:rFonts w:ascii="Times New Roman" w:hAnsi="Times New Roman" w:cs="Times New Roman"/>
          <w:noProof/>
        </w:rPr>
        <w:t>.</w:t>
      </w:r>
    </w:p>
  </w:footnote>
  <w:footnote w:id="3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I</w:t>
      </w:r>
      <w:r>
        <w:rPr>
          <w:rFonts w:ascii="Times New Roman" w:hAnsi="Times New Roman" w:cs="Times New Roman"/>
          <w:noProof/>
        </w:rPr>
        <w:t>d</w:t>
      </w:r>
      <w:r w:rsidRPr="00F80570">
        <w:rPr>
          <w:rFonts w:ascii="Times New Roman" w:hAnsi="Times New Roman" w:cs="Times New Roman"/>
          <w:noProof/>
        </w:rPr>
        <w:t>.</w:t>
      </w:r>
    </w:p>
  </w:footnote>
  <w:footnote w:id="3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James Goudkamp, </w:t>
      </w:r>
      <w:r w:rsidRPr="00F80570">
        <w:rPr>
          <w:rFonts w:ascii="Times New Roman" w:hAnsi="Times New Roman" w:cs="Times New Roman"/>
          <w:i/>
          <w:noProof/>
        </w:rPr>
        <w:t>Tort Law Defences</w:t>
      </w:r>
      <w:r w:rsidRPr="00F80570">
        <w:rPr>
          <w:rFonts w:ascii="Times New Roman" w:hAnsi="Times New Roman" w:cs="Times New Roman"/>
          <w:noProof/>
        </w:rPr>
        <w:t xml:space="preserve"> (Hart, 2013), 43.</w:t>
      </w:r>
    </w:p>
  </w:footnote>
  <w:footnote w:id="3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Kenneth Campbell, ‘Offence and Defence’ in </w:t>
      </w:r>
      <w:r>
        <w:rPr>
          <w:rFonts w:ascii="Times New Roman" w:hAnsi="Times New Roman" w:cs="Times New Roman"/>
          <w:noProof/>
        </w:rPr>
        <w:t xml:space="preserve">Ian Howard </w:t>
      </w:r>
      <w:r w:rsidRPr="00F80570">
        <w:rPr>
          <w:rFonts w:ascii="Times New Roman" w:hAnsi="Times New Roman" w:cs="Times New Roman"/>
          <w:noProof/>
        </w:rPr>
        <w:t xml:space="preserve">Dennis (ed), </w:t>
      </w:r>
      <w:r w:rsidRPr="00F80570">
        <w:rPr>
          <w:rFonts w:ascii="Times New Roman" w:hAnsi="Times New Roman" w:cs="Times New Roman"/>
          <w:i/>
          <w:noProof/>
        </w:rPr>
        <w:t>Criminal Law and Justice</w:t>
      </w:r>
      <w:r w:rsidRPr="00F80570">
        <w:rPr>
          <w:rFonts w:ascii="Times New Roman" w:hAnsi="Times New Roman" w:cs="Times New Roman"/>
          <w:noProof/>
        </w:rPr>
        <w:t xml:space="preserve"> (Sweet &amp; Maxwell, 1987), 79.</w:t>
      </w:r>
    </w:p>
  </w:footnote>
  <w:footnote w:id="3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I will leave out consideration of excuses, as they are not relevant for the discussion of consent in this </w:t>
      </w:r>
      <w:r>
        <w:rPr>
          <w:rFonts w:ascii="Times New Roman" w:hAnsi="Times New Roman" w:cs="Times New Roman"/>
        </w:rPr>
        <w:t>article</w:t>
      </w:r>
      <w:r w:rsidRPr="00F80570">
        <w:rPr>
          <w:rFonts w:ascii="Times New Roman" w:hAnsi="Times New Roman" w:cs="Times New Roman"/>
        </w:rPr>
        <w:t>.</w:t>
      </w:r>
    </w:p>
  </w:footnote>
  <w:footnote w:id="3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Campbell </w:t>
      </w:r>
      <w:r>
        <w:rPr>
          <w:rFonts w:ascii="Times New Roman" w:hAnsi="Times New Roman" w:cs="Times New Roman"/>
          <w:noProof/>
        </w:rPr>
        <w:t xml:space="preserve">(n 33) </w:t>
      </w:r>
      <w:r w:rsidRPr="00F80570">
        <w:rPr>
          <w:rFonts w:ascii="Times New Roman" w:hAnsi="Times New Roman" w:cs="Times New Roman"/>
          <w:noProof/>
        </w:rPr>
        <w:t>83.</w:t>
      </w:r>
    </w:p>
  </w:footnote>
  <w:footnote w:id="3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John Gardner, ‘Fletcher on Offences and Defences’ </w:t>
      </w:r>
      <w:r w:rsidRPr="00F80570">
        <w:rPr>
          <w:rFonts w:ascii="Times New Roman" w:hAnsi="Times New Roman" w:cs="Times New Roman"/>
          <w:i/>
          <w:noProof/>
        </w:rPr>
        <w:t>Offeces and Defences: Selected Essays in the Philosophy of Criminal Law</w:t>
      </w:r>
      <w:r w:rsidRPr="00F80570">
        <w:rPr>
          <w:rFonts w:ascii="Times New Roman" w:hAnsi="Times New Roman" w:cs="Times New Roman"/>
          <w:noProof/>
        </w:rPr>
        <w:t xml:space="preserve"> (OUP, 2007), 144.</w:t>
      </w:r>
    </w:p>
  </w:footnote>
  <w:footnote w:id="3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Gardner </w:t>
      </w:r>
      <w:r>
        <w:rPr>
          <w:rFonts w:ascii="Times New Roman" w:hAnsi="Times New Roman" w:cs="Times New Roman"/>
          <w:noProof/>
        </w:rPr>
        <w:t>(n 1)</w:t>
      </w:r>
      <w:r w:rsidRPr="00F80570">
        <w:rPr>
          <w:rFonts w:ascii="Times New Roman" w:hAnsi="Times New Roman" w:cs="Times New Roman"/>
          <w:noProof/>
        </w:rPr>
        <w:t xml:space="preserve"> 96.</w:t>
      </w:r>
    </w:p>
  </w:footnote>
  <w:footnote w:id="3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Gardner </w:t>
      </w:r>
      <w:r>
        <w:rPr>
          <w:rFonts w:ascii="Times New Roman" w:hAnsi="Times New Roman" w:cs="Times New Roman"/>
          <w:noProof/>
        </w:rPr>
        <w:t>(n 36)</w:t>
      </w:r>
      <w:r w:rsidRPr="00F80570">
        <w:rPr>
          <w:rFonts w:ascii="Times New Roman" w:hAnsi="Times New Roman" w:cs="Times New Roman"/>
          <w:noProof/>
        </w:rPr>
        <w:t xml:space="preserve"> 145.</w:t>
      </w:r>
    </w:p>
  </w:footnote>
  <w:footnote w:id="4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Andrew </w:t>
      </w:r>
      <w:r>
        <w:rPr>
          <w:rFonts w:ascii="Times New Roman" w:hAnsi="Times New Roman" w:cs="Times New Roman"/>
          <w:noProof/>
        </w:rPr>
        <w:t xml:space="preserve">P </w:t>
      </w:r>
      <w:r w:rsidRPr="00F80570">
        <w:rPr>
          <w:rFonts w:ascii="Times New Roman" w:hAnsi="Times New Roman" w:cs="Times New Roman"/>
          <w:noProof/>
        </w:rPr>
        <w:t xml:space="preserve">Simester, ‘Wrongs and Reasons’ (2009) 72 </w:t>
      </w:r>
      <w:r w:rsidRPr="00F80570">
        <w:rPr>
          <w:rFonts w:ascii="Times New Roman" w:hAnsi="Times New Roman" w:cs="Times New Roman"/>
          <w:i/>
          <w:noProof/>
        </w:rPr>
        <w:t>Modern L</w:t>
      </w:r>
      <w:r>
        <w:rPr>
          <w:rFonts w:ascii="Times New Roman" w:hAnsi="Times New Roman" w:cs="Times New Roman"/>
          <w:i/>
          <w:noProof/>
        </w:rPr>
        <w:t xml:space="preserve">aw </w:t>
      </w:r>
      <w:r w:rsidRPr="00F80570">
        <w:rPr>
          <w:rFonts w:ascii="Times New Roman" w:hAnsi="Times New Roman" w:cs="Times New Roman"/>
          <w:i/>
          <w:noProof/>
        </w:rPr>
        <w:t>R</w:t>
      </w:r>
      <w:r>
        <w:rPr>
          <w:rFonts w:ascii="Times New Roman" w:hAnsi="Times New Roman" w:cs="Times New Roman"/>
          <w:i/>
          <w:noProof/>
        </w:rPr>
        <w:t>eview</w:t>
      </w:r>
      <w:r w:rsidRPr="00F80570">
        <w:rPr>
          <w:rFonts w:ascii="Times New Roman" w:hAnsi="Times New Roman" w:cs="Times New Roman"/>
          <w:i/>
          <w:noProof/>
        </w:rPr>
        <w:t xml:space="preserve"> </w:t>
      </w:r>
      <w:r w:rsidRPr="00F80570">
        <w:rPr>
          <w:rFonts w:ascii="Times New Roman" w:hAnsi="Times New Roman" w:cs="Times New Roman"/>
          <w:noProof/>
        </w:rPr>
        <w:t>648, 650.</w:t>
      </w:r>
    </w:p>
  </w:footnote>
  <w:footnote w:id="4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Miriam Gur-Aye, ‘On John Gardner’s Justifications and Excuses’ (2012) 4 </w:t>
      </w:r>
      <w:r w:rsidRPr="00F80570">
        <w:rPr>
          <w:rFonts w:ascii="Times New Roman" w:hAnsi="Times New Roman" w:cs="Times New Roman"/>
          <w:i/>
          <w:noProof/>
        </w:rPr>
        <w:t>Jerusalem Rev</w:t>
      </w:r>
      <w:r>
        <w:rPr>
          <w:rFonts w:ascii="Times New Roman" w:hAnsi="Times New Roman" w:cs="Times New Roman"/>
          <w:i/>
          <w:noProof/>
        </w:rPr>
        <w:t>iew</w:t>
      </w:r>
      <w:r w:rsidRPr="00F80570">
        <w:rPr>
          <w:rFonts w:ascii="Times New Roman" w:hAnsi="Times New Roman" w:cs="Times New Roman"/>
          <w:i/>
          <w:noProof/>
        </w:rPr>
        <w:t xml:space="preserve"> of Leg</w:t>
      </w:r>
      <w:r>
        <w:rPr>
          <w:rFonts w:ascii="Times New Roman" w:hAnsi="Times New Roman" w:cs="Times New Roman"/>
          <w:i/>
          <w:noProof/>
        </w:rPr>
        <w:t xml:space="preserve">al </w:t>
      </w:r>
      <w:r w:rsidRPr="00F80570">
        <w:rPr>
          <w:rFonts w:ascii="Times New Roman" w:hAnsi="Times New Roman" w:cs="Times New Roman"/>
          <w:i/>
          <w:noProof/>
        </w:rPr>
        <w:t xml:space="preserve"> Stud</w:t>
      </w:r>
      <w:r>
        <w:rPr>
          <w:rFonts w:ascii="Times New Roman" w:hAnsi="Times New Roman" w:cs="Times New Roman"/>
          <w:i/>
          <w:noProof/>
        </w:rPr>
        <w:t>ies</w:t>
      </w:r>
      <w:r w:rsidRPr="00F80570">
        <w:rPr>
          <w:rFonts w:ascii="Times New Roman" w:hAnsi="Times New Roman" w:cs="Times New Roman"/>
          <w:i/>
          <w:noProof/>
        </w:rPr>
        <w:t xml:space="preserve"> </w:t>
      </w:r>
      <w:r w:rsidRPr="00F80570">
        <w:rPr>
          <w:rFonts w:ascii="Times New Roman" w:hAnsi="Times New Roman" w:cs="Times New Roman"/>
          <w:noProof/>
        </w:rPr>
        <w:t>82, 85-6.</w:t>
      </w:r>
    </w:p>
  </w:footnote>
  <w:footnote w:id="4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And indeed, this is the argument that Gardner deploys against Gur-Aye: </w:t>
      </w:r>
      <w:r w:rsidRPr="00F80570">
        <w:rPr>
          <w:rFonts w:ascii="Times New Roman" w:hAnsi="Times New Roman" w:cs="Times New Roman"/>
          <w:noProof/>
        </w:rPr>
        <w:t xml:space="preserve">John Gardner, ‘In Defense of Offences and Defences’ (2012) 4 </w:t>
      </w:r>
      <w:r w:rsidRPr="00F80570">
        <w:rPr>
          <w:rFonts w:ascii="Times New Roman" w:hAnsi="Times New Roman" w:cs="Times New Roman"/>
          <w:i/>
          <w:noProof/>
        </w:rPr>
        <w:t>Jerusalem Rev</w:t>
      </w:r>
      <w:r>
        <w:rPr>
          <w:rFonts w:ascii="Times New Roman" w:hAnsi="Times New Roman" w:cs="Times New Roman"/>
          <w:i/>
          <w:noProof/>
        </w:rPr>
        <w:t>iew</w:t>
      </w:r>
      <w:r w:rsidRPr="00F80570">
        <w:rPr>
          <w:rFonts w:ascii="Times New Roman" w:hAnsi="Times New Roman" w:cs="Times New Roman"/>
          <w:i/>
          <w:noProof/>
        </w:rPr>
        <w:t xml:space="preserve"> of Leg</w:t>
      </w:r>
      <w:r>
        <w:rPr>
          <w:rFonts w:ascii="Times New Roman" w:hAnsi="Times New Roman" w:cs="Times New Roman"/>
          <w:i/>
          <w:noProof/>
        </w:rPr>
        <w:t>al</w:t>
      </w:r>
      <w:r w:rsidRPr="00F80570">
        <w:rPr>
          <w:rFonts w:ascii="Times New Roman" w:hAnsi="Times New Roman" w:cs="Times New Roman"/>
          <w:i/>
          <w:noProof/>
        </w:rPr>
        <w:t xml:space="preserve"> Stud</w:t>
      </w:r>
      <w:r>
        <w:rPr>
          <w:rFonts w:ascii="Times New Roman" w:hAnsi="Times New Roman" w:cs="Times New Roman"/>
          <w:i/>
          <w:noProof/>
        </w:rPr>
        <w:t>ies</w:t>
      </w:r>
      <w:r w:rsidRPr="00F80570">
        <w:rPr>
          <w:rFonts w:ascii="Times New Roman" w:hAnsi="Times New Roman" w:cs="Times New Roman"/>
          <w:i/>
          <w:noProof/>
        </w:rPr>
        <w:t xml:space="preserve"> </w:t>
      </w:r>
      <w:r w:rsidRPr="00F80570">
        <w:rPr>
          <w:rFonts w:ascii="Times New Roman" w:hAnsi="Times New Roman" w:cs="Times New Roman"/>
          <w:noProof/>
        </w:rPr>
        <w:t>110, 114.</w:t>
      </w:r>
    </w:p>
  </w:footnote>
  <w:footnote w:id="4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Simester </w:t>
      </w:r>
      <w:r>
        <w:rPr>
          <w:rFonts w:ascii="Times New Roman" w:hAnsi="Times New Roman" w:cs="Times New Roman"/>
          <w:noProof/>
        </w:rPr>
        <w:t>(n 39)</w:t>
      </w:r>
      <w:r w:rsidRPr="00F80570">
        <w:rPr>
          <w:rFonts w:ascii="Times New Roman" w:hAnsi="Times New Roman" w:cs="Times New Roman"/>
          <w:noProof/>
        </w:rPr>
        <w:t xml:space="preserve"> 651.</w:t>
      </w:r>
    </w:p>
  </w:footnote>
  <w:footnote w:id="44">
    <w:p w:rsidR="00996BA9" w:rsidRPr="00996BA9" w:rsidRDefault="00996BA9">
      <w:pPr>
        <w:pStyle w:val="FootnoteText"/>
        <w:rPr>
          <w:lang w:val="en-US"/>
        </w:rPr>
      </w:pPr>
      <w:r>
        <w:rPr>
          <w:rStyle w:val="FootnoteReference"/>
        </w:rPr>
        <w:footnoteRef/>
      </w:r>
      <w:r w:rsidR="0056618C">
        <w:t xml:space="preserve"> </w:t>
      </w:r>
      <w:r w:rsidRPr="00F80570">
        <w:rPr>
          <w:rFonts w:ascii="Times New Roman" w:hAnsi="Times New Roman" w:cs="Times New Roman"/>
        </w:rPr>
        <w:t xml:space="preserve">For an argument that consent acts as a cancelling permission, see: </w:t>
      </w:r>
      <w:r w:rsidRPr="00F80570">
        <w:rPr>
          <w:rFonts w:ascii="Times New Roman" w:hAnsi="Times New Roman" w:cs="Times New Roman"/>
          <w:noProof/>
        </w:rPr>
        <w:t xml:space="preserve">Richard Healey, ‘Consent, Rights and Reasons for Action’ (2019) 13 </w:t>
      </w:r>
      <w:r w:rsidRPr="00F80570">
        <w:rPr>
          <w:rFonts w:ascii="Times New Roman" w:hAnsi="Times New Roman" w:cs="Times New Roman"/>
          <w:i/>
          <w:noProof/>
        </w:rPr>
        <w:t>Crim</w:t>
      </w:r>
      <w:r>
        <w:rPr>
          <w:rFonts w:ascii="Times New Roman" w:hAnsi="Times New Roman" w:cs="Times New Roman"/>
          <w:i/>
          <w:noProof/>
        </w:rPr>
        <w:t xml:space="preserve">inal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&amp; Phil</w:t>
      </w:r>
      <w:r>
        <w:rPr>
          <w:rFonts w:ascii="Times New Roman" w:hAnsi="Times New Roman" w:cs="Times New Roman"/>
          <w:i/>
          <w:noProof/>
        </w:rPr>
        <w:t>osophy</w:t>
      </w:r>
      <w:r w:rsidRPr="00F80570">
        <w:rPr>
          <w:rFonts w:ascii="Times New Roman" w:hAnsi="Times New Roman" w:cs="Times New Roman"/>
          <w:i/>
          <w:noProof/>
        </w:rPr>
        <w:t xml:space="preserve"> </w:t>
      </w:r>
      <w:r w:rsidRPr="00F80570">
        <w:rPr>
          <w:rFonts w:ascii="Times New Roman" w:hAnsi="Times New Roman" w:cs="Times New Roman"/>
          <w:noProof/>
        </w:rPr>
        <w:t>499.</w:t>
      </w:r>
    </w:p>
  </w:footnote>
  <w:footnote w:id="45">
    <w:p w:rsidR="00AF7273" w:rsidRPr="00996BA9"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0097674C">
        <w:rPr>
          <w:rFonts w:ascii="Times New Roman" w:hAnsi="Times New Roman" w:cs="Times New Roman"/>
        </w:rPr>
        <w:t xml:space="preserve">Depending on the view taken, consent may itself be the reason for using force (if it is a countervailing reason). Or it may be a reason for nothing at all: consent may cancel the reason against force in that it removes a legal obstacle, much like the release from a promise to meet for lunch noted earlier. But it would not, on its own, ground a reason to use force. On this question, see </w:t>
      </w:r>
      <w:proofErr w:type="spellStart"/>
      <w:r w:rsidR="0097674C">
        <w:rPr>
          <w:rFonts w:ascii="Times New Roman" w:hAnsi="Times New Roman" w:cs="Times New Roman"/>
        </w:rPr>
        <w:t>Eliav</w:t>
      </w:r>
      <w:proofErr w:type="spellEnd"/>
      <w:r w:rsidR="0097674C">
        <w:rPr>
          <w:rFonts w:ascii="Times New Roman" w:hAnsi="Times New Roman" w:cs="Times New Roman"/>
        </w:rPr>
        <w:t xml:space="preserve"> Lieblich, ‘Why Can’t we Agree on When Governments can Consent to External Intervention? A Theoretical Inquiry’ (2020) 7 </w:t>
      </w:r>
      <w:r w:rsidR="0097674C">
        <w:rPr>
          <w:rFonts w:ascii="Times New Roman" w:hAnsi="Times New Roman" w:cs="Times New Roman"/>
          <w:i/>
          <w:iCs/>
        </w:rPr>
        <w:t xml:space="preserve">Journal of the Use of Force and International Law </w:t>
      </w:r>
      <w:r w:rsidR="0097674C">
        <w:rPr>
          <w:rFonts w:ascii="Times New Roman" w:hAnsi="Times New Roman" w:cs="Times New Roman"/>
        </w:rPr>
        <w:t>5.</w:t>
      </w:r>
    </w:p>
  </w:footnote>
  <w:footnote w:id="4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For simplicity, I will use the term ‘overcome’ as a catch-all, to refer to both considerations that override and those that cancel reasons against action. </w:t>
      </w:r>
    </w:p>
  </w:footnote>
  <w:footnote w:id="4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See, e</w:t>
      </w:r>
      <w:r>
        <w:rPr>
          <w:rFonts w:ascii="Times New Roman" w:hAnsi="Times New Roman" w:cs="Times New Roman"/>
        </w:rPr>
        <w:t>.</w:t>
      </w:r>
      <w:r w:rsidRPr="00F80570">
        <w:rPr>
          <w:rFonts w:ascii="Times New Roman" w:hAnsi="Times New Roman" w:cs="Times New Roman"/>
        </w:rPr>
        <w:t>g</w:t>
      </w:r>
      <w:r>
        <w:rPr>
          <w:rFonts w:ascii="Times New Roman" w:hAnsi="Times New Roman" w:cs="Times New Roman"/>
        </w:rPr>
        <w:t>.</w:t>
      </w:r>
      <w:r w:rsidRPr="00F80570">
        <w:rPr>
          <w:rFonts w:ascii="Times New Roman" w:hAnsi="Times New Roman" w:cs="Times New Roman"/>
        </w:rPr>
        <w:t xml:space="preserve"> </w:t>
      </w:r>
      <w:r w:rsidRPr="00F80570">
        <w:rPr>
          <w:rFonts w:ascii="Times New Roman" w:hAnsi="Times New Roman" w:cs="Times New Roman"/>
          <w:noProof/>
        </w:rPr>
        <w:t xml:space="preserve">Glanville L Williams, ‘Offences and Defences’ (1982) 2 </w:t>
      </w:r>
      <w:r w:rsidRPr="00F80570">
        <w:rPr>
          <w:rFonts w:ascii="Times New Roman" w:hAnsi="Times New Roman" w:cs="Times New Roman"/>
          <w:i/>
          <w:noProof/>
        </w:rPr>
        <w:t xml:space="preserve">Legal Studies </w:t>
      </w:r>
      <w:r w:rsidRPr="00F80570">
        <w:rPr>
          <w:rFonts w:ascii="Times New Roman" w:hAnsi="Times New Roman" w:cs="Times New Roman"/>
          <w:noProof/>
        </w:rPr>
        <w:t xml:space="preserve">233, 252-253; Gardner </w:t>
      </w:r>
      <w:r>
        <w:rPr>
          <w:rFonts w:ascii="Times New Roman" w:hAnsi="Times New Roman" w:cs="Times New Roman"/>
          <w:noProof/>
        </w:rPr>
        <w:t>(n 36)</w:t>
      </w:r>
      <w:r w:rsidRPr="00F80570">
        <w:rPr>
          <w:rFonts w:ascii="Times New Roman" w:hAnsi="Times New Roman" w:cs="Times New Roman"/>
          <w:noProof/>
        </w:rPr>
        <w:t xml:space="preserve"> 143.</w:t>
      </w:r>
    </w:p>
  </w:footnote>
  <w:footnote w:id="4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See, e</w:t>
      </w:r>
      <w:r>
        <w:rPr>
          <w:rFonts w:ascii="Times New Roman" w:hAnsi="Times New Roman" w:cs="Times New Roman"/>
        </w:rPr>
        <w:t>.</w:t>
      </w:r>
      <w:r w:rsidRPr="00F80570">
        <w:rPr>
          <w:rFonts w:ascii="Times New Roman" w:hAnsi="Times New Roman" w:cs="Times New Roman"/>
        </w:rPr>
        <w:t>g</w:t>
      </w:r>
      <w:r>
        <w:rPr>
          <w:rFonts w:ascii="Times New Roman" w:hAnsi="Times New Roman" w:cs="Times New Roman"/>
        </w:rPr>
        <w:t>.</w:t>
      </w:r>
      <w:r w:rsidRPr="00F80570">
        <w:rPr>
          <w:rFonts w:ascii="Times New Roman" w:hAnsi="Times New Roman" w:cs="Times New Roman"/>
        </w:rPr>
        <w:t xml:space="preserve"> </w:t>
      </w:r>
      <w:r w:rsidRPr="00F80570">
        <w:rPr>
          <w:rFonts w:ascii="Times New Roman" w:hAnsi="Times New Roman" w:cs="Times New Roman"/>
          <w:noProof/>
        </w:rPr>
        <w:t xml:space="preserve">George P Fletcher, </w:t>
      </w:r>
      <w:r w:rsidRPr="00F80570">
        <w:rPr>
          <w:rFonts w:ascii="Times New Roman" w:hAnsi="Times New Roman" w:cs="Times New Roman"/>
          <w:i/>
          <w:noProof/>
        </w:rPr>
        <w:t>Rethinking Criminal Law</w:t>
      </w:r>
      <w:r w:rsidRPr="00F80570">
        <w:rPr>
          <w:rFonts w:ascii="Times New Roman" w:hAnsi="Times New Roman" w:cs="Times New Roman"/>
          <w:noProof/>
        </w:rPr>
        <w:t xml:space="preserve"> (OUP, 2000), 567.</w:t>
      </w:r>
    </w:p>
  </w:footnote>
  <w:footnote w:id="4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I</w:t>
      </w:r>
      <w:r>
        <w:rPr>
          <w:rFonts w:ascii="Times New Roman" w:hAnsi="Times New Roman" w:cs="Times New Roman"/>
        </w:rPr>
        <w:t xml:space="preserve">bid, </w:t>
      </w:r>
      <w:r w:rsidRPr="00F80570">
        <w:rPr>
          <w:rFonts w:ascii="Times New Roman" w:hAnsi="Times New Roman" w:cs="Times New Roman"/>
          <w:noProof/>
        </w:rPr>
        <w:t>566-</w:t>
      </w:r>
      <w:r>
        <w:rPr>
          <w:rFonts w:ascii="Times New Roman" w:hAnsi="Times New Roman" w:cs="Times New Roman"/>
          <w:noProof/>
        </w:rPr>
        <w:t>9</w:t>
      </w:r>
      <w:r w:rsidRPr="00F80570">
        <w:rPr>
          <w:rFonts w:ascii="Times New Roman" w:hAnsi="Times New Roman" w:cs="Times New Roman"/>
          <w:noProof/>
        </w:rPr>
        <w:t>.</w:t>
      </w:r>
    </w:p>
  </w:footnote>
  <w:footnote w:id="5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Campbell </w:t>
      </w:r>
      <w:r>
        <w:rPr>
          <w:rFonts w:ascii="Times New Roman" w:hAnsi="Times New Roman" w:cs="Times New Roman"/>
          <w:noProof/>
        </w:rPr>
        <w:t>(n 33)</w:t>
      </w:r>
      <w:r w:rsidRPr="00F80570">
        <w:rPr>
          <w:rFonts w:ascii="Times New Roman" w:hAnsi="Times New Roman" w:cs="Times New Roman"/>
          <w:noProof/>
        </w:rPr>
        <w:t xml:space="preserve"> 80.</w:t>
      </w:r>
      <w:r w:rsidRPr="00F80570">
        <w:rPr>
          <w:rFonts w:ascii="Times New Roman" w:hAnsi="Times New Roman" w:cs="Times New Roman"/>
        </w:rPr>
        <w:t xml:space="preserve"> (italics in original)</w:t>
      </w:r>
    </w:p>
  </w:footnote>
  <w:footnote w:id="5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noProof/>
        </w:rPr>
        <w:t>Ibid</w:t>
      </w:r>
      <w:r w:rsidRPr="00F80570">
        <w:rPr>
          <w:rFonts w:ascii="Times New Roman" w:hAnsi="Times New Roman" w:cs="Times New Roman"/>
          <w:noProof/>
        </w:rPr>
        <w:t>, 84.</w:t>
      </w:r>
    </w:p>
  </w:footnote>
  <w:footnote w:id="5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lang w:val="en-US"/>
        </w:rPr>
        <w:t xml:space="preserve">I have chosen these two crimes because they are present in most (if not all) legal systems, and will be relatively familiar to all lawyers. Likewise, I have chosen to illustrate the point by reference to the criminal law because it is in this field that the debate about the distinction between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is most advanced. But the issue is of interest to other areas of the law as well. Julius Stone, for example, addressed the distinction between offences and </w:t>
      </w:r>
      <w:proofErr w:type="spellStart"/>
      <w:r w:rsidRPr="00F80570">
        <w:rPr>
          <w:rFonts w:ascii="Times New Roman" w:hAnsi="Times New Roman" w:cs="Times New Roman"/>
          <w:lang w:val="en-US"/>
        </w:rPr>
        <w:t>defences</w:t>
      </w:r>
      <w:proofErr w:type="spellEnd"/>
      <w:r w:rsidRPr="00F80570">
        <w:rPr>
          <w:rFonts w:ascii="Times New Roman" w:hAnsi="Times New Roman" w:cs="Times New Roman"/>
          <w:lang w:val="en-US"/>
        </w:rPr>
        <w:t xml:space="preserve"> in the context of a private law dispute. Specifically in respect of consent, James </w:t>
      </w:r>
      <w:proofErr w:type="spellStart"/>
      <w:r w:rsidRPr="00F80570">
        <w:rPr>
          <w:rFonts w:ascii="Times New Roman" w:hAnsi="Times New Roman" w:cs="Times New Roman"/>
          <w:lang w:val="en-US"/>
        </w:rPr>
        <w:t>Goudkamp</w:t>
      </w:r>
      <w:proofErr w:type="spellEnd"/>
      <w:r w:rsidRPr="00F80570">
        <w:rPr>
          <w:rFonts w:ascii="Times New Roman" w:hAnsi="Times New Roman" w:cs="Times New Roman"/>
          <w:lang w:val="en-US"/>
        </w:rPr>
        <w:t xml:space="preserve"> has noted that – at least in the common law tradition – consent can be an intrinsic element to certain torts or a </w:t>
      </w:r>
      <w:proofErr w:type="spellStart"/>
      <w:r w:rsidRPr="00F80570">
        <w:rPr>
          <w:rFonts w:ascii="Times New Roman" w:hAnsi="Times New Roman" w:cs="Times New Roman"/>
          <w:lang w:val="en-US"/>
        </w:rPr>
        <w:t>defence</w:t>
      </w:r>
      <w:proofErr w:type="spellEnd"/>
      <w:r w:rsidRPr="00F80570">
        <w:rPr>
          <w:rFonts w:ascii="Times New Roman" w:hAnsi="Times New Roman" w:cs="Times New Roman"/>
          <w:lang w:val="en-US"/>
        </w:rPr>
        <w:t xml:space="preserve"> to other torts</w:t>
      </w:r>
      <w:r>
        <w:rPr>
          <w:rFonts w:ascii="Times New Roman" w:hAnsi="Times New Roman" w:cs="Times New Roman"/>
          <w:lang w:val="en-US"/>
        </w:rPr>
        <w:t>:</w:t>
      </w:r>
      <w:r w:rsidRPr="00F80570">
        <w:rPr>
          <w:rFonts w:ascii="Times New Roman" w:hAnsi="Times New Roman" w:cs="Times New Roman"/>
          <w:lang w:val="en-US"/>
        </w:rPr>
        <w:t xml:space="preserve"> </w:t>
      </w:r>
      <w:r>
        <w:rPr>
          <w:rFonts w:ascii="Times New Roman" w:hAnsi="Times New Roman" w:cs="Times New Roman"/>
          <w:lang w:val="en-US"/>
        </w:rPr>
        <w:t xml:space="preserve">(n 32) </w:t>
      </w:r>
      <w:r w:rsidRPr="00F80570">
        <w:rPr>
          <w:rFonts w:ascii="Times New Roman" w:hAnsi="Times New Roman" w:cs="Times New Roman"/>
          <w:noProof/>
        </w:rPr>
        <w:t>ch 2 (conceptual discussion of defences in tort law), 65-8 (on consent as an intrinsic element - denial, in Goudkamp</w:t>
      </w:r>
      <w:r>
        <w:rPr>
          <w:rFonts w:ascii="Times New Roman" w:hAnsi="Times New Roman" w:cs="Times New Roman"/>
          <w:noProof/>
        </w:rPr>
        <w:t>’</w:t>
      </w:r>
      <w:r w:rsidRPr="00F80570">
        <w:rPr>
          <w:rFonts w:ascii="Times New Roman" w:hAnsi="Times New Roman" w:cs="Times New Roman"/>
          <w:noProof/>
        </w:rPr>
        <w:t>s terminology - or defence).</w:t>
      </w:r>
      <w:r>
        <w:rPr>
          <w:rFonts w:ascii="Times New Roman" w:hAnsi="Times New Roman" w:cs="Times New Roman"/>
        </w:rPr>
        <w:t xml:space="preserve"> </w:t>
      </w:r>
      <w:r w:rsidRPr="00F80570">
        <w:rPr>
          <w:rFonts w:ascii="Times New Roman" w:hAnsi="Times New Roman" w:cs="Times New Roman"/>
          <w:lang w:val="en-US"/>
        </w:rPr>
        <w:t xml:space="preserve">The issue is one that is relevant to the legal order as a whole – or </w:t>
      </w:r>
      <w:r>
        <w:rPr>
          <w:rFonts w:ascii="Times New Roman" w:hAnsi="Times New Roman" w:cs="Times New Roman"/>
          <w:lang w:val="en-US"/>
        </w:rPr>
        <w:t>wherever</w:t>
      </w:r>
      <w:r w:rsidRPr="00F80570">
        <w:rPr>
          <w:rFonts w:ascii="Times New Roman" w:hAnsi="Times New Roman" w:cs="Times New Roman"/>
          <w:lang w:val="en-US"/>
        </w:rPr>
        <w:t>, within that legal order, there are exceptions.</w:t>
      </w:r>
    </w:p>
  </w:footnote>
  <w:footnote w:id="5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The definition is taken from </w:t>
      </w:r>
      <w:r w:rsidRPr="00F80570">
        <w:rPr>
          <w:rFonts w:ascii="Times New Roman" w:hAnsi="Times New Roman" w:cs="Times New Roman"/>
          <w:noProof/>
        </w:rPr>
        <w:t xml:space="preserve">David Ormerod and Karl Laird, </w:t>
      </w:r>
      <w:r w:rsidRPr="00F80570">
        <w:rPr>
          <w:rFonts w:ascii="Times New Roman" w:hAnsi="Times New Roman" w:cs="Times New Roman"/>
          <w:i/>
          <w:noProof/>
        </w:rPr>
        <w:t>Smith, Hogan, and Ormerod’s Criminal Law</w:t>
      </w:r>
      <w:r w:rsidRPr="00F80570">
        <w:rPr>
          <w:rFonts w:ascii="Times New Roman" w:hAnsi="Times New Roman" w:cs="Times New Roman"/>
          <w:noProof/>
        </w:rPr>
        <w:t xml:space="preserve"> (OUP, 15th edn</w:t>
      </w:r>
      <w:r>
        <w:rPr>
          <w:rFonts w:ascii="Times New Roman" w:hAnsi="Times New Roman" w:cs="Times New Roman"/>
          <w:noProof/>
        </w:rPr>
        <w:t xml:space="preserve"> </w:t>
      </w:r>
      <w:r w:rsidRPr="00F80570">
        <w:rPr>
          <w:rFonts w:ascii="Times New Roman" w:hAnsi="Times New Roman" w:cs="Times New Roman"/>
          <w:noProof/>
        </w:rPr>
        <w:t>2018), 658.</w:t>
      </w:r>
    </w:p>
  </w:footnote>
  <w:footnote w:id="5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This is the default position in the following consultation papers of the Law Commission of England and Wales: </w:t>
      </w:r>
      <w:r w:rsidRPr="00F80570">
        <w:rPr>
          <w:rFonts w:ascii="Times New Roman" w:hAnsi="Times New Roman" w:cs="Times New Roman"/>
          <w:i/>
          <w:iCs/>
        </w:rPr>
        <w:t>Consent and Offences Against the Person</w:t>
      </w:r>
      <w:r w:rsidRPr="00F80570">
        <w:rPr>
          <w:rFonts w:ascii="Times New Roman" w:hAnsi="Times New Roman" w:cs="Times New Roman"/>
        </w:rPr>
        <w:t xml:space="preserve">, Law Commission Consultation Paper No 134 (1994), and </w:t>
      </w:r>
      <w:r w:rsidRPr="00F80570">
        <w:rPr>
          <w:rFonts w:ascii="Times New Roman" w:hAnsi="Times New Roman" w:cs="Times New Roman"/>
          <w:i/>
          <w:iCs/>
        </w:rPr>
        <w:t>Consent in Criminal Law</w:t>
      </w:r>
      <w:r w:rsidRPr="00F80570">
        <w:rPr>
          <w:rFonts w:ascii="Times New Roman" w:hAnsi="Times New Roman" w:cs="Times New Roman"/>
        </w:rPr>
        <w:t xml:space="preserve">, Law Commission Consultation Paper No 139 (1995). This is also the approach in New Zealand, where consent is a defence to non-sexual interpersonal violence offences, see: </w:t>
      </w:r>
      <w:r w:rsidRPr="00F80570">
        <w:rPr>
          <w:rFonts w:ascii="Times New Roman" w:hAnsi="Times New Roman" w:cs="Times New Roman"/>
          <w:noProof/>
        </w:rPr>
        <w:t xml:space="preserve">Julia Tolmie, ‘New Zealand’ in </w:t>
      </w:r>
      <w:r>
        <w:rPr>
          <w:rFonts w:ascii="Times New Roman" w:hAnsi="Times New Roman" w:cs="Times New Roman"/>
          <w:noProof/>
        </w:rPr>
        <w:t xml:space="preserve">Alan </w:t>
      </w:r>
      <w:r w:rsidRPr="00F80570">
        <w:rPr>
          <w:rFonts w:ascii="Times New Roman" w:hAnsi="Times New Roman" w:cs="Times New Roman"/>
          <w:noProof/>
        </w:rPr>
        <w:t>Reed</w:t>
      </w:r>
      <w:r w:rsidRPr="00F80570">
        <w:rPr>
          <w:rFonts w:ascii="Times New Roman" w:hAnsi="Times New Roman" w:cs="Times New Roman"/>
          <w:i/>
          <w:noProof/>
        </w:rPr>
        <w:t xml:space="preserve"> et al</w:t>
      </w:r>
      <w:r w:rsidRPr="00F80570">
        <w:rPr>
          <w:rFonts w:ascii="Times New Roman" w:hAnsi="Times New Roman" w:cs="Times New Roman"/>
          <w:noProof/>
        </w:rPr>
        <w:t xml:space="preserve"> (eds), </w:t>
      </w:r>
      <w:r w:rsidRPr="00F80570">
        <w:rPr>
          <w:rFonts w:ascii="Times New Roman" w:hAnsi="Times New Roman" w:cs="Times New Roman"/>
          <w:i/>
          <w:noProof/>
        </w:rPr>
        <w:t>Consent: Domestic and Comparative Perspectives</w:t>
      </w:r>
      <w:r w:rsidRPr="00F80570">
        <w:rPr>
          <w:rFonts w:ascii="Times New Roman" w:hAnsi="Times New Roman" w:cs="Times New Roman"/>
          <w:noProof/>
        </w:rPr>
        <w:t xml:space="preserve"> (Routledge, 2017), 326-7.</w:t>
      </w:r>
    </w:p>
  </w:footnote>
  <w:footnote w:id="5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Although, as will be noted later on, some scholars disagree on this point.</w:t>
      </w:r>
    </w:p>
  </w:footnote>
  <w:footnote w:id="5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Gardner </w:t>
      </w:r>
      <w:r>
        <w:rPr>
          <w:rFonts w:ascii="Times New Roman" w:hAnsi="Times New Roman" w:cs="Times New Roman"/>
          <w:noProof/>
        </w:rPr>
        <w:t>(n 36)</w:t>
      </w:r>
      <w:r w:rsidRPr="00F80570">
        <w:rPr>
          <w:rFonts w:ascii="Times New Roman" w:hAnsi="Times New Roman" w:cs="Times New Roman"/>
          <w:noProof/>
        </w:rPr>
        <w:t xml:space="preserve"> 144.</w:t>
      </w:r>
    </w:p>
  </w:footnote>
  <w:footnote w:id="5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Michelle Madden Dempsey and Jonathan Herring, ‘Why Sexual Penetration Requires Justification’ (2007) 27 </w:t>
      </w:r>
      <w:r w:rsidRPr="00F80570">
        <w:rPr>
          <w:rFonts w:ascii="Times New Roman" w:hAnsi="Times New Roman" w:cs="Times New Roman"/>
          <w:i/>
          <w:noProof/>
        </w:rPr>
        <w:t>Oxford J</w:t>
      </w:r>
      <w:r>
        <w:rPr>
          <w:rFonts w:ascii="Times New Roman" w:hAnsi="Times New Roman" w:cs="Times New Roman"/>
          <w:i/>
          <w:noProof/>
        </w:rPr>
        <w:t>ournal of</w:t>
      </w:r>
      <w:r w:rsidRPr="00F80570">
        <w:rPr>
          <w:rFonts w:ascii="Times New Roman" w:hAnsi="Times New Roman" w:cs="Times New Roman"/>
          <w:i/>
          <w:noProof/>
        </w:rPr>
        <w:t xml:space="preserve"> Leg</w:t>
      </w:r>
      <w:r>
        <w:rPr>
          <w:rFonts w:ascii="Times New Roman" w:hAnsi="Times New Roman" w:cs="Times New Roman"/>
          <w:i/>
          <w:noProof/>
        </w:rPr>
        <w:t xml:space="preserve">al </w:t>
      </w:r>
      <w:r w:rsidRPr="00F80570">
        <w:rPr>
          <w:rFonts w:ascii="Times New Roman" w:hAnsi="Times New Roman" w:cs="Times New Roman"/>
          <w:i/>
          <w:noProof/>
        </w:rPr>
        <w:t>Stud</w:t>
      </w:r>
      <w:r>
        <w:rPr>
          <w:rFonts w:ascii="Times New Roman" w:hAnsi="Times New Roman" w:cs="Times New Roman"/>
          <w:i/>
          <w:noProof/>
        </w:rPr>
        <w:t>ies</w:t>
      </w:r>
      <w:r w:rsidRPr="00F80570">
        <w:rPr>
          <w:rFonts w:ascii="Times New Roman" w:hAnsi="Times New Roman" w:cs="Times New Roman"/>
          <w:i/>
          <w:noProof/>
        </w:rPr>
        <w:t xml:space="preserve"> </w:t>
      </w:r>
      <w:r w:rsidRPr="00F80570">
        <w:rPr>
          <w:rFonts w:ascii="Times New Roman" w:hAnsi="Times New Roman" w:cs="Times New Roman"/>
          <w:noProof/>
        </w:rPr>
        <w:t xml:space="preserve">467; Jesse Wall, ‘Sexual Offences and General Reasons not to Have Sex’ (2015) 35 </w:t>
      </w:r>
      <w:r w:rsidRPr="00F80570">
        <w:rPr>
          <w:rFonts w:ascii="Times New Roman" w:hAnsi="Times New Roman" w:cs="Times New Roman"/>
          <w:i/>
          <w:noProof/>
        </w:rPr>
        <w:t>Oxford J</w:t>
      </w:r>
      <w:r>
        <w:rPr>
          <w:rFonts w:ascii="Times New Roman" w:hAnsi="Times New Roman" w:cs="Times New Roman"/>
          <w:i/>
          <w:noProof/>
        </w:rPr>
        <w:t>ournal of</w:t>
      </w:r>
      <w:r w:rsidRPr="00F80570">
        <w:rPr>
          <w:rFonts w:ascii="Times New Roman" w:hAnsi="Times New Roman" w:cs="Times New Roman"/>
          <w:i/>
          <w:noProof/>
        </w:rPr>
        <w:t xml:space="preserve"> Leg</w:t>
      </w:r>
      <w:r>
        <w:rPr>
          <w:rFonts w:ascii="Times New Roman" w:hAnsi="Times New Roman" w:cs="Times New Roman"/>
          <w:i/>
          <w:noProof/>
        </w:rPr>
        <w:t>al</w:t>
      </w:r>
      <w:r w:rsidRPr="00F80570">
        <w:rPr>
          <w:rFonts w:ascii="Times New Roman" w:hAnsi="Times New Roman" w:cs="Times New Roman"/>
          <w:i/>
          <w:noProof/>
        </w:rPr>
        <w:t xml:space="preserve"> Stud</w:t>
      </w:r>
      <w:r>
        <w:rPr>
          <w:rFonts w:ascii="Times New Roman" w:hAnsi="Times New Roman" w:cs="Times New Roman"/>
          <w:i/>
          <w:noProof/>
        </w:rPr>
        <w:t>ies</w:t>
      </w:r>
      <w:r w:rsidRPr="00F80570">
        <w:rPr>
          <w:rFonts w:ascii="Times New Roman" w:hAnsi="Times New Roman" w:cs="Times New Roman"/>
          <w:i/>
          <w:noProof/>
        </w:rPr>
        <w:t xml:space="preserve"> </w:t>
      </w:r>
      <w:r w:rsidR="00925004">
        <w:rPr>
          <w:rFonts w:ascii="Times New Roman" w:hAnsi="Times New Roman" w:cs="Times New Roman"/>
          <w:noProof/>
        </w:rPr>
        <w:t>1</w:t>
      </w:r>
      <w:r w:rsidRPr="00F80570">
        <w:rPr>
          <w:rFonts w:ascii="Times New Roman" w:hAnsi="Times New Roman" w:cs="Times New Roman"/>
          <w:noProof/>
        </w:rPr>
        <w:t>.</w:t>
      </w:r>
      <w:r w:rsidRPr="00F80570">
        <w:rPr>
          <w:rFonts w:ascii="Times New Roman" w:hAnsi="Times New Roman" w:cs="Times New Roman"/>
        </w:rPr>
        <w:t xml:space="preserve"> </w:t>
      </w:r>
    </w:p>
  </w:footnote>
  <w:footnote w:id="5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Wall </w:t>
      </w:r>
      <w:r>
        <w:rPr>
          <w:rFonts w:ascii="Times New Roman" w:hAnsi="Times New Roman" w:cs="Times New Roman"/>
          <w:noProof/>
        </w:rPr>
        <w:t>(n 55)</w:t>
      </w:r>
      <w:r w:rsidRPr="00F80570">
        <w:rPr>
          <w:rFonts w:ascii="Times New Roman" w:hAnsi="Times New Roman" w:cs="Times New Roman"/>
          <w:noProof/>
        </w:rPr>
        <w:t xml:space="preserve"> 1.</w:t>
      </w:r>
      <w:r w:rsidRPr="00F80570">
        <w:rPr>
          <w:rFonts w:ascii="Times New Roman" w:hAnsi="Times New Roman" w:cs="Times New Roman"/>
        </w:rPr>
        <w:t xml:space="preserve"> </w:t>
      </w:r>
    </w:p>
  </w:footnote>
  <w:footnote w:id="59">
    <w:p w:rsidR="00AF7273" w:rsidRPr="00F80570" w:rsidRDefault="00AF7273" w:rsidP="00AF7273">
      <w:pPr>
        <w:pStyle w:val="FootnoteText"/>
        <w:snapToGrid w:val="0"/>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bCs/>
          <w:i/>
        </w:rPr>
        <w:t>R v Brown</w:t>
      </w:r>
      <w:r w:rsidRPr="00F80570">
        <w:rPr>
          <w:rFonts w:ascii="Times New Roman" w:hAnsi="Times New Roman" w:cs="Times New Roman"/>
        </w:rPr>
        <w:t> [1993] UKHL 19, [1994] 1 AC.</w:t>
      </w:r>
    </w:p>
  </w:footnote>
  <w:footnote w:id="6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In </w:t>
      </w:r>
      <w:r w:rsidRPr="00F80570">
        <w:rPr>
          <w:rFonts w:ascii="Times New Roman" w:hAnsi="Times New Roman" w:cs="Times New Roman"/>
          <w:i/>
          <w:iCs/>
        </w:rPr>
        <w:t>Brown</w:t>
      </w:r>
      <w:r w:rsidRPr="00F80570">
        <w:rPr>
          <w:rFonts w:ascii="Times New Roman" w:hAnsi="Times New Roman" w:cs="Times New Roman"/>
        </w:rPr>
        <w:t xml:space="preserve">, Lords </w:t>
      </w:r>
      <w:proofErr w:type="spellStart"/>
      <w:r w:rsidRPr="00F80570">
        <w:rPr>
          <w:rFonts w:ascii="Times New Roman" w:hAnsi="Times New Roman" w:cs="Times New Roman"/>
        </w:rPr>
        <w:t>Jauncey</w:t>
      </w:r>
      <w:proofErr w:type="spellEnd"/>
      <w:r w:rsidRPr="00F80570">
        <w:rPr>
          <w:rFonts w:ascii="Times New Roman" w:hAnsi="Times New Roman" w:cs="Times New Roman"/>
        </w:rPr>
        <w:t xml:space="preserve">, Lowry and Templeman considered consent to be a defence to a charge of battery. Lords </w:t>
      </w:r>
      <w:proofErr w:type="spellStart"/>
      <w:r w:rsidRPr="00F80570">
        <w:rPr>
          <w:rFonts w:ascii="Times New Roman" w:hAnsi="Times New Roman" w:cs="Times New Roman"/>
        </w:rPr>
        <w:t>Mustill</w:t>
      </w:r>
      <w:proofErr w:type="spellEnd"/>
      <w:r w:rsidRPr="00F80570">
        <w:rPr>
          <w:rFonts w:ascii="Times New Roman" w:hAnsi="Times New Roman" w:cs="Times New Roman"/>
        </w:rPr>
        <w:t xml:space="preserve"> and </w:t>
      </w:r>
      <w:proofErr w:type="spellStart"/>
      <w:r w:rsidRPr="00F80570">
        <w:rPr>
          <w:rFonts w:ascii="Times New Roman" w:hAnsi="Times New Roman" w:cs="Times New Roman"/>
        </w:rPr>
        <w:t>Slynn</w:t>
      </w:r>
      <w:proofErr w:type="spellEnd"/>
      <w:r w:rsidRPr="00F80570">
        <w:rPr>
          <w:rFonts w:ascii="Times New Roman" w:hAnsi="Times New Roman" w:cs="Times New Roman"/>
        </w:rPr>
        <w:t>, on the other hand, considered consent to be intrinsic to the offence of battery.</w:t>
      </w:r>
    </w:p>
  </w:footnote>
  <w:footnote w:id="6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See, e</w:t>
      </w:r>
      <w:r>
        <w:rPr>
          <w:rFonts w:ascii="Times New Roman" w:hAnsi="Times New Roman" w:cs="Times New Roman"/>
        </w:rPr>
        <w:t>.</w:t>
      </w:r>
      <w:r w:rsidRPr="00F80570">
        <w:rPr>
          <w:rFonts w:ascii="Times New Roman" w:hAnsi="Times New Roman" w:cs="Times New Roman"/>
        </w:rPr>
        <w:t>g</w:t>
      </w:r>
      <w:r>
        <w:rPr>
          <w:rFonts w:ascii="Times New Roman" w:hAnsi="Times New Roman" w:cs="Times New Roman"/>
        </w:rPr>
        <w:t xml:space="preserve">. </w:t>
      </w:r>
      <w:r w:rsidRPr="00F80570">
        <w:rPr>
          <w:rFonts w:ascii="Times New Roman" w:hAnsi="Times New Roman" w:cs="Times New Roman"/>
          <w:noProof/>
        </w:rPr>
        <w:t>Simester</w:t>
      </w:r>
      <w:r w:rsidRPr="00F80570">
        <w:rPr>
          <w:rFonts w:ascii="Times New Roman" w:hAnsi="Times New Roman" w:cs="Times New Roman"/>
          <w:i/>
          <w:noProof/>
        </w:rPr>
        <w:t xml:space="preserve"> et al</w:t>
      </w:r>
      <w:r w:rsidRPr="00F80570">
        <w:rPr>
          <w:rFonts w:ascii="Times New Roman" w:hAnsi="Times New Roman" w:cs="Times New Roman"/>
          <w:noProof/>
        </w:rPr>
        <w:t xml:space="preserve"> </w:t>
      </w:r>
      <w:r>
        <w:rPr>
          <w:rFonts w:ascii="Times New Roman" w:hAnsi="Times New Roman" w:cs="Times New Roman"/>
          <w:noProof/>
        </w:rPr>
        <w:t>(</w:t>
      </w:r>
      <w:r>
        <w:rPr>
          <w:rFonts w:ascii="Times New Roman" w:hAnsi="Times New Roman" w:cs="Times New Roman"/>
          <w:iCs/>
          <w:noProof/>
        </w:rPr>
        <w:t xml:space="preserve">n 24) </w:t>
      </w:r>
      <w:r w:rsidRPr="00F80570">
        <w:rPr>
          <w:rFonts w:ascii="Times New Roman" w:hAnsi="Times New Roman" w:cs="Times New Roman"/>
          <w:noProof/>
        </w:rPr>
        <w:t>825-8.</w:t>
      </w:r>
    </w:p>
  </w:footnote>
  <w:footnote w:id="6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Michael Bohlander, </w:t>
      </w:r>
      <w:r w:rsidRPr="00F80570">
        <w:rPr>
          <w:rFonts w:ascii="Times New Roman" w:hAnsi="Times New Roman" w:cs="Times New Roman"/>
          <w:i/>
          <w:noProof/>
        </w:rPr>
        <w:t>Principles of German Criminal Law</w:t>
      </w:r>
      <w:r w:rsidRPr="00F80570">
        <w:rPr>
          <w:rFonts w:ascii="Times New Roman" w:hAnsi="Times New Roman" w:cs="Times New Roman"/>
          <w:noProof/>
        </w:rPr>
        <w:t xml:space="preserve"> (Hart, 2009), 77; Kai Ambos and Stefanie Bock, ‘Germany’ in Reed</w:t>
      </w:r>
      <w:r>
        <w:rPr>
          <w:rFonts w:ascii="Times New Roman" w:hAnsi="Times New Roman" w:cs="Times New Roman"/>
          <w:noProof/>
        </w:rPr>
        <w:t xml:space="preserve"> </w:t>
      </w:r>
      <w:r>
        <w:rPr>
          <w:rFonts w:ascii="Times New Roman" w:hAnsi="Times New Roman" w:cs="Times New Roman"/>
          <w:i/>
          <w:iCs/>
          <w:noProof/>
        </w:rPr>
        <w:t>et al</w:t>
      </w:r>
      <w:r>
        <w:rPr>
          <w:rFonts w:ascii="Times New Roman" w:hAnsi="Times New Roman" w:cs="Times New Roman"/>
          <w:noProof/>
        </w:rPr>
        <w:t xml:space="preserve"> (n  52)</w:t>
      </w:r>
      <w:r w:rsidRPr="00F80570">
        <w:rPr>
          <w:rFonts w:ascii="Times New Roman" w:hAnsi="Times New Roman" w:cs="Times New Roman"/>
          <w:noProof/>
        </w:rPr>
        <w:t xml:space="preserve"> 265-6.</w:t>
      </w:r>
    </w:p>
  </w:footnote>
  <w:footnote w:id="6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Dimitrios Giannoulopoulos and Raphaële Parizot, ‘France’ in Reed</w:t>
      </w:r>
      <w:r>
        <w:rPr>
          <w:rFonts w:ascii="Times New Roman" w:hAnsi="Times New Roman" w:cs="Times New Roman"/>
          <w:noProof/>
        </w:rPr>
        <w:t xml:space="preserve"> (n 52)</w:t>
      </w:r>
      <w:r w:rsidRPr="00F80570">
        <w:rPr>
          <w:rFonts w:ascii="Times New Roman" w:hAnsi="Times New Roman" w:cs="Times New Roman"/>
          <w:noProof/>
        </w:rPr>
        <w:t xml:space="preserve"> 386.</w:t>
      </w:r>
    </w:p>
  </w:footnote>
  <w:footnote w:id="6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Anne Postma, ‘The Netherlands’ in Reed</w:t>
      </w:r>
      <w:r w:rsidRPr="00F80570">
        <w:rPr>
          <w:rFonts w:ascii="Times New Roman" w:hAnsi="Times New Roman" w:cs="Times New Roman"/>
          <w:i/>
          <w:noProof/>
        </w:rPr>
        <w:t xml:space="preserve"> et al</w:t>
      </w:r>
      <w:r>
        <w:rPr>
          <w:rFonts w:ascii="Times New Roman" w:hAnsi="Times New Roman" w:cs="Times New Roman"/>
          <w:noProof/>
        </w:rPr>
        <w:t xml:space="preserve"> (n 52) </w:t>
      </w:r>
      <w:r w:rsidRPr="00F80570">
        <w:rPr>
          <w:rFonts w:ascii="Times New Roman" w:hAnsi="Times New Roman" w:cs="Times New Roman"/>
          <w:noProof/>
        </w:rPr>
        <w:t>305-6.</w:t>
      </w:r>
    </w:p>
  </w:footnote>
  <w:footnote w:id="6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Tolmie </w:t>
      </w:r>
      <w:r>
        <w:rPr>
          <w:rFonts w:ascii="Times New Roman" w:hAnsi="Times New Roman" w:cs="Times New Roman"/>
          <w:noProof/>
        </w:rPr>
        <w:t xml:space="preserve">(n 52) </w:t>
      </w:r>
      <w:r w:rsidRPr="00F80570">
        <w:rPr>
          <w:rFonts w:ascii="Times New Roman" w:hAnsi="Times New Roman" w:cs="Times New Roman"/>
          <w:noProof/>
        </w:rPr>
        <w:t>326-7.</w:t>
      </w:r>
    </w:p>
  </w:footnote>
  <w:footnote w:id="6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Petter Asp and Magnus Ulväng, ‘Sweden’ in Reed</w:t>
      </w:r>
      <w:r w:rsidRPr="00F80570">
        <w:rPr>
          <w:rFonts w:ascii="Times New Roman" w:hAnsi="Times New Roman" w:cs="Times New Roman"/>
          <w:i/>
          <w:noProof/>
        </w:rPr>
        <w:t xml:space="preserve"> et al</w:t>
      </w:r>
      <w:r>
        <w:rPr>
          <w:rFonts w:ascii="Times New Roman" w:hAnsi="Times New Roman" w:cs="Times New Roman"/>
          <w:noProof/>
        </w:rPr>
        <w:t xml:space="preserve"> (n 52) </w:t>
      </w:r>
      <w:r w:rsidRPr="00F80570">
        <w:rPr>
          <w:rFonts w:ascii="Times New Roman" w:hAnsi="Times New Roman" w:cs="Times New Roman"/>
          <w:noProof/>
        </w:rPr>
        <w:t>420.</w:t>
      </w:r>
    </w:p>
  </w:footnote>
  <w:footnote w:id="6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R Murat Önok, ‘Turkey’ in Reed</w:t>
      </w:r>
      <w:r w:rsidRPr="00F80570">
        <w:rPr>
          <w:rFonts w:ascii="Times New Roman" w:hAnsi="Times New Roman" w:cs="Times New Roman"/>
          <w:i/>
          <w:noProof/>
        </w:rPr>
        <w:t xml:space="preserve"> et al</w:t>
      </w:r>
      <w:r>
        <w:rPr>
          <w:rFonts w:ascii="Times New Roman" w:hAnsi="Times New Roman" w:cs="Times New Roman"/>
          <w:iCs/>
          <w:noProof/>
        </w:rPr>
        <w:t xml:space="preserve"> (n 52)</w:t>
      </w:r>
      <w:r>
        <w:rPr>
          <w:rFonts w:ascii="Times New Roman" w:hAnsi="Times New Roman" w:cs="Times New Roman"/>
          <w:noProof/>
        </w:rPr>
        <w:t>,</w:t>
      </w:r>
      <w:r w:rsidRPr="00F80570">
        <w:rPr>
          <w:rFonts w:ascii="Times New Roman" w:hAnsi="Times New Roman" w:cs="Times New Roman"/>
          <w:noProof/>
        </w:rPr>
        <w:t xml:space="preserve"> 367-8.</w:t>
      </w:r>
    </w:p>
  </w:footnote>
  <w:footnote w:id="6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Vera Bergelson, ‘United States of America’ in Reed</w:t>
      </w:r>
      <w:r w:rsidRPr="00F80570">
        <w:rPr>
          <w:rFonts w:ascii="Times New Roman" w:hAnsi="Times New Roman" w:cs="Times New Roman"/>
          <w:i/>
          <w:noProof/>
        </w:rPr>
        <w:t xml:space="preserve"> et al</w:t>
      </w:r>
      <w:r>
        <w:rPr>
          <w:rFonts w:ascii="Times New Roman" w:hAnsi="Times New Roman" w:cs="Times New Roman"/>
          <w:iCs/>
          <w:noProof/>
        </w:rPr>
        <w:t xml:space="preserve"> (n 52)</w:t>
      </w:r>
      <w:r w:rsidRPr="00F80570">
        <w:rPr>
          <w:rFonts w:ascii="Times New Roman" w:hAnsi="Times New Roman" w:cs="Times New Roman"/>
          <w:noProof/>
        </w:rPr>
        <w:t xml:space="preserve"> 345.</w:t>
      </w:r>
    </w:p>
  </w:footnote>
  <w:footnote w:id="69">
    <w:p w:rsidR="00AF7273" w:rsidRPr="00107A76"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A</w:t>
      </w:r>
      <w:r w:rsidRPr="00107A76">
        <w:rPr>
          <w:rFonts w:ascii="Times New Roman" w:hAnsi="Times New Roman" w:cs="Times New Roman"/>
        </w:rPr>
        <w:t>nnexed to</w:t>
      </w:r>
      <w:r>
        <w:rPr>
          <w:rFonts w:ascii="Times New Roman" w:hAnsi="Times New Roman" w:cs="Times New Roman"/>
        </w:rPr>
        <w:t xml:space="preserve"> </w:t>
      </w:r>
      <w:r w:rsidRPr="00107A76">
        <w:rPr>
          <w:rFonts w:ascii="Times New Roman" w:hAnsi="Times New Roman" w:cs="Times New Roman"/>
        </w:rPr>
        <w:t>UNGA Res 56/83</w:t>
      </w:r>
      <w:r>
        <w:rPr>
          <w:rFonts w:ascii="Times New Roman" w:hAnsi="Times New Roman" w:cs="Times New Roman"/>
        </w:rPr>
        <w:t xml:space="preserve">, </w:t>
      </w:r>
      <w:r w:rsidRPr="00107A76">
        <w:rPr>
          <w:rFonts w:ascii="Times New Roman" w:hAnsi="Times New Roman" w:cs="Times New Roman"/>
        </w:rPr>
        <w:t>UN Doc A/RES/56/83</w:t>
      </w:r>
      <w:r>
        <w:rPr>
          <w:rFonts w:ascii="Times New Roman" w:hAnsi="Times New Roman" w:cs="Times New Roman"/>
        </w:rPr>
        <w:t xml:space="preserve"> </w:t>
      </w:r>
      <w:r w:rsidRPr="00107A76">
        <w:rPr>
          <w:rFonts w:ascii="Times New Roman" w:hAnsi="Times New Roman" w:cs="Times New Roman"/>
        </w:rPr>
        <w:t>(28 January 2002)</w:t>
      </w:r>
      <w:r>
        <w:rPr>
          <w:rFonts w:ascii="Times New Roman" w:hAnsi="Times New Roman" w:cs="Times New Roman"/>
        </w:rPr>
        <w:t>, a</w:t>
      </w:r>
      <w:r w:rsidRPr="00F80570">
        <w:rPr>
          <w:rFonts w:ascii="Times New Roman" w:hAnsi="Times New Roman" w:cs="Times New Roman"/>
        </w:rPr>
        <w:t>rts 20-25.</w:t>
      </w:r>
    </w:p>
  </w:footnote>
  <w:footnote w:id="7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Ibid,</w:t>
      </w:r>
      <w:r w:rsidRPr="00F80570">
        <w:rPr>
          <w:rFonts w:ascii="Times New Roman" w:hAnsi="Times New Roman" w:cs="Times New Roman"/>
        </w:rPr>
        <w:t xml:space="preserve"> </w:t>
      </w:r>
      <w:r>
        <w:rPr>
          <w:rFonts w:ascii="Times New Roman" w:hAnsi="Times New Roman" w:cs="Times New Roman"/>
        </w:rPr>
        <w:t>a</w:t>
      </w:r>
      <w:r w:rsidRPr="00F80570">
        <w:rPr>
          <w:rFonts w:ascii="Times New Roman" w:hAnsi="Times New Roman" w:cs="Times New Roman"/>
        </w:rPr>
        <w:t>rt 20.</w:t>
      </w:r>
    </w:p>
  </w:footnote>
  <w:footnote w:id="7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 xml:space="preserve">Ibid, </w:t>
      </w:r>
      <w:r w:rsidRPr="00F80570">
        <w:rPr>
          <w:rFonts w:ascii="Times New Roman" w:hAnsi="Times New Roman" w:cs="Times New Roman"/>
        </w:rPr>
        <w:t xml:space="preserve">Commentary to Chapter V of Part One, </w:t>
      </w:r>
      <w:r>
        <w:rPr>
          <w:rFonts w:ascii="Times New Roman" w:hAnsi="Times New Roman" w:cs="Times New Roman"/>
        </w:rPr>
        <w:t xml:space="preserve">para </w:t>
      </w:r>
      <w:r w:rsidRPr="00F80570">
        <w:rPr>
          <w:rFonts w:ascii="Times New Roman" w:hAnsi="Times New Roman" w:cs="Times New Roman"/>
        </w:rPr>
        <w:t>7.</w:t>
      </w:r>
    </w:p>
  </w:footnote>
  <w:footnote w:id="7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It seemed to raise no difficulty with other defences other than </w:t>
      </w:r>
      <w:r>
        <w:rPr>
          <w:rFonts w:ascii="Times New Roman" w:hAnsi="Times New Roman" w:cs="Times New Roman"/>
        </w:rPr>
        <w:t xml:space="preserve">art </w:t>
      </w:r>
      <w:r w:rsidRPr="00F80570">
        <w:rPr>
          <w:rFonts w:ascii="Times New Roman" w:hAnsi="Times New Roman" w:cs="Times New Roman"/>
        </w:rPr>
        <w:t xml:space="preserve">21 on self-defence. In this connection, the ILC explained that the right of self-defence is a definitional element of the prohibition of force. See Commentary to ARSIWA </w:t>
      </w:r>
      <w:r>
        <w:rPr>
          <w:rFonts w:ascii="Times New Roman" w:hAnsi="Times New Roman" w:cs="Times New Roman"/>
        </w:rPr>
        <w:t>a</w:t>
      </w:r>
      <w:r w:rsidRPr="00F80570">
        <w:rPr>
          <w:rFonts w:ascii="Times New Roman" w:hAnsi="Times New Roman" w:cs="Times New Roman"/>
        </w:rPr>
        <w:t xml:space="preserve">rt 21, </w:t>
      </w:r>
      <w:r>
        <w:rPr>
          <w:rFonts w:ascii="Times New Roman" w:hAnsi="Times New Roman" w:cs="Times New Roman"/>
        </w:rPr>
        <w:t xml:space="preserve">para </w:t>
      </w:r>
      <w:r w:rsidRPr="00F80570">
        <w:rPr>
          <w:rFonts w:ascii="Times New Roman" w:hAnsi="Times New Roman" w:cs="Times New Roman"/>
        </w:rPr>
        <w:t>1.</w:t>
      </w:r>
    </w:p>
  </w:footnote>
  <w:footnote w:id="7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In the Commission, only Sir Francis </w:t>
      </w:r>
      <w:proofErr w:type="spellStart"/>
      <w:r w:rsidRPr="00F80570">
        <w:rPr>
          <w:rFonts w:ascii="Times New Roman" w:hAnsi="Times New Roman" w:cs="Times New Roman"/>
        </w:rPr>
        <w:t>Vallat</w:t>
      </w:r>
      <w:proofErr w:type="spellEnd"/>
      <w:r w:rsidRPr="00F80570">
        <w:rPr>
          <w:rFonts w:ascii="Times New Roman" w:hAnsi="Times New Roman" w:cs="Times New Roman"/>
        </w:rPr>
        <w:t xml:space="preserve"> explicitly raised the question of the intrinsic or extrinsic status of consent </w:t>
      </w:r>
      <w:r w:rsidRPr="00F80570">
        <w:rPr>
          <w:rFonts w:ascii="Times New Roman" w:hAnsi="Times New Roman" w:cs="Times New Roman"/>
          <w:i/>
        </w:rPr>
        <w:t>vis-à-vis</w:t>
      </w:r>
      <w:r w:rsidRPr="00F80570">
        <w:rPr>
          <w:rFonts w:ascii="Times New Roman" w:hAnsi="Times New Roman" w:cs="Times New Roman"/>
        </w:rPr>
        <w:t xml:space="preserve"> </w:t>
      </w:r>
      <w:r>
        <w:rPr>
          <w:rFonts w:ascii="Times New Roman" w:hAnsi="Times New Roman" w:cs="Times New Roman"/>
        </w:rPr>
        <w:t>s</w:t>
      </w:r>
      <w:r w:rsidRPr="00F80570">
        <w:rPr>
          <w:rFonts w:ascii="Times New Roman" w:hAnsi="Times New Roman" w:cs="Times New Roman"/>
        </w:rPr>
        <w:t xml:space="preserve">tates’ obligations: </w:t>
      </w:r>
      <w:r w:rsidRPr="00F80570">
        <w:rPr>
          <w:rFonts w:ascii="Times New Roman" w:hAnsi="Times New Roman" w:cs="Times New Roman"/>
          <w:noProof/>
        </w:rPr>
        <w:t xml:space="preserve">Francis Vallat, 1538th meeting, ILC Yearbook 1979, vol I, 38, </w:t>
      </w:r>
      <w:r>
        <w:rPr>
          <w:rFonts w:ascii="Times New Roman" w:hAnsi="Times New Roman" w:cs="Times New Roman"/>
          <w:noProof/>
        </w:rPr>
        <w:t xml:space="preserve">para </w:t>
      </w:r>
      <w:r w:rsidRPr="00F80570">
        <w:rPr>
          <w:rFonts w:ascii="Times New Roman" w:hAnsi="Times New Roman" w:cs="Times New Roman"/>
          <w:noProof/>
        </w:rPr>
        <w:t>38.</w:t>
      </w:r>
      <w:r w:rsidRPr="00F80570">
        <w:rPr>
          <w:rFonts w:ascii="Times New Roman" w:hAnsi="Times New Roman" w:cs="Times New Roman"/>
        </w:rPr>
        <w:t xml:space="preserve"> Note, however, that there were some disagreements in relation to other aspects of </w:t>
      </w:r>
      <w:proofErr w:type="spellStart"/>
      <w:r w:rsidRPr="00F80570">
        <w:rPr>
          <w:rFonts w:ascii="Times New Roman" w:hAnsi="Times New Roman" w:cs="Times New Roman"/>
        </w:rPr>
        <w:t>Ago’s</w:t>
      </w:r>
      <w:proofErr w:type="spellEnd"/>
      <w:r w:rsidRPr="00F80570">
        <w:rPr>
          <w:rFonts w:ascii="Times New Roman" w:hAnsi="Times New Roman" w:cs="Times New Roman"/>
        </w:rPr>
        <w:t xml:space="preserve"> proposal (in particular, his conceptualisation of consent as amounting to a tacit agreement). The issue was not raised at all by </w:t>
      </w:r>
      <w:r>
        <w:rPr>
          <w:rFonts w:ascii="Times New Roman" w:hAnsi="Times New Roman" w:cs="Times New Roman"/>
        </w:rPr>
        <w:t>s</w:t>
      </w:r>
      <w:r w:rsidRPr="00F80570">
        <w:rPr>
          <w:rFonts w:ascii="Times New Roman" w:hAnsi="Times New Roman" w:cs="Times New Roman"/>
        </w:rPr>
        <w:t xml:space="preserve">tates commenting on the Commission’s draft in the UNGA Sixth Committee. A handful of ILC members also objected to the characterisation of consent as a defence in respect of the prohibition of force: since the latter was a peremptory rule, a defence of consent would be invalid. Consent would have to be internal to the prohibition. See: </w:t>
      </w:r>
      <w:r w:rsidRPr="00F80570">
        <w:rPr>
          <w:rFonts w:ascii="Times New Roman" w:hAnsi="Times New Roman" w:cs="Times New Roman"/>
          <w:noProof/>
        </w:rPr>
        <w:t xml:space="preserve">Vallat, </w:t>
      </w:r>
      <w:r>
        <w:rPr>
          <w:rFonts w:ascii="Times New Roman" w:hAnsi="Times New Roman" w:cs="Times New Roman"/>
          <w:noProof/>
        </w:rPr>
        <w:t>ibid</w:t>
      </w:r>
      <w:r w:rsidRPr="00F80570">
        <w:rPr>
          <w:rFonts w:ascii="Times New Roman" w:hAnsi="Times New Roman" w:cs="Times New Roman"/>
          <w:noProof/>
        </w:rPr>
        <w:t xml:space="preserve">, 38, </w:t>
      </w:r>
      <w:r>
        <w:rPr>
          <w:rFonts w:ascii="Times New Roman" w:hAnsi="Times New Roman" w:cs="Times New Roman"/>
          <w:noProof/>
        </w:rPr>
        <w:t xml:space="preserve">para </w:t>
      </w:r>
      <w:r w:rsidRPr="00F80570">
        <w:rPr>
          <w:rFonts w:ascii="Times New Roman" w:hAnsi="Times New Roman" w:cs="Times New Roman"/>
          <w:noProof/>
        </w:rPr>
        <w:t xml:space="preserve">38; Stephen Schwebel, 1542nd meeting, ILC Yearbook 1979, vol I, 45-6, </w:t>
      </w:r>
      <w:r>
        <w:rPr>
          <w:rFonts w:ascii="Times New Roman" w:hAnsi="Times New Roman" w:cs="Times New Roman"/>
          <w:noProof/>
        </w:rPr>
        <w:t xml:space="preserve">para </w:t>
      </w:r>
      <w:r w:rsidRPr="00F80570">
        <w:rPr>
          <w:rFonts w:ascii="Times New Roman" w:hAnsi="Times New Roman" w:cs="Times New Roman"/>
          <w:noProof/>
        </w:rPr>
        <w:t>12.</w:t>
      </w:r>
    </w:p>
  </w:footnote>
  <w:footnote w:id="7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Roberto Ago, Eighth Report on State Responsibility, ILC Yearbook 1979, vol II(1), 31-3.</w:t>
      </w:r>
    </w:p>
  </w:footnote>
  <w:footnote w:id="7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noProof/>
        </w:rPr>
        <w:t xml:space="preserve">Ibid, para </w:t>
      </w:r>
      <w:r w:rsidRPr="00F80570">
        <w:rPr>
          <w:rFonts w:ascii="Times New Roman" w:hAnsi="Times New Roman" w:cs="Times New Roman"/>
          <w:noProof/>
        </w:rPr>
        <w:t>58.</w:t>
      </w:r>
    </w:p>
  </w:footnote>
  <w:footnote w:id="7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Crawford’s position was based on three main arguments. First, that in the case of consent there is no breach of international law </w:t>
      </w:r>
      <w:r w:rsidRPr="00F80570">
        <w:rPr>
          <w:rFonts w:ascii="Times New Roman" w:hAnsi="Times New Roman" w:cs="Times New Roman"/>
          <w:i/>
        </w:rPr>
        <w:t>ab initio</w:t>
      </w:r>
      <w:r w:rsidRPr="00F80570">
        <w:rPr>
          <w:rFonts w:ascii="Times New Roman" w:hAnsi="Times New Roman" w:cs="Times New Roman"/>
        </w:rPr>
        <w:t xml:space="preserve">. Second, that consented to conduct requires no justification. Third, that he could not ‘envisage cases where an obligation is properly formulated in absolute terms (i.e. without any condition or qualification relating to consent), but nonetheless the consent of the State concerned precludes the wrongfulness of conduct’. While the latter was possible in theory, he was not aware of any example in practice. See: </w:t>
      </w:r>
      <w:r w:rsidRPr="00F80570">
        <w:rPr>
          <w:rFonts w:ascii="Times New Roman" w:hAnsi="Times New Roman" w:cs="Times New Roman"/>
          <w:noProof/>
        </w:rPr>
        <w:t xml:space="preserve">James Crawford, Second Report on State Responsibility, ILC Yearbook 1999, vol II(1), </w:t>
      </w:r>
      <w:r>
        <w:rPr>
          <w:rFonts w:ascii="Times New Roman" w:hAnsi="Times New Roman" w:cs="Times New Roman"/>
          <w:noProof/>
        </w:rPr>
        <w:t xml:space="preserve">paras </w:t>
      </w:r>
      <w:r w:rsidRPr="00F80570">
        <w:rPr>
          <w:rFonts w:ascii="Times New Roman" w:hAnsi="Times New Roman" w:cs="Times New Roman"/>
          <w:noProof/>
        </w:rPr>
        <w:t>239-40.</w:t>
      </w:r>
      <w:r w:rsidRPr="00F80570">
        <w:rPr>
          <w:rFonts w:ascii="Times New Roman" w:hAnsi="Times New Roman" w:cs="Times New Roman"/>
        </w:rPr>
        <w:t xml:space="preserve"> Crawford’s first two arguments will be addressed in the following sections. As to the last argument, one might simply say that the absence of practical examples cannot be a bar to the conceptual point that consent can be a defence.</w:t>
      </w:r>
    </w:p>
  </w:footnote>
  <w:footnote w:id="7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A review of </w:t>
      </w:r>
      <w:r>
        <w:rPr>
          <w:rFonts w:ascii="Times New Roman" w:hAnsi="Times New Roman" w:cs="Times New Roman"/>
        </w:rPr>
        <w:t>s</w:t>
      </w:r>
      <w:r w:rsidRPr="00F80570">
        <w:rPr>
          <w:rFonts w:ascii="Times New Roman" w:hAnsi="Times New Roman" w:cs="Times New Roman"/>
        </w:rPr>
        <w:t xml:space="preserve">tates’ observations can be found in: </w:t>
      </w:r>
      <w:r>
        <w:rPr>
          <w:rFonts w:ascii="Times New Roman" w:hAnsi="Times New Roman" w:cs="Times New Roman"/>
          <w:noProof/>
        </w:rPr>
        <w:t xml:space="preserve">Federica Paddeu, </w:t>
      </w:r>
      <w:r w:rsidRPr="00107A76">
        <w:rPr>
          <w:rFonts w:ascii="Times New Roman" w:hAnsi="Times New Roman" w:cs="Times New Roman"/>
          <w:i/>
          <w:noProof/>
        </w:rPr>
        <w:t>Justification and Excuse in International Law: Concept and Theory of General Defences</w:t>
      </w:r>
      <w:r>
        <w:rPr>
          <w:rFonts w:ascii="Times New Roman" w:hAnsi="Times New Roman" w:cs="Times New Roman"/>
          <w:noProof/>
        </w:rPr>
        <w:t xml:space="preserve"> (CUP, 2018), 153-4.</w:t>
      </w:r>
    </w:p>
  </w:footnote>
  <w:footnote w:id="7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For an overview of the ILC’s debates on this point, see</w:t>
      </w:r>
      <w:r>
        <w:rPr>
          <w:rFonts w:ascii="Times New Roman" w:hAnsi="Times New Roman" w:cs="Times New Roman"/>
        </w:rPr>
        <w:t xml:space="preserve"> </w:t>
      </w:r>
      <w:r>
        <w:rPr>
          <w:rFonts w:ascii="Times New Roman" w:hAnsi="Times New Roman" w:cs="Times New Roman"/>
          <w:noProof/>
        </w:rPr>
        <w:t>ibid, 150-3.</w:t>
      </w:r>
    </w:p>
  </w:footnote>
  <w:footnote w:id="7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0056618C">
        <w:rPr>
          <w:rFonts w:ascii="Times New Roman" w:hAnsi="Times New Roman" w:cs="Times New Roman"/>
          <w:noProof/>
        </w:rPr>
        <w:t>J</w:t>
      </w:r>
      <w:r w:rsidRPr="00F80570">
        <w:rPr>
          <w:rFonts w:ascii="Times New Roman" w:hAnsi="Times New Roman" w:cs="Times New Roman"/>
          <w:noProof/>
        </w:rPr>
        <w:t xml:space="preserve">ohn Dugard, 2588th meeting, ILC Yearbook 1999, vol I, 152, </w:t>
      </w:r>
      <w:r>
        <w:rPr>
          <w:rFonts w:ascii="Times New Roman" w:hAnsi="Times New Roman" w:cs="Times New Roman"/>
          <w:noProof/>
        </w:rPr>
        <w:t xml:space="preserve">para </w:t>
      </w:r>
      <w:r w:rsidRPr="00F80570">
        <w:rPr>
          <w:rFonts w:ascii="Times New Roman" w:hAnsi="Times New Roman" w:cs="Times New Roman"/>
          <w:noProof/>
        </w:rPr>
        <w:t>50.</w:t>
      </w:r>
    </w:p>
  </w:footnote>
  <w:footnote w:id="8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As Giorgio </w:t>
      </w:r>
      <w:proofErr w:type="spellStart"/>
      <w:r w:rsidRPr="00F80570">
        <w:rPr>
          <w:rFonts w:ascii="Times New Roman" w:hAnsi="Times New Roman" w:cs="Times New Roman"/>
        </w:rPr>
        <w:t>Gaja</w:t>
      </w:r>
      <w:proofErr w:type="spellEnd"/>
      <w:r w:rsidRPr="00F80570">
        <w:rPr>
          <w:rFonts w:ascii="Times New Roman" w:hAnsi="Times New Roman" w:cs="Times New Roman"/>
        </w:rPr>
        <w:t xml:space="preserve"> pointed out in the debates, if consent was an intrinsic element of all rules – then shouldn’t all other defences be intrinsic as well? In </w:t>
      </w:r>
      <w:proofErr w:type="spellStart"/>
      <w:r w:rsidRPr="00F80570">
        <w:rPr>
          <w:rFonts w:ascii="Times New Roman" w:hAnsi="Times New Roman" w:cs="Times New Roman"/>
        </w:rPr>
        <w:t>Gaja’s</w:t>
      </w:r>
      <w:proofErr w:type="spellEnd"/>
      <w:r w:rsidRPr="00F80570">
        <w:rPr>
          <w:rFonts w:ascii="Times New Roman" w:hAnsi="Times New Roman" w:cs="Times New Roman"/>
        </w:rPr>
        <w:t xml:space="preserve"> words: ‘</w:t>
      </w:r>
      <w:r w:rsidRPr="00F80570">
        <w:rPr>
          <w:rFonts w:ascii="Times New Roman" w:hAnsi="Times New Roman" w:cs="Times New Roman"/>
          <w:lang w:val="en-US"/>
        </w:rPr>
        <w:t>one could go along with the Special Rapporteur [Crawford] and say that the rule of international law prohibiting overflights was one that prohibited them but for consent. In the same vein one could say – although the Special Rapporteur would probably disagree – that a rule prohibited overflights save in the case</w:t>
      </w:r>
      <w:r w:rsidRPr="00F80570">
        <w:rPr>
          <w:rFonts w:ascii="Times New Roman" w:hAnsi="Times New Roman" w:cs="Times New Roman"/>
        </w:rPr>
        <w:t xml:space="preserve"> </w:t>
      </w:r>
      <w:r w:rsidRPr="00F80570">
        <w:rPr>
          <w:rFonts w:ascii="Times New Roman" w:hAnsi="Times New Roman" w:cs="Times New Roman"/>
          <w:lang w:val="en-US"/>
        </w:rPr>
        <w:t xml:space="preserve">of distress, or of </w:t>
      </w:r>
      <w:proofErr w:type="spellStart"/>
      <w:r w:rsidRPr="00F80570">
        <w:rPr>
          <w:rFonts w:ascii="Times New Roman" w:hAnsi="Times New Roman" w:cs="Times New Roman"/>
          <w:lang w:val="en-US"/>
        </w:rPr>
        <w:t>self-defence</w:t>
      </w:r>
      <w:proofErr w:type="spellEnd"/>
      <w:r w:rsidRPr="00F80570">
        <w:rPr>
          <w:rFonts w:ascii="Times New Roman" w:hAnsi="Times New Roman" w:cs="Times New Roman"/>
          <w:lang w:val="en-US"/>
        </w:rPr>
        <w:t>, both of which were circumstances precluding wrongfulness’:</w:t>
      </w:r>
      <w:r w:rsidRPr="00F80570">
        <w:rPr>
          <w:rFonts w:ascii="Times New Roman" w:hAnsi="Times New Roman" w:cs="Times New Roman"/>
        </w:rPr>
        <w:t xml:space="preserve"> </w:t>
      </w:r>
      <w:r w:rsidRPr="00F80570">
        <w:rPr>
          <w:rFonts w:ascii="Times New Roman" w:hAnsi="Times New Roman" w:cs="Times New Roman"/>
          <w:noProof/>
        </w:rPr>
        <w:t xml:space="preserve">Giorgio Gaja, 2587th meeting, ILC Yearbook 1999, vol I, 144, </w:t>
      </w:r>
      <w:r>
        <w:rPr>
          <w:rFonts w:ascii="Times New Roman" w:hAnsi="Times New Roman" w:cs="Times New Roman"/>
          <w:noProof/>
        </w:rPr>
        <w:t xml:space="preserve">para </w:t>
      </w:r>
      <w:r w:rsidRPr="00F80570">
        <w:rPr>
          <w:rFonts w:ascii="Times New Roman" w:hAnsi="Times New Roman" w:cs="Times New Roman"/>
          <w:noProof/>
        </w:rPr>
        <w:t>54.</w:t>
      </w:r>
    </w:p>
  </w:footnote>
  <w:footnote w:id="8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also </w:t>
      </w:r>
      <w:r w:rsidRPr="00F80570">
        <w:rPr>
          <w:rFonts w:ascii="Times New Roman" w:hAnsi="Times New Roman" w:cs="Times New Roman"/>
          <w:noProof/>
        </w:rPr>
        <w:t xml:space="preserve">Phoebe N Okowa, ‘Defences in the Jurisprudence of International Tribunals’ in </w:t>
      </w:r>
      <w:r>
        <w:rPr>
          <w:rFonts w:ascii="Times New Roman" w:hAnsi="Times New Roman" w:cs="Times New Roman"/>
          <w:noProof/>
        </w:rPr>
        <w:t xml:space="preserve">Guy </w:t>
      </w:r>
      <w:r w:rsidRPr="00F80570">
        <w:rPr>
          <w:rFonts w:ascii="Times New Roman" w:hAnsi="Times New Roman" w:cs="Times New Roman"/>
          <w:noProof/>
        </w:rPr>
        <w:t xml:space="preserve">Goodwin-Gill and </w:t>
      </w:r>
      <w:r>
        <w:rPr>
          <w:rFonts w:ascii="Times New Roman" w:hAnsi="Times New Roman" w:cs="Times New Roman"/>
          <w:noProof/>
        </w:rPr>
        <w:t xml:space="preserve">Stefan </w:t>
      </w:r>
      <w:r w:rsidRPr="00F80570">
        <w:rPr>
          <w:rFonts w:ascii="Times New Roman" w:hAnsi="Times New Roman" w:cs="Times New Roman"/>
          <w:noProof/>
        </w:rPr>
        <w:t xml:space="preserve">Talmon (eds), </w:t>
      </w:r>
      <w:r w:rsidRPr="00F80570">
        <w:rPr>
          <w:rFonts w:ascii="Times New Roman" w:hAnsi="Times New Roman" w:cs="Times New Roman"/>
          <w:i/>
          <w:noProof/>
        </w:rPr>
        <w:t>The Reality of International Law: Essays in Honour of Ian Brownlie</w:t>
      </w:r>
      <w:r w:rsidRPr="00F80570">
        <w:rPr>
          <w:rFonts w:ascii="Times New Roman" w:hAnsi="Times New Roman" w:cs="Times New Roman"/>
          <w:noProof/>
        </w:rPr>
        <w:t xml:space="preserve"> (Clarendon Press, 1999), 391.</w:t>
      </w:r>
    </w:p>
  </w:footnote>
  <w:footnote w:id="8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lang w:val="en-US"/>
        </w:rPr>
        <w:t xml:space="preserve">Oral statement of Nigeria, </w:t>
      </w:r>
      <w:r w:rsidRPr="00F80570">
        <w:rPr>
          <w:rFonts w:ascii="Times New Roman" w:hAnsi="Times New Roman" w:cs="Times New Roman"/>
          <w:i/>
          <w:lang w:val="en-US"/>
        </w:rPr>
        <w:t>Cameroon v Nigeria</w:t>
      </w:r>
      <w:r w:rsidRPr="00F80570">
        <w:rPr>
          <w:rFonts w:ascii="Times New Roman" w:hAnsi="Times New Roman" w:cs="Times New Roman"/>
          <w:lang w:val="en-US"/>
        </w:rPr>
        <w:t>, 15 March 2002, CR 2002/20, 28–9.</w:t>
      </w:r>
    </w:p>
  </w:footnote>
  <w:footnote w:id="8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Riccardo Pisillo Mazzeschi, ‘Responsabilité de l’état pour violation des obligations positives relatives aux droits de l’homme’ (2008) 333 </w:t>
      </w:r>
      <w:r w:rsidRPr="00F80570">
        <w:rPr>
          <w:rFonts w:ascii="Times New Roman" w:hAnsi="Times New Roman" w:cs="Times New Roman"/>
          <w:i/>
          <w:noProof/>
        </w:rPr>
        <w:t>Recueil</w:t>
      </w:r>
      <w:r>
        <w:rPr>
          <w:rFonts w:ascii="Times New Roman" w:hAnsi="Times New Roman" w:cs="Times New Roman"/>
          <w:i/>
          <w:noProof/>
        </w:rPr>
        <w:t xml:space="preserve"> des cours de l’Académie de droit international</w:t>
      </w:r>
      <w:r w:rsidRPr="00F80570">
        <w:rPr>
          <w:rFonts w:ascii="Times New Roman" w:hAnsi="Times New Roman" w:cs="Times New Roman"/>
          <w:i/>
          <w:noProof/>
        </w:rPr>
        <w:t xml:space="preserve"> </w:t>
      </w:r>
      <w:r w:rsidRPr="00F80570">
        <w:rPr>
          <w:rFonts w:ascii="Times New Roman" w:hAnsi="Times New Roman" w:cs="Times New Roman"/>
          <w:noProof/>
        </w:rPr>
        <w:t>175, 284.</w:t>
      </w:r>
      <w:r w:rsidRPr="00F80570">
        <w:rPr>
          <w:rFonts w:ascii="Times New Roman" w:hAnsi="Times New Roman" w:cs="Times New Roman"/>
        </w:rPr>
        <w:t xml:space="preserve"> See generally </w:t>
      </w:r>
      <w:r w:rsidRPr="00F80570">
        <w:rPr>
          <w:rFonts w:ascii="Times New Roman" w:hAnsi="Times New Roman" w:cs="Times New Roman"/>
          <w:noProof/>
        </w:rPr>
        <w:t xml:space="preserve">Riccardo Pisillo Mazzeschi, </w:t>
      </w:r>
      <w:r w:rsidRPr="00F80570">
        <w:rPr>
          <w:rFonts w:ascii="Times New Roman" w:hAnsi="Times New Roman" w:cs="Times New Roman"/>
          <w:i/>
          <w:noProof/>
        </w:rPr>
        <w:t>Due diligence e responsabilità internazionale degli Stati</w:t>
      </w:r>
      <w:r w:rsidRPr="00F80570">
        <w:rPr>
          <w:rFonts w:ascii="Times New Roman" w:hAnsi="Times New Roman" w:cs="Times New Roman"/>
          <w:noProof/>
        </w:rPr>
        <w:t xml:space="preserve"> (Giuffrè, 1989).</w:t>
      </w:r>
    </w:p>
  </w:footnote>
  <w:footnote w:id="8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Liesbeth Zegveld, </w:t>
      </w:r>
      <w:r w:rsidRPr="00F80570">
        <w:rPr>
          <w:rFonts w:ascii="Times New Roman" w:hAnsi="Times New Roman" w:cs="Times New Roman"/>
          <w:i/>
          <w:noProof/>
        </w:rPr>
        <w:t>Accountability of Armed Opposition Groups in International Law</w:t>
      </w:r>
      <w:r w:rsidRPr="00F80570">
        <w:rPr>
          <w:rFonts w:ascii="Times New Roman" w:hAnsi="Times New Roman" w:cs="Times New Roman"/>
          <w:noProof/>
        </w:rPr>
        <w:t xml:space="preserve"> (CUP, 2002), 217; José Fernando Lozano Contreras, </w:t>
      </w:r>
      <w:r w:rsidRPr="00F80570">
        <w:rPr>
          <w:rFonts w:ascii="Times New Roman" w:hAnsi="Times New Roman" w:cs="Times New Roman"/>
          <w:i/>
          <w:noProof/>
        </w:rPr>
        <w:t>La noción de debida diligencia en derecho internacional público</w:t>
      </w:r>
      <w:r w:rsidRPr="00F80570">
        <w:rPr>
          <w:rFonts w:ascii="Times New Roman" w:hAnsi="Times New Roman" w:cs="Times New Roman"/>
          <w:noProof/>
        </w:rPr>
        <w:t xml:space="preserve"> (Atelier, 2007), 220-8.</w:t>
      </w:r>
    </w:p>
  </w:footnote>
  <w:footnote w:id="8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For an in depth discussion of this issue, including a review of the arguments put forward in favour of the intrinsic model for consent in international law generally, see: </w:t>
      </w:r>
      <w:r w:rsidRPr="00F80570">
        <w:rPr>
          <w:rFonts w:ascii="Times New Roman" w:hAnsi="Times New Roman" w:cs="Times New Roman"/>
          <w:noProof/>
        </w:rPr>
        <w:t xml:space="preserve">Paddeu </w:t>
      </w:r>
      <w:r>
        <w:rPr>
          <w:rFonts w:ascii="Times New Roman" w:hAnsi="Times New Roman" w:cs="Times New Roman"/>
          <w:noProof/>
        </w:rPr>
        <w:t xml:space="preserve">(n 75) </w:t>
      </w:r>
      <w:r w:rsidRPr="00F80570">
        <w:rPr>
          <w:rFonts w:ascii="Times New Roman" w:hAnsi="Times New Roman" w:cs="Times New Roman"/>
          <w:noProof/>
        </w:rPr>
        <w:t>154-69.</w:t>
      </w:r>
    </w:p>
  </w:footnote>
  <w:footnote w:id="86">
    <w:p w:rsidR="00AF7273" w:rsidRPr="00F80570" w:rsidRDefault="00AF7273" w:rsidP="00F828DB">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Claire Oakes Finkelstein, ‘When the Rule Swallows the Exception’ in </w:t>
      </w:r>
      <w:r>
        <w:rPr>
          <w:rFonts w:ascii="Times New Roman" w:hAnsi="Times New Roman" w:cs="Times New Roman"/>
          <w:noProof/>
        </w:rPr>
        <w:t xml:space="preserve">Linda </w:t>
      </w:r>
      <w:r w:rsidRPr="00F80570">
        <w:rPr>
          <w:rFonts w:ascii="Times New Roman" w:hAnsi="Times New Roman" w:cs="Times New Roman"/>
          <w:noProof/>
        </w:rPr>
        <w:t xml:space="preserve">Meyer (ed), </w:t>
      </w:r>
      <w:r w:rsidRPr="00F80570">
        <w:rPr>
          <w:rFonts w:ascii="Times New Roman" w:hAnsi="Times New Roman" w:cs="Times New Roman"/>
          <w:i/>
          <w:noProof/>
        </w:rPr>
        <w:t>Rules and Reasoning: Essays in Honour of Frederick Schauer</w:t>
      </w:r>
      <w:r w:rsidRPr="00F80570">
        <w:rPr>
          <w:rFonts w:ascii="Times New Roman" w:hAnsi="Times New Roman" w:cs="Times New Roman"/>
          <w:noProof/>
        </w:rPr>
        <w:t xml:space="preserve"> (Hart, 1999), 147.</w:t>
      </w:r>
    </w:p>
  </w:footnote>
  <w:footnote w:id="8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See, e</w:t>
      </w:r>
      <w:r>
        <w:rPr>
          <w:rFonts w:ascii="Times New Roman" w:hAnsi="Times New Roman" w:cs="Times New Roman"/>
        </w:rPr>
        <w:t>.</w:t>
      </w:r>
      <w:r w:rsidRPr="00F80570">
        <w:rPr>
          <w:rFonts w:ascii="Times New Roman" w:hAnsi="Times New Roman" w:cs="Times New Roman"/>
        </w:rPr>
        <w:t>g</w:t>
      </w:r>
      <w:r>
        <w:rPr>
          <w:rFonts w:ascii="Times New Roman" w:hAnsi="Times New Roman" w:cs="Times New Roman"/>
        </w:rPr>
        <w:t>.</w:t>
      </w:r>
      <w:r w:rsidRPr="00F80570">
        <w:rPr>
          <w:rFonts w:ascii="Times New Roman" w:hAnsi="Times New Roman" w:cs="Times New Roman"/>
        </w:rPr>
        <w:t xml:space="preserve"> </w:t>
      </w:r>
      <w:r w:rsidRPr="00F80570">
        <w:rPr>
          <w:rFonts w:ascii="Times New Roman" w:hAnsi="Times New Roman" w:cs="Times New Roman"/>
          <w:noProof/>
        </w:rPr>
        <w:t xml:space="preserve">Cástor M Díaz Barrado, </w:t>
      </w:r>
      <w:r w:rsidRPr="00F80570">
        <w:rPr>
          <w:rFonts w:ascii="Times New Roman" w:hAnsi="Times New Roman" w:cs="Times New Roman"/>
          <w:i/>
          <w:noProof/>
        </w:rPr>
        <w:t>El consentimiento, causa de exclusión de la ilicitud del uso de la fuerza en Derecho Internacional</w:t>
      </w:r>
      <w:r w:rsidRPr="00F80570">
        <w:rPr>
          <w:rFonts w:ascii="Times New Roman" w:hAnsi="Times New Roman" w:cs="Times New Roman"/>
          <w:noProof/>
        </w:rPr>
        <w:t xml:space="preserve"> (Universidad de Zaragoza, 1989), 77-78.</w:t>
      </w:r>
    </w:p>
  </w:footnote>
  <w:footnote w:id="88">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See, e</w:t>
      </w:r>
      <w:r>
        <w:rPr>
          <w:rFonts w:ascii="Times New Roman" w:hAnsi="Times New Roman" w:cs="Times New Roman"/>
        </w:rPr>
        <w:t>.</w:t>
      </w:r>
      <w:r w:rsidRPr="00F80570">
        <w:rPr>
          <w:rFonts w:ascii="Times New Roman" w:hAnsi="Times New Roman" w:cs="Times New Roman"/>
        </w:rPr>
        <w:t>g</w:t>
      </w:r>
      <w:r>
        <w:rPr>
          <w:rFonts w:ascii="Times New Roman" w:hAnsi="Times New Roman" w:cs="Times New Roman"/>
        </w:rPr>
        <w:t>.</w:t>
      </w:r>
      <w:r w:rsidRPr="00F80570">
        <w:rPr>
          <w:rFonts w:ascii="Times New Roman" w:hAnsi="Times New Roman" w:cs="Times New Roman"/>
        </w:rPr>
        <w:t xml:space="preserve"> </w:t>
      </w:r>
      <w:r w:rsidRPr="00F80570">
        <w:rPr>
          <w:rFonts w:ascii="Times New Roman" w:hAnsi="Times New Roman" w:cs="Times New Roman"/>
          <w:noProof/>
        </w:rPr>
        <w:t xml:space="preserve">Oliver Dörr and Albrecth Randelzhofer, ‘Article 2(4)’ in </w:t>
      </w:r>
      <w:r>
        <w:rPr>
          <w:rFonts w:ascii="Times New Roman" w:hAnsi="Times New Roman" w:cs="Times New Roman"/>
          <w:noProof/>
        </w:rPr>
        <w:t xml:space="preserve">Bruno </w:t>
      </w:r>
      <w:r w:rsidRPr="00F80570">
        <w:rPr>
          <w:rFonts w:ascii="Times New Roman" w:hAnsi="Times New Roman" w:cs="Times New Roman"/>
          <w:noProof/>
        </w:rPr>
        <w:t>Simma</w:t>
      </w:r>
      <w:r w:rsidRPr="00F80570">
        <w:rPr>
          <w:rFonts w:ascii="Times New Roman" w:hAnsi="Times New Roman" w:cs="Times New Roman"/>
          <w:i/>
          <w:noProof/>
        </w:rPr>
        <w:t xml:space="preserve"> et al</w:t>
      </w:r>
      <w:r w:rsidRPr="00F80570">
        <w:rPr>
          <w:rFonts w:ascii="Times New Roman" w:hAnsi="Times New Roman" w:cs="Times New Roman"/>
          <w:noProof/>
        </w:rPr>
        <w:t xml:space="preserve"> (eds), </w:t>
      </w:r>
      <w:r w:rsidRPr="00F80570">
        <w:rPr>
          <w:rFonts w:ascii="Times New Roman" w:hAnsi="Times New Roman" w:cs="Times New Roman"/>
          <w:i/>
          <w:noProof/>
        </w:rPr>
        <w:t>The Charter of the United Nations: A Commentary</w:t>
      </w:r>
      <w:r w:rsidRPr="00F80570">
        <w:rPr>
          <w:rFonts w:ascii="Times New Roman" w:hAnsi="Times New Roman" w:cs="Times New Roman"/>
          <w:noProof/>
        </w:rPr>
        <w:t xml:space="preserve"> (OUP, </w:t>
      </w:r>
      <w:r>
        <w:rPr>
          <w:rFonts w:ascii="Times New Roman" w:hAnsi="Times New Roman" w:cs="Times New Roman"/>
          <w:noProof/>
        </w:rPr>
        <w:t xml:space="preserve">3rd edn </w:t>
      </w:r>
      <w:r w:rsidRPr="00F80570">
        <w:rPr>
          <w:rFonts w:ascii="Times New Roman" w:hAnsi="Times New Roman" w:cs="Times New Roman"/>
          <w:noProof/>
        </w:rPr>
        <w:t xml:space="preserve">2012) vol 1, </w:t>
      </w:r>
      <w:r>
        <w:rPr>
          <w:rFonts w:ascii="Times New Roman" w:hAnsi="Times New Roman" w:cs="Times New Roman"/>
          <w:noProof/>
        </w:rPr>
        <w:t xml:space="preserve">para </w:t>
      </w:r>
      <w:r w:rsidRPr="00F80570">
        <w:rPr>
          <w:rFonts w:ascii="Times New Roman" w:hAnsi="Times New Roman" w:cs="Times New Roman"/>
          <w:noProof/>
        </w:rPr>
        <w:t>33; Tom Ruys and Luca Ferro, ‘Weathering the Storm: Legality and Legal Implications of the Saudi-Led Military Intervention in Yemen’</w:t>
      </w:r>
      <w:r>
        <w:rPr>
          <w:rFonts w:ascii="Times New Roman" w:hAnsi="Times New Roman" w:cs="Times New Roman"/>
          <w:noProof/>
        </w:rPr>
        <w:t xml:space="preserve"> </w:t>
      </w:r>
      <w:r w:rsidRPr="00F80570">
        <w:rPr>
          <w:rFonts w:ascii="Times New Roman" w:hAnsi="Times New Roman" w:cs="Times New Roman"/>
          <w:noProof/>
        </w:rPr>
        <w:t xml:space="preserve">(2016) 65 </w:t>
      </w:r>
      <w:r w:rsidRPr="00F80570">
        <w:rPr>
          <w:rFonts w:ascii="Times New Roman" w:hAnsi="Times New Roman" w:cs="Times New Roman"/>
          <w:i/>
          <w:noProof/>
        </w:rPr>
        <w:t>I</w:t>
      </w:r>
      <w:r>
        <w:rPr>
          <w:rFonts w:ascii="Times New Roman" w:hAnsi="Times New Roman" w:cs="Times New Roman"/>
          <w:i/>
          <w:noProof/>
        </w:rPr>
        <w:t xml:space="preserve">nternational and </w:t>
      </w:r>
      <w:r w:rsidRPr="00F80570">
        <w:rPr>
          <w:rFonts w:ascii="Times New Roman" w:hAnsi="Times New Roman" w:cs="Times New Roman"/>
          <w:i/>
          <w:noProof/>
        </w:rPr>
        <w:t>C</w:t>
      </w:r>
      <w:r>
        <w:rPr>
          <w:rFonts w:ascii="Times New Roman" w:hAnsi="Times New Roman" w:cs="Times New Roman"/>
          <w:i/>
          <w:noProof/>
        </w:rPr>
        <w:t xml:space="preserve">omparative </w:t>
      </w:r>
      <w:r w:rsidRPr="00F80570">
        <w:rPr>
          <w:rFonts w:ascii="Times New Roman" w:hAnsi="Times New Roman" w:cs="Times New Roman"/>
          <w:i/>
          <w:noProof/>
        </w:rPr>
        <w:t>L</w:t>
      </w:r>
      <w:r>
        <w:rPr>
          <w:rFonts w:ascii="Times New Roman" w:hAnsi="Times New Roman" w:cs="Times New Roman"/>
          <w:i/>
          <w:noProof/>
        </w:rPr>
        <w:t xml:space="preserve">aw </w:t>
      </w:r>
      <w:r w:rsidRPr="00F80570">
        <w:rPr>
          <w:rFonts w:ascii="Times New Roman" w:hAnsi="Times New Roman" w:cs="Times New Roman"/>
          <w:i/>
          <w:noProof/>
        </w:rPr>
        <w:t>Q</w:t>
      </w:r>
      <w:r>
        <w:rPr>
          <w:rFonts w:ascii="Times New Roman" w:hAnsi="Times New Roman" w:cs="Times New Roman"/>
          <w:i/>
          <w:noProof/>
        </w:rPr>
        <w:t>uarterly</w:t>
      </w:r>
      <w:r w:rsidRPr="00F80570">
        <w:rPr>
          <w:rFonts w:ascii="Times New Roman" w:hAnsi="Times New Roman" w:cs="Times New Roman"/>
          <w:i/>
          <w:noProof/>
        </w:rPr>
        <w:t xml:space="preserve"> </w:t>
      </w:r>
      <w:r w:rsidRPr="00F80570">
        <w:rPr>
          <w:rFonts w:ascii="Times New Roman" w:hAnsi="Times New Roman" w:cs="Times New Roman"/>
          <w:noProof/>
        </w:rPr>
        <w:t xml:space="preserve">61, 79; Laura Visser, ‘May the Force Be with You: The Legal Classification of Intervention by Invitation’ (2019) 66 </w:t>
      </w:r>
      <w:r w:rsidRPr="00F80570">
        <w:rPr>
          <w:rFonts w:ascii="Times New Roman" w:hAnsi="Times New Roman" w:cs="Times New Roman"/>
          <w:i/>
          <w:noProof/>
        </w:rPr>
        <w:t>N</w:t>
      </w:r>
      <w:r>
        <w:rPr>
          <w:rFonts w:ascii="Times New Roman" w:hAnsi="Times New Roman" w:cs="Times New Roman"/>
          <w:i/>
          <w:noProof/>
        </w:rPr>
        <w:t xml:space="preserve">etherlands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 xml:space="preserve">aw </w:t>
      </w:r>
      <w:r w:rsidRPr="00F80570">
        <w:rPr>
          <w:rFonts w:ascii="Times New Roman" w:hAnsi="Times New Roman" w:cs="Times New Roman"/>
          <w:i/>
          <w:noProof/>
        </w:rPr>
        <w:t>R</w:t>
      </w:r>
      <w:r>
        <w:rPr>
          <w:rFonts w:ascii="Times New Roman" w:hAnsi="Times New Roman" w:cs="Times New Roman"/>
          <w:i/>
          <w:noProof/>
        </w:rPr>
        <w:t>eview</w:t>
      </w:r>
      <w:r w:rsidRPr="00F80570">
        <w:rPr>
          <w:rFonts w:ascii="Times New Roman" w:hAnsi="Times New Roman" w:cs="Times New Roman"/>
          <w:i/>
          <w:noProof/>
        </w:rPr>
        <w:t xml:space="preserve"> </w:t>
      </w:r>
      <w:r w:rsidRPr="00F80570">
        <w:rPr>
          <w:rFonts w:ascii="Times New Roman" w:hAnsi="Times New Roman" w:cs="Times New Roman"/>
          <w:noProof/>
        </w:rPr>
        <w:t>21, 41-2.</w:t>
      </w:r>
    </w:p>
  </w:footnote>
  <w:footnote w:id="8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For an overview of these textual arguments, see</w:t>
      </w:r>
      <w:r>
        <w:rPr>
          <w:rFonts w:ascii="Times New Roman" w:hAnsi="Times New Roman" w:cs="Times New Roman"/>
        </w:rPr>
        <w:t xml:space="preserve"> </w:t>
      </w:r>
      <w:r w:rsidRPr="00F80570">
        <w:rPr>
          <w:rFonts w:ascii="Times New Roman" w:hAnsi="Times New Roman" w:cs="Times New Roman"/>
          <w:noProof/>
        </w:rPr>
        <w:t xml:space="preserve">Visser </w:t>
      </w:r>
      <w:r>
        <w:rPr>
          <w:rFonts w:ascii="Times New Roman" w:hAnsi="Times New Roman" w:cs="Times New Roman"/>
          <w:noProof/>
        </w:rPr>
        <w:t>(n 86)</w:t>
      </w:r>
      <w:r w:rsidRPr="00F80570">
        <w:rPr>
          <w:rFonts w:ascii="Times New Roman" w:hAnsi="Times New Roman" w:cs="Times New Roman"/>
          <w:noProof/>
        </w:rPr>
        <w:t xml:space="preserve"> 31-3.</w:t>
      </w:r>
    </w:p>
  </w:footnote>
  <w:footnote w:id="9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w:t>
      </w:r>
      <w:r>
        <w:rPr>
          <w:rFonts w:ascii="Times New Roman" w:hAnsi="Times New Roman" w:cs="Times New Roman"/>
        </w:rPr>
        <w:t>e.g.</w:t>
      </w:r>
      <w:r w:rsidRPr="00F80570">
        <w:rPr>
          <w:rFonts w:ascii="Times New Roman" w:hAnsi="Times New Roman" w:cs="Times New Roman"/>
        </w:rPr>
        <w:t xml:space="preserve"> </w:t>
      </w:r>
      <w:r w:rsidRPr="00F80570">
        <w:rPr>
          <w:rFonts w:ascii="Times New Roman" w:hAnsi="Times New Roman" w:cs="Times New Roman"/>
          <w:noProof/>
        </w:rPr>
        <w:t xml:space="preserve">Ian Brownlie, </w:t>
      </w:r>
      <w:r w:rsidRPr="00F80570">
        <w:rPr>
          <w:rFonts w:ascii="Times New Roman" w:hAnsi="Times New Roman" w:cs="Times New Roman"/>
          <w:i/>
          <w:noProof/>
        </w:rPr>
        <w:t>International Law and the Use of Force by States</w:t>
      </w:r>
      <w:r w:rsidRPr="00F80570">
        <w:rPr>
          <w:rFonts w:ascii="Times New Roman" w:hAnsi="Times New Roman" w:cs="Times New Roman"/>
          <w:noProof/>
        </w:rPr>
        <w:t xml:space="preserve"> (Clarendon Press, 1963), 267; Nico Schrijver, ‘The Ban on the Use of Force in the UN Charter’ in </w:t>
      </w:r>
      <w:r>
        <w:rPr>
          <w:rFonts w:ascii="Times New Roman" w:hAnsi="Times New Roman" w:cs="Times New Roman"/>
          <w:noProof/>
        </w:rPr>
        <w:t xml:space="preserve">Marc </w:t>
      </w:r>
      <w:r w:rsidRPr="00F80570">
        <w:rPr>
          <w:rFonts w:ascii="Times New Roman" w:hAnsi="Times New Roman" w:cs="Times New Roman"/>
          <w:noProof/>
        </w:rPr>
        <w:t xml:space="preserve">Weller (ed), </w:t>
      </w:r>
      <w:r w:rsidRPr="00F80570">
        <w:rPr>
          <w:rFonts w:ascii="Times New Roman" w:hAnsi="Times New Roman" w:cs="Times New Roman"/>
          <w:i/>
          <w:noProof/>
        </w:rPr>
        <w:t>Oxford Handbook of the Use of Force in International Law</w:t>
      </w:r>
      <w:r w:rsidRPr="00F80570">
        <w:rPr>
          <w:rFonts w:ascii="Times New Roman" w:hAnsi="Times New Roman" w:cs="Times New Roman"/>
          <w:noProof/>
        </w:rPr>
        <w:t xml:space="preserve"> (OUP, 2015), 471.</w:t>
      </w:r>
    </w:p>
  </w:footnote>
  <w:footnote w:id="91">
    <w:p w:rsidR="00AF7273" w:rsidRPr="00F80570" w:rsidRDefault="00AF7273" w:rsidP="00D13D2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Hersch Lauterpacht, </w:t>
      </w:r>
      <w:r w:rsidRPr="00F80570">
        <w:rPr>
          <w:rFonts w:ascii="Times New Roman" w:hAnsi="Times New Roman" w:cs="Times New Roman"/>
          <w:i/>
          <w:noProof/>
        </w:rPr>
        <w:t>The Development of International Law by the International Court</w:t>
      </w:r>
      <w:r w:rsidRPr="00F80570">
        <w:rPr>
          <w:rFonts w:ascii="Times New Roman" w:hAnsi="Times New Roman" w:cs="Times New Roman"/>
          <w:noProof/>
        </w:rPr>
        <w:t xml:space="preserve"> (Stevens &amp; Sons, 1958), 90, 317</w:t>
      </w:r>
      <w:r>
        <w:rPr>
          <w:rFonts w:ascii="Times New Roman" w:hAnsi="Times New Roman" w:cs="Times New Roman"/>
          <w:noProof/>
        </w:rPr>
        <w:t>,</w:t>
      </w:r>
      <w:r w:rsidRPr="00F80570">
        <w:rPr>
          <w:rFonts w:ascii="Times New Roman" w:hAnsi="Times New Roman" w:cs="Times New Roman"/>
        </w:rPr>
        <w:t xml:space="preserve"> who considered it an ‘emphatic’ rejection of the UK argument. For the UK’s argument, see: </w:t>
      </w:r>
      <w:r w:rsidRPr="00F80570">
        <w:rPr>
          <w:rFonts w:ascii="Times New Roman" w:hAnsi="Times New Roman" w:cs="Times New Roman"/>
          <w:i/>
        </w:rPr>
        <w:t>Corfu Channel</w:t>
      </w:r>
      <w:r w:rsidRPr="00F80570">
        <w:rPr>
          <w:rFonts w:ascii="Times New Roman" w:hAnsi="Times New Roman" w:cs="Times New Roman"/>
        </w:rPr>
        <w:t xml:space="preserve">, ICJ pleadings, vol iii, 295-6. Note that others have more hesitant about this judgment. See: </w:t>
      </w:r>
      <w:r w:rsidRPr="00F80570">
        <w:rPr>
          <w:rFonts w:ascii="Times New Roman" w:hAnsi="Times New Roman" w:cs="Times New Roman"/>
          <w:noProof/>
        </w:rPr>
        <w:t xml:space="preserve">Brownlie </w:t>
      </w:r>
      <w:r>
        <w:rPr>
          <w:rFonts w:ascii="Times New Roman" w:hAnsi="Times New Roman" w:cs="Times New Roman"/>
          <w:noProof/>
        </w:rPr>
        <w:t>(</w:t>
      </w:r>
      <w:r w:rsidRPr="00A809D5">
        <w:rPr>
          <w:rFonts w:ascii="Times New Roman" w:hAnsi="Times New Roman" w:cs="Times New Roman"/>
          <w:iCs/>
          <w:noProof/>
        </w:rPr>
        <w:t>n 88</w:t>
      </w:r>
      <w:r>
        <w:rPr>
          <w:rFonts w:ascii="Times New Roman" w:hAnsi="Times New Roman" w:cs="Times New Roman"/>
          <w:iCs/>
          <w:noProof/>
        </w:rPr>
        <w:t>)</w:t>
      </w:r>
      <w:r w:rsidRPr="00F80570">
        <w:rPr>
          <w:rFonts w:ascii="Times New Roman" w:hAnsi="Times New Roman" w:cs="Times New Roman"/>
          <w:noProof/>
        </w:rPr>
        <w:t xml:space="preserve"> 288-9.</w:t>
      </w:r>
      <w:r w:rsidRPr="00F80570">
        <w:rPr>
          <w:rFonts w:ascii="Times New Roman" w:hAnsi="Times New Roman" w:cs="Times New Roman"/>
          <w:lang w:val="en-US"/>
        </w:rPr>
        <w:t xml:space="preserve"> </w:t>
      </w:r>
    </w:p>
  </w:footnote>
  <w:footnote w:id="9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On which see </w:t>
      </w:r>
      <w:r w:rsidRPr="00F80570">
        <w:rPr>
          <w:rFonts w:ascii="Times New Roman" w:hAnsi="Times New Roman" w:cs="Times New Roman"/>
          <w:noProof/>
        </w:rPr>
        <w:t xml:space="preserve">Olivier Corten, </w:t>
      </w:r>
      <w:r w:rsidRPr="00F80570">
        <w:rPr>
          <w:rFonts w:ascii="Times New Roman" w:hAnsi="Times New Roman" w:cs="Times New Roman"/>
          <w:i/>
          <w:noProof/>
        </w:rPr>
        <w:t>Le droit contre la guerre</w:t>
      </w:r>
      <w:r w:rsidRPr="00F80570">
        <w:rPr>
          <w:rFonts w:ascii="Times New Roman" w:hAnsi="Times New Roman" w:cs="Times New Roman"/>
          <w:noProof/>
        </w:rPr>
        <w:t xml:space="preserve"> (Pedone, 2nd edn 2014), 802-19.</w:t>
      </w:r>
    </w:p>
  </w:footnote>
  <w:footnote w:id="9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Dörr and Randelzhofer</w:t>
      </w:r>
      <w:r>
        <w:rPr>
          <w:rFonts w:ascii="Times New Roman" w:hAnsi="Times New Roman" w:cs="Times New Roman"/>
          <w:noProof/>
        </w:rPr>
        <w:t xml:space="preserve"> (n 86)</w:t>
      </w:r>
      <w:r w:rsidRPr="00F80570">
        <w:rPr>
          <w:rFonts w:ascii="Times New Roman" w:hAnsi="Times New Roman" w:cs="Times New Roman"/>
          <w:noProof/>
        </w:rPr>
        <w:t xml:space="preserve"> 214.</w:t>
      </w:r>
    </w:p>
  </w:footnote>
  <w:footnote w:id="94">
    <w:p w:rsidR="00AF7273" w:rsidRPr="00F80570" w:rsidRDefault="00AF7273" w:rsidP="008B10B4">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w:t>
      </w:r>
      <w:r>
        <w:rPr>
          <w:rFonts w:ascii="Times New Roman" w:hAnsi="Times New Roman" w:cs="Times New Roman"/>
        </w:rPr>
        <w:t>e.g.</w:t>
      </w:r>
      <w:r w:rsidRPr="00F80570">
        <w:rPr>
          <w:rFonts w:ascii="Times New Roman" w:hAnsi="Times New Roman" w:cs="Times New Roman"/>
        </w:rPr>
        <w:t xml:space="preserve"> </w:t>
      </w:r>
      <w:r w:rsidRPr="00F80570">
        <w:rPr>
          <w:rFonts w:ascii="Times New Roman" w:hAnsi="Times New Roman" w:cs="Times New Roman"/>
          <w:noProof/>
        </w:rPr>
        <w:t xml:space="preserve">Tom Ruys, ‘The Meaning of “Force” and the Boundaries of the </w:t>
      </w:r>
      <w:r w:rsidRPr="00F80570">
        <w:rPr>
          <w:rFonts w:ascii="Times New Roman" w:hAnsi="Times New Roman" w:cs="Times New Roman"/>
          <w:i/>
          <w:noProof/>
        </w:rPr>
        <w:t>Jus ad Bellum</w:t>
      </w:r>
      <w:r w:rsidRPr="00F80570">
        <w:rPr>
          <w:rFonts w:ascii="Times New Roman" w:hAnsi="Times New Roman" w:cs="Times New Roman"/>
          <w:noProof/>
        </w:rPr>
        <w:t xml:space="preserve">: Are “Minimal” Uses of Force Excluded from UN Charter Article 2(4)?’ (2014) 108 </w:t>
      </w:r>
      <w:r w:rsidRPr="00F80570">
        <w:rPr>
          <w:rFonts w:ascii="Times New Roman" w:hAnsi="Times New Roman" w:cs="Times New Roman"/>
          <w:i/>
          <w:noProof/>
        </w:rPr>
        <w:t>A</w:t>
      </w:r>
      <w:r>
        <w:rPr>
          <w:rFonts w:ascii="Times New Roman" w:hAnsi="Times New Roman" w:cs="Times New Roman"/>
          <w:i/>
          <w:noProof/>
        </w:rPr>
        <w:t xml:space="preserve">merican </w:t>
      </w:r>
      <w:r w:rsidRPr="00F80570">
        <w:rPr>
          <w:rFonts w:ascii="Times New Roman" w:hAnsi="Times New Roman" w:cs="Times New Roman"/>
          <w:i/>
          <w:noProof/>
        </w:rPr>
        <w:t>J</w:t>
      </w:r>
      <w:r>
        <w:rPr>
          <w:rFonts w:ascii="Times New Roman" w:hAnsi="Times New Roman" w:cs="Times New Roman"/>
          <w:i/>
          <w:noProof/>
        </w:rPr>
        <w:t xml:space="preserve">ournal of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 xml:space="preserve">159, 163; Christine Gray, </w:t>
      </w:r>
      <w:r w:rsidRPr="00F80570">
        <w:rPr>
          <w:rFonts w:ascii="Times New Roman" w:hAnsi="Times New Roman" w:cs="Times New Roman"/>
          <w:i/>
          <w:noProof/>
        </w:rPr>
        <w:t>International Law and the Use of Force</w:t>
      </w:r>
      <w:r w:rsidRPr="00F80570">
        <w:rPr>
          <w:rFonts w:ascii="Times New Roman" w:hAnsi="Times New Roman" w:cs="Times New Roman"/>
          <w:noProof/>
        </w:rPr>
        <w:t xml:space="preserve"> (OUP, 4th edn 2018), 75.</w:t>
      </w:r>
    </w:p>
  </w:footnote>
  <w:footnote w:id="9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For a similar conclusion, see </w:t>
      </w:r>
      <w:r w:rsidRPr="00F80570">
        <w:rPr>
          <w:rFonts w:ascii="Times New Roman" w:hAnsi="Times New Roman" w:cs="Times New Roman"/>
          <w:noProof/>
        </w:rPr>
        <w:t xml:space="preserve">Patrick Butchard, ‘Territorial Integrity, Political Independence, and Consent: The Limitations of Military Assistance on Request Under the Prohibition of Force’ (2020) 7 </w:t>
      </w:r>
      <w:r w:rsidRPr="00F80570">
        <w:rPr>
          <w:rFonts w:ascii="Times New Roman" w:hAnsi="Times New Roman" w:cs="Times New Roman"/>
          <w:i/>
          <w:noProof/>
        </w:rPr>
        <w:t>J</w:t>
      </w:r>
      <w:r>
        <w:rPr>
          <w:rFonts w:ascii="Times New Roman" w:hAnsi="Times New Roman" w:cs="Times New Roman"/>
          <w:i/>
          <w:noProof/>
        </w:rPr>
        <w:t xml:space="preserve">ournal on the </w:t>
      </w:r>
      <w:r w:rsidRPr="00F80570">
        <w:rPr>
          <w:rFonts w:ascii="Times New Roman" w:hAnsi="Times New Roman" w:cs="Times New Roman"/>
          <w:i/>
          <w:noProof/>
        </w:rPr>
        <w:t>U</w:t>
      </w:r>
      <w:r>
        <w:rPr>
          <w:rFonts w:ascii="Times New Roman" w:hAnsi="Times New Roman" w:cs="Times New Roman"/>
          <w:i/>
          <w:noProof/>
        </w:rPr>
        <w:t xml:space="preserve">se of </w:t>
      </w:r>
      <w:r w:rsidRPr="00F80570">
        <w:rPr>
          <w:rFonts w:ascii="Times New Roman" w:hAnsi="Times New Roman" w:cs="Times New Roman"/>
          <w:i/>
          <w:noProof/>
        </w:rPr>
        <w:t>F</w:t>
      </w:r>
      <w:r>
        <w:rPr>
          <w:rFonts w:ascii="Times New Roman" w:hAnsi="Times New Roman" w:cs="Times New Roman"/>
          <w:i/>
          <w:noProof/>
        </w:rPr>
        <w:t xml:space="preserve">orce and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35</w:t>
      </w:r>
      <w:r w:rsidR="00FD2B46">
        <w:rPr>
          <w:rFonts w:ascii="Times New Roman" w:hAnsi="Times New Roman" w:cs="Times New Roman"/>
          <w:noProof/>
        </w:rPr>
        <w:t>, 67-8</w:t>
      </w:r>
      <w:r w:rsidRPr="00F80570">
        <w:rPr>
          <w:rFonts w:ascii="Times New Roman" w:hAnsi="Times New Roman" w:cs="Times New Roman"/>
          <w:noProof/>
        </w:rPr>
        <w:t>.</w:t>
      </w:r>
    </w:p>
  </w:footnote>
  <w:footnote w:id="96">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Gray </w:t>
      </w:r>
      <w:r>
        <w:rPr>
          <w:rFonts w:ascii="Times New Roman" w:hAnsi="Times New Roman" w:cs="Times New Roman"/>
          <w:noProof/>
        </w:rPr>
        <w:t>(</w:t>
      </w:r>
      <w:r>
        <w:rPr>
          <w:rFonts w:ascii="Times New Roman" w:hAnsi="Times New Roman" w:cs="Times New Roman"/>
          <w:iCs/>
          <w:noProof/>
        </w:rPr>
        <w:t>n 92)</w:t>
      </w:r>
      <w:r w:rsidRPr="00F80570">
        <w:rPr>
          <w:rFonts w:ascii="Times New Roman" w:hAnsi="Times New Roman" w:cs="Times New Roman"/>
          <w:noProof/>
        </w:rPr>
        <w:t xml:space="preserve"> 75.</w:t>
      </w:r>
    </w:p>
  </w:footnote>
  <w:footnote w:id="9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I am grateful to Sarah </w:t>
      </w:r>
      <w:proofErr w:type="spellStart"/>
      <w:r w:rsidRPr="00F80570">
        <w:rPr>
          <w:rFonts w:ascii="Times New Roman" w:hAnsi="Times New Roman" w:cs="Times New Roman"/>
        </w:rPr>
        <w:t>Gucanin</w:t>
      </w:r>
      <w:proofErr w:type="spellEnd"/>
      <w:r w:rsidRPr="00F80570">
        <w:rPr>
          <w:rFonts w:ascii="Times New Roman" w:hAnsi="Times New Roman" w:cs="Times New Roman"/>
        </w:rPr>
        <w:t xml:space="preserve"> for suggesting this line of argument, and for discussing it with me.</w:t>
      </w:r>
    </w:p>
  </w:footnote>
  <w:footnote w:id="98">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i/>
          <w:noProof/>
        </w:rPr>
        <w:t>Nationality Decrees Issued in Tunis and Morocco</w:t>
      </w:r>
      <w:r w:rsidRPr="00F80570">
        <w:rPr>
          <w:rFonts w:ascii="Times New Roman" w:hAnsi="Times New Roman" w:cs="Times New Roman"/>
          <w:noProof/>
        </w:rPr>
        <w:t xml:space="preserve"> </w:t>
      </w:r>
      <w:r>
        <w:rPr>
          <w:rFonts w:ascii="Times New Roman" w:hAnsi="Times New Roman" w:cs="Times New Roman"/>
          <w:noProof/>
        </w:rPr>
        <w:t>[</w:t>
      </w:r>
      <w:r w:rsidRPr="00F80570">
        <w:rPr>
          <w:rFonts w:ascii="Times New Roman" w:hAnsi="Times New Roman" w:cs="Times New Roman"/>
          <w:noProof/>
        </w:rPr>
        <w:t>1923</w:t>
      </w:r>
      <w:r>
        <w:rPr>
          <w:rFonts w:ascii="Times New Roman" w:hAnsi="Times New Roman" w:cs="Times New Roman"/>
          <w:noProof/>
        </w:rPr>
        <w:t>]</w:t>
      </w:r>
      <w:r w:rsidRPr="00F80570">
        <w:rPr>
          <w:rFonts w:ascii="Times New Roman" w:hAnsi="Times New Roman" w:cs="Times New Roman"/>
          <w:noProof/>
        </w:rPr>
        <w:t xml:space="preserve"> PCIJ, Series B No 04, 7, 24.</w:t>
      </w:r>
    </w:p>
  </w:footnote>
  <w:footnote w:id="99">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w:t>
      </w:r>
      <w:r w:rsidRPr="00F80570">
        <w:rPr>
          <w:rFonts w:ascii="Times New Roman" w:hAnsi="Times New Roman" w:cs="Times New Roman"/>
          <w:noProof/>
        </w:rPr>
        <w:t>Nico Krisch, ‘Article 39’ in Simma</w:t>
      </w:r>
      <w:r w:rsidRPr="00F80570">
        <w:rPr>
          <w:rFonts w:ascii="Times New Roman" w:hAnsi="Times New Roman" w:cs="Times New Roman"/>
          <w:i/>
          <w:noProof/>
        </w:rPr>
        <w:t xml:space="preserve"> et al</w:t>
      </w:r>
      <w:r>
        <w:rPr>
          <w:rFonts w:ascii="Times New Roman" w:hAnsi="Times New Roman" w:cs="Times New Roman"/>
          <w:iCs/>
          <w:noProof/>
        </w:rPr>
        <w:t xml:space="preserve"> (n 86)</w:t>
      </w:r>
      <w:r>
        <w:rPr>
          <w:rFonts w:ascii="Times New Roman" w:hAnsi="Times New Roman" w:cs="Times New Roman"/>
          <w:noProof/>
        </w:rPr>
        <w:t xml:space="preserve">, </w:t>
      </w:r>
      <w:r w:rsidRPr="00F80570">
        <w:rPr>
          <w:rFonts w:ascii="Times New Roman" w:hAnsi="Times New Roman" w:cs="Times New Roman"/>
          <w:noProof/>
        </w:rPr>
        <w:t>vol 2, 1282-3.</w:t>
      </w:r>
    </w:p>
  </w:footnote>
  <w:footnote w:id="10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For an extensive review of </w:t>
      </w:r>
      <w:r>
        <w:rPr>
          <w:rFonts w:ascii="Times New Roman" w:hAnsi="Times New Roman" w:cs="Times New Roman"/>
        </w:rPr>
        <w:t>s</w:t>
      </w:r>
      <w:r w:rsidRPr="00F80570">
        <w:rPr>
          <w:rFonts w:ascii="Times New Roman" w:hAnsi="Times New Roman" w:cs="Times New Roman"/>
        </w:rPr>
        <w:t xml:space="preserve">tates’ views on this point, see: </w:t>
      </w:r>
      <w:r w:rsidRPr="00F80570">
        <w:rPr>
          <w:rFonts w:ascii="Times New Roman" w:hAnsi="Times New Roman" w:cs="Times New Roman"/>
          <w:noProof/>
        </w:rPr>
        <w:t xml:space="preserve">Corten </w:t>
      </w:r>
      <w:r>
        <w:rPr>
          <w:rFonts w:ascii="Times New Roman" w:hAnsi="Times New Roman" w:cs="Times New Roman"/>
          <w:noProof/>
        </w:rPr>
        <w:t>(n 90)</w:t>
      </w:r>
      <w:r w:rsidRPr="00F80570">
        <w:rPr>
          <w:rFonts w:ascii="Times New Roman" w:hAnsi="Times New Roman" w:cs="Times New Roman"/>
          <w:noProof/>
        </w:rPr>
        <w:t xml:space="preserve"> 345-9.</w:t>
      </w:r>
    </w:p>
  </w:footnote>
  <w:footnote w:id="101">
    <w:p w:rsidR="00AF7273" w:rsidRPr="00F80570" w:rsidRDefault="00AF7273" w:rsidP="002E695D">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i/>
          <w:noProof/>
        </w:rPr>
        <w:t>Oil Platforms (Islamic Republic of Iran v United States of America)</w:t>
      </w:r>
      <w:r w:rsidRPr="00F80570">
        <w:rPr>
          <w:rFonts w:ascii="Times New Roman" w:hAnsi="Times New Roman" w:cs="Times New Roman"/>
          <w:noProof/>
        </w:rPr>
        <w:t xml:space="preserve"> </w:t>
      </w:r>
      <w:r>
        <w:rPr>
          <w:rFonts w:ascii="Times New Roman" w:hAnsi="Times New Roman" w:cs="Times New Roman"/>
          <w:noProof/>
        </w:rPr>
        <w:t>(merits) [</w:t>
      </w:r>
      <w:r w:rsidRPr="00F80570">
        <w:rPr>
          <w:rFonts w:ascii="Times New Roman" w:hAnsi="Times New Roman" w:cs="Times New Roman"/>
          <w:noProof/>
        </w:rPr>
        <w:t>2003</w:t>
      </w:r>
      <w:r>
        <w:rPr>
          <w:rFonts w:ascii="Times New Roman" w:hAnsi="Times New Roman" w:cs="Times New Roman"/>
          <w:noProof/>
        </w:rPr>
        <w:t>]</w:t>
      </w:r>
      <w:r w:rsidRPr="00F80570">
        <w:rPr>
          <w:rFonts w:ascii="Times New Roman" w:hAnsi="Times New Roman" w:cs="Times New Roman"/>
          <w:noProof/>
        </w:rPr>
        <w:t xml:space="preserve"> ICJ Rep 161, sep op Higgins, 226, </w:t>
      </w:r>
      <w:r>
        <w:rPr>
          <w:rFonts w:ascii="Times New Roman" w:hAnsi="Times New Roman" w:cs="Times New Roman"/>
          <w:noProof/>
        </w:rPr>
        <w:t xml:space="preserve">para </w:t>
      </w:r>
      <w:r w:rsidRPr="00F80570">
        <w:rPr>
          <w:rFonts w:ascii="Times New Roman" w:hAnsi="Times New Roman" w:cs="Times New Roman"/>
          <w:noProof/>
        </w:rPr>
        <w:t>4.</w:t>
      </w:r>
    </w:p>
  </w:footnote>
  <w:footnote w:id="102">
    <w:p w:rsidR="00AF7273" w:rsidRPr="00F80570" w:rsidRDefault="00AF7273" w:rsidP="007A5E20">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proofErr w:type="spellStart"/>
      <w:r w:rsidRPr="00F80570">
        <w:rPr>
          <w:rFonts w:ascii="Times New Roman" w:hAnsi="Times New Roman" w:cs="Times New Roman"/>
        </w:rPr>
        <w:t>Hayim</w:t>
      </w:r>
      <w:proofErr w:type="spellEnd"/>
      <w:r w:rsidRPr="00F80570">
        <w:rPr>
          <w:rFonts w:ascii="Times New Roman" w:hAnsi="Times New Roman" w:cs="Times New Roman"/>
        </w:rPr>
        <w:t xml:space="preserve">, </w:t>
      </w:r>
      <w:r w:rsidRPr="00F80570">
        <w:rPr>
          <w:rFonts w:ascii="Times New Roman" w:hAnsi="Times New Roman" w:cs="Times New Roman"/>
          <w:i/>
        </w:rPr>
        <w:t xml:space="preserve">Le concept </w:t>
      </w:r>
      <w:proofErr w:type="spellStart"/>
      <w:r w:rsidRPr="00F80570">
        <w:rPr>
          <w:rFonts w:ascii="Times New Roman" w:hAnsi="Times New Roman" w:cs="Times New Roman"/>
          <w:i/>
        </w:rPr>
        <w:t>d’inderogeabilité</w:t>
      </w:r>
      <w:proofErr w:type="spellEnd"/>
      <w:r w:rsidRPr="00F80570">
        <w:rPr>
          <w:rFonts w:ascii="Times New Roman" w:hAnsi="Times New Roman" w:cs="Times New Roman"/>
          <w:i/>
        </w:rPr>
        <w:t xml:space="preserve"> </w:t>
      </w:r>
      <w:proofErr w:type="spellStart"/>
      <w:r w:rsidRPr="00F80570">
        <w:rPr>
          <w:rFonts w:ascii="Times New Roman" w:hAnsi="Times New Roman" w:cs="Times New Roman"/>
          <w:i/>
        </w:rPr>
        <w:t>en</w:t>
      </w:r>
      <w:proofErr w:type="spellEnd"/>
      <w:r w:rsidRPr="00F80570">
        <w:rPr>
          <w:rFonts w:ascii="Times New Roman" w:hAnsi="Times New Roman" w:cs="Times New Roman"/>
          <w:i/>
        </w:rPr>
        <w:t xml:space="preserve"> droit international: Une analyse </w:t>
      </w:r>
      <w:proofErr w:type="spellStart"/>
      <w:r w:rsidRPr="00F80570">
        <w:rPr>
          <w:rFonts w:ascii="Times New Roman" w:hAnsi="Times New Roman" w:cs="Times New Roman"/>
          <w:i/>
        </w:rPr>
        <w:t>fonctionelle</w:t>
      </w:r>
      <w:proofErr w:type="spellEnd"/>
      <w:r w:rsidRPr="00F80570">
        <w:rPr>
          <w:rFonts w:ascii="Times New Roman" w:hAnsi="Times New Roman" w:cs="Times New Roman"/>
        </w:rPr>
        <w:t>, unpublished thesis, Graduate Institute of International and Development Studies, 2012, at 22.</w:t>
      </w:r>
    </w:p>
  </w:footnote>
  <w:footnote w:id="103">
    <w:p w:rsidR="00AF7273" w:rsidRPr="00F80570" w:rsidRDefault="00AF7273" w:rsidP="009806FE">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w:t>
      </w:r>
      <w:r>
        <w:rPr>
          <w:rFonts w:ascii="Times New Roman" w:hAnsi="Times New Roman" w:cs="Times New Roman"/>
        </w:rPr>
        <w:t>e.g.</w:t>
      </w:r>
      <w:r w:rsidRPr="00F80570">
        <w:rPr>
          <w:rFonts w:ascii="Times New Roman" w:hAnsi="Times New Roman" w:cs="Times New Roman"/>
        </w:rPr>
        <w:t xml:space="preserve"> </w:t>
      </w:r>
      <w:r w:rsidRPr="00F80570">
        <w:rPr>
          <w:rFonts w:ascii="Times New Roman" w:hAnsi="Times New Roman" w:cs="Times New Roman"/>
          <w:noProof/>
        </w:rPr>
        <w:t xml:space="preserve">Díaz Barrado </w:t>
      </w:r>
      <w:r>
        <w:rPr>
          <w:rFonts w:ascii="Times New Roman" w:hAnsi="Times New Roman" w:cs="Times New Roman"/>
          <w:noProof/>
        </w:rPr>
        <w:t>(n 85)</w:t>
      </w:r>
      <w:r w:rsidRPr="00F80570">
        <w:rPr>
          <w:rFonts w:ascii="Times New Roman" w:hAnsi="Times New Roman" w:cs="Times New Roman"/>
          <w:noProof/>
        </w:rPr>
        <w:t xml:space="preserve">, 77-8; Daniel Costelloe, </w:t>
      </w:r>
      <w:r w:rsidRPr="00F80570">
        <w:rPr>
          <w:rFonts w:ascii="Times New Roman" w:hAnsi="Times New Roman" w:cs="Times New Roman"/>
          <w:i/>
          <w:noProof/>
        </w:rPr>
        <w:t>Legal Consequences of Peremptory Norms in International Law</w:t>
      </w:r>
      <w:r w:rsidRPr="00F80570">
        <w:rPr>
          <w:rFonts w:ascii="Times New Roman" w:hAnsi="Times New Roman" w:cs="Times New Roman"/>
          <w:noProof/>
        </w:rPr>
        <w:t xml:space="preserve"> (CUP, 2017), 224-6.</w:t>
      </w:r>
    </w:p>
  </w:footnote>
  <w:footnote w:id="104">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ARS </w:t>
      </w:r>
      <w:r>
        <w:rPr>
          <w:rFonts w:ascii="Times New Roman" w:hAnsi="Times New Roman" w:cs="Times New Roman"/>
        </w:rPr>
        <w:t>a</w:t>
      </w:r>
      <w:r w:rsidRPr="00F80570">
        <w:rPr>
          <w:rFonts w:ascii="Times New Roman" w:hAnsi="Times New Roman" w:cs="Times New Roman"/>
        </w:rPr>
        <w:t xml:space="preserve">rt 26 Commentary, </w:t>
      </w:r>
      <w:r>
        <w:rPr>
          <w:rFonts w:ascii="Times New Roman" w:hAnsi="Times New Roman" w:cs="Times New Roman"/>
        </w:rPr>
        <w:t xml:space="preserve">para </w:t>
      </w:r>
      <w:r w:rsidRPr="00F80570">
        <w:rPr>
          <w:rFonts w:ascii="Times New Roman" w:hAnsi="Times New Roman" w:cs="Times New Roman"/>
        </w:rPr>
        <w:t>5. More recently, the Special Rapporteur’s Fourth report on peremptory norms of general international law (</w:t>
      </w:r>
      <w:r w:rsidRPr="00F80570">
        <w:rPr>
          <w:rFonts w:ascii="Times New Roman" w:hAnsi="Times New Roman" w:cs="Times New Roman"/>
          <w:i/>
          <w:iCs/>
        </w:rPr>
        <w:t>jus cogens</w:t>
      </w:r>
      <w:r w:rsidRPr="00F80570">
        <w:rPr>
          <w:rFonts w:ascii="Times New Roman" w:hAnsi="Times New Roman" w:cs="Times New Roman"/>
        </w:rPr>
        <w:t xml:space="preserve">): </w:t>
      </w:r>
      <w:proofErr w:type="spellStart"/>
      <w:r w:rsidRPr="00F80570">
        <w:rPr>
          <w:rFonts w:ascii="Times New Roman" w:hAnsi="Times New Roman" w:cs="Times New Roman"/>
        </w:rPr>
        <w:t>Tladi</w:t>
      </w:r>
      <w:proofErr w:type="spellEnd"/>
      <w:r w:rsidRPr="00F80570">
        <w:rPr>
          <w:rFonts w:ascii="Times New Roman" w:hAnsi="Times New Roman" w:cs="Times New Roman"/>
        </w:rPr>
        <w:t xml:space="preserve">, Fourth Report, UN Doc A/CN.4/727, 31 January 2019, 27ff. </w:t>
      </w:r>
      <w:proofErr w:type="spellStart"/>
      <w:r w:rsidRPr="00F80570">
        <w:rPr>
          <w:rFonts w:ascii="Times New Roman" w:hAnsi="Times New Roman" w:cs="Times New Roman"/>
        </w:rPr>
        <w:t>Tladi’s</w:t>
      </w:r>
      <w:proofErr w:type="spellEnd"/>
      <w:r w:rsidRPr="00F80570">
        <w:rPr>
          <w:rFonts w:ascii="Times New Roman" w:hAnsi="Times New Roman" w:cs="Times New Roman"/>
        </w:rPr>
        <w:t xml:space="preserve"> classification of the prohibition of aggression (only) as peremptory received mixed support in the UNGA’s Sixth Committee, at least among the few States which commented on it. For example, </w:t>
      </w:r>
      <w:hyperlink r:id="rId2" w:history="1">
        <w:r w:rsidRPr="00F80570">
          <w:rPr>
            <w:rStyle w:val="Hyperlink"/>
            <w:rFonts w:ascii="Times New Roman" w:hAnsi="Times New Roman" w:cs="Times New Roman"/>
          </w:rPr>
          <w:t>Nicaragua</w:t>
        </w:r>
      </w:hyperlink>
      <w:r w:rsidRPr="00F80570">
        <w:rPr>
          <w:rFonts w:ascii="Times New Roman" w:hAnsi="Times New Roman" w:cs="Times New Roman"/>
        </w:rPr>
        <w:t xml:space="preserve">, </w:t>
      </w:r>
      <w:hyperlink r:id="rId3" w:history="1">
        <w:r w:rsidRPr="00F80570">
          <w:rPr>
            <w:rStyle w:val="Hyperlink"/>
            <w:rFonts w:ascii="Times New Roman" w:hAnsi="Times New Roman" w:cs="Times New Roman"/>
          </w:rPr>
          <w:t>Sierra Leone</w:t>
        </w:r>
      </w:hyperlink>
      <w:r w:rsidRPr="00F80570">
        <w:rPr>
          <w:rFonts w:ascii="Times New Roman" w:hAnsi="Times New Roman" w:cs="Times New Roman"/>
        </w:rPr>
        <w:t xml:space="preserve">, </w:t>
      </w:r>
      <w:hyperlink r:id="rId4" w:history="1">
        <w:r w:rsidRPr="00F80570">
          <w:rPr>
            <w:rStyle w:val="Hyperlink"/>
            <w:rFonts w:ascii="Times New Roman" w:hAnsi="Times New Roman" w:cs="Times New Roman"/>
          </w:rPr>
          <w:t>South Africa</w:t>
        </w:r>
      </w:hyperlink>
      <w:r w:rsidRPr="00F80570">
        <w:rPr>
          <w:rFonts w:ascii="Times New Roman" w:hAnsi="Times New Roman" w:cs="Times New Roman"/>
        </w:rPr>
        <w:t xml:space="preserve"> and </w:t>
      </w:r>
      <w:hyperlink r:id="rId5" w:history="1">
        <w:r w:rsidRPr="00F80570">
          <w:rPr>
            <w:rStyle w:val="Hyperlink"/>
            <w:rFonts w:ascii="Times New Roman" w:hAnsi="Times New Roman" w:cs="Times New Roman"/>
          </w:rPr>
          <w:t>Spain</w:t>
        </w:r>
      </w:hyperlink>
      <w:r w:rsidRPr="00F80570">
        <w:rPr>
          <w:rFonts w:ascii="Times New Roman" w:hAnsi="Times New Roman" w:cs="Times New Roman"/>
        </w:rPr>
        <w:t xml:space="preserve"> agreed with </w:t>
      </w:r>
      <w:proofErr w:type="spellStart"/>
      <w:r w:rsidRPr="00F80570">
        <w:rPr>
          <w:rFonts w:ascii="Times New Roman" w:hAnsi="Times New Roman" w:cs="Times New Roman"/>
        </w:rPr>
        <w:t>Tladi’s</w:t>
      </w:r>
      <w:proofErr w:type="spellEnd"/>
      <w:r w:rsidRPr="00F80570">
        <w:rPr>
          <w:rFonts w:ascii="Times New Roman" w:hAnsi="Times New Roman" w:cs="Times New Roman"/>
        </w:rPr>
        <w:t xml:space="preserve"> classification, whereas </w:t>
      </w:r>
      <w:hyperlink r:id="rId6" w:history="1">
        <w:r w:rsidRPr="00F80570">
          <w:rPr>
            <w:rStyle w:val="Hyperlink"/>
            <w:rFonts w:ascii="Times New Roman" w:hAnsi="Times New Roman" w:cs="Times New Roman"/>
          </w:rPr>
          <w:t>Austria</w:t>
        </w:r>
      </w:hyperlink>
      <w:r w:rsidRPr="00F80570">
        <w:rPr>
          <w:rFonts w:ascii="Times New Roman" w:hAnsi="Times New Roman" w:cs="Times New Roman"/>
        </w:rPr>
        <w:t xml:space="preserve">, </w:t>
      </w:r>
      <w:hyperlink r:id="rId7" w:history="1">
        <w:r w:rsidRPr="00F80570">
          <w:rPr>
            <w:rStyle w:val="Hyperlink"/>
            <w:rFonts w:ascii="Times New Roman" w:hAnsi="Times New Roman" w:cs="Times New Roman"/>
          </w:rPr>
          <w:t>Brazil</w:t>
        </w:r>
      </w:hyperlink>
      <w:r w:rsidRPr="00F80570">
        <w:rPr>
          <w:rFonts w:ascii="Times New Roman" w:hAnsi="Times New Roman" w:cs="Times New Roman"/>
        </w:rPr>
        <w:t xml:space="preserve">, </w:t>
      </w:r>
      <w:hyperlink r:id="rId8" w:history="1">
        <w:r w:rsidRPr="00F80570">
          <w:rPr>
            <w:rStyle w:val="Hyperlink"/>
            <w:rFonts w:ascii="Times New Roman" w:hAnsi="Times New Roman" w:cs="Times New Roman"/>
          </w:rPr>
          <w:t>Croatia</w:t>
        </w:r>
      </w:hyperlink>
      <w:r w:rsidRPr="00F80570">
        <w:rPr>
          <w:rFonts w:ascii="Times New Roman" w:hAnsi="Times New Roman" w:cs="Times New Roman"/>
        </w:rPr>
        <w:t xml:space="preserve"> and </w:t>
      </w:r>
      <w:hyperlink r:id="rId9" w:history="1">
        <w:r w:rsidRPr="00F80570">
          <w:rPr>
            <w:rStyle w:val="Hyperlink"/>
            <w:rFonts w:ascii="Times New Roman" w:hAnsi="Times New Roman" w:cs="Times New Roman"/>
          </w:rPr>
          <w:t>Slovakia</w:t>
        </w:r>
      </w:hyperlink>
      <w:r w:rsidRPr="00F80570">
        <w:rPr>
          <w:rFonts w:ascii="Times New Roman" w:hAnsi="Times New Roman" w:cs="Times New Roman"/>
        </w:rPr>
        <w:t xml:space="preserve"> argued that it was the prohibition of force that had peremptory status. Most other States commented on the desirability of including a non-exhaustive list of peremptory rules in the work of the ILC.</w:t>
      </w:r>
    </w:p>
  </w:footnote>
  <w:footnote w:id="10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Linderfalk </w:t>
      </w:r>
      <w:r>
        <w:rPr>
          <w:rFonts w:ascii="Times New Roman" w:hAnsi="Times New Roman" w:cs="Times New Roman"/>
          <w:noProof/>
        </w:rPr>
        <w:t>(n 10)</w:t>
      </w:r>
      <w:r w:rsidRPr="00F80570">
        <w:rPr>
          <w:rFonts w:ascii="Times New Roman" w:hAnsi="Times New Roman" w:cs="Times New Roman"/>
          <w:noProof/>
        </w:rPr>
        <w:t>.</w:t>
      </w:r>
      <w:r w:rsidRPr="00F80570">
        <w:rPr>
          <w:rFonts w:ascii="Times New Roman" w:hAnsi="Times New Roman" w:cs="Times New Roman"/>
        </w:rPr>
        <w:t xml:space="preserve"> More recently, see: </w:t>
      </w:r>
      <w:r w:rsidRPr="00F80570">
        <w:rPr>
          <w:rFonts w:ascii="Times New Roman" w:hAnsi="Times New Roman" w:cs="Times New Roman"/>
          <w:noProof/>
        </w:rPr>
        <w:t xml:space="preserve">Ulf Linderfalk, </w:t>
      </w:r>
      <w:r w:rsidRPr="00F80570">
        <w:rPr>
          <w:rFonts w:ascii="Times New Roman" w:hAnsi="Times New Roman" w:cs="Times New Roman"/>
          <w:i/>
          <w:noProof/>
        </w:rPr>
        <w:t>Understanding Jus Cogens in International Law and Legal Discourse</w:t>
      </w:r>
      <w:r w:rsidRPr="00F80570">
        <w:rPr>
          <w:rFonts w:ascii="Times New Roman" w:hAnsi="Times New Roman" w:cs="Times New Roman"/>
          <w:noProof/>
        </w:rPr>
        <w:t xml:space="preserve"> (Edward Elgar, 2020), ch 8.</w:t>
      </w:r>
    </w:p>
  </w:footnote>
  <w:footnote w:id="10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proofErr w:type="spellStart"/>
      <w:r w:rsidRPr="00F80570">
        <w:rPr>
          <w:rFonts w:ascii="Times New Roman" w:hAnsi="Times New Roman" w:cs="Times New Roman"/>
        </w:rPr>
        <w:t>Scobbie</w:t>
      </w:r>
      <w:proofErr w:type="spellEnd"/>
      <w:r w:rsidRPr="00F80570">
        <w:rPr>
          <w:rFonts w:ascii="Times New Roman" w:hAnsi="Times New Roman" w:cs="Times New Roman"/>
        </w:rPr>
        <w:t>, ‘Exceptions: self-defence as an exception to the prohibition on the use of force’ in Bartels and Paddeu</w:t>
      </w:r>
      <w:r>
        <w:rPr>
          <w:rFonts w:ascii="Times New Roman" w:hAnsi="Times New Roman" w:cs="Times New Roman"/>
        </w:rPr>
        <w:t xml:space="preserve"> (n 10)</w:t>
      </w:r>
      <w:r w:rsidR="00E13FFA">
        <w:rPr>
          <w:rFonts w:ascii="Times New Roman" w:hAnsi="Times New Roman" w:cs="Times New Roman"/>
        </w:rPr>
        <w:t>, 150</w:t>
      </w:r>
      <w:r>
        <w:rPr>
          <w:rFonts w:ascii="Times New Roman" w:hAnsi="Times New Roman" w:cs="Times New Roman"/>
        </w:rPr>
        <w:t>.</w:t>
      </w:r>
    </w:p>
  </w:footnote>
  <w:footnote w:id="10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w:t>
      </w:r>
      <w:r>
        <w:rPr>
          <w:rFonts w:ascii="Times New Roman" w:hAnsi="Times New Roman" w:cs="Times New Roman"/>
        </w:rPr>
        <w:t>e.g.</w:t>
      </w:r>
      <w:r w:rsidRPr="00F80570">
        <w:rPr>
          <w:rFonts w:ascii="Times New Roman" w:hAnsi="Times New Roman" w:cs="Times New Roman"/>
        </w:rPr>
        <w:t xml:space="preserve"> </w:t>
      </w:r>
      <w:r w:rsidRPr="00F80570">
        <w:rPr>
          <w:rFonts w:ascii="Times New Roman" w:hAnsi="Times New Roman" w:cs="Times New Roman"/>
          <w:noProof/>
        </w:rPr>
        <w:t>Karine Bannelier and Theodore Christakis, ‘</w:t>
      </w:r>
      <w:r w:rsidRPr="00F80570">
        <w:rPr>
          <w:rFonts w:ascii="Times New Roman" w:hAnsi="Times New Roman" w:cs="Times New Roman"/>
          <w:i/>
          <w:noProof/>
        </w:rPr>
        <w:t>Volenti non fit injuria</w:t>
      </w:r>
      <w:r w:rsidRPr="00F80570">
        <w:rPr>
          <w:rFonts w:ascii="Times New Roman" w:hAnsi="Times New Roman" w:cs="Times New Roman"/>
          <w:noProof/>
        </w:rPr>
        <w:t xml:space="preserve">? Les effets du consentement à l’intervention militaire’ (2004) 50 </w:t>
      </w:r>
      <w:r w:rsidRPr="00F80570">
        <w:rPr>
          <w:rFonts w:ascii="Times New Roman" w:hAnsi="Times New Roman" w:cs="Times New Roman"/>
          <w:i/>
          <w:noProof/>
        </w:rPr>
        <w:t>A</w:t>
      </w:r>
      <w:r>
        <w:rPr>
          <w:rFonts w:ascii="Times New Roman" w:hAnsi="Times New Roman" w:cs="Times New Roman"/>
          <w:i/>
          <w:noProof/>
        </w:rPr>
        <w:t xml:space="preserve">nnuaire </w:t>
      </w:r>
      <w:r w:rsidRPr="00F80570">
        <w:rPr>
          <w:rFonts w:ascii="Times New Roman" w:hAnsi="Times New Roman" w:cs="Times New Roman"/>
          <w:i/>
          <w:noProof/>
        </w:rPr>
        <w:t>F</w:t>
      </w:r>
      <w:r>
        <w:rPr>
          <w:rFonts w:ascii="Times New Roman" w:hAnsi="Times New Roman" w:cs="Times New Roman"/>
          <w:i/>
          <w:noProof/>
        </w:rPr>
        <w:t>rancais de droit internatioanl</w:t>
      </w:r>
      <w:r w:rsidRPr="00F80570">
        <w:rPr>
          <w:rFonts w:ascii="Times New Roman" w:hAnsi="Times New Roman" w:cs="Times New Roman"/>
          <w:i/>
          <w:noProof/>
        </w:rPr>
        <w:t xml:space="preserve"> </w:t>
      </w:r>
      <w:r w:rsidRPr="00F80570">
        <w:rPr>
          <w:rFonts w:ascii="Times New Roman" w:hAnsi="Times New Roman" w:cs="Times New Roman"/>
          <w:noProof/>
        </w:rPr>
        <w:t xml:space="preserve">102, 107-8; Ademola Abass, ‘Consent Precluding State Responsibility: A Critical Analysis’ (2004) 53 </w:t>
      </w:r>
      <w:r w:rsidRPr="00F80570">
        <w:rPr>
          <w:rFonts w:ascii="Times New Roman" w:hAnsi="Times New Roman" w:cs="Times New Roman"/>
          <w:i/>
          <w:noProof/>
        </w:rPr>
        <w:t>I</w:t>
      </w:r>
      <w:r>
        <w:rPr>
          <w:rFonts w:ascii="Times New Roman" w:hAnsi="Times New Roman" w:cs="Times New Roman"/>
          <w:i/>
          <w:noProof/>
        </w:rPr>
        <w:t xml:space="preserve">nternational and </w:t>
      </w:r>
      <w:r w:rsidRPr="00F80570">
        <w:rPr>
          <w:rFonts w:ascii="Times New Roman" w:hAnsi="Times New Roman" w:cs="Times New Roman"/>
          <w:i/>
          <w:noProof/>
        </w:rPr>
        <w:t>C</w:t>
      </w:r>
      <w:r>
        <w:rPr>
          <w:rFonts w:ascii="Times New Roman" w:hAnsi="Times New Roman" w:cs="Times New Roman"/>
          <w:i/>
          <w:noProof/>
        </w:rPr>
        <w:t xml:space="preserve">omparative </w:t>
      </w:r>
      <w:r w:rsidRPr="00F80570">
        <w:rPr>
          <w:rFonts w:ascii="Times New Roman" w:hAnsi="Times New Roman" w:cs="Times New Roman"/>
          <w:i/>
          <w:noProof/>
        </w:rPr>
        <w:t>L</w:t>
      </w:r>
      <w:r>
        <w:rPr>
          <w:rFonts w:ascii="Times New Roman" w:hAnsi="Times New Roman" w:cs="Times New Roman"/>
          <w:i/>
          <w:noProof/>
        </w:rPr>
        <w:t xml:space="preserve">aw </w:t>
      </w:r>
      <w:r w:rsidRPr="00F80570">
        <w:rPr>
          <w:rFonts w:ascii="Times New Roman" w:hAnsi="Times New Roman" w:cs="Times New Roman"/>
          <w:i/>
          <w:noProof/>
        </w:rPr>
        <w:t>Q</w:t>
      </w:r>
      <w:r>
        <w:rPr>
          <w:rFonts w:ascii="Times New Roman" w:hAnsi="Times New Roman" w:cs="Times New Roman"/>
          <w:i/>
          <w:noProof/>
        </w:rPr>
        <w:t>uarterly</w:t>
      </w:r>
      <w:r w:rsidRPr="00F80570">
        <w:rPr>
          <w:rFonts w:ascii="Times New Roman" w:hAnsi="Times New Roman" w:cs="Times New Roman"/>
          <w:i/>
          <w:noProof/>
        </w:rPr>
        <w:t xml:space="preserve"> </w:t>
      </w:r>
      <w:r w:rsidRPr="00F80570">
        <w:rPr>
          <w:rFonts w:ascii="Times New Roman" w:hAnsi="Times New Roman" w:cs="Times New Roman"/>
          <w:noProof/>
        </w:rPr>
        <w:t>211; Dörr and Randelzhofer</w:t>
      </w:r>
      <w:r>
        <w:rPr>
          <w:rFonts w:ascii="Times New Roman" w:hAnsi="Times New Roman" w:cs="Times New Roman"/>
          <w:noProof/>
        </w:rPr>
        <w:t xml:space="preserve"> (n 86)</w:t>
      </w:r>
      <w:r w:rsidRPr="00F80570">
        <w:rPr>
          <w:rFonts w:ascii="Times New Roman" w:hAnsi="Times New Roman" w:cs="Times New Roman"/>
          <w:noProof/>
        </w:rPr>
        <w:t xml:space="preserve"> </w:t>
      </w:r>
      <w:r>
        <w:rPr>
          <w:rFonts w:ascii="Times New Roman" w:hAnsi="Times New Roman" w:cs="Times New Roman"/>
          <w:noProof/>
        </w:rPr>
        <w:t xml:space="preserve">para </w:t>
      </w:r>
      <w:r w:rsidRPr="00F80570">
        <w:rPr>
          <w:rFonts w:ascii="Times New Roman" w:hAnsi="Times New Roman" w:cs="Times New Roman"/>
          <w:noProof/>
        </w:rPr>
        <w:t xml:space="preserve">33; James Crawford, </w:t>
      </w:r>
      <w:r w:rsidRPr="00F80570">
        <w:rPr>
          <w:rFonts w:ascii="Times New Roman" w:hAnsi="Times New Roman" w:cs="Times New Roman"/>
          <w:i/>
          <w:noProof/>
        </w:rPr>
        <w:t>State Responsibility: The General Part</w:t>
      </w:r>
      <w:r w:rsidRPr="00F80570">
        <w:rPr>
          <w:rFonts w:ascii="Times New Roman" w:hAnsi="Times New Roman" w:cs="Times New Roman"/>
          <w:noProof/>
        </w:rPr>
        <w:t xml:space="preserve"> (CUP, 2013), 317-8; Karine Bannelier and Théodore Christakis, ‘Under the UN Security Council’s Watchful Eyes: Military Intervention by Invitation in the Malian Conflict’ (2013) </w:t>
      </w:r>
      <w:r>
        <w:rPr>
          <w:rFonts w:ascii="Times New Roman" w:hAnsi="Times New Roman" w:cs="Times New Roman"/>
          <w:noProof/>
        </w:rPr>
        <w:t>26</w:t>
      </w:r>
      <w:r w:rsidRPr="00F80570">
        <w:rPr>
          <w:rFonts w:ascii="Times New Roman" w:hAnsi="Times New Roman" w:cs="Times New Roman"/>
          <w:noProof/>
        </w:rPr>
        <w:t xml:space="preserve"> </w:t>
      </w:r>
      <w:r w:rsidRPr="00F80570">
        <w:rPr>
          <w:rFonts w:ascii="Times New Roman" w:hAnsi="Times New Roman" w:cs="Times New Roman"/>
          <w:i/>
          <w:noProof/>
        </w:rPr>
        <w:t>L</w:t>
      </w:r>
      <w:r>
        <w:rPr>
          <w:rFonts w:ascii="Times New Roman" w:hAnsi="Times New Roman" w:cs="Times New Roman"/>
          <w:i/>
          <w:noProof/>
        </w:rPr>
        <w:t xml:space="preserve">eiden </w:t>
      </w:r>
      <w:r w:rsidRPr="00F80570">
        <w:rPr>
          <w:rFonts w:ascii="Times New Roman" w:hAnsi="Times New Roman" w:cs="Times New Roman"/>
          <w:i/>
          <w:noProof/>
        </w:rPr>
        <w:t>J</w:t>
      </w:r>
      <w:r>
        <w:rPr>
          <w:rFonts w:ascii="Times New Roman" w:hAnsi="Times New Roman" w:cs="Times New Roman"/>
          <w:i/>
          <w:noProof/>
        </w:rPr>
        <w:t xml:space="preserve">ournal of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 xml:space="preserve">855, 860; Corten </w:t>
      </w:r>
      <w:r>
        <w:rPr>
          <w:rFonts w:ascii="Times New Roman" w:hAnsi="Times New Roman" w:cs="Times New Roman"/>
          <w:noProof/>
        </w:rPr>
        <w:t>(n 90)</w:t>
      </w:r>
      <w:r w:rsidRPr="00F80570">
        <w:rPr>
          <w:rFonts w:ascii="Times New Roman" w:hAnsi="Times New Roman" w:cs="Times New Roman"/>
          <w:noProof/>
        </w:rPr>
        <w:t xml:space="preserve"> 412-4; Sondre Torp Helmersen, ‘The Prohibition of the Use of Force as </w:t>
      </w:r>
      <w:r w:rsidRPr="00F80570">
        <w:rPr>
          <w:rFonts w:ascii="Times New Roman" w:hAnsi="Times New Roman" w:cs="Times New Roman"/>
          <w:i/>
          <w:noProof/>
        </w:rPr>
        <w:t>Jus Cogens</w:t>
      </w:r>
      <w:r w:rsidRPr="00F80570">
        <w:rPr>
          <w:rFonts w:ascii="Times New Roman" w:hAnsi="Times New Roman" w:cs="Times New Roman"/>
          <w:noProof/>
        </w:rPr>
        <w:t xml:space="preserve">: Explaining Apparent Derogations’ (2014) 61 </w:t>
      </w:r>
      <w:r w:rsidRPr="00F80570">
        <w:rPr>
          <w:rFonts w:ascii="Times New Roman" w:hAnsi="Times New Roman" w:cs="Times New Roman"/>
          <w:i/>
          <w:noProof/>
        </w:rPr>
        <w:t>N</w:t>
      </w:r>
      <w:r>
        <w:rPr>
          <w:rFonts w:ascii="Times New Roman" w:hAnsi="Times New Roman" w:cs="Times New Roman"/>
          <w:i/>
          <w:noProof/>
        </w:rPr>
        <w:t xml:space="preserve">etherlands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 xml:space="preserve">aw </w:t>
      </w:r>
      <w:r w:rsidRPr="00F80570">
        <w:rPr>
          <w:rFonts w:ascii="Times New Roman" w:hAnsi="Times New Roman" w:cs="Times New Roman"/>
          <w:i/>
          <w:noProof/>
        </w:rPr>
        <w:t>R</w:t>
      </w:r>
      <w:r>
        <w:rPr>
          <w:rFonts w:ascii="Times New Roman" w:hAnsi="Times New Roman" w:cs="Times New Roman"/>
          <w:i/>
          <w:noProof/>
        </w:rPr>
        <w:t>eview</w:t>
      </w:r>
      <w:r w:rsidRPr="00F80570">
        <w:rPr>
          <w:rFonts w:ascii="Times New Roman" w:hAnsi="Times New Roman" w:cs="Times New Roman"/>
          <w:i/>
          <w:noProof/>
        </w:rPr>
        <w:t xml:space="preserve"> </w:t>
      </w:r>
      <w:r w:rsidRPr="00F80570">
        <w:rPr>
          <w:rFonts w:ascii="Times New Roman" w:hAnsi="Times New Roman" w:cs="Times New Roman"/>
          <w:noProof/>
        </w:rPr>
        <w:t xml:space="preserve">167, 177; Erika de Wet, ‘The Modern Practice of Intervention by Invitation in Africa and Its Implications for the Prohibition of the Use of Force’ (2015) 26 </w:t>
      </w:r>
      <w:r w:rsidRPr="00F80570">
        <w:rPr>
          <w:rFonts w:ascii="Times New Roman" w:hAnsi="Times New Roman" w:cs="Times New Roman"/>
          <w:i/>
          <w:noProof/>
        </w:rPr>
        <w:t>E</w:t>
      </w:r>
      <w:r>
        <w:rPr>
          <w:rFonts w:ascii="Times New Roman" w:hAnsi="Times New Roman" w:cs="Times New Roman"/>
          <w:i/>
          <w:noProof/>
        </w:rPr>
        <w:t xml:space="preserve">uropean </w:t>
      </w:r>
      <w:r w:rsidRPr="00F80570">
        <w:rPr>
          <w:rFonts w:ascii="Times New Roman" w:hAnsi="Times New Roman" w:cs="Times New Roman"/>
          <w:i/>
          <w:noProof/>
        </w:rPr>
        <w:t>J</w:t>
      </w:r>
      <w:r>
        <w:rPr>
          <w:rFonts w:ascii="Times New Roman" w:hAnsi="Times New Roman" w:cs="Times New Roman"/>
          <w:i/>
          <w:noProof/>
        </w:rPr>
        <w:t xml:space="preserve">ournal of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 xml:space="preserve">979, 980; Costelloe </w:t>
      </w:r>
      <w:r>
        <w:rPr>
          <w:rFonts w:ascii="Times New Roman" w:hAnsi="Times New Roman" w:cs="Times New Roman"/>
          <w:noProof/>
        </w:rPr>
        <w:t xml:space="preserve">(n 101) </w:t>
      </w:r>
      <w:r w:rsidRPr="00F80570">
        <w:rPr>
          <w:rFonts w:ascii="Times New Roman" w:hAnsi="Times New Roman" w:cs="Times New Roman"/>
          <w:noProof/>
        </w:rPr>
        <w:t xml:space="preserve">225-6; Christian Henderson, </w:t>
      </w:r>
      <w:r w:rsidRPr="00F80570">
        <w:rPr>
          <w:rFonts w:ascii="Times New Roman" w:hAnsi="Times New Roman" w:cs="Times New Roman"/>
          <w:i/>
          <w:noProof/>
        </w:rPr>
        <w:t>The Use of Force in International Law</w:t>
      </w:r>
      <w:r w:rsidRPr="00F80570">
        <w:rPr>
          <w:rFonts w:ascii="Times New Roman" w:hAnsi="Times New Roman" w:cs="Times New Roman"/>
          <w:noProof/>
        </w:rPr>
        <w:t xml:space="preserve"> (CUP, 2018), 22; Visser</w:t>
      </w:r>
      <w:r>
        <w:rPr>
          <w:rFonts w:ascii="Times New Roman" w:hAnsi="Times New Roman" w:cs="Times New Roman"/>
          <w:noProof/>
        </w:rPr>
        <w:t xml:space="preserve"> (n 86)</w:t>
      </w:r>
      <w:r w:rsidRPr="00F80570">
        <w:rPr>
          <w:rFonts w:ascii="Times New Roman" w:hAnsi="Times New Roman" w:cs="Times New Roman"/>
          <w:noProof/>
        </w:rPr>
        <w:t xml:space="preserve"> 40-2; Isabella Wong, ‘Authority to Consent to the Use of Force in Contemporary International Law: The Crimean and Yemeni Conflicts’ (2019) 6 </w:t>
      </w:r>
      <w:r w:rsidRPr="00F80570">
        <w:rPr>
          <w:rFonts w:ascii="Times New Roman" w:hAnsi="Times New Roman" w:cs="Times New Roman"/>
          <w:i/>
          <w:noProof/>
        </w:rPr>
        <w:t>J</w:t>
      </w:r>
      <w:r>
        <w:rPr>
          <w:rFonts w:ascii="Times New Roman" w:hAnsi="Times New Roman" w:cs="Times New Roman"/>
          <w:i/>
          <w:noProof/>
        </w:rPr>
        <w:t xml:space="preserve">ournal on the </w:t>
      </w:r>
      <w:r w:rsidRPr="00F80570">
        <w:rPr>
          <w:rFonts w:ascii="Times New Roman" w:hAnsi="Times New Roman" w:cs="Times New Roman"/>
          <w:i/>
          <w:noProof/>
        </w:rPr>
        <w:t>U</w:t>
      </w:r>
      <w:r>
        <w:rPr>
          <w:rFonts w:ascii="Times New Roman" w:hAnsi="Times New Roman" w:cs="Times New Roman"/>
          <w:i/>
          <w:noProof/>
        </w:rPr>
        <w:t xml:space="preserve">se of </w:t>
      </w:r>
      <w:r w:rsidRPr="00F80570">
        <w:rPr>
          <w:rFonts w:ascii="Times New Roman" w:hAnsi="Times New Roman" w:cs="Times New Roman"/>
          <w:i/>
          <w:noProof/>
        </w:rPr>
        <w:t>F</w:t>
      </w:r>
      <w:r>
        <w:rPr>
          <w:rFonts w:ascii="Times New Roman" w:hAnsi="Times New Roman" w:cs="Times New Roman"/>
          <w:i/>
          <w:noProof/>
        </w:rPr>
        <w:t xml:space="preserve">orce and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52, 55-56.</w:t>
      </w:r>
      <w:r w:rsidRPr="00F80570">
        <w:rPr>
          <w:rFonts w:ascii="Times New Roman" w:hAnsi="Times New Roman" w:cs="Times New Roman"/>
        </w:rPr>
        <w:t xml:space="preserve"> See </w:t>
      </w:r>
      <w:r>
        <w:rPr>
          <w:rFonts w:ascii="Times New Roman" w:hAnsi="Times New Roman" w:cs="Times New Roman"/>
        </w:rPr>
        <w:t xml:space="preserve">ILA Report (n 7) </w:t>
      </w:r>
      <w:r w:rsidRPr="00F80570">
        <w:rPr>
          <w:rFonts w:ascii="Times New Roman" w:hAnsi="Times New Roman" w:cs="Times New Roman"/>
        </w:rPr>
        <w:t>section B.3</w:t>
      </w:r>
      <w:r>
        <w:rPr>
          <w:rFonts w:ascii="Times New Roman" w:hAnsi="Times New Roman" w:cs="Times New Roman"/>
        </w:rPr>
        <w:t>.</w:t>
      </w:r>
    </w:p>
  </w:footnote>
  <w:footnote w:id="108">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Crawford </w:t>
      </w:r>
      <w:r>
        <w:rPr>
          <w:rFonts w:ascii="Times New Roman" w:hAnsi="Times New Roman" w:cs="Times New Roman"/>
          <w:noProof/>
        </w:rPr>
        <w:t xml:space="preserve">(n 74) para </w:t>
      </w:r>
      <w:r w:rsidRPr="00F80570">
        <w:rPr>
          <w:rFonts w:ascii="Times New Roman" w:hAnsi="Times New Roman" w:cs="Times New Roman"/>
          <w:noProof/>
        </w:rPr>
        <w:t>239.</w:t>
      </w:r>
    </w:p>
  </w:footnote>
  <w:footnote w:id="10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 xml:space="preserve">ILA Report (n 7) </w:t>
      </w:r>
      <w:r w:rsidRPr="00F80570">
        <w:rPr>
          <w:rFonts w:ascii="Times New Roman" w:hAnsi="Times New Roman" w:cs="Times New Roman"/>
        </w:rPr>
        <w:t>section B.3</w:t>
      </w:r>
      <w:r>
        <w:rPr>
          <w:rFonts w:ascii="Times New Roman" w:hAnsi="Times New Roman" w:cs="Times New Roman"/>
        </w:rPr>
        <w:t>.</w:t>
      </w:r>
    </w:p>
  </w:footnote>
  <w:footnote w:id="110">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2E02AB">
        <w:rPr>
          <w:rFonts w:ascii="Times New Roman" w:hAnsi="Times New Roman" w:cs="Times New Roman"/>
          <w:i/>
          <w:noProof/>
        </w:rPr>
        <w:t>Military and Paramilitary Activities in and Against Nicaragua (Nicaragua v United States of America)</w:t>
      </w:r>
      <w:r>
        <w:rPr>
          <w:rFonts w:ascii="Times New Roman" w:hAnsi="Times New Roman" w:cs="Times New Roman"/>
          <w:noProof/>
        </w:rPr>
        <w:t xml:space="preserve"> (merits) [1986] ICJ Rep 14, para 226 (‘In so far as acts of the Respondent may appear to constitute violations of the relevant rules of law, the Court will then have to determine whether there are present any circumstances excluding unlawfulness, or whether any such acts may be justifi ed upon any other ground’).</w:t>
      </w:r>
      <w:r w:rsidRPr="00F80570">
        <w:rPr>
          <w:rFonts w:ascii="Times New Roman" w:hAnsi="Times New Roman" w:cs="Times New Roman"/>
        </w:rPr>
        <w:t xml:space="preserve"> Once the Court (preliminarily) found that ‘the activities of the United States in relation to the activities of the contras in Nicaragua constitute prima facie acts of intervention’, it then moved on to ‘consider whether they may nevertheless be justified on some legal ground, at </w:t>
      </w:r>
      <w:r>
        <w:rPr>
          <w:rFonts w:ascii="Times New Roman" w:hAnsi="Times New Roman" w:cs="Times New Roman"/>
        </w:rPr>
        <w:t xml:space="preserve">para </w:t>
      </w:r>
      <w:r w:rsidRPr="00F80570">
        <w:rPr>
          <w:rFonts w:ascii="Times New Roman" w:hAnsi="Times New Roman" w:cs="Times New Roman"/>
        </w:rPr>
        <w:t>246. It followed the same pattern in respect of the other violations alleged by Nicaragua.</w:t>
      </w:r>
    </w:p>
  </w:footnote>
  <w:footnote w:id="11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As quoted by </w:t>
      </w:r>
      <w:r w:rsidRPr="00F80570">
        <w:rPr>
          <w:rFonts w:ascii="Times New Roman" w:hAnsi="Times New Roman" w:cs="Times New Roman"/>
          <w:noProof/>
        </w:rPr>
        <w:t xml:space="preserve">Max Byrne, ‘Consent and the Use of Force: An Examination of “Intervention by Invitation” as a Basis for US Drone Strikes in Pakistan, Somalia and Yemen’ (2016) 3 </w:t>
      </w:r>
      <w:r w:rsidRPr="00F80570">
        <w:rPr>
          <w:rFonts w:ascii="Times New Roman" w:hAnsi="Times New Roman" w:cs="Times New Roman"/>
          <w:i/>
          <w:noProof/>
        </w:rPr>
        <w:t>J</w:t>
      </w:r>
      <w:r>
        <w:rPr>
          <w:rFonts w:ascii="Times New Roman" w:hAnsi="Times New Roman" w:cs="Times New Roman"/>
          <w:i/>
          <w:noProof/>
        </w:rPr>
        <w:t xml:space="preserve">ournal on the </w:t>
      </w:r>
      <w:r w:rsidRPr="00F80570">
        <w:rPr>
          <w:rFonts w:ascii="Times New Roman" w:hAnsi="Times New Roman" w:cs="Times New Roman"/>
          <w:i/>
          <w:noProof/>
        </w:rPr>
        <w:t>U</w:t>
      </w:r>
      <w:r>
        <w:rPr>
          <w:rFonts w:ascii="Times New Roman" w:hAnsi="Times New Roman" w:cs="Times New Roman"/>
          <w:i/>
          <w:noProof/>
        </w:rPr>
        <w:t xml:space="preserve">se of </w:t>
      </w:r>
      <w:r w:rsidRPr="00F80570">
        <w:rPr>
          <w:rFonts w:ascii="Times New Roman" w:hAnsi="Times New Roman" w:cs="Times New Roman"/>
          <w:i/>
          <w:noProof/>
        </w:rPr>
        <w:t>F</w:t>
      </w:r>
      <w:r>
        <w:rPr>
          <w:rFonts w:ascii="Times New Roman" w:hAnsi="Times New Roman" w:cs="Times New Roman"/>
          <w:i/>
          <w:noProof/>
        </w:rPr>
        <w:t xml:space="preserve">orce and </w:t>
      </w:r>
      <w:r w:rsidRPr="00F80570">
        <w:rPr>
          <w:rFonts w:ascii="Times New Roman" w:hAnsi="Times New Roman" w:cs="Times New Roman"/>
          <w:i/>
          <w:noProof/>
        </w:rPr>
        <w:t>I</w:t>
      </w:r>
      <w:r>
        <w:rPr>
          <w:rFonts w:ascii="Times New Roman" w:hAnsi="Times New Roman" w:cs="Times New Roman"/>
          <w:i/>
          <w:noProof/>
        </w:rPr>
        <w:t xml:space="preserve">nternatioanl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97, 102.</w:t>
      </w:r>
    </w:p>
  </w:footnote>
  <w:footnote w:id="11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Section </w:t>
      </w:r>
      <w:r>
        <w:rPr>
          <w:rFonts w:ascii="Times New Roman" w:hAnsi="Times New Roman" w:cs="Times New Roman"/>
        </w:rPr>
        <w:t>2</w:t>
      </w:r>
      <w:r w:rsidRPr="00F80570">
        <w:rPr>
          <w:rFonts w:ascii="Times New Roman" w:hAnsi="Times New Roman" w:cs="Times New Roman"/>
        </w:rPr>
        <w:t>.2.</w:t>
      </w:r>
    </w:p>
  </w:footnote>
  <w:footnote w:id="11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As noted in the introduction, the argument in this paper is limited to instances where </w:t>
      </w:r>
      <w:r>
        <w:rPr>
          <w:rFonts w:ascii="Times New Roman" w:hAnsi="Times New Roman" w:cs="Times New Roman"/>
        </w:rPr>
        <w:t>s</w:t>
      </w:r>
      <w:r w:rsidRPr="00F80570">
        <w:rPr>
          <w:rFonts w:ascii="Times New Roman" w:hAnsi="Times New Roman" w:cs="Times New Roman"/>
        </w:rPr>
        <w:t xml:space="preserve">tates resort to physical violence in another </w:t>
      </w:r>
      <w:r>
        <w:rPr>
          <w:rFonts w:ascii="Times New Roman" w:hAnsi="Times New Roman" w:cs="Times New Roman"/>
        </w:rPr>
        <w:t>s</w:t>
      </w:r>
      <w:r w:rsidRPr="00F80570">
        <w:rPr>
          <w:rFonts w:ascii="Times New Roman" w:hAnsi="Times New Roman" w:cs="Times New Roman"/>
        </w:rPr>
        <w:t>tate’s territory. It excludes from consideration situations of consensual military assistance, such as joint military trainings and the operation of military bases on foreign territory.</w:t>
      </w:r>
    </w:p>
  </w:footnote>
  <w:footnote w:id="11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I am grateful to James Green for raising this point.</w:t>
      </w:r>
    </w:p>
  </w:footnote>
  <w:footnote w:id="115">
    <w:p w:rsidR="00AF7273" w:rsidRPr="00F80570" w:rsidRDefault="00AF7273" w:rsidP="00AF7273">
      <w:pPr>
        <w:pStyle w:val="FootnoteText"/>
        <w:jc w:val="both"/>
        <w:rPr>
          <w:rFonts w:ascii="Times New Roman" w:hAnsi="Times New Roman" w:cs="Times New Roman"/>
          <w:lang w:val="en-US"/>
        </w:rPr>
      </w:pPr>
      <w:r w:rsidRPr="00710DA9">
        <w:rPr>
          <w:rStyle w:val="FootnoteReference"/>
          <w:rFonts w:ascii="Times New Roman" w:hAnsi="Times New Roman" w:cs="Times New Roman"/>
        </w:rPr>
        <w:footnoteRef/>
      </w:r>
      <w:r w:rsidR="0056618C">
        <w:rPr>
          <w:rFonts w:ascii="Times New Roman" w:hAnsi="Times New Roman" w:cs="Times New Roman"/>
        </w:rPr>
        <w:t xml:space="preserve"> </w:t>
      </w:r>
      <w:r w:rsidR="00710DA9">
        <w:rPr>
          <w:rFonts w:ascii="Times New Roman" w:hAnsi="Times New Roman" w:cs="Times New Roman"/>
        </w:rPr>
        <w:t xml:space="preserve">Samantha </w:t>
      </w:r>
      <w:r w:rsidR="00710DA9" w:rsidRPr="00710DA9">
        <w:rPr>
          <w:rFonts w:ascii="Times New Roman" w:hAnsi="Times New Roman" w:cs="Times New Roman"/>
        </w:rPr>
        <w:t>Besson</w:t>
      </w:r>
      <w:r w:rsidR="00710DA9">
        <w:rPr>
          <w:rFonts w:ascii="Times New Roman" w:hAnsi="Times New Roman" w:cs="Times New Roman"/>
        </w:rPr>
        <w:t>,</w:t>
      </w:r>
      <w:r w:rsidR="00710DA9" w:rsidRPr="00710DA9">
        <w:rPr>
          <w:rFonts w:ascii="Times New Roman" w:hAnsi="Times New Roman" w:cs="Times New Roman"/>
        </w:rPr>
        <w:t xml:space="preserve"> ‘Sovereignty’ in </w:t>
      </w:r>
      <w:proofErr w:type="spellStart"/>
      <w:r w:rsidR="00710DA9">
        <w:rPr>
          <w:rFonts w:ascii="Times New Roman" w:hAnsi="Times New Roman" w:cs="Times New Roman"/>
        </w:rPr>
        <w:t>Rüdiger</w:t>
      </w:r>
      <w:proofErr w:type="spellEnd"/>
      <w:r w:rsidR="00710DA9">
        <w:rPr>
          <w:rFonts w:ascii="Times New Roman" w:hAnsi="Times New Roman" w:cs="Times New Roman"/>
        </w:rPr>
        <w:t xml:space="preserve"> </w:t>
      </w:r>
      <w:proofErr w:type="spellStart"/>
      <w:r w:rsidR="00C50BA5">
        <w:rPr>
          <w:rFonts w:ascii="Times New Roman" w:hAnsi="Times New Roman" w:cs="Times New Roman"/>
        </w:rPr>
        <w:t>Wolfrum</w:t>
      </w:r>
      <w:proofErr w:type="spellEnd"/>
      <w:r w:rsidR="00C50BA5">
        <w:rPr>
          <w:rFonts w:ascii="Times New Roman" w:hAnsi="Times New Roman" w:cs="Times New Roman"/>
        </w:rPr>
        <w:t xml:space="preserve"> </w:t>
      </w:r>
      <w:r w:rsidR="00710DA9" w:rsidRPr="00710DA9">
        <w:rPr>
          <w:rFonts w:ascii="Times New Roman" w:hAnsi="Times New Roman" w:cs="Times New Roman"/>
        </w:rPr>
        <w:t xml:space="preserve">(ed), </w:t>
      </w:r>
      <w:r w:rsidR="00710DA9" w:rsidRPr="00710DA9">
        <w:rPr>
          <w:rFonts w:ascii="Times New Roman" w:hAnsi="Times New Roman" w:cs="Times New Roman"/>
          <w:i/>
          <w:iCs/>
        </w:rPr>
        <w:t xml:space="preserve">Max Planck </w:t>
      </w:r>
      <w:proofErr w:type="spellStart"/>
      <w:r w:rsidR="00710DA9" w:rsidRPr="00710DA9">
        <w:rPr>
          <w:rFonts w:ascii="Times New Roman" w:hAnsi="Times New Roman" w:cs="Times New Roman"/>
          <w:i/>
          <w:iCs/>
        </w:rPr>
        <w:t>Encyclopedia</w:t>
      </w:r>
      <w:proofErr w:type="spellEnd"/>
      <w:r w:rsidR="00710DA9" w:rsidRPr="00710DA9">
        <w:rPr>
          <w:rFonts w:ascii="Times New Roman" w:hAnsi="Times New Roman" w:cs="Times New Roman"/>
          <w:i/>
          <w:iCs/>
        </w:rPr>
        <w:t xml:space="preserve"> of Public International Law</w:t>
      </w:r>
      <w:r w:rsidR="00710DA9" w:rsidRPr="00710DA9">
        <w:rPr>
          <w:rFonts w:ascii="Times New Roman" w:hAnsi="Times New Roman" w:cs="Times New Roman"/>
        </w:rPr>
        <w:t xml:space="preserve"> (OUP, 2011-, online edition [www.mpepil.com]).</w:t>
      </w:r>
    </w:p>
  </w:footnote>
  <w:footnote w:id="11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Butchard </w:t>
      </w:r>
      <w:r>
        <w:rPr>
          <w:rFonts w:ascii="Times New Roman" w:hAnsi="Times New Roman" w:cs="Times New Roman"/>
          <w:noProof/>
        </w:rPr>
        <w:t>(n 93)</w:t>
      </w:r>
      <w:r w:rsidR="00E404B1">
        <w:rPr>
          <w:rFonts w:ascii="Times New Roman" w:hAnsi="Times New Roman" w:cs="Times New Roman"/>
          <w:noProof/>
        </w:rPr>
        <w:t>.</w:t>
      </w:r>
    </w:p>
  </w:footnote>
  <w:footnote w:id="117">
    <w:p w:rsidR="00AF7273" w:rsidRPr="00F80570" w:rsidRDefault="00AF7273" w:rsidP="00AF7273">
      <w:pPr>
        <w:pStyle w:val="FootnoteText"/>
        <w:jc w:val="both"/>
        <w:rPr>
          <w:rFonts w:ascii="Times New Roman" w:hAnsi="Times New Roman" w:cs="Times New Roman"/>
          <w:lang w:val="en-US"/>
        </w:rPr>
      </w:pPr>
      <w:r w:rsidRPr="007A4A74">
        <w:rPr>
          <w:rStyle w:val="FootnoteReference"/>
          <w:rFonts w:ascii="Times New Roman" w:hAnsi="Times New Roman" w:cs="Times New Roman"/>
        </w:rPr>
        <w:footnoteRef/>
      </w:r>
      <w:r w:rsidRPr="007A4A74">
        <w:rPr>
          <w:rFonts w:ascii="Times New Roman" w:hAnsi="Times New Roman" w:cs="Times New Roman"/>
        </w:rPr>
        <w:t xml:space="preserve"> </w:t>
      </w:r>
      <w:r w:rsidR="0056618C">
        <w:rPr>
          <w:rFonts w:ascii="Times New Roman" w:hAnsi="Times New Roman" w:cs="Times New Roman"/>
          <w:lang w:val="en-US"/>
        </w:rPr>
        <w:t xml:space="preserve"> </w:t>
      </w:r>
      <w:r w:rsidR="0014769D" w:rsidRPr="00F80570">
        <w:rPr>
          <w:rFonts w:ascii="Times New Roman" w:hAnsi="Times New Roman" w:cs="Times New Roman"/>
          <w:noProof/>
        </w:rPr>
        <w:t xml:space="preserve">Kate Greasley, ‘Sex, Reasons, </w:t>
      </w:r>
      <w:r w:rsidR="0014769D" w:rsidRPr="008D1169">
        <w:rPr>
          <w:rFonts w:ascii="Times New Roman" w:hAnsi="Times New Roman" w:cs="Times New Roman"/>
          <w:i/>
          <w:iCs/>
          <w:noProof/>
        </w:rPr>
        <w:t>Pro Tanto</w:t>
      </w:r>
      <w:r w:rsidR="0014769D" w:rsidRPr="00F80570">
        <w:rPr>
          <w:rFonts w:ascii="Times New Roman" w:hAnsi="Times New Roman" w:cs="Times New Roman"/>
          <w:noProof/>
        </w:rPr>
        <w:t xml:space="preserve"> Wronging, and the Structure of Rape Liability’ (2020) </w:t>
      </w:r>
      <w:r w:rsidR="0014769D" w:rsidRPr="00F80570">
        <w:rPr>
          <w:rFonts w:ascii="Times New Roman" w:hAnsi="Times New Roman" w:cs="Times New Roman"/>
          <w:i/>
          <w:noProof/>
        </w:rPr>
        <w:t>Crim</w:t>
      </w:r>
      <w:r w:rsidR="0014769D">
        <w:rPr>
          <w:rFonts w:ascii="Times New Roman" w:hAnsi="Times New Roman" w:cs="Times New Roman"/>
          <w:i/>
          <w:noProof/>
        </w:rPr>
        <w:t>inal</w:t>
      </w:r>
      <w:r w:rsidR="0014769D" w:rsidRPr="00F80570">
        <w:rPr>
          <w:rFonts w:ascii="Times New Roman" w:hAnsi="Times New Roman" w:cs="Times New Roman"/>
          <w:i/>
          <w:noProof/>
        </w:rPr>
        <w:t xml:space="preserve"> L</w:t>
      </w:r>
      <w:r w:rsidR="0014769D">
        <w:rPr>
          <w:rFonts w:ascii="Times New Roman" w:hAnsi="Times New Roman" w:cs="Times New Roman"/>
          <w:i/>
          <w:noProof/>
        </w:rPr>
        <w:t>aw</w:t>
      </w:r>
      <w:r w:rsidR="0014769D" w:rsidRPr="00F80570">
        <w:rPr>
          <w:rFonts w:ascii="Times New Roman" w:hAnsi="Times New Roman" w:cs="Times New Roman"/>
          <w:i/>
          <w:noProof/>
        </w:rPr>
        <w:t xml:space="preserve"> &amp; Phil</w:t>
      </w:r>
      <w:r w:rsidR="0014769D">
        <w:rPr>
          <w:rFonts w:ascii="Times New Roman" w:hAnsi="Times New Roman" w:cs="Times New Roman"/>
          <w:i/>
          <w:noProof/>
        </w:rPr>
        <w:t>osophy</w:t>
      </w:r>
      <w:r w:rsidR="0014769D">
        <w:rPr>
          <w:rFonts w:ascii="Times New Roman" w:hAnsi="Times New Roman" w:cs="Times New Roman"/>
          <w:iCs/>
          <w:noProof/>
        </w:rPr>
        <w:t>, 2</w:t>
      </w:r>
      <w:r w:rsidR="0014769D">
        <w:rPr>
          <w:rFonts w:ascii="Times New Roman" w:hAnsi="Times New Roman" w:cs="Times New Roman"/>
          <w:i/>
          <w:noProof/>
        </w:rPr>
        <w:t xml:space="preserve"> </w:t>
      </w:r>
      <w:r w:rsidR="0014769D">
        <w:rPr>
          <w:rFonts w:ascii="Times New Roman" w:hAnsi="Times New Roman" w:cs="Times New Roman"/>
          <w:iCs/>
          <w:noProof/>
        </w:rPr>
        <w:t>(forthcoming,</w:t>
      </w:r>
      <w:r w:rsidR="0014769D">
        <w:rPr>
          <w:rFonts w:ascii="Times New Roman" w:hAnsi="Times New Roman" w:cs="Times New Roman"/>
        </w:rPr>
        <w:t xml:space="preserve"> advance access at: </w:t>
      </w:r>
      <w:hyperlink r:id="rId10" w:history="1">
        <w:r w:rsidR="0014769D" w:rsidRPr="00AD2063">
          <w:rPr>
            <w:rStyle w:val="Hyperlink"/>
            <w:rFonts w:ascii="Times New Roman" w:hAnsi="Times New Roman" w:cs="Times New Roman"/>
          </w:rPr>
          <w:t>https://link.springer.com/article/10.1007/s11572-020-09529-6</w:t>
        </w:r>
      </w:hyperlink>
      <w:r w:rsidR="0014769D">
        <w:rPr>
          <w:rFonts w:ascii="Times New Roman" w:hAnsi="Times New Roman" w:cs="Times New Roman"/>
        </w:rPr>
        <w:t>).</w:t>
      </w:r>
    </w:p>
  </w:footnote>
  <w:footnote w:id="118">
    <w:p w:rsidR="00AF7273" w:rsidRPr="00F80570" w:rsidRDefault="00AF7273" w:rsidP="00AF7273">
      <w:pPr>
        <w:pStyle w:val="FootnoteText"/>
        <w:jc w:val="both"/>
        <w:rPr>
          <w:rFonts w:ascii="Times New Roman" w:hAnsi="Times New Roman" w:cs="Times New Roman"/>
          <w:i/>
          <w:iCs/>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This is not say that the use of force is always an (actual) internationally wrongful act. Far from it. The whole point of justifications is to deny that an internationally wrongful act has occurred. It does imply, as will be argued later, that the</w:t>
      </w:r>
      <w:r w:rsidR="0056618C">
        <w:rPr>
          <w:rFonts w:ascii="Times New Roman" w:hAnsi="Times New Roman" w:cs="Times New Roman"/>
        </w:rPr>
        <w:t xml:space="preserve"> s</w:t>
      </w:r>
      <w:r w:rsidRPr="00F80570">
        <w:rPr>
          <w:rFonts w:ascii="Times New Roman" w:hAnsi="Times New Roman" w:cs="Times New Roman"/>
        </w:rPr>
        <w:t>tate using force nevertheless has a duty to offer justifications (i</w:t>
      </w:r>
      <w:r w:rsidR="0056618C">
        <w:rPr>
          <w:rFonts w:ascii="Times New Roman" w:hAnsi="Times New Roman" w:cs="Times New Roman"/>
        </w:rPr>
        <w:t>.</w:t>
      </w:r>
      <w:r w:rsidRPr="00F80570">
        <w:rPr>
          <w:rFonts w:ascii="Times New Roman" w:hAnsi="Times New Roman" w:cs="Times New Roman"/>
        </w:rPr>
        <w:t>e</w:t>
      </w:r>
      <w:r w:rsidR="0056618C">
        <w:rPr>
          <w:rFonts w:ascii="Times New Roman" w:hAnsi="Times New Roman" w:cs="Times New Roman"/>
        </w:rPr>
        <w:t>.</w:t>
      </w:r>
      <w:r w:rsidRPr="00F80570">
        <w:rPr>
          <w:rFonts w:ascii="Times New Roman" w:hAnsi="Times New Roman" w:cs="Times New Roman"/>
        </w:rPr>
        <w:t xml:space="preserve"> a legal basis) for its use of force, on pains of being found in violation of international law. On the operation of justifications, see: </w:t>
      </w:r>
      <w:r w:rsidRPr="00F80570">
        <w:rPr>
          <w:rFonts w:ascii="Times New Roman" w:hAnsi="Times New Roman" w:cs="Times New Roman"/>
          <w:noProof/>
        </w:rPr>
        <w:t>Federica Paddeu, ‘Clarifying the Concept of Circumstances Precluding Wrongfulness (Justifications) in International Law’ in Bartels and Paddeu</w:t>
      </w:r>
      <w:r>
        <w:rPr>
          <w:rFonts w:ascii="Times New Roman" w:hAnsi="Times New Roman" w:cs="Times New Roman"/>
          <w:noProof/>
        </w:rPr>
        <w:t xml:space="preserve"> (n 10)</w:t>
      </w:r>
      <w:r w:rsidRPr="00F80570">
        <w:rPr>
          <w:rFonts w:ascii="Times New Roman" w:hAnsi="Times New Roman" w:cs="Times New Roman"/>
          <w:noProof/>
        </w:rPr>
        <w:t xml:space="preserve"> 203.</w:t>
      </w:r>
    </w:p>
  </w:footnote>
  <w:footnote w:id="119">
    <w:p w:rsidR="00AF7273" w:rsidRPr="00F80570" w:rsidRDefault="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Joel Feinberg, </w:t>
      </w:r>
      <w:r w:rsidRPr="00F80570">
        <w:rPr>
          <w:rFonts w:ascii="Times New Roman" w:hAnsi="Times New Roman" w:cs="Times New Roman"/>
          <w:i/>
          <w:noProof/>
        </w:rPr>
        <w:t>The Moral Limits of the Criminal Law: Harm to Others</w:t>
      </w:r>
      <w:r w:rsidRPr="00F80570">
        <w:rPr>
          <w:rFonts w:ascii="Times New Roman" w:hAnsi="Times New Roman" w:cs="Times New Roman"/>
          <w:noProof/>
        </w:rPr>
        <w:t xml:space="preserve"> (OUP, 1987) vol 1, 31ff.</w:t>
      </w:r>
    </w:p>
  </w:footnote>
  <w:footnote w:id="120">
    <w:p w:rsidR="00AF7273" w:rsidRPr="00F80570" w:rsidRDefault="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noProof/>
        </w:rPr>
        <w:t>Ibid</w:t>
      </w:r>
      <w:r w:rsidRPr="00F80570">
        <w:rPr>
          <w:rFonts w:ascii="Times New Roman" w:hAnsi="Times New Roman" w:cs="Times New Roman"/>
          <w:noProof/>
        </w:rPr>
        <w:t>, 33.</w:t>
      </w:r>
    </w:p>
  </w:footnote>
  <w:footnote w:id="121">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noProof/>
        </w:rPr>
        <w:t>Ibid</w:t>
      </w:r>
      <w:r w:rsidRPr="00F80570">
        <w:rPr>
          <w:rFonts w:ascii="Times New Roman" w:hAnsi="Times New Roman" w:cs="Times New Roman"/>
          <w:noProof/>
        </w:rPr>
        <w:t>, 34.</w:t>
      </w:r>
    </w:p>
  </w:footnote>
  <w:footnote w:id="122">
    <w:p w:rsidR="00AF7273" w:rsidRPr="00D915FF" w:rsidRDefault="00AF7273">
      <w:pPr>
        <w:pStyle w:val="FootnoteText"/>
        <w:rPr>
          <w:lang w:val="en-US"/>
        </w:rPr>
      </w:pPr>
      <w:r>
        <w:rPr>
          <w:rStyle w:val="FootnoteReference"/>
        </w:rPr>
        <w:footnoteRef/>
      </w:r>
      <w:r w:rsidR="0056618C">
        <w:t xml:space="preserve"> </w:t>
      </w:r>
      <w:r>
        <w:rPr>
          <w:rFonts w:ascii="Times New Roman" w:hAnsi="Times New Roman" w:cs="Times New Roman"/>
          <w:noProof/>
        </w:rPr>
        <w:t>Ibid, 35.</w:t>
      </w:r>
    </w:p>
  </w:footnote>
  <w:footnote w:id="12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Pierre D’Argent and Nadine Susani, ‘United Nations, Principles and Purposes’ in Rüdiger Wolfrum (ed), </w:t>
      </w:r>
      <w:r w:rsidRPr="00F80570">
        <w:rPr>
          <w:rFonts w:ascii="Times New Roman" w:hAnsi="Times New Roman" w:cs="Times New Roman"/>
          <w:i/>
          <w:noProof/>
        </w:rPr>
        <w:t>Max Planck Encyclopedia of Public International Law</w:t>
      </w:r>
      <w:r w:rsidRPr="00F80570">
        <w:rPr>
          <w:rFonts w:ascii="Times New Roman" w:hAnsi="Times New Roman" w:cs="Times New Roman"/>
          <w:noProof/>
        </w:rPr>
        <w:t xml:space="preserve"> (OUP, 2009-, online edition [www.mpepil.com]), para 4.</w:t>
      </w:r>
    </w:p>
  </w:footnote>
  <w:footnote w:id="12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i/>
          <w:noProof/>
        </w:rPr>
        <w:t>Certain Expenses of the United Nations (Article 17, Paragraph 2, of the Chater) (Advisory Opinion)</w:t>
      </w:r>
      <w:r w:rsidRPr="00F80570">
        <w:rPr>
          <w:rFonts w:ascii="Times New Roman" w:hAnsi="Times New Roman" w:cs="Times New Roman"/>
          <w:noProof/>
        </w:rPr>
        <w:t xml:space="preserve"> </w:t>
      </w:r>
      <w:r>
        <w:rPr>
          <w:rFonts w:ascii="Times New Roman" w:hAnsi="Times New Roman" w:cs="Times New Roman"/>
          <w:noProof/>
        </w:rPr>
        <w:t>[</w:t>
      </w:r>
      <w:r w:rsidRPr="00F80570">
        <w:rPr>
          <w:rFonts w:ascii="Times New Roman" w:hAnsi="Times New Roman" w:cs="Times New Roman"/>
          <w:noProof/>
        </w:rPr>
        <w:t>1962</w:t>
      </w:r>
      <w:r>
        <w:rPr>
          <w:rFonts w:ascii="Times New Roman" w:hAnsi="Times New Roman" w:cs="Times New Roman"/>
          <w:noProof/>
        </w:rPr>
        <w:t>]</w:t>
      </w:r>
      <w:r w:rsidRPr="00F80570">
        <w:rPr>
          <w:rFonts w:ascii="Times New Roman" w:hAnsi="Times New Roman" w:cs="Times New Roman"/>
          <w:noProof/>
        </w:rPr>
        <w:t xml:space="preserve"> ICJ Rep 151, 168.</w:t>
      </w:r>
    </w:p>
  </w:footnote>
  <w:footnote w:id="12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D’Argent and Susani </w:t>
      </w:r>
      <w:r>
        <w:rPr>
          <w:rFonts w:ascii="Times New Roman" w:hAnsi="Times New Roman" w:cs="Times New Roman"/>
          <w:noProof/>
        </w:rPr>
        <w:t xml:space="preserve">(n 121) </w:t>
      </w:r>
      <w:r w:rsidRPr="00F80570">
        <w:rPr>
          <w:rFonts w:ascii="Times New Roman" w:hAnsi="Times New Roman" w:cs="Times New Roman"/>
          <w:noProof/>
        </w:rPr>
        <w:t>para 7.</w:t>
      </w:r>
    </w:p>
  </w:footnote>
  <w:footnote w:id="12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0056618C">
        <w:rPr>
          <w:rFonts w:ascii="Times New Roman" w:hAnsi="Times New Roman" w:cs="Times New Roman"/>
          <w:noProof/>
        </w:rPr>
        <w:t>I</w:t>
      </w:r>
      <w:r>
        <w:rPr>
          <w:rFonts w:ascii="Times New Roman" w:hAnsi="Times New Roman" w:cs="Times New Roman"/>
          <w:noProof/>
        </w:rPr>
        <w:t>d</w:t>
      </w:r>
      <w:r w:rsidRPr="00F80570">
        <w:rPr>
          <w:rFonts w:ascii="Times New Roman" w:hAnsi="Times New Roman" w:cs="Times New Roman"/>
          <w:noProof/>
        </w:rPr>
        <w:t>; Rüdiger Wolfrum, ‘Article 1’ in Simma</w:t>
      </w:r>
      <w:r w:rsidRPr="00F80570">
        <w:rPr>
          <w:rFonts w:ascii="Times New Roman" w:hAnsi="Times New Roman" w:cs="Times New Roman"/>
          <w:i/>
          <w:noProof/>
        </w:rPr>
        <w:t xml:space="preserve"> et al</w:t>
      </w:r>
      <w:r>
        <w:rPr>
          <w:rFonts w:ascii="Times New Roman" w:hAnsi="Times New Roman" w:cs="Times New Roman"/>
          <w:iCs/>
          <w:noProof/>
        </w:rPr>
        <w:t xml:space="preserve"> (n 86)</w:t>
      </w:r>
      <w:r w:rsidRPr="00F80570">
        <w:rPr>
          <w:rFonts w:ascii="Times New Roman" w:hAnsi="Times New Roman" w:cs="Times New Roman"/>
          <w:noProof/>
        </w:rPr>
        <w:t xml:space="preserve"> 109-10.</w:t>
      </w:r>
    </w:p>
  </w:footnote>
  <w:footnote w:id="127">
    <w:p w:rsidR="00AF7273" w:rsidRPr="00F80570" w:rsidRDefault="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Wolfrum </w:t>
      </w:r>
      <w:r>
        <w:rPr>
          <w:rFonts w:ascii="Times New Roman" w:hAnsi="Times New Roman" w:cs="Times New Roman"/>
          <w:noProof/>
        </w:rPr>
        <w:t xml:space="preserve">(n 124) </w:t>
      </w:r>
      <w:r w:rsidRPr="00F80570">
        <w:rPr>
          <w:rFonts w:ascii="Times New Roman" w:hAnsi="Times New Roman" w:cs="Times New Roman"/>
          <w:noProof/>
        </w:rPr>
        <w:t>110.</w:t>
      </w:r>
    </w:p>
  </w:footnote>
  <w:footnote w:id="128">
    <w:p w:rsidR="00AF7273" w:rsidRPr="00F80570" w:rsidRDefault="00AF7273" w:rsidP="00AF7273">
      <w:pPr>
        <w:pStyle w:val="FootnoteText"/>
        <w:jc w:val="both"/>
        <w:rPr>
          <w:rFonts w:ascii="Times New Roman" w:hAnsi="Times New Roman" w:cs="Times New Roman"/>
        </w:rPr>
      </w:pPr>
      <w:r w:rsidRPr="000D0681">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UNSG</w:t>
      </w:r>
      <w:r w:rsidRPr="000D0681">
        <w:rPr>
          <w:rFonts w:ascii="Times New Roman" w:hAnsi="Times New Roman" w:cs="Times New Roman"/>
        </w:rPr>
        <w:t xml:space="preserve"> </w:t>
      </w:r>
      <w:r>
        <w:rPr>
          <w:rFonts w:ascii="Times New Roman" w:hAnsi="Times New Roman" w:cs="Times New Roman"/>
        </w:rPr>
        <w:t xml:space="preserve">(n 9) </w:t>
      </w:r>
      <w:r w:rsidRPr="000D0681">
        <w:rPr>
          <w:rFonts w:ascii="Times New Roman" w:hAnsi="Times New Roman" w:cs="Times New Roman"/>
        </w:rPr>
        <w:t>para 78.</w:t>
      </w:r>
    </w:p>
  </w:footnote>
  <w:footnote w:id="12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 xml:space="preserve">See </w:t>
      </w:r>
      <w:r>
        <w:rPr>
          <w:rFonts w:ascii="Times New Roman" w:hAnsi="Times New Roman" w:cs="Times New Roman"/>
          <w:noProof/>
        </w:rPr>
        <w:t xml:space="preserve">Emily Crawford, ‘Armed Conflict, International’ in </w:t>
      </w:r>
      <w:r w:rsidRPr="00F80570">
        <w:rPr>
          <w:rFonts w:ascii="Times New Roman" w:hAnsi="Times New Roman" w:cs="Times New Roman"/>
          <w:noProof/>
        </w:rPr>
        <w:t xml:space="preserve">Rüdiger </w:t>
      </w:r>
      <w:r>
        <w:rPr>
          <w:rFonts w:ascii="Times New Roman" w:hAnsi="Times New Roman" w:cs="Times New Roman"/>
          <w:noProof/>
        </w:rPr>
        <w:t xml:space="preserve">Wolfrum (ed), </w:t>
      </w:r>
      <w:r w:rsidRPr="00B62B77">
        <w:rPr>
          <w:rFonts w:ascii="Times New Roman" w:hAnsi="Times New Roman" w:cs="Times New Roman"/>
          <w:i/>
          <w:noProof/>
        </w:rPr>
        <w:t>Max Planck Encyclopaedia of Public International Law</w:t>
      </w:r>
      <w:r>
        <w:rPr>
          <w:rFonts w:ascii="Times New Roman" w:hAnsi="Times New Roman" w:cs="Times New Roman"/>
          <w:noProof/>
        </w:rPr>
        <w:t xml:space="preserve"> (OUP, 2015-, online edition [mpepil.com]).</w:t>
      </w:r>
    </w:p>
  </w:footnote>
  <w:footnote w:id="13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 xml:space="preserve">ILA Report (n 7) </w:t>
      </w:r>
      <w:r w:rsidRPr="00F80570">
        <w:rPr>
          <w:rFonts w:ascii="Times New Roman" w:hAnsi="Times New Roman" w:cs="Times New Roman"/>
        </w:rPr>
        <w:t>section B.3</w:t>
      </w:r>
      <w:r>
        <w:rPr>
          <w:rFonts w:ascii="Times New Roman" w:hAnsi="Times New Roman" w:cs="Times New Roman"/>
        </w:rPr>
        <w:t>.</w:t>
      </w:r>
    </w:p>
  </w:footnote>
  <w:footnote w:id="13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In general</w:t>
      </w:r>
      <w:r w:rsidRPr="00F80570">
        <w:rPr>
          <w:rFonts w:ascii="Times New Roman" w:hAnsi="Times New Roman" w:cs="Times New Roman"/>
        </w:rPr>
        <w:t xml:space="preserve">, under international humanitarian law, the intervention of a foreign State with the consent of the territorial State in the latter’s </w:t>
      </w:r>
      <w:r>
        <w:rPr>
          <w:rFonts w:ascii="Times New Roman" w:hAnsi="Times New Roman" w:cs="Times New Roman"/>
        </w:rPr>
        <w:t>non-international</w:t>
      </w:r>
      <w:r w:rsidRPr="00F80570">
        <w:rPr>
          <w:rFonts w:ascii="Times New Roman" w:hAnsi="Times New Roman" w:cs="Times New Roman"/>
        </w:rPr>
        <w:t xml:space="preserve"> armed conflict does not </w:t>
      </w:r>
      <w:r>
        <w:rPr>
          <w:rFonts w:ascii="Times New Roman" w:hAnsi="Times New Roman" w:cs="Times New Roman"/>
        </w:rPr>
        <w:t xml:space="preserve">per se transform it into an international armed conflict: </w:t>
      </w:r>
      <w:r>
        <w:rPr>
          <w:rFonts w:ascii="Times New Roman" w:hAnsi="Times New Roman" w:cs="Times New Roman"/>
          <w:noProof/>
        </w:rPr>
        <w:t xml:space="preserve">Georg Nolte, ‘Intervention by Invitation’ in Wolfrum (ed), </w:t>
      </w:r>
      <w:r w:rsidRPr="00EA49A6">
        <w:rPr>
          <w:rFonts w:ascii="Times New Roman" w:hAnsi="Times New Roman" w:cs="Times New Roman"/>
          <w:i/>
          <w:noProof/>
        </w:rPr>
        <w:t>Max Planck Encyclopaedia of Public International Law</w:t>
      </w:r>
      <w:r>
        <w:rPr>
          <w:rFonts w:ascii="Times New Roman" w:hAnsi="Times New Roman" w:cs="Times New Roman"/>
          <w:noProof/>
        </w:rPr>
        <w:t xml:space="preserve"> (OUP, 2010-, online edition [mpepil.com]), para 25.</w:t>
      </w:r>
    </w:p>
  </w:footnote>
  <w:footnote w:id="132">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On this development, see: </w:t>
      </w:r>
      <w:r>
        <w:rPr>
          <w:rFonts w:ascii="Times New Roman" w:hAnsi="Times New Roman" w:cs="Times New Roman"/>
          <w:noProof/>
        </w:rPr>
        <w:t>Krisch (n 97) 1282-3.</w:t>
      </w:r>
    </w:p>
  </w:footnote>
  <w:footnote w:id="133">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Ibid,</w:t>
      </w:r>
      <w:r w:rsidR="0056618C">
        <w:rPr>
          <w:rFonts w:ascii="Times New Roman" w:hAnsi="Times New Roman" w:cs="Times New Roman"/>
        </w:rPr>
        <w:t xml:space="preserve"> </w:t>
      </w:r>
      <w:r w:rsidRPr="00F80570">
        <w:rPr>
          <w:rFonts w:ascii="Times New Roman" w:hAnsi="Times New Roman" w:cs="Times New Roman"/>
          <w:noProof/>
        </w:rPr>
        <w:t>1283 and references cited therein.</w:t>
      </w:r>
    </w:p>
  </w:footnote>
  <w:footnote w:id="13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Wolfrum </w:t>
      </w:r>
      <w:r>
        <w:rPr>
          <w:rFonts w:ascii="Times New Roman" w:hAnsi="Times New Roman" w:cs="Times New Roman"/>
          <w:noProof/>
        </w:rPr>
        <w:t xml:space="preserve">(n 124) </w:t>
      </w:r>
      <w:r w:rsidRPr="00F80570">
        <w:rPr>
          <w:rFonts w:ascii="Times New Roman" w:hAnsi="Times New Roman" w:cs="Times New Roman"/>
          <w:noProof/>
        </w:rPr>
        <w:t>para 17.</w:t>
      </w:r>
    </w:p>
  </w:footnote>
  <w:footnote w:id="13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It does so, moreover, without the need to base the requirement of public justification on customary international law, on which see: </w:t>
      </w:r>
      <w:r w:rsidRPr="00F80570">
        <w:rPr>
          <w:rFonts w:ascii="Times New Roman" w:hAnsi="Times New Roman" w:cs="Times New Roman"/>
          <w:noProof/>
        </w:rPr>
        <w:t xml:space="preserve">Max Brookman-Byrne, ‘Intervention by (Secret) Invitation: Searching for a Requirement of Publicity in the International Law on the Use of Force with Consent’ (2020) 7 </w:t>
      </w:r>
      <w:r w:rsidRPr="00F80570">
        <w:rPr>
          <w:rFonts w:ascii="Times New Roman" w:hAnsi="Times New Roman" w:cs="Times New Roman"/>
          <w:i/>
          <w:noProof/>
        </w:rPr>
        <w:t>J</w:t>
      </w:r>
      <w:r>
        <w:rPr>
          <w:rFonts w:ascii="Times New Roman" w:hAnsi="Times New Roman" w:cs="Times New Roman"/>
          <w:i/>
          <w:noProof/>
        </w:rPr>
        <w:t xml:space="preserve">ournal on the </w:t>
      </w:r>
      <w:r w:rsidRPr="00F80570">
        <w:rPr>
          <w:rFonts w:ascii="Times New Roman" w:hAnsi="Times New Roman" w:cs="Times New Roman"/>
          <w:i/>
          <w:noProof/>
        </w:rPr>
        <w:t>U</w:t>
      </w:r>
      <w:r>
        <w:rPr>
          <w:rFonts w:ascii="Times New Roman" w:hAnsi="Times New Roman" w:cs="Times New Roman"/>
          <w:i/>
          <w:noProof/>
        </w:rPr>
        <w:t xml:space="preserve">se of </w:t>
      </w:r>
      <w:r w:rsidRPr="00F80570">
        <w:rPr>
          <w:rFonts w:ascii="Times New Roman" w:hAnsi="Times New Roman" w:cs="Times New Roman"/>
          <w:i/>
          <w:noProof/>
        </w:rPr>
        <w:t>F</w:t>
      </w:r>
      <w:r>
        <w:rPr>
          <w:rFonts w:ascii="Times New Roman" w:hAnsi="Times New Roman" w:cs="Times New Roman"/>
          <w:i/>
          <w:noProof/>
        </w:rPr>
        <w:t xml:space="preserve">orce and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74.</w:t>
      </w:r>
    </w:p>
  </w:footnote>
  <w:footnote w:id="13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The list of cases is drawn from</w:t>
      </w:r>
      <w:r>
        <w:rPr>
          <w:rFonts w:ascii="Times New Roman" w:hAnsi="Times New Roman" w:cs="Times New Roman"/>
        </w:rPr>
        <w:t xml:space="preserve"> Tom</w:t>
      </w:r>
      <w:r w:rsidRPr="00F80570">
        <w:rPr>
          <w:rFonts w:ascii="Times New Roman" w:hAnsi="Times New Roman" w:cs="Times New Roman"/>
        </w:rPr>
        <w:t xml:space="preserve"> </w:t>
      </w:r>
      <w:proofErr w:type="spellStart"/>
      <w:r w:rsidRPr="00F80570">
        <w:rPr>
          <w:rFonts w:ascii="Times New Roman" w:hAnsi="Times New Roman" w:cs="Times New Roman"/>
        </w:rPr>
        <w:t>Ruys</w:t>
      </w:r>
      <w:proofErr w:type="spellEnd"/>
      <w:r w:rsidRPr="00F80570">
        <w:rPr>
          <w:rFonts w:ascii="Times New Roman" w:hAnsi="Times New Roman" w:cs="Times New Roman"/>
        </w:rPr>
        <w:t xml:space="preserve"> &amp; </w:t>
      </w:r>
      <w:r>
        <w:rPr>
          <w:rFonts w:ascii="Times New Roman" w:hAnsi="Times New Roman" w:cs="Times New Roman"/>
        </w:rPr>
        <w:t xml:space="preserve">Olivier </w:t>
      </w:r>
      <w:r w:rsidRPr="00F80570">
        <w:rPr>
          <w:rFonts w:ascii="Times New Roman" w:hAnsi="Times New Roman" w:cs="Times New Roman"/>
        </w:rPr>
        <w:t xml:space="preserve">Corten (eds), </w:t>
      </w:r>
      <w:r w:rsidRPr="00F80570">
        <w:rPr>
          <w:rFonts w:ascii="Times New Roman" w:hAnsi="Times New Roman" w:cs="Times New Roman"/>
          <w:i/>
          <w:lang w:val="en-US"/>
        </w:rPr>
        <w:t>The Use of Force in International Law: A Case-based Approach</w:t>
      </w:r>
      <w:r w:rsidRPr="00F80570">
        <w:rPr>
          <w:rFonts w:ascii="Times New Roman" w:hAnsi="Times New Roman" w:cs="Times New Roman"/>
          <w:lang w:val="en-US"/>
        </w:rPr>
        <w:t xml:space="preserve"> (OUP, 2018). This work ‘comprehensively maps out the important </w:t>
      </w:r>
      <w:r w:rsidRPr="00F80570">
        <w:rPr>
          <w:rFonts w:ascii="Times New Roman" w:hAnsi="Times New Roman" w:cs="Times New Roman"/>
          <w:i/>
          <w:lang w:val="en-US"/>
        </w:rPr>
        <w:t xml:space="preserve">jus ad bellum </w:t>
      </w:r>
      <w:r w:rsidRPr="00F80570">
        <w:rPr>
          <w:rFonts w:ascii="Times New Roman" w:hAnsi="Times New Roman" w:cs="Times New Roman"/>
          <w:lang w:val="en-US"/>
        </w:rPr>
        <w:t xml:space="preserve">precedents throughout the Charter era’: </w:t>
      </w:r>
      <w:r>
        <w:rPr>
          <w:rFonts w:ascii="Times New Roman" w:hAnsi="Times New Roman" w:cs="Times New Roman"/>
          <w:lang w:val="en-US"/>
        </w:rPr>
        <w:t xml:space="preserve">Tom </w:t>
      </w:r>
      <w:proofErr w:type="spellStart"/>
      <w:r w:rsidRPr="00F80570">
        <w:rPr>
          <w:rFonts w:ascii="Times New Roman" w:hAnsi="Times New Roman" w:cs="Times New Roman"/>
          <w:lang w:val="en-US"/>
        </w:rPr>
        <w:t>Ruys</w:t>
      </w:r>
      <w:proofErr w:type="spellEnd"/>
      <w:r w:rsidRPr="00F80570">
        <w:rPr>
          <w:rFonts w:ascii="Times New Roman" w:hAnsi="Times New Roman" w:cs="Times New Roman"/>
          <w:lang w:val="en-US"/>
        </w:rPr>
        <w:t xml:space="preserve">, </w:t>
      </w:r>
      <w:r>
        <w:rPr>
          <w:rFonts w:ascii="Times New Roman" w:hAnsi="Times New Roman" w:cs="Times New Roman"/>
          <w:lang w:val="en-US"/>
        </w:rPr>
        <w:t xml:space="preserve">Olivier </w:t>
      </w:r>
      <w:r w:rsidRPr="00F80570">
        <w:rPr>
          <w:rFonts w:ascii="Times New Roman" w:hAnsi="Times New Roman" w:cs="Times New Roman"/>
          <w:lang w:val="en-US"/>
        </w:rPr>
        <w:t xml:space="preserve">Corten &amp; </w:t>
      </w:r>
      <w:r>
        <w:rPr>
          <w:rFonts w:ascii="Times New Roman" w:hAnsi="Times New Roman" w:cs="Times New Roman"/>
          <w:lang w:val="en-US"/>
        </w:rPr>
        <w:t xml:space="preserve">Alexandra </w:t>
      </w:r>
      <w:r w:rsidRPr="00F80570">
        <w:rPr>
          <w:rFonts w:ascii="Times New Roman" w:hAnsi="Times New Roman" w:cs="Times New Roman"/>
          <w:lang w:val="en-US"/>
        </w:rPr>
        <w:t xml:space="preserve">Hofer, ‘Introduction: The </w:t>
      </w:r>
      <w:r w:rsidRPr="00F80570">
        <w:rPr>
          <w:rFonts w:ascii="Times New Roman" w:hAnsi="Times New Roman" w:cs="Times New Roman"/>
          <w:i/>
          <w:lang w:val="en-US"/>
        </w:rPr>
        <w:t xml:space="preserve">Jus Contra Bellum </w:t>
      </w:r>
      <w:r w:rsidRPr="00F80570">
        <w:rPr>
          <w:rFonts w:ascii="Times New Roman" w:hAnsi="Times New Roman" w:cs="Times New Roman"/>
          <w:lang w:val="en-US"/>
        </w:rPr>
        <w:t xml:space="preserve">and the Power of Precedent’, ibid, 2. </w:t>
      </w:r>
    </w:p>
  </w:footnote>
  <w:footnote w:id="13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i/>
          <w:noProof/>
        </w:rPr>
        <w:t>DRC v Uganda</w:t>
      </w:r>
      <w:r>
        <w:rPr>
          <w:rFonts w:ascii="Times New Roman" w:hAnsi="Times New Roman" w:cs="Times New Roman"/>
          <w:noProof/>
        </w:rPr>
        <w:t xml:space="preserve"> (n 27).</w:t>
      </w:r>
    </w:p>
  </w:footnote>
  <w:footnote w:id="13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lang w:val="en-US"/>
        </w:rPr>
        <w:t xml:space="preserve">Russia made this argument during a meeting of the Security Council: </w:t>
      </w:r>
      <w:r>
        <w:rPr>
          <w:rFonts w:ascii="Times New Roman" w:hAnsi="Times New Roman" w:cs="Times New Roman"/>
          <w:lang w:val="en-US"/>
        </w:rPr>
        <w:t xml:space="preserve">UNSC Verbatim Record, UN Doc </w:t>
      </w:r>
      <w:r w:rsidRPr="00F80570">
        <w:rPr>
          <w:rFonts w:ascii="Times New Roman" w:hAnsi="Times New Roman" w:cs="Times New Roman"/>
          <w:lang w:val="en-US"/>
        </w:rPr>
        <w:t xml:space="preserve">S/PV.7124 </w:t>
      </w:r>
      <w:r>
        <w:rPr>
          <w:rFonts w:ascii="Times New Roman" w:hAnsi="Times New Roman" w:cs="Times New Roman"/>
          <w:lang w:val="en-US"/>
        </w:rPr>
        <w:t>(</w:t>
      </w:r>
      <w:r w:rsidRPr="00F80570">
        <w:rPr>
          <w:rFonts w:ascii="Times New Roman" w:hAnsi="Times New Roman" w:cs="Times New Roman"/>
          <w:lang w:val="en-US"/>
        </w:rPr>
        <w:t>1 March 2014</w:t>
      </w:r>
      <w:r>
        <w:rPr>
          <w:rFonts w:ascii="Times New Roman" w:hAnsi="Times New Roman" w:cs="Times New Roman"/>
          <w:lang w:val="en-US"/>
        </w:rPr>
        <w:t>)</w:t>
      </w:r>
      <w:r w:rsidRPr="00F80570">
        <w:rPr>
          <w:rFonts w:ascii="Times New Roman" w:hAnsi="Times New Roman" w:cs="Times New Roman"/>
          <w:lang w:val="en-US"/>
        </w:rPr>
        <w:t xml:space="preserve">, at 5. The United States, the United Kingdom and France challenged the Russian claim calling its presence in Ukraine ‘illegal’: ibid at 6– 7. See also Russia’s argument of consent (extended to include an invitation by the Prime Minister of Crimea) at </w:t>
      </w:r>
      <w:r>
        <w:rPr>
          <w:rFonts w:ascii="Times New Roman" w:hAnsi="Times New Roman" w:cs="Times New Roman"/>
          <w:lang w:val="en-US"/>
        </w:rPr>
        <w:t xml:space="preserve">UNSC Verbatim Record, UN Doc </w:t>
      </w:r>
      <w:r w:rsidRPr="00F80570">
        <w:rPr>
          <w:rFonts w:ascii="Times New Roman" w:hAnsi="Times New Roman" w:cs="Times New Roman"/>
          <w:lang w:val="en-US"/>
        </w:rPr>
        <w:t xml:space="preserve">S/PV.7125 </w:t>
      </w:r>
      <w:r>
        <w:rPr>
          <w:rFonts w:ascii="Times New Roman" w:hAnsi="Times New Roman" w:cs="Times New Roman"/>
          <w:lang w:val="en-US"/>
        </w:rPr>
        <w:t>(</w:t>
      </w:r>
      <w:r w:rsidRPr="00F80570">
        <w:rPr>
          <w:rFonts w:ascii="Times New Roman" w:hAnsi="Times New Roman" w:cs="Times New Roman"/>
          <w:lang w:val="en-US"/>
        </w:rPr>
        <w:t>3 March 2014</w:t>
      </w:r>
      <w:r>
        <w:rPr>
          <w:rFonts w:ascii="Times New Roman" w:hAnsi="Times New Roman" w:cs="Times New Roman"/>
          <w:lang w:val="en-US"/>
        </w:rPr>
        <w:t>)</w:t>
      </w:r>
      <w:r w:rsidRPr="00F80570">
        <w:rPr>
          <w:rFonts w:ascii="Times New Roman" w:hAnsi="Times New Roman" w:cs="Times New Roman"/>
          <w:lang w:val="en-US"/>
        </w:rPr>
        <w:t>, at 3–4, and the specific objections to the claim of consent made by the United States (at 5–6), the United Kingdom (at 7), Ukraine (15). Other States present at the meeting also questioned the legality of the Russian action (thus implicitly questioning the claim of consent): France, Lithuania, Rwanda, Jordan, Australia, Chile, Argentina, Korea and Luxembourg, in that order.</w:t>
      </w:r>
    </w:p>
  </w:footnote>
  <w:footnote w:id="13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BICI, </w:t>
      </w:r>
      <w:r w:rsidRPr="00F80570">
        <w:rPr>
          <w:rFonts w:ascii="Times New Roman" w:hAnsi="Times New Roman" w:cs="Times New Roman"/>
          <w:i/>
        </w:rPr>
        <w:t>Report of the Bahrain Independent Commission of Inquiry</w:t>
      </w:r>
      <w:r w:rsidRPr="00F80570">
        <w:rPr>
          <w:rFonts w:ascii="Times New Roman" w:hAnsi="Times New Roman" w:cs="Times New Roman"/>
        </w:rPr>
        <w:t xml:space="preserve"> (10 December 2011) (‘BICI Report’), </w:t>
      </w:r>
      <w:r>
        <w:rPr>
          <w:rFonts w:ascii="Times New Roman" w:hAnsi="Times New Roman" w:cs="Times New Roman"/>
        </w:rPr>
        <w:t xml:space="preserve">para </w:t>
      </w:r>
      <w:r w:rsidRPr="00F80570">
        <w:rPr>
          <w:rFonts w:ascii="Times New Roman" w:hAnsi="Times New Roman" w:cs="Times New Roman"/>
        </w:rPr>
        <w:t xml:space="preserve">501. On this incident, see generally: </w:t>
      </w:r>
      <w:r w:rsidRPr="00F80570">
        <w:rPr>
          <w:rFonts w:ascii="Times New Roman" w:hAnsi="Times New Roman" w:cs="Times New Roman"/>
          <w:noProof/>
        </w:rPr>
        <w:t xml:space="preserve">Jean-Yves de Cara, ‘The Arab Uprisings Under the Light of Intervention’ (2012) 54 </w:t>
      </w:r>
      <w:r w:rsidRPr="00F80570">
        <w:rPr>
          <w:rFonts w:ascii="Times New Roman" w:hAnsi="Times New Roman" w:cs="Times New Roman"/>
          <w:i/>
          <w:noProof/>
        </w:rPr>
        <w:t>German Y</w:t>
      </w:r>
      <w:r>
        <w:rPr>
          <w:rFonts w:ascii="Times New Roman" w:hAnsi="Times New Roman" w:cs="Times New Roman"/>
          <w:i/>
          <w:noProof/>
        </w:rPr>
        <w:t xml:space="preserve">earbook of </w:t>
      </w:r>
      <w:r w:rsidRPr="00F80570">
        <w:rPr>
          <w:rFonts w:ascii="Times New Roman" w:hAnsi="Times New Roman" w:cs="Times New Roman"/>
          <w:i/>
          <w:noProof/>
        </w:rPr>
        <w:t>I</w:t>
      </w:r>
      <w:r>
        <w:rPr>
          <w:rFonts w:ascii="Times New Roman" w:hAnsi="Times New Roman" w:cs="Times New Roman"/>
          <w:i/>
          <w:noProof/>
        </w:rPr>
        <w:t xml:space="preserve">nternatioanl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11, 795; Agatha Verdebout, ‘The Intervention of the Gulf Cooperation Council in Bahrain—2011’ in Ruys and Corten</w:t>
      </w:r>
      <w:r>
        <w:rPr>
          <w:rFonts w:ascii="Times New Roman" w:hAnsi="Times New Roman" w:cs="Times New Roman"/>
          <w:noProof/>
        </w:rPr>
        <w:t xml:space="preserve"> (n 134)</w:t>
      </w:r>
      <w:r w:rsidRPr="00F80570">
        <w:rPr>
          <w:rFonts w:ascii="Times New Roman" w:hAnsi="Times New Roman" w:cs="Times New Roman"/>
          <w:noProof/>
        </w:rPr>
        <w:t>.</w:t>
      </w:r>
    </w:p>
  </w:footnote>
  <w:footnote w:id="14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Quoted at: </w:t>
      </w:r>
      <w:r w:rsidRPr="00F80570">
        <w:rPr>
          <w:rFonts w:ascii="Times New Roman" w:hAnsi="Times New Roman" w:cs="Times New Roman"/>
          <w:noProof/>
        </w:rPr>
        <w:t xml:space="preserve">Verdebout </w:t>
      </w:r>
      <w:r>
        <w:rPr>
          <w:rFonts w:ascii="Times New Roman" w:hAnsi="Times New Roman" w:cs="Times New Roman"/>
          <w:noProof/>
        </w:rPr>
        <w:t xml:space="preserve">(n 137) </w:t>
      </w:r>
      <w:r w:rsidRPr="00F80570">
        <w:rPr>
          <w:rFonts w:ascii="Times New Roman" w:hAnsi="Times New Roman" w:cs="Times New Roman"/>
          <w:noProof/>
        </w:rPr>
        <w:t>797.</w:t>
      </w:r>
      <w:r w:rsidRPr="00F80570">
        <w:rPr>
          <w:rFonts w:ascii="Times New Roman" w:hAnsi="Times New Roman" w:cs="Times New Roman"/>
        </w:rPr>
        <w:t xml:space="preserve"> See </w:t>
      </w:r>
      <w:proofErr w:type="spellStart"/>
      <w:r>
        <w:rPr>
          <w:rFonts w:ascii="Times New Roman" w:hAnsi="Times New Roman" w:cs="Times New Roman"/>
        </w:rPr>
        <w:t>Verdebout</w:t>
      </w:r>
      <w:proofErr w:type="spellEnd"/>
      <w:r>
        <w:rPr>
          <w:rFonts w:ascii="Times New Roman" w:hAnsi="Times New Roman" w:cs="Times New Roman"/>
        </w:rPr>
        <w:t xml:space="preserve">, id, for </w:t>
      </w:r>
      <w:r w:rsidRPr="00F80570">
        <w:rPr>
          <w:rFonts w:ascii="Times New Roman" w:hAnsi="Times New Roman" w:cs="Times New Roman"/>
        </w:rPr>
        <w:t>further relevant paragraphs of the GCC official documents</w:t>
      </w:r>
      <w:r w:rsidRPr="00F80570">
        <w:rPr>
          <w:rFonts w:ascii="Times New Roman" w:hAnsi="Times New Roman" w:cs="Times New Roman"/>
          <w:noProof/>
        </w:rPr>
        <w:t>.</w:t>
      </w:r>
      <w:r w:rsidRPr="00F80570">
        <w:rPr>
          <w:rFonts w:ascii="Times New Roman" w:hAnsi="Times New Roman" w:cs="Times New Roman"/>
        </w:rPr>
        <w:t xml:space="preserve"> For Bahrain’s request, see: BICI Report</w:t>
      </w:r>
      <w:r>
        <w:rPr>
          <w:rFonts w:ascii="Times New Roman" w:hAnsi="Times New Roman" w:cs="Times New Roman"/>
        </w:rPr>
        <w:t xml:space="preserve"> (n 137) para </w:t>
      </w:r>
      <w:r w:rsidRPr="00F80570">
        <w:rPr>
          <w:rFonts w:ascii="Times New Roman" w:hAnsi="Times New Roman" w:cs="Times New Roman"/>
        </w:rPr>
        <w:t xml:space="preserve">490. </w:t>
      </w:r>
      <w:proofErr w:type="spellStart"/>
      <w:r w:rsidRPr="00F80570">
        <w:rPr>
          <w:rFonts w:ascii="Times New Roman" w:hAnsi="Times New Roman" w:cs="Times New Roman"/>
        </w:rPr>
        <w:t>Verdebout</w:t>
      </w:r>
      <w:proofErr w:type="spellEnd"/>
      <w:r w:rsidRPr="00F80570">
        <w:rPr>
          <w:rFonts w:ascii="Times New Roman" w:hAnsi="Times New Roman" w:cs="Times New Roman"/>
        </w:rPr>
        <w:t xml:space="preserve"> notes that the official text of Bahrain’s King Hamad Bin Issa Al-Khalifa is not available, see: </w:t>
      </w:r>
      <w:r>
        <w:rPr>
          <w:rFonts w:ascii="Times New Roman" w:hAnsi="Times New Roman" w:cs="Times New Roman"/>
        </w:rPr>
        <w:t>ibid</w:t>
      </w:r>
      <w:r w:rsidRPr="00F80570">
        <w:rPr>
          <w:rFonts w:ascii="Times New Roman" w:hAnsi="Times New Roman" w:cs="Times New Roman"/>
        </w:rPr>
        <w:t>, 800.</w:t>
      </w:r>
    </w:p>
  </w:footnote>
  <w:footnote w:id="14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‘Kenya sends troops into Somalia to hit al-Shabab’, </w:t>
      </w:r>
      <w:r w:rsidRPr="00F80570">
        <w:rPr>
          <w:rFonts w:ascii="Times New Roman" w:hAnsi="Times New Roman" w:cs="Times New Roman"/>
          <w:i/>
        </w:rPr>
        <w:t>BBC News</w:t>
      </w:r>
      <w:r w:rsidRPr="00F80570">
        <w:rPr>
          <w:rFonts w:ascii="Times New Roman" w:hAnsi="Times New Roman" w:cs="Times New Roman"/>
        </w:rPr>
        <w:t xml:space="preserve"> (17 October 2011), </w:t>
      </w:r>
      <w:hyperlink r:id="rId11" w:history="1">
        <w:r w:rsidRPr="00F80570">
          <w:rPr>
            <w:rStyle w:val="Hyperlink"/>
            <w:rFonts w:ascii="Times New Roman" w:hAnsi="Times New Roman" w:cs="Times New Roman"/>
          </w:rPr>
          <w:t>https://www.bbc.co.uk/news/world-africa-15331448</w:t>
        </w:r>
      </w:hyperlink>
      <w:r w:rsidRPr="00F80570">
        <w:rPr>
          <w:rFonts w:ascii="Times New Roman" w:hAnsi="Times New Roman" w:cs="Times New Roman"/>
        </w:rPr>
        <w:t xml:space="preserve">. </w:t>
      </w:r>
    </w:p>
  </w:footnote>
  <w:footnote w:id="142">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Letter dated 17 October 2011 from the Permanent Representative of Kenya to the United Nations Addressed to the President of the Security Council (18 October 2011), UN Doc S/2011/646.</w:t>
      </w:r>
    </w:p>
  </w:footnote>
  <w:footnote w:id="14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i</w:t>
      </w:r>
      <w:r w:rsidRPr="001E02C3">
        <w:rPr>
          <w:rFonts w:ascii="Times New Roman" w:hAnsi="Times New Roman" w:cs="Times New Roman"/>
        </w:rPr>
        <w:t>d,</w:t>
      </w:r>
      <w:r w:rsidRPr="00F80570">
        <w:rPr>
          <w:rFonts w:ascii="Times New Roman" w:hAnsi="Times New Roman" w:cs="Times New Roman"/>
        </w:rPr>
        <w:t xml:space="preserve"> Annex, para 2.</w:t>
      </w:r>
    </w:p>
  </w:footnote>
  <w:footnote w:id="14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UNSC Resolution 2036</w:t>
      </w:r>
      <w:r>
        <w:rPr>
          <w:rFonts w:ascii="Times New Roman" w:hAnsi="Times New Roman" w:cs="Times New Roman"/>
        </w:rPr>
        <w:t>,</w:t>
      </w:r>
      <w:r w:rsidRPr="00F80570">
        <w:rPr>
          <w:rFonts w:ascii="Times New Roman" w:hAnsi="Times New Roman" w:cs="Times New Roman"/>
        </w:rPr>
        <w:t xml:space="preserve"> UN Doc S/RES/2036</w:t>
      </w:r>
      <w:r>
        <w:rPr>
          <w:rFonts w:ascii="Times New Roman" w:hAnsi="Times New Roman" w:cs="Times New Roman"/>
        </w:rPr>
        <w:t xml:space="preserve"> </w:t>
      </w:r>
      <w:r w:rsidRPr="00F80570">
        <w:rPr>
          <w:rFonts w:ascii="Times New Roman" w:hAnsi="Times New Roman" w:cs="Times New Roman"/>
        </w:rPr>
        <w:t>(22 February 2012)</w:t>
      </w:r>
      <w:r>
        <w:rPr>
          <w:rFonts w:ascii="Times New Roman" w:hAnsi="Times New Roman" w:cs="Times New Roman"/>
        </w:rPr>
        <w:t>.</w:t>
      </w:r>
    </w:p>
  </w:footnote>
  <w:footnote w:id="14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Ross, ‘Ethiopian troops “cross border into Somalia”’, </w:t>
      </w:r>
      <w:r w:rsidRPr="00F80570">
        <w:rPr>
          <w:rFonts w:ascii="Times New Roman" w:hAnsi="Times New Roman" w:cs="Times New Roman"/>
          <w:i/>
        </w:rPr>
        <w:t>BBC News</w:t>
      </w:r>
      <w:r w:rsidRPr="00F80570">
        <w:rPr>
          <w:rFonts w:ascii="Times New Roman" w:hAnsi="Times New Roman" w:cs="Times New Roman"/>
        </w:rPr>
        <w:t xml:space="preserve"> (19 November 2011), </w:t>
      </w:r>
      <w:hyperlink r:id="rId12" w:history="1">
        <w:r w:rsidRPr="00F80570">
          <w:rPr>
            <w:rStyle w:val="Hyperlink"/>
            <w:rFonts w:ascii="Times New Roman" w:hAnsi="Times New Roman" w:cs="Times New Roman"/>
          </w:rPr>
          <w:t>https://www.bbc.co.uk/news/world-africa-15807215</w:t>
        </w:r>
      </w:hyperlink>
      <w:r w:rsidRPr="00F80570">
        <w:rPr>
          <w:rFonts w:ascii="Times New Roman" w:hAnsi="Times New Roman" w:cs="Times New Roman"/>
        </w:rPr>
        <w:t xml:space="preserve">. </w:t>
      </w:r>
    </w:p>
  </w:footnote>
  <w:footnote w:id="14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Jean-Christophe Martin, ‘The Ethiopia Military Intervention in Somalia—2011’ in Ruys and Corten</w:t>
      </w:r>
      <w:r>
        <w:rPr>
          <w:rFonts w:ascii="Times New Roman" w:hAnsi="Times New Roman" w:cs="Times New Roman"/>
          <w:noProof/>
        </w:rPr>
        <w:t>, n 134,</w:t>
      </w:r>
      <w:r w:rsidRPr="00F80570">
        <w:rPr>
          <w:rFonts w:ascii="Times New Roman" w:hAnsi="Times New Roman" w:cs="Times New Roman"/>
          <w:noProof/>
        </w:rPr>
        <w:t xml:space="preserve"> 808.</w:t>
      </w:r>
    </w:p>
  </w:footnote>
  <w:footnote w:id="14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statement in </w:t>
      </w:r>
      <w:r w:rsidRPr="00F80570">
        <w:rPr>
          <w:rFonts w:ascii="Times New Roman" w:hAnsi="Times New Roman" w:cs="Times New Roman"/>
          <w:noProof/>
        </w:rPr>
        <w:t>Martin</w:t>
      </w:r>
      <w:r>
        <w:rPr>
          <w:rFonts w:ascii="Times New Roman" w:hAnsi="Times New Roman" w:cs="Times New Roman"/>
          <w:noProof/>
        </w:rPr>
        <w:t xml:space="preserve"> (n 144) </w:t>
      </w:r>
      <w:r w:rsidRPr="00F80570">
        <w:rPr>
          <w:rFonts w:ascii="Times New Roman" w:hAnsi="Times New Roman" w:cs="Times New Roman"/>
          <w:noProof/>
        </w:rPr>
        <w:t>806.</w:t>
      </w:r>
    </w:p>
  </w:footnote>
  <w:footnote w:id="14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UNSC Resolution 1725</w:t>
      </w:r>
      <w:r>
        <w:rPr>
          <w:rFonts w:ascii="Times New Roman" w:hAnsi="Times New Roman" w:cs="Times New Roman"/>
        </w:rPr>
        <w:t>,</w:t>
      </w:r>
      <w:r w:rsidRPr="00F80570">
        <w:rPr>
          <w:rFonts w:ascii="Times New Roman" w:hAnsi="Times New Roman" w:cs="Times New Roman"/>
        </w:rPr>
        <w:t xml:space="preserve"> UN Doc S/RES/1725</w:t>
      </w:r>
      <w:r>
        <w:rPr>
          <w:rFonts w:ascii="Times New Roman" w:hAnsi="Times New Roman" w:cs="Times New Roman"/>
        </w:rPr>
        <w:t xml:space="preserve"> </w:t>
      </w:r>
      <w:r w:rsidRPr="00F80570">
        <w:rPr>
          <w:rFonts w:ascii="Times New Roman" w:hAnsi="Times New Roman" w:cs="Times New Roman"/>
        </w:rPr>
        <w:t xml:space="preserve">(6 December 2006), para 3. </w:t>
      </w:r>
    </w:p>
  </w:footnote>
  <w:footnote w:id="14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Communiqué of the 20th Extraordinary Session of the IGAD Assembly of Heads of State and Government on the situation in Somalia, the Republic of Sudan and South Sudan, IGAD minimum integration plan and piracy off the coast of Somalia (Addis Ababa, 27 January 2012), §4, </w:t>
      </w:r>
      <w:hyperlink r:id="rId13" w:history="1">
        <w:r w:rsidRPr="00F80570">
          <w:rPr>
            <w:rStyle w:val="Hyperlink"/>
            <w:rFonts w:ascii="Times New Roman" w:hAnsi="Times New Roman" w:cs="Times New Roman"/>
          </w:rPr>
          <w:t>https://igad.int/attachments/395_Communique%20-Final%202.pdf</w:t>
        </w:r>
      </w:hyperlink>
      <w:r w:rsidRPr="00F80570">
        <w:rPr>
          <w:rFonts w:ascii="Times New Roman" w:hAnsi="Times New Roman" w:cs="Times New Roman"/>
        </w:rPr>
        <w:t xml:space="preserve">. See statement calling for Somalia’s support: Communiqué of the 19th Extraordinary Session of the IGAD Assembly of Heads of State and Government on the situation in Somalia and a briefing on the outstanding issues of the Sudan Comprehensive Peace Agreement (Addis Ababa, 25 November 2011), §6, </w:t>
      </w:r>
      <w:hyperlink r:id="rId14" w:history="1">
        <w:r w:rsidRPr="00F80570">
          <w:rPr>
            <w:rStyle w:val="Hyperlink"/>
            <w:rFonts w:ascii="Times New Roman" w:hAnsi="Times New Roman" w:cs="Times New Roman"/>
          </w:rPr>
          <w:t>https://igad.int/attachments/375_Final_Comminuque_of_the_19th_Extra-ordinary_session_of_the_IGAD_HoS.pdf</w:t>
        </w:r>
      </w:hyperlink>
      <w:r w:rsidRPr="00F80570">
        <w:rPr>
          <w:rFonts w:ascii="Times New Roman" w:hAnsi="Times New Roman" w:cs="Times New Roman"/>
        </w:rPr>
        <w:t>.</w:t>
      </w:r>
    </w:p>
  </w:footnote>
  <w:footnote w:id="150">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Martin </w:t>
      </w:r>
      <w:r>
        <w:rPr>
          <w:rFonts w:ascii="Times New Roman" w:hAnsi="Times New Roman" w:cs="Times New Roman"/>
          <w:noProof/>
        </w:rPr>
        <w:t>(n 144)</w:t>
      </w:r>
      <w:r w:rsidRPr="00F80570">
        <w:rPr>
          <w:rFonts w:ascii="Times New Roman" w:hAnsi="Times New Roman" w:cs="Times New Roman"/>
          <w:noProof/>
        </w:rPr>
        <w:t>, 806.</w:t>
      </w:r>
    </w:p>
  </w:footnote>
  <w:footnote w:id="15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On which see, e</w:t>
      </w:r>
      <w:r>
        <w:rPr>
          <w:rFonts w:ascii="Times New Roman" w:hAnsi="Times New Roman" w:cs="Times New Roman"/>
        </w:rPr>
        <w:t>.g.</w:t>
      </w:r>
      <w:r w:rsidRPr="00F80570">
        <w:rPr>
          <w:rFonts w:ascii="Times New Roman" w:hAnsi="Times New Roman" w:cs="Times New Roman"/>
        </w:rPr>
        <w:t xml:space="preserve"> </w:t>
      </w:r>
      <w:r w:rsidRPr="00F80570">
        <w:rPr>
          <w:rFonts w:ascii="Times New Roman" w:hAnsi="Times New Roman" w:cs="Times New Roman"/>
          <w:noProof/>
        </w:rPr>
        <w:t xml:space="preserve">Bannelier and Christakis </w:t>
      </w:r>
      <w:r>
        <w:rPr>
          <w:rFonts w:ascii="Times New Roman" w:hAnsi="Times New Roman" w:cs="Times New Roman"/>
          <w:noProof/>
        </w:rPr>
        <w:t>(n 105)</w:t>
      </w:r>
      <w:r w:rsidRPr="00F80570">
        <w:rPr>
          <w:rFonts w:ascii="Times New Roman" w:hAnsi="Times New Roman" w:cs="Times New Roman"/>
          <w:noProof/>
        </w:rPr>
        <w:t>.</w:t>
      </w:r>
    </w:p>
  </w:footnote>
  <w:footnote w:id="152">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 France </w:t>
      </w:r>
      <w:proofErr w:type="spellStart"/>
      <w:r w:rsidRPr="00F80570">
        <w:rPr>
          <w:rFonts w:ascii="Times New Roman" w:hAnsi="Times New Roman" w:cs="Times New Roman"/>
        </w:rPr>
        <w:t>Diplomatie</w:t>
      </w:r>
      <w:proofErr w:type="spellEnd"/>
      <w:r w:rsidRPr="00F80570">
        <w:rPr>
          <w:rFonts w:ascii="Times New Roman" w:hAnsi="Times New Roman" w:cs="Times New Roman"/>
        </w:rPr>
        <w:t xml:space="preserve">, ‘Official speeches and statements of January 14, 2013’, </w:t>
      </w:r>
      <w:hyperlink r:id="rId15" w:history="1">
        <w:r w:rsidRPr="00F80570">
          <w:rPr>
            <w:rStyle w:val="Hyperlink"/>
            <w:rFonts w:ascii="Times New Roman" w:hAnsi="Times New Roman" w:cs="Times New Roman"/>
          </w:rPr>
          <w:t>http://basedoc.diplomatie.gouv.fr/vues/Kiosque/FranceDiplomatie/kiosque.php?fichier=baen2013-01-14.html</w:t>
        </w:r>
      </w:hyperlink>
      <w:r w:rsidRPr="00F80570">
        <w:rPr>
          <w:rFonts w:ascii="Times New Roman" w:hAnsi="Times New Roman" w:cs="Times New Roman"/>
        </w:rPr>
        <w:t xml:space="preserve">. </w:t>
      </w:r>
    </w:p>
  </w:footnote>
  <w:footnote w:id="15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See, e</w:t>
      </w:r>
      <w:r>
        <w:rPr>
          <w:rFonts w:ascii="Times New Roman" w:hAnsi="Times New Roman" w:cs="Times New Roman"/>
        </w:rPr>
        <w:t>.g.</w:t>
      </w:r>
      <w:r w:rsidRPr="00F80570">
        <w:rPr>
          <w:rFonts w:ascii="Times New Roman" w:hAnsi="Times New Roman" w:cs="Times New Roman"/>
        </w:rPr>
        <w:t xml:space="preserve"> Identical letters dated 11 January 2013 from the Permanent Representative of France to the UN addressed to the Secretary-General and the President of the Security Council (11 January 2013), UN Doc S/2013/17.</w:t>
      </w:r>
    </w:p>
  </w:footnote>
  <w:footnote w:id="15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Letter dated 23 January 2013 from the Permanent Representative of the UK to the UN addressed to the President of the UNSC (23 January 2013), UN Doc S/2013/58.</w:t>
      </w:r>
    </w:p>
  </w:footnote>
  <w:footnote w:id="15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Karine Bannelier and Théodore Christakis, ‘The Intervention of France and African Countries in Mali—2013’ in Ruys and Corten</w:t>
      </w:r>
      <w:r>
        <w:rPr>
          <w:rFonts w:ascii="Times New Roman" w:hAnsi="Times New Roman" w:cs="Times New Roman"/>
          <w:noProof/>
        </w:rPr>
        <w:t xml:space="preserve"> (n 134)</w:t>
      </w:r>
      <w:r w:rsidRPr="00F80570">
        <w:rPr>
          <w:rFonts w:ascii="Times New Roman" w:hAnsi="Times New Roman" w:cs="Times New Roman"/>
          <w:noProof/>
        </w:rPr>
        <w:t xml:space="preserve"> 815-7.</w:t>
      </w:r>
    </w:p>
  </w:footnote>
  <w:footnote w:id="15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Letter dated 25 June 2014 from the Permanent Representative of Iraq to the UN addressed to the Secretary-General (25 June 2014) UN Doc S/2014/440; Letter dated 20 September 2014 from the Permanent Representative of Iraq to the UN addressed to the President of the Security Council (22 September 2014) UN Doc S/2014/691.</w:t>
      </w:r>
    </w:p>
  </w:footnote>
  <w:footnote w:id="15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w:t>
      </w:r>
      <w:r w:rsidRPr="00F80570">
        <w:rPr>
          <w:rFonts w:ascii="Times New Roman" w:hAnsi="Times New Roman" w:cs="Times New Roman"/>
          <w:noProof/>
        </w:rPr>
        <w:t>Olivier Corten, ‘The Military Operations Against the “Islamic State” (ISIL or Da’esh)—2014’ in Ruys and Corten</w:t>
      </w:r>
      <w:r>
        <w:rPr>
          <w:rFonts w:ascii="Times New Roman" w:hAnsi="Times New Roman" w:cs="Times New Roman"/>
          <w:noProof/>
        </w:rPr>
        <w:t xml:space="preserve"> (n 134)</w:t>
      </w:r>
      <w:r w:rsidRPr="00F80570">
        <w:rPr>
          <w:rFonts w:ascii="Times New Roman" w:hAnsi="Times New Roman" w:cs="Times New Roman"/>
          <w:noProof/>
        </w:rPr>
        <w:t xml:space="preserve"> 874.</w:t>
      </w:r>
      <w:r w:rsidRPr="00F80570">
        <w:rPr>
          <w:rFonts w:ascii="Times New Roman" w:hAnsi="Times New Roman" w:cs="Times New Roman"/>
        </w:rPr>
        <w:t xml:space="preserve"> See</w:t>
      </w:r>
      <w:r>
        <w:rPr>
          <w:rFonts w:ascii="Times New Roman" w:hAnsi="Times New Roman" w:cs="Times New Roman"/>
        </w:rPr>
        <w:t xml:space="preserve"> </w:t>
      </w:r>
      <w:r w:rsidRPr="00F80570">
        <w:rPr>
          <w:rFonts w:ascii="Times New Roman" w:hAnsi="Times New Roman" w:cs="Times New Roman"/>
        </w:rPr>
        <w:t xml:space="preserve">further </w:t>
      </w:r>
      <w:r w:rsidRPr="00F80570">
        <w:rPr>
          <w:rFonts w:ascii="Times New Roman" w:hAnsi="Times New Roman" w:cs="Times New Roman"/>
          <w:noProof/>
        </w:rPr>
        <w:t xml:space="preserve">Karine Bannelier, ‘Military Intervention against ISIL in Iraq, Syria and Libya, and the Legal Basis of Consent’ (2016) 29 </w:t>
      </w:r>
      <w:r w:rsidRPr="00F80570">
        <w:rPr>
          <w:rFonts w:ascii="Times New Roman" w:hAnsi="Times New Roman" w:cs="Times New Roman"/>
          <w:i/>
          <w:noProof/>
        </w:rPr>
        <w:t>L</w:t>
      </w:r>
      <w:r>
        <w:rPr>
          <w:rFonts w:ascii="Times New Roman" w:hAnsi="Times New Roman" w:cs="Times New Roman"/>
          <w:i/>
          <w:noProof/>
        </w:rPr>
        <w:t xml:space="preserve">eiden </w:t>
      </w:r>
      <w:r w:rsidRPr="00F80570">
        <w:rPr>
          <w:rFonts w:ascii="Times New Roman" w:hAnsi="Times New Roman" w:cs="Times New Roman"/>
          <w:i/>
          <w:noProof/>
        </w:rPr>
        <w:t>J</w:t>
      </w:r>
      <w:r>
        <w:rPr>
          <w:rFonts w:ascii="Times New Roman" w:hAnsi="Times New Roman" w:cs="Times New Roman"/>
          <w:i/>
          <w:noProof/>
        </w:rPr>
        <w:t xml:space="preserve">ournal of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743.</w:t>
      </w:r>
    </w:p>
  </w:footnote>
  <w:footnote w:id="15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Letter dated 20 September 2014 from the Permanent Representative of Iraq to the UN addressed to the President of the Security Council (22 September 2014) UN Doc S/2014/691.</w:t>
      </w:r>
    </w:p>
  </w:footnote>
  <w:footnote w:id="159">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United Kingdom, Prime Minister’s Office, ‘Summary of the government legal position on military action in Iraq against ISIL’ (25 September 2014), </w:t>
      </w:r>
      <w:hyperlink r:id="rId16" w:tgtFrame="_blank" w:history="1">
        <w:r w:rsidRPr="00F80570">
          <w:rPr>
            <w:rStyle w:val="Hyperlink"/>
            <w:rFonts w:ascii="Times New Roman" w:hAnsi="Times New Roman" w:cs="Times New Roman"/>
          </w:rPr>
          <w:t>https://www.gov.uk/government/publications/military-action-in-iraq-against-isil-government-legal-position/summary-of-the-government-legal-position-on-military-action-in-iraq-against-isil</w:t>
        </w:r>
      </w:hyperlink>
      <w:r w:rsidRPr="00F80570">
        <w:rPr>
          <w:rFonts w:ascii="Times New Roman" w:hAnsi="Times New Roman" w:cs="Times New Roman"/>
        </w:rPr>
        <w:t>.</w:t>
      </w:r>
    </w:p>
  </w:footnote>
  <w:footnote w:id="160">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 </w:t>
      </w:r>
      <w:r w:rsidRPr="00F80570">
        <w:rPr>
          <w:rFonts w:ascii="Times New Roman" w:hAnsi="Times New Roman" w:cs="Times New Roman"/>
          <w:i/>
          <w:iCs/>
        </w:rPr>
        <w:t>House of Commons Debates</w:t>
      </w:r>
      <w:r w:rsidRPr="00F80570">
        <w:rPr>
          <w:rFonts w:ascii="Times New Roman" w:hAnsi="Times New Roman" w:cs="Times New Roman"/>
        </w:rPr>
        <w:t xml:space="preserve">, 41st </w:t>
      </w:r>
      <w:proofErr w:type="spellStart"/>
      <w:r w:rsidRPr="00F80570">
        <w:rPr>
          <w:rFonts w:ascii="Times New Roman" w:hAnsi="Times New Roman" w:cs="Times New Roman"/>
        </w:rPr>
        <w:t>Parl</w:t>
      </w:r>
      <w:proofErr w:type="spellEnd"/>
      <w:r w:rsidRPr="00F80570">
        <w:rPr>
          <w:rFonts w:ascii="Times New Roman" w:hAnsi="Times New Roman" w:cs="Times New Roman"/>
        </w:rPr>
        <w:t xml:space="preserve">, 2nd </w:t>
      </w:r>
      <w:proofErr w:type="spellStart"/>
      <w:r w:rsidRPr="00F80570">
        <w:rPr>
          <w:rFonts w:ascii="Times New Roman" w:hAnsi="Times New Roman" w:cs="Times New Roman"/>
        </w:rPr>
        <w:t>Sess</w:t>
      </w:r>
      <w:proofErr w:type="spellEnd"/>
      <w:r w:rsidRPr="00F80570">
        <w:rPr>
          <w:rFonts w:ascii="Times New Roman" w:hAnsi="Times New Roman" w:cs="Times New Roman"/>
        </w:rPr>
        <w:t>, No 124, (7 October 2014) (Rt Hon  Stephen Harper), 1420.</w:t>
      </w:r>
    </w:p>
  </w:footnote>
  <w:footnote w:id="161">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w:t>
      </w:r>
      <w:proofErr w:type="spellStart"/>
      <w:r w:rsidRPr="00F80570">
        <w:rPr>
          <w:rFonts w:ascii="Times New Roman" w:hAnsi="Times New Roman" w:cs="Times New Roman"/>
        </w:rPr>
        <w:t>Ministère</w:t>
      </w:r>
      <w:proofErr w:type="spellEnd"/>
      <w:r w:rsidRPr="00F80570">
        <w:rPr>
          <w:rFonts w:ascii="Times New Roman" w:hAnsi="Times New Roman" w:cs="Times New Roman"/>
        </w:rPr>
        <w:t xml:space="preserve"> des </w:t>
      </w:r>
      <w:proofErr w:type="spellStart"/>
      <w:r w:rsidRPr="00F80570">
        <w:rPr>
          <w:rFonts w:ascii="Times New Roman" w:hAnsi="Times New Roman" w:cs="Times New Roman"/>
        </w:rPr>
        <w:t>Armées</w:t>
      </w:r>
      <w:proofErr w:type="spellEnd"/>
      <w:r w:rsidRPr="00F80570">
        <w:rPr>
          <w:rFonts w:ascii="Times New Roman" w:hAnsi="Times New Roman" w:cs="Times New Roman"/>
        </w:rPr>
        <w:t>, ‘</w:t>
      </w:r>
      <w:proofErr w:type="spellStart"/>
      <w:r w:rsidRPr="00F80570">
        <w:rPr>
          <w:rFonts w:ascii="Times New Roman" w:hAnsi="Times New Roman" w:cs="Times New Roman"/>
        </w:rPr>
        <w:t>Opération</w:t>
      </w:r>
      <w:proofErr w:type="spellEnd"/>
      <w:r w:rsidRPr="00F80570">
        <w:rPr>
          <w:rFonts w:ascii="Times New Roman" w:hAnsi="Times New Roman" w:cs="Times New Roman"/>
        </w:rPr>
        <w:t xml:space="preserve"> </w:t>
      </w:r>
      <w:proofErr w:type="spellStart"/>
      <w:r w:rsidRPr="00F80570">
        <w:rPr>
          <w:rFonts w:ascii="Times New Roman" w:hAnsi="Times New Roman" w:cs="Times New Roman"/>
        </w:rPr>
        <w:t>Chammal</w:t>
      </w:r>
      <w:proofErr w:type="spellEnd"/>
      <w:r w:rsidRPr="00F80570">
        <w:rPr>
          <w:rFonts w:ascii="Times New Roman" w:hAnsi="Times New Roman" w:cs="Times New Roman"/>
        </w:rPr>
        <w:t xml:space="preserve">’, at </w:t>
      </w:r>
      <w:hyperlink r:id="rId17" w:tgtFrame="_blank" w:history="1">
        <w:r w:rsidRPr="00F80570">
          <w:rPr>
            <w:rStyle w:val="Hyperlink"/>
            <w:rFonts w:ascii="Times New Roman" w:hAnsi="Times New Roman" w:cs="Times New Roman"/>
          </w:rPr>
          <w:t>http://www.defense.gouv.fr/operations/operations/irak-syrie/dossier-de-presentation-de-l-operation-chammal/operation-chammal</w:t>
        </w:r>
      </w:hyperlink>
      <w:r w:rsidRPr="00F80570">
        <w:rPr>
          <w:rFonts w:ascii="Times New Roman" w:hAnsi="Times New Roman" w:cs="Times New Roman"/>
        </w:rPr>
        <w:t>.</w:t>
      </w:r>
    </w:p>
  </w:footnote>
  <w:footnote w:id="162">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Government of the Netherlands, ‘Netherlands to make military contribution to fight against ISIS’ (24 September 2014), at </w:t>
      </w:r>
      <w:hyperlink r:id="rId18" w:history="1">
        <w:r w:rsidRPr="00F80570">
          <w:rPr>
            <w:rStyle w:val="Hyperlink"/>
            <w:rFonts w:ascii="Times New Roman" w:hAnsi="Times New Roman" w:cs="Times New Roman"/>
          </w:rPr>
          <w:t>https://www.government.nl/latest/news/2014/09/25/netherlands-to-make-military-contribution-to-fight-against-isis</w:t>
        </w:r>
      </w:hyperlink>
      <w:r w:rsidRPr="00F80570">
        <w:rPr>
          <w:rFonts w:ascii="Times New Roman" w:hAnsi="Times New Roman" w:cs="Times New Roman"/>
        </w:rPr>
        <w:t xml:space="preserve">. </w:t>
      </w:r>
    </w:p>
  </w:footnote>
  <w:footnote w:id="16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Bannelier </w:t>
      </w:r>
      <w:r>
        <w:rPr>
          <w:rFonts w:ascii="Times New Roman" w:hAnsi="Times New Roman" w:cs="Times New Roman"/>
          <w:noProof/>
        </w:rPr>
        <w:t xml:space="preserve">(n 155) </w:t>
      </w:r>
      <w:r w:rsidRPr="00F80570">
        <w:rPr>
          <w:rFonts w:ascii="Times New Roman" w:hAnsi="Times New Roman" w:cs="Times New Roman"/>
          <w:noProof/>
        </w:rPr>
        <w:t>750.</w:t>
      </w:r>
    </w:p>
  </w:footnote>
  <w:footnote w:id="164">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Bannelier </w:t>
      </w:r>
      <w:r>
        <w:rPr>
          <w:rFonts w:ascii="Times New Roman" w:hAnsi="Times New Roman" w:cs="Times New Roman"/>
          <w:noProof/>
        </w:rPr>
        <w:t xml:space="preserve">(n 155) </w:t>
      </w:r>
      <w:r w:rsidRPr="00F80570">
        <w:rPr>
          <w:rFonts w:ascii="Times New Roman" w:hAnsi="Times New Roman" w:cs="Times New Roman"/>
          <w:noProof/>
        </w:rPr>
        <w:t xml:space="preserve">751; see also Corten </w:t>
      </w:r>
      <w:r>
        <w:rPr>
          <w:rFonts w:ascii="Times New Roman" w:hAnsi="Times New Roman" w:cs="Times New Roman"/>
          <w:noProof/>
        </w:rPr>
        <w:t xml:space="preserve">(n 155) </w:t>
      </w:r>
      <w:r w:rsidRPr="00F80570">
        <w:rPr>
          <w:rFonts w:ascii="Times New Roman" w:hAnsi="Times New Roman" w:cs="Times New Roman"/>
          <w:noProof/>
        </w:rPr>
        <w:t>887.</w:t>
      </w:r>
    </w:p>
  </w:footnote>
  <w:footnote w:id="165">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In respect of Russia, see Identical letters dated 14 October 2015 from the Permanent Representative of the Syrian Arab Republic to the United Nations addressed to the Secretary-General and the President of the Security Council (16 October 2015) UN Docs A/70/429 and S/2015/789.</w:t>
      </w:r>
    </w:p>
  </w:footnote>
  <w:footnote w:id="16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Letter dated 15 October 2015 from the Permanent Representative of the Russian Federation to the United Nations addressed to the President of the Security Council (15 October 2015) UN Doc S/2015/792.</w:t>
      </w:r>
    </w:p>
  </w:footnote>
  <w:footnote w:id="167">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Letter dated 6 April 2016 from the Permanent Representative of France to the United Nations addressed to the President of the Security Council (8 April 2016) UN Doc S/2016/325.</w:t>
      </w:r>
    </w:p>
  </w:footnote>
  <w:footnote w:id="168">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Letter dated 20 April 2016 from the Permanent Representative of the Islamic Republic of Iran to the United Nations addressed to the President of the Security Council (22 April 2016) UN Doc S/2016/369.</w:t>
      </w:r>
    </w:p>
  </w:footnote>
  <w:footnote w:id="169">
    <w:p w:rsidR="00AF7273" w:rsidRPr="0022694E" w:rsidRDefault="00AF7273" w:rsidP="00AF7273">
      <w:pPr>
        <w:pStyle w:val="FootnoteText"/>
        <w:rPr>
          <w:rFonts w:ascii="Times New Roman" w:hAnsi="Times New Roman" w:cs="Times New Roman"/>
          <w:color w:val="000000" w:themeColor="text1"/>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Corten, </w:t>
      </w:r>
      <w:r>
        <w:rPr>
          <w:rFonts w:ascii="Times New Roman" w:hAnsi="Times New Roman" w:cs="Times New Roman"/>
          <w:noProof/>
        </w:rPr>
        <w:t xml:space="preserve">n 155, </w:t>
      </w:r>
      <w:r w:rsidRPr="00F80570">
        <w:rPr>
          <w:rFonts w:ascii="Times New Roman" w:hAnsi="Times New Roman" w:cs="Times New Roman"/>
          <w:noProof/>
        </w:rPr>
        <w:t>887.</w:t>
      </w:r>
      <w:r w:rsidRPr="00F80570">
        <w:rPr>
          <w:rFonts w:ascii="Times New Roman" w:hAnsi="Times New Roman" w:cs="Times New Roman"/>
        </w:rPr>
        <w:t xml:space="preserve"> Although note that there were criticisms for the violation of international humanitarian law, and the targeting of groups </w:t>
      </w:r>
      <w:r w:rsidRPr="0022694E">
        <w:rPr>
          <w:rFonts w:ascii="Times New Roman" w:hAnsi="Times New Roman" w:cs="Times New Roman"/>
          <w:color w:val="000000" w:themeColor="text1"/>
        </w:rPr>
        <w:t>other than ISIS, during these operations, see: ibid, 887.</w:t>
      </w:r>
    </w:p>
  </w:footnote>
  <w:footnote w:id="170">
    <w:p w:rsidR="00AF7273" w:rsidRPr="00F80570" w:rsidRDefault="00AF7273" w:rsidP="00AF7273">
      <w:pPr>
        <w:jc w:val="both"/>
        <w:rPr>
          <w:rFonts w:ascii="Times New Roman" w:eastAsia="Times New Roman" w:hAnsi="Times New Roman" w:cs="Times New Roman"/>
          <w:sz w:val="20"/>
          <w:szCs w:val="20"/>
        </w:rPr>
      </w:pPr>
      <w:r w:rsidRPr="0022694E">
        <w:rPr>
          <w:rStyle w:val="FootnoteReference"/>
          <w:rFonts w:ascii="Times New Roman" w:hAnsi="Times New Roman" w:cs="Times New Roman"/>
          <w:color w:val="000000" w:themeColor="text1"/>
          <w:sz w:val="20"/>
          <w:szCs w:val="20"/>
        </w:rPr>
        <w:footnoteRef/>
      </w:r>
      <w:r w:rsidR="0056618C">
        <w:rPr>
          <w:rFonts w:ascii="Times New Roman" w:hAnsi="Times New Roman" w:cs="Times New Roman"/>
          <w:color w:val="000000" w:themeColor="text1"/>
          <w:sz w:val="20"/>
          <w:szCs w:val="20"/>
        </w:rPr>
        <w:t xml:space="preserve"> </w:t>
      </w:r>
      <w:r w:rsidRPr="0022694E">
        <w:rPr>
          <w:rFonts w:ascii="Times New Roman" w:hAnsi="Times New Roman" w:cs="Times New Roman"/>
          <w:color w:val="000000" w:themeColor="text1"/>
          <w:sz w:val="20"/>
          <w:szCs w:val="20"/>
        </w:rPr>
        <w:t xml:space="preserve">The text can be found in </w:t>
      </w:r>
      <w:r w:rsidRPr="0022694E">
        <w:rPr>
          <w:rFonts w:ascii="Times New Roman" w:eastAsia="Times New Roman" w:hAnsi="Times New Roman" w:cs="Times New Roman"/>
          <w:color w:val="000000" w:themeColor="text1"/>
          <w:sz w:val="20"/>
          <w:szCs w:val="20"/>
          <w:shd w:val="clear" w:color="auto" w:fill="FFFFFF"/>
        </w:rPr>
        <w:t>the Enclosure to Annex to the Identical letters dated 26 March 2015 from the Permanent Representative of Qatar to the United Nations Addressed to the Secretary-General and the President of the Security Council (27 March 2015) UN Doc S/2015/217, 3-4.</w:t>
      </w:r>
    </w:p>
  </w:footnote>
  <w:footnote w:id="171">
    <w:p w:rsidR="00AF7273" w:rsidRPr="00F80570" w:rsidRDefault="00AF7273" w:rsidP="00AF7273">
      <w:pPr>
        <w:pStyle w:val="FootnoteText"/>
        <w:jc w:val="both"/>
        <w:rPr>
          <w:rFonts w:ascii="Times New Roman" w:hAnsi="Times New Roman" w:cs="Times New Roman"/>
          <w:highlight w:val="yellow"/>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‘Statement by Saudi Ambassador Al-</w:t>
      </w:r>
      <w:proofErr w:type="spellStart"/>
      <w:r w:rsidRPr="00F80570">
        <w:rPr>
          <w:rFonts w:ascii="Times New Roman" w:hAnsi="Times New Roman" w:cs="Times New Roman"/>
        </w:rPr>
        <w:t>Jubeir</w:t>
      </w:r>
      <w:proofErr w:type="spellEnd"/>
      <w:r w:rsidRPr="00F80570">
        <w:rPr>
          <w:rFonts w:ascii="Times New Roman" w:hAnsi="Times New Roman" w:cs="Times New Roman"/>
        </w:rPr>
        <w:t xml:space="preserve"> on Military Operations in Yemen’ </w:t>
      </w:r>
      <w:r w:rsidRPr="00F80570">
        <w:rPr>
          <w:rFonts w:ascii="Times New Roman" w:hAnsi="Times New Roman" w:cs="Times New Roman"/>
          <w:i/>
          <w:iCs/>
        </w:rPr>
        <w:t xml:space="preserve">Operation Renewal of Hope </w:t>
      </w:r>
      <w:r w:rsidRPr="00F80570">
        <w:rPr>
          <w:rFonts w:ascii="Times New Roman" w:hAnsi="Times New Roman" w:cs="Times New Roman"/>
        </w:rPr>
        <w:t xml:space="preserve">(25 March 2015), </w:t>
      </w:r>
      <w:hyperlink r:id="rId19" w:anchor="sthash.E7gLWUDk.dpbs" w:tgtFrame="_blank" w:history="1">
        <w:r w:rsidRPr="00F80570">
          <w:rPr>
            <w:rStyle w:val="Hyperlink"/>
            <w:rFonts w:ascii="Times New Roman" w:hAnsi="Times New Roman" w:cs="Times New Roman"/>
          </w:rPr>
          <w:t>http://www.operationrenewalofhope.com/statement-by-saudi-ambassador-al-jubeir-on-military-operations-in-yemen/#sthash.E7gLWUDk.dpbs</w:t>
        </w:r>
      </w:hyperlink>
      <w:r w:rsidRPr="00F80570">
        <w:rPr>
          <w:rFonts w:ascii="Times New Roman" w:hAnsi="Times New Roman" w:cs="Times New Roman"/>
        </w:rPr>
        <w:t>.</w:t>
      </w:r>
    </w:p>
  </w:footnote>
  <w:footnote w:id="17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Pr="00F80570">
        <w:rPr>
          <w:rFonts w:ascii="Times New Roman" w:hAnsi="Times New Roman" w:cs="Times New Roman"/>
        </w:rPr>
        <w:t xml:space="preserve"> </w:t>
      </w:r>
      <w:r w:rsidRPr="00F80570">
        <w:rPr>
          <w:rFonts w:ascii="Times New Roman" w:hAnsi="Times New Roman" w:cs="Times New Roman"/>
          <w:noProof/>
        </w:rPr>
        <w:t>Luca Ferro and Tom Ruys, ‘The Saudi-led Military Intervention in Yemen’s Civil War—2015’ in Ruys and Corten</w:t>
      </w:r>
      <w:r>
        <w:rPr>
          <w:rFonts w:ascii="Times New Roman" w:hAnsi="Times New Roman" w:cs="Times New Roman"/>
          <w:noProof/>
        </w:rPr>
        <w:t xml:space="preserve"> (n 134)</w:t>
      </w:r>
      <w:r w:rsidRPr="00F80570">
        <w:rPr>
          <w:rFonts w:ascii="Times New Roman" w:hAnsi="Times New Roman" w:cs="Times New Roman"/>
          <w:noProof/>
        </w:rPr>
        <w:t xml:space="preserve"> 900.</w:t>
      </w:r>
    </w:p>
  </w:footnote>
  <w:footnote w:id="173">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Pr="00F80570">
        <w:rPr>
          <w:rFonts w:ascii="Times New Roman" w:hAnsi="Times New Roman" w:cs="Times New Roman"/>
        </w:rPr>
        <w:t> Statement Issued by the Kingdom of Saudi Arabia, the United Arab Emirates, the Kingdom of Bahrain, the State of Qatar and the State of Kuwait, Enclosure to Annex of Identical letters dated 26 March 2015 from the Permanent Representative of Qatar to the United Nations Addressed to the Secretary-General and the President of the Security Council (27 March 2015) UN Doc S/2015/217.</w:t>
      </w:r>
    </w:p>
  </w:footnote>
  <w:footnote w:id="174">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United States of America, White House Office of the Press Secretary, ‘Statement by NSC Spokesperson Bernadette Meehan on the Situation in Yemen’ (25 March 2015), </w:t>
      </w:r>
      <w:hyperlink r:id="rId20" w:history="1">
        <w:r w:rsidRPr="00F80570">
          <w:rPr>
            <w:rStyle w:val="Hyperlink"/>
            <w:rFonts w:ascii="Times New Roman" w:hAnsi="Times New Roman" w:cs="Times New Roman"/>
          </w:rPr>
          <w:t>http://www.whitehouse.gov/the-press-office/2015/03/25/statement-nsc-spokesperson-bernadette-meehan-situation-yemen</w:t>
        </w:r>
      </w:hyperlink>
      <w:r w:rsidRPr="00F80570">
        <w:rPr>
          <w:rFonts w:ascii="Times New Roman" w:hAnsi="Times New Roman" w:cs="Times New Roman"/>
        </w:rPr>
        <w:t>.</w:t>
      </w:r>
    </w:p>
  </w:footnote>
  <w:footnote w:id="175">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France, France </w:t>
      </w:r>
      <w:proofErr w:type="spellStart"/>
      <w:r w:rsidRPr="00F80570">
        <w:rPr>
          <w:rFonts w:ascii="Times New Roman" w:hAnsi="Times New Roman" w:cs="Times New Roman"/>
        </w:rPr>
        <w:t>Diplomatie</w:t>
      </w:r>
      <w:proofErr w:type="spellEnd"/>
      <w:r w:rsidRPr="00F80570">
        <w:rPr>
          <w:rFonts w:ascii="Times New Roman" w:hAnsi="Times New Roman" w:cs="Times New Roman"/>
        </w:rPr>
        <w:t xml:space="preserve">, ‘Yemen-Situation’ (26 March 2015) </w:t>
      </w:r>
      <w:hyperlink r:id="rId21" w:history="1">
        <w:r w:rsidRPr="00F80570">
          <w:rPr>
            <w:rStyle w:val="Hyperlink"/>
            <w:rFonts w:ascii="Times New Roman" w:hAnsi="Times New Roman" w:cs="Times New Roman"/>
          </w:rPr>
          <w:t>http://www.diplomatie.gouv.fr/en/country-files/yemen/events/article/yemen-situation-26-03-15</w:t>
        </w:r>
      </w:hyperlink>
      <w:r w:rsidRPr="00F80570">
        <w:rPr>
          <w:rFonts w:ascii="Times New Roman" w:hAnsi="Times New Roman" w:cs="Times New Roman"/>
        </w:rPr>
        <w:t>.</w:t>
      </w:r>
    </w:p>
  </w:footnote>
  <w:footnote w:id="176">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Canada, ‘Minister Nicholson Concerned by Crisis in Yemen’ (27 March 2015), </w:t>
      </w:r>
      <w:hyperlink r:id="rId22" w:history="1">
        <w:r w:rsidRPr="00F80570">
          <w:rPr>
            <w:rStyle w:val="Hyperlink"/>
            <w:rFonts w:ascii="Times New Roman" w:hAnsi="Times New Roman" w:cs="Times New Roman"/>
          </w:rPr>
          <w:t>https://www.canada.ca/en/news/archive/2015/03/minister-nicholson-concerned-crisis-yemen.html</w:t>
        </w:r>
      </w:hyperlink>
      <w:r w:rsidRPr="00F80570">
        <w:rPr>
          <w:rFonts w:ascii="Times New Roman" w:hAnsi="Times New Roman" w:cs="Times New Roman"/>
        </w:rPr>
        <w:t xml:space="preserve">. </w:t>
      </w:r>
    </w:p>
  </w:footnote>
  <w:footnote w:id="177">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United Kingdom, Parliament, ‘Saudi Arabia: Yemen: Written question—HL1125’ (14 July 2015) </w:t>
      </w:r>
      <w:hyperlink r:id="rId23" w:history="1">
        <w:r w:rsidRPr="00F80570">
          <w:rPr>
            <w:rStyle w:val="Hyperlink"/>
            <w:rFonts w:ascii="Times New Roman" w:hAnsi="Times New Roman" w:cs="Times New Roman"/>
          </w:rPr>
          <w:t>http://www.parliament.uk/business/publications/written-questions-answers-statements/written-question/Lords/2015-07-06/HL1125</w:t>
        </w:r>
      </w:hyperlink>
      <w:r w:rsidRPr="00F80570">
        <w:rPr>
          <w:rFonts w:ascii="Times New Roman" w:hAnsi="Times New Roman" w:cs="Times New Roman"/>
        </w:rPr>
        <w:t>.</w:t>
      </w:r>
    </w:p>
  </w:footnote>
  <w:footnote w:id="178">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id.</w:t>
      </w:r>
    </w:p>
  </w:footnote>
  <w:footnote w:id="179">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United Kingdom, Prime Minister’s Office, ‘PM all with King Salman of Saudi Arabia’ (27 March 2015) </w:t>
      </w:r>
      <w:hyperlink r:id="rId24" w:history="1">
        <w:r w:rsidRPr="00F80570">
          <w:rPr>
            <w:rStyle w:val="Hyperlink"/>
            <w:rFonts w:ascii="Times New Roman" w:hAnsi="Times New Roman" w:cs="Times New Roman"/>
          </w:rPr>
          <w:t>http://www.gov.uk/government/news/pm-call-with-king-salman-of-saudi-arabia-27-march-2015</w:t>
        </w:r>
      </w:hyperlink>
      <w:r w:rsidRPr="00F80570">
        <w:rPr>
          <w:rFonts w:ascii="Times New Roman" w:hAnsi="Times New Roman" w:cs="Times New Roman"/>
        </w:rPr>
        <w:t>.</w:t>
      </w:r>
    </w:p>
  </w:footnote>
  <w:footnote w:id="180">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Ferro and Ruys </w:t>
      </w:r>
      <w:r>
        <w:rPr>
          <w:rFonts w:ascii="Times New Roman" w:hAnsi="Times New Roman" w:cs="Times New Roman"/>
          <w:noProof/>
        </w:rPr>
        <w:t>(n 170)</w:t>
      </w:r>
      <w:r w:rsidRPr="00F80570">
        <w:rPr>
          <w:rFonts w:ascii="Times New Roman" w:hAnsi="Times New Roman" w:cs="Times New Roman"/>
          <w:noProof/>
        </w:rPr>
        <w:t xml:space="preserve"> 902.</w:t>
      </w:r>
    </w:p>
  </w:footnote>
  <w:footnote w:id="181">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China, Ministry of Foreign Affairs, ‘Foreign Ministry Spokesperson Hua </w:t>
      </w:r>
      <w:proofErr w:type="spellStart"/>
      <w:r w:rsidRPr="00F80570">
        <w:rPr>
          <w:rFonts w:ascii="Times New Roman" w:hAnsi="Times New Roman" w:cs="Times New Roman"/>
        </w:rPr>
        <w:t>Chunying’s</w:t>
      </w:r>
      <w:proofErr w:type="spellEnd"/>
      <w:r w:rsidRPr="00F80570">
        <w:rPr>
          <w:rFonts w:ascii="Times New Roman" w:hAnsi="Times New Roman" w:cs="Times New Roman"/>
        </w:rPr>
        <w:t xml:space="preserve"> Regular Press Conference’ (26 March 2015) </w:t>
      </w:r>
      <w:hyperlink r:id="rId25" w:tgtFrame="_blank" w:history="1">
        <w:r w:rsidRPr="00F80570">
          <w:rPr>
            <w:rStyle w:val="Hyperlink"/>
            <w:rFonts w:ascii="Times New Roman" w:hAnsi="Times New Roman" w:cs="Times New Roman"/>
          </w:rPr>
          <w:t>http://www.fmprc.gov.cn/mfa_eng/xwfw_665399/s2510_665401/t1248965.shtml</w:t>
        </w:r>
      </w:hyperlink>
      <w:r w:rsidRPr="00F80570">
        <w:rPr>
          <w:rFonts w:ascii="Times New Roman" w:hAnsi="Times New Roman" w:cs="Times New Roman"/>
        </w:rPr>
        <w:t>.</w:t>
      </w:r>
    </w:p>
  </w:footnote>
  <w:footnote w:id="182">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European Union, External Action Service, ‘Statement of the High Representative and Vice President Federica Mogherini on the Situation in Yemen’ (26 March 2015) </w:t>
      </w:r>
      <w:hyperlink r:id="rId26" w:tgtFrame="_blank" w:history="1">
        <w:r w:rsidRPr="00F80570">
          <w:rPr>
            <w:rStyle w:val="Hyperlink"/>
            <w:rFonts w:ascii="Times New Roman" w:hAnsi="Times New Roman" w:cs="Times New Roman"/>
          </w:rPr>
          <w:t>http://eeas.europa.eu/statements-eeas/2015/150326_02_en.htm</w:t>
        </w:r>
      </w:hyperlink>
      <w:r w:rsidRPr="00F80570">
        <w:rPr>
          <w:rFonts w:ascii="Times New Roman" w:hAnsi="Times New Roman" w:cs="Times New Roman"/>
        </w:rPr>
        <w:t>.</w:t>
      </w:r>
    </w:p>
  </w:footnote>
  <w:footnote w:id="183">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UN Secretary-General Ban Ki-Moon, ‘Noting Saudi Araba Has Begun Military Operations in Yemen, Secretary-General Says Negotiations Remain Only Option for Resolving Yemeni Crisis’ (Press Release, 26 March 2015) UN Doc SG/SM/16621.</w:t>
      </w:r>
    </w:p>
  </w:footnote>
  <w:footnote w:id="184">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UNSC Verbatim Record</w:t>
      </w:r>
      <w:r>
        <w:rPr>
          <w:rFonts w:ascii="Times New Roman" w:hAnsi="Times New Roman" w:cs="Times New Roman"/>
        </w:rPr>
        <w:t>,</w:t>
      </w:r>
      <w:r w:rsidRPr="00F80570">
        <w:rPr>
          <w:rFonts w:ascii="Times New Roman" w:hAnsi="Times New Roman" w:cs="Times New Roman"/>
        </w:rPr>
        <w:t xml:space="preserve"> UN Doc S/PV.7866</w:t>
      </w:r>
      <w:r>
        <w:rPr>
          <w:rFonts w:ascii="Times New Roman" w:hAnsi="Times New Roman" w:cs="Times New Roman"/>
        </w:rPr>
        <w:t xml:space="preserve"> </w:t>
      </w:r>
      <w:r w:rsidRPr="00F80570">
        <w:rPr>
          <w:rFonts w:ascii="Times New Roman" w:hAnsi="Times New Roman" w:cs="Times New Roman"/>
        </w:rPr>
        <w:t>(19 January 2017) 2.</w:t>
      </w:r>
    </w:p>
  </w:footnote>
  <w:footnote w:id="185">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For assessments, see, e</w:t>
      </w:r>
      <w:r>
        <w:rPr>
          <w:rFonts w:ascii="Times New Roman" w:hAnsi="Times New Roman" w:cs="Times New Roman"/>
        </w:rPr>
        <w:t>.</w:t>
      </w:r>
      <w:r w:rsidRPr="00F80570">
        <w:rPr>
          <w:rFonts w:ascii="Times New Roman" w:hAnsi="Times New Roman" w:cs="Times New Roman"/>
        </w:rPr>
        <w:t>g</w:t>
      </w:r>
      <w:r>
        <w:rPr>
          <w:rFonts w:ascii="Times New Roman" w:hAnsi="Times New Roman" w:cs="Times New Roman"/>
        </w:rPr>
        <w:t>.</w:t>
      </w:r>
      <w:r w:rsidRPr="00F80570">
        <w:rPr>
          <w:rFonts w:ascii="Times New Roman" w:hAnsi="Times New Roman" w:cs="Times New Roman"/>
        </w:rPr>
        <w:t xml:space="preserve"> Drummond, ‘Rival Governments and the Authority to Represent the State: Was the Use of Force by ECOWAS in The Gambia a Violation of International Law’, </w:t>
      </w:r>
      <w:r w:rsidRPr="00F80570">
        <w:rPr>
          <w:rFonts w:ascii="Times New Roman" w:hAnsi="Times New Roman" w:cs="Times New Roman"/>
          <w:i/>
          <w:iCs/>
        </w:rPr>
        <w:t>ILA Reporter</w:t>
      </w:r>
      <w:r w:rsidRPr="00F80570">
        <w:rPr>
          <w:rFonts w:ascii="Times New Roman" w:hAnsi="Times New Roman" w:cs="Times New Roman"/>
        </w:rPr>
        <w:t xml:space="preserve"> (5 February 2017), </w:t>
      </w:r>
      <w:hyperlink r:id="rId27" w:tgtFrame="_blank" w:history="1">
        <w:r w:rsidRPr="00F80570">
          <w:rPr>
            <w:rStyle w:val="Hyperlink"/>
            <w:rFonts w:ascii="Times New Roman" w:hAnsi="Times New Roman" w:cs="Times New Roman"/>
          </w:rPr>
          <w:t>http://ilareporter.org.au/2017/02/rival-governments-and-the-authority-to-represent-the-state-was-the-use-of-forceby-ecowas-in-the-gambia-a-violation-of-international-law-catherine-drummond/</w:t>
        </w:r>
      </w:hyperlink>
      <w:r w:rsidRPr="00F80570">
        <w:rPr>
          <w:rFonts w:ascii="Times New Roman" w:hAnsi="Times New Roman" w:cs="Times New Roman"/>
        </w:rPr>
        <w:t xml:space="preserve">; </w:t>
      </w:r>
      <w:r w:rsidRPr="00F80570">
        <w:rPr>
          <w:rFonts w:ascii="Times New Roman" w:hAnsi="Times New Roman" w:cs="Times New Roman"/>
          <w:noProof/>
        </w:rPr>
        <w:t xml:space="preserve">Claus Kreß and Benjamin Nußberger, ‘Pro-Democratic Intervention in Current International Law: The Case of The Gambia in January 2017’ (2017) 4 </w:t>
      </w:r>
      <w:r w:rsidRPr="00F80570">
        <w:rPr>
          <w:rFonts w:ascii="Times New Roman" w:hAnsi="Times New Roman" w:cs="Times New Roman"/>
          <w:i/>
          <w:noProof/>
        </w:rPr>
        <w:t>J</w:t>
      </w:r>
      <w:r>
        <w:rPr>
          <w:rFonts w:ascii="Times New Roman" w:hAnsi="Times New Roman" w:cs="Times New Roman"/>
          <w:i/>
          <w:noProof/>
        </w:rPr>
        <w:t xml:space="preserve">ournal on the </w:t>
      </w:r>
      <w:r w:rsidRPr="00F80570">
        <w:rPr>
          <w:rFonts w:ascii="Times New Roman" w:hAnsi="Times New Roman" w:cs="Times New Roman"/>
          <w:i/>
          <w:noProof/>
        </w:rPr>
        <w:t>U</w:t>
      </w:r>
      <w:r>
        <w:rPr>
          <w:rFonts w:ascii="Times New Roman" w:hAnsi="Times New Roman" w:cs="Times New Roman"/>
          <w:i/>
          <w:noProof/>
        </w:rPr>
        <w:t xml:space="preserve">se of </w:t>
      </w:r>
      <w:r w:rsidRPr="00F80570">
        <w:rPr>
          <w:rFonts w:ascii="Times New Roman" w:hAnsi="Times New Roman" w:cs="Times New Roman"/>
          <w:i/>
          <w:noProof/>
        </w:rPr>
        <w:t>F</w:t>
      </w:r>
      <w:r>
        <w:rPr>
          <w:rFonts w:ascii="Times New Roman" w:hAnsi="Times New Roman" w:cs="Times New Roman"/>
          <w:i/>
          <w:noProof/>
        </w:rPr>
        <w:t xml:space="preserve">orce and </w:t>
      </w:r>
      <w:r w:rsidRPr="00F80570">
        <w:rPr>
          <w:rFonts w:ascii="Times New Roman" w:hAnsi="Times New Roman" w:cs="Times New Roman"/>
          <w:i/>
          <w:noProof/>
        </w:rPr>
        <w:t>I</w:t>
      </w:r>
      <w:r>
        <w:rPr>
          <w:rFonts w:ascii="Times New Roman" w:hAnsi="Times New Roman" w:cs="Times New Roman"/>
          <w:i/>
          <w:noProof/>
        </w:rPr>
        <w:t xml:space="preserve">nternational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239; Mohamed S Helal, ‘The ECOWAS Intervention in The Gambia—2016’ in Ruys and Corten</w:t>
      </w:r>
      <w:r>
        <w:rPr>
          <w:rFonts w:ascii="Times New Roman" w:hAnsi="Times New Roman" w:cs="Times New Roman"/>
          <w:noProof/>
        </w:rPr>
        <w:t xml:space="preserve"> (n 134)</w:t>
      </w:r>
      <w:r w:rsidRPr="00F80570">
        <w:rPr>
          <w:rFonts w:ascii="Times New Roman" w:hAnsi="Times New Roman" w:cs="Times New Roman"/>
          <w:noProof/>
        </w:rPr>
        <w:t xml:space="preserve"> 912.</w:t>
      </w:r>
    </w:p>
  </w:footnote>
  <w:footnote w:id="186">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See</w:t>
      </w:r>
      <w:r>
        <w:rPr>
          <w:rFonts w:ascii="Times New Roman" w:hAnsi="Times New Roman" w:cs="Times New Roman"/>
        </w:rPr>
        <w:t xml:space="preserve"> UNSC Verbatim Record (n 182)</w:t>
      </w:r>
      <w:r w:rsidRPr="00F80570">
        <w:rPr>
          <w:rFonts w:ascii="Times New Roman" w:hAnsi="Times New Roman" w:cs="Times New Roman"/>
        </w:rPr>
        <w:t xml:space="preserve"> 3 (Uruguay, Bolivia, and Russia), 6 (Egypt).</w:t>
      </w:r>
    </w:p>
  </w:footnote>
  <w:footnote w:id="187">
    <w:p w:rsidR="00AF7273" w:rsidRPr="00F80570" w:rsidRDefault="00AF7273" w:rsidP="00AF7273">
      <w:pPr>
        <w:pStyle w:val="FootnoteText"/>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Pr>
          <w:rFonts w:ascii="Times New Roman" w:hAnsi="Times New Roman" w:cs="Times New Roman"/>
        </w:rPr>
        <w:t xml:space="preserve">Ibid, </w:t>
      </w:r>
      <w:r w:rsidRPr="00F80570">
        <w:rPr>
          <w:rFonts w:ascii="Times New Roman" w:hAnsi="Times New Roman" w:cs="Times New Roman"/>
        </w:rPr>
        <w:t>6</w:t>
      </w:r>
      <w:r>
        <w:rPr>
          <w:rFonts w:ascii="Times New Roman" w:hAnsi="Times New Roman" w:cs="Times New Roman"/>
        </w:rPr>
        <w:t xml:space="preserve"> (Egypt)</w:t>
      </w:r>
      <w:r w:rsidRPr="00F80570">
        <w:rPr>
          <w:rFonts w:ascii="Times New Roman" w:hAnsi="Times New Roman" w:cs="Times New Roman"/>
        </w:rPr>
        <w:t>.</w:t>
      </w:r>
    </w:p>
  </w:footnote>
  <w:footnote w:id="188">
    <w:p w:rsidR="0056618C" w:rsidRPr="0056618C" w:rsidRDefault="0056618C">
      <w:pPr>
        <w:pStyle w:val="FootnoteText"/>
        <w:rPr>
          <w:lang w:val="en-US"/>
        </w:rPr>
      </w:pPr>
      <w:r>
        <w:rPr>
          <w:rStyle w:val="FootnoteReference"/>
        </w:rPr>
        <w:footnoteRef/>
      </w:r>
      <w:r>
        <w:t xml:space="preserve"> </w:t>
      </w:r>
      <w:r w:rsidRPr="00F80570">
        <w:rPr>
          <w:rFonts w:ascii="Times New Roman" w:hAnsi="Times New Roman" w:cs="Times New Roman"/>
          <w:noProof/>
        </w:rPr>
        <w:t xml:space="preserve">Gardner </w:t>
      </w:r>
      <w:r>
        <w:rPr>
          <w:rFonts w:ascii="Times New Roman" w:hAnsi="Times New Roman" w:cs="Times New Roman"/>
          <w:noProof/>
        </w:rPr>
        <w:t>(n 1)</w:t>
      </w:r>
      <w:r w:rsidRPr="00F80570">
        <w:rPr>
          <w:rFonts w:ascii="Times New Roman" w:hAnsi="Times New Roman" w:cs="Times New Roman"/>
          <w:noProof/>
        </w:rPr>
        <w:t xml:space="preserve"> 96.</w:t>
      </w:r>
    </w:p>
  </w:footnote>
  <w:footnote w:id="18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Johann Ruben Leiæ and Andreas Paulus, ‘Article 103’ in Simma</w:t>
      </w:r>
      <w:r w:rsidRPr="00F80570">
        <w:rPr>
          <w:rFonts w:ascii="Times New Roman" w:hAnsi="Times New Roman" w:cs="Times New Roman"/>
          <w:i/>
          <w:noProof/>
        </w:rPr>
        <w:t xml:space="preserve"> et al</w:t>
      </w:r>
      <w:r>
        <w:rPr>
          <w:rFonts w:ascii="Times New Roman" w:hAnsi="Times New Roman" w:cs="Times New Roman"/>
          <w:iCs/>
          <w:noProof/>
        </w:rPr>
        <w:t xml:space="preserve"> (n 86) </w:t>
      </w:r>
      <w:r w:rsidRPr="00F80570">
        <w:rPr>
          <w:rFonts w:ascii="Times New Roman" w:hAnsi="Times New Roman" w:cs="Times New Roman"/>
          <w:noProof/>
        </w:rPr>
        <w:t>2133.</w:t>
      </w:r>
    </w:p>
  </w:footnote>
  <w:footnote w:id="190">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Pr="00F80570">
        <w:rPr>
          <w:rFonts w:ascii="Times New Roman" w:hAnsi="Times New Roman" w:cs="Times New Roman"/>
        </w:rPr>
        <w:t xml:space="preserve"> </w:t>
      </w:r>
      <w:r w:rsidR="0056618C">
        <w:rPr>
          <w:rFonts w:ascii="Times New Roman" w:hAnsi="Times New Roman" w:cs="Times New Roman"/>
          <w:lang w:val="en-US"/>
        </w:rPr>
        <w:t xml:space="preserve"> </w:t>
      </w:r>
      <w:r>
        <w:rPr>
          <w:rFonts w:ascii="Times New Roman" w:hAnsi="Times New Roman" w:cs="Times New Roman"/>
          <w:noProof/>
          <w:lang w:val="en-US"/>
        </w:rPr>
        <w:t>Ibid</w:t>
      </w:r>
      <w:r w:rsidRPr="00F80570">
        <w:rPr>
          <w:rFonts w:ascii="Times New Roman" w:hAnsi="Times New Roman" w:cs="Times New Roman"/>
          <w:noProof/>
          <w:lang w:val="en-US"/>
        </w:rPr>
        <w:t>, 2123.</w:t>
      </w:r>
    </w:p>
  </w:footnote>
  <w:footnote w:id="191">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w:t>
      </w:r>
      <w:r w:rsidRPr="00F80570">
        <w:rPr>
          <w:rFonts w:ascii="Times New Roman" w:hAnsi="Times New Roman" w:cs="Times New Roman"/>
          <w:i/>
          <w:iCs/>
        </w:rPr>
        <w:t>DRC v Uganda</w:t>
      </w:r>
      <w:r>
        <w:rPr>
          <w:rFonts w:ascii="Times New Roman" w:hAnsi="Times New Roman" w:cs="Times New Roman"/>
        </w:rPr>
        <w:t xml:space="preserve"> (n 27) paras</w:t>
      </w:r>
      <w:r w:rsidRPr="00F80570">
        <w:rPr>
          <w:rFonts w:ascii="Times New Roman" w:hAnsi="Times New Roman" w:cs="Times New Roman"/>
        </w:rPr>
        <w:t xml:space="preserve"> 53-54. For the DRC’s claim about breach of its ‘sovereignty’, including its political independence, see ibid,</w:t>
      </w:r>
      <w:r>
        <w:rPr>
          <w:rFonts w:ascii="Times New Roman" w:hAnsi="Times New Roman" w:cs="Times New Roman"/>
        </w:rPr>
        <w:t xml:space="preserve"> para </w:t>
      </w:r>
      <w:r w:rsidRPr="00F80570">
        <w:rPr>
          <w:rFonts w:ascii="Times New Roman" w:hAnsi="Times New Roman" w:cs="Times New Roman"/>
        </w:rPr>
        <w:t xml:space="preserve">24. It might be argued that the Court might have understood consent to be intrinsic to these obligations. The Court does not make any statements on this point. It is noteworthy, however, that while the judgment does not refer to </w:t>
      </w:r>
      <w:r>
        <w:rPr>
          <w:rFonts w:ascii="Times New Roman" w:hAnsi="Times New Roman" w:cs="Times New Roman"/>
        </w:rPr>
        <w:t>art</w:t>
      </w:r>
      <w:r w:rsidRPr="00F80570">
        <w:rPr>
          <w:rFonts w:ascii="Times New Roman" w:hAnsi="Times New Roman" w:cs="Times New Roman"/>
        </w:rPr>
        <w:t xml:space="preserve"> 20 ARSIWA, the parties directly relied on this provision and addressed it extensively in their pleadings.</w:t>
      </w:r>
    </w:p>
  </w:footnote>
  <w:footnote w:id="192">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Federica Paddeu, ‘Self-Defence as a Circumstance Precluding Wrongfulness: Understanding Article 21 of the Articles on State Responsibility’ (2014) 85 </w:t>
      </w:r>
      <w:r w:rsidRPr="00F80570">
        <w:rPr>
          <w:rFonts w:ascii="Times New Roman" w:hAnsi="Times New Roman" w:cs="Times New Roman"/>
          <w:i/>
          <w:noProof/>
        </w:rPr>
        <w:t>B</w:t>
      </w:r>
      <w:r>
        <w:rPr>
          <w:rFonts w:ascii="Times New Roman" w:hAnsi="Times New Roman" w:cs="Times New Roman"/>
          <w:i/>
          <w:noProof/>
        </w:rPr>
        <w:t xml:space="preserve">ritish </w:t>
      </w:r>
      <w:r w:rsidRPr="00F80570">
        <w:rPr>
          <w:rFonts w:ascii="Times New Roman" w:hAnsi="Times New Roman" w:cs="Times New Roman"/>
          <w:i/>
          <w:noProof/>
        </w:rPr>
        <w:t>Y</w:t>
      </w:r>
      <w:r>
        <w:rPr>
          <w:rFonts w:ascii="Times New Roman" w:hAnsi="Times New Roman" w:cs="Times New Roman"/>
          <w:i/>
          <w:noProof/>
        </w:rPr>
        <w:t xml:space="preserve">earbook of </w:t>
      </w:r>
      <w:r w:rsidRPr="00F80570">
        <w:rPr>
          <w:rFonts w:ascii="Times New Roman" w:hAnsi="Times New Roman" w:cs="Times New Roman"/>
          <w:i/>
          <w:noProof/>
        </w:rPr>
        <w:t>I</w:t>
      </w:r>
      <w:r>
        <w:rPr>
          <w:rFonts w:ascii="Times New Roman" w:hAnsi="Times New Roman" w:cs="Times New Roman"/>
          <w:i/>
          <w:noProof/>
        </w:rPr>
        <w:t xml:space="preserve">nternatioanl </w:t>
      </w:r>
      <w:r w:rsidRPr="00F80570">
        <w:rPr>
          <w:rFonts w:ascii="Times New Roman" w:hAnsi="Times New Roman" w:cs="Times New Roman"/>
          <w:i/>
          <w:noProof/>
        </w:rPr>
        <w:t>L</w:t>
      </w:r>
      <w:r>
        <w:rPr>
          <w:rFonts w:ascii="Times New Roman" w:hAnsi="Times New Roman" w:cs="Times New Roman"/>
          <w:i/>
          <w:noProof/>
        </w:rPr>
        <w:t>aw</w:t>
      </w:r>
      <w:r w:rsidRPr="00F80570">
        <w:rPr>
          <w:rFonts w:ascii="Times New Roman" w:hAnsi="Times New Roman" w:cs="Times New Roman"/>
          <w:i/>
          <w:noProof/>
        </w:rPr>
        <w:t xml:space="preserve"> </w:t>
      </w:r>
      <w:r w:rsidRPr="00F80570">
        <w:rPr>
          <w:rFonts w:ascii="Times New Roman" w:hAnsi="Times New Roman" w:cs="Times New Roman"/>
          <w:noProof/>
        </w:rPr>
        <w:t>90, 119-25.</w:t>
      </w:r>
    </w:p>
  </w:footnote>
  <w:footnote w:id="19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Katie Johnston and Tom </w:t>
      </w:r>
      <w:proofErr w:type="spellStart"/>
      <w:r w:rsidRPr="00F80570">
        <w:rPr>
          <w:rFonts w:ascii="Times New Roman" w:hAnsi="Times New Roman" w:cs="Times New Roman"/>
        </w:rPr>
        <w:t>Ruys</w:t>
      </w:r>
      <w:proofErr w:type="spellEnd"/>
      <w:r w:rsidRPr="00F80570">
        <w:rPr>
          <w:rFonts w:ascii="Times New Roman" w:hAnsi="Times New Roman" w:cs="Times New Roman"/>
        </w:rPr>
        <w:t xml:space="preserve">, in comments on this paper, suggested that this was simply the replacement of an analytical conundrum with another, for ultimately the prohibition of aggression too would need to have an exception of non-consent in its definition. </w:t>
      </w:r>
      <w:r w:rsidR="00EA4827">
        <w:rPr>
          <w:rFonts w:ascii="Times New Roman" w:hAnsi="Times New Roman" w:cs="Times New Roman"/>
        </w:rPr>
        <w:t>But t</w:t>
      </w:r>
      <w:r w:rsidRPr="00F80570">
        <w:rPr>
          <w:rFonts w:ascii="Times New Roman" w:hAnsi="Times New Roman" w:cs="Times New Roman"/>
        </w:rPr>
        <w:t xml:space="preserve">his </w:t>
      </w:r>
      <w:r w:rsidR="00EA4827">
        <w:rPr>
          <w:rFonts w:ascii="Times New Roman" w:hAnsi="Times New Roman" w:cs="Times New Roman"/>
        </w:rPr>
        <w:t xml:space="preserve">is not </w:t>
      </w:r>
      <w:r w:rsidRPr="00F80570">
        <w:rPr>
          <w:rFonts w:ascii="Times New Roman" w:hAnsi="Times New Roman" w:cs="Times New Roman"/>
        </w:rPr>
        <w:t>the case. C</w:t>
      </w:r>
      <w:r w:rsidR="00EA4827">
        <w:rPr>
          <w:rFonts w:ascii="Times New Roman" w:hAnsi="Times New Roman" w:cs="Times New Roman"/>
        </w:rPr>
        <w:t>onsent c</w:t>
      </w:r>
      <w:r w:rsidRPr="00F80570">
        <w:rPr>
          <w:rFonts w:ascii="Times New Roman" w:hAnsi="Times New Roman" w:cs="Times New Roman"/>
        </w:rPr>
        <w:t>annot overcome the prohibition of aggression, as this is a peremptory rule (there cannot be a consensual aggression). So the analytical conundrum does not really arise, as consent is irrelevant. We might say that the reasons given by peremptory rules, unlike those given by ordinary rules, are exclusionary or indefeasible: they may not be overcome</w:t>
      </w:r>
      <w:r w:rsidR="00EA4827">
        <w:rPr>
          <w:rFonts w:ascii="Times New Roman" w:hAnsi="Times New Roman" w:cs="Times New Roman"/>
        </w:rPr>
        <w:t xml:space="preserve"> by other considerations or factors</w:t>
      </w:r>
      <w:r w:rsidRPr="00F80570">
        <w:rPr>
          <w:rFonts w:ascii="Times New Roman" w:hAnsi="Times New Roman" w:cs="Times New Roman"/>
        </w:rPr>
        <w:t>, not even by consent.</w:t>
      </w:r>
    </w:p>
  </w:footnote>
  <w:footnote w:id="194">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noProof/>
        </w:rPr>
        <w:t xml:space="preserve">Corten </w:t>
      </w:r>
      <w:r>
        <w:rPr>
          <w:rFonts w:ascii="Times New Roman" w:hAnsi="Times New Roman" w:cs="Times New Roman"/>
          <w:noProof/>
        </w:rPr>
        <w:t xml:space="preserve">(n 90) </w:t>
      </w:r>
      <w:r w:rsidRPr="00F80570">
        <w:rPr>
          <w:rFonts w:ascii="Times New Roman" w:hAnsi="Times New Roman" w:cs="Times New Roman"/>
          <w:noProof/>
        </w:rPr>
        <w:t>359-64.</w:t>
      </w:r>
    </w:p>
  </w:footnote>
  <w:footnote w:id="19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For an overview, see: </w:t>
      </w:r>
      <w:r w:rsidRPr="00F80570">
        <w:rPr>
          <w:rFonts w:ascii="Times New Roman" w:hAnsi="Times New Roman" w:cs="Times New Roman"/>
          <w:noProof/>
        </w:rPr>
        <w:t xml:space="preserve">Paddeu </w:t>
      </w:r>
      <w:r>
        <w:rPr>
          <w:rFonts w:ascii="Times New Roman" w:hAnsi="Times New Roman" w:cs="Times New Roman"/>
          <w:noProof/>
        </w:rPr>
        <w:t xml:space="preserve">(n 75) </w:t>
      </w:r>
      <w:r w:rsidRPr="00F80570">
        <w:rPr>
          <w:rFonts w:ascii="Times New Roman" w:hAnsi="Times New Roman" w:cs="Times New Roman"/>
          <w:noProof/>
        </w:rPr>
        <w:t>238-45.</w:t>
      </w:r>
    </w:p>
  </w:footnote>
  <w:footnote w:id="196">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Commentary to ARSIWA </w:t>
      </w:r>
      <w:r>
        <w:rPr>
          <w:rFonts w:ascii="Times New Roman" w:hAnsi="Times New Roman" w:cs="Times New Roman"/>
        </w:rPr>
        <w:t xml:space="preserve">art </w:t>
      </w:r>
      <w:r w:rsidRPr="00F80570">
        <w:rPr>
          <w:rFonts w:ascii="Times New Roman" w:hAnsi="Times New Roman" w:cs="Times New Roman"/>
        </w:rPr>
        <w:t>25, para 21.</w:t>
      </w:r>
    </w:p>
  </w:footnote>
  <w:footnote w:id="197">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For an exception, see the argument of Belgium in </w:t>
      </w:r>
      <w:r w:rsidRPr="00F80570">
        <w:rPr>
          <w:rFonts w:ascii="Times New Roman" w:hAnsi="Times New Roman" w:cs="Times New Roman"/>
          <w:i/>
        </w:rPr>
        <w:t>Legality of Use of Force</w:t>
      </w:r>
      <w:r w:rsidRPr="00F80570">
        <w:rPr>
          <w:rFonts w:ascii="Times New Roman" w:hAnsi="Times New Roman" w:cs="Times New Roman"/>
        </w:rPr>
        <w:t xml:space="preserve">, </w:t>
      </w:r>
      <w:r w:rsidRPr="00F80570">
        <w:rPr>
          <w:rFonts w:ascii="Times New Roman" w:hAnsi="Times New Roman" w:cs="Times New Roman"/>
          <w:lang w:val="en-US"/>
        </w:rPr>
        <w:t>CR 1999/15, Wednesday 10 May 1999, at 15-18.</w:t>
      </w:r>
    </w:p>
  </w:footnote>
  <w:footnote w:id="198">
    <w:p w:rsidR="00AF7273" w:rsidRPr="00F80570" w:rsidRDefault="00AF7273" w:rsidP="00AF7273">
      <w:pPr>
        <w:pStyle w:val="FootnoteText"/>
        <w:jc w:val="both"/>
        <w:rPr>
          <w:rFonts w:ascii="Times New Roman" w:hAnsi="Times New Roman" w:cs="Times New Roman"/>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See the evidence provided in </w:t>
      </w:r>
      <w:r w:rsidRPr="00F80570">
        <w:rPr>
          <w:rFonts w:ascii="Times New Roman" w:hAnsi="Times New Roman" w:cs="Times New Roman"/>
          <w:noProof/>
        </w:rPr>
        <w:t xml:space="preserve">Corten </w:t>
      </w:r>
      <w:r>
        <w:rPr>
          <w:rFonts w:ascii="Times New Roman" w:hAnsi="Times New Roman" w:cs="Times New Roman"/>
          <w:noProof/>
        </w:rPr>
        <w:t xml:space="preserve">(n 90) </w:t>
      </w:r>
      <w:r w:rsidRPr="00F80570">
        <w:rPr>
          <w:rFonts w:ascii="Times New Roman" w:hAnsi="Times New Roman" w:cs="Times New Roman"/>
          <w:noProof/>
        </w:rPr>
        <w:t>364-8.</w:t>
      </w:r>
    </w:p>
  </w:footnote>
  <w:footnote w:id="199">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Corten’s overview of the debates within the Sixth Commission of the UNGA reveal that for many States, the plea of necessity was inapplicable to the prohibition of force either because it was excluded by the Charter, or because it was excluded by the formulation of the defence itself (the interest impaired – the non-use of force – would be an essential interest of the other State. See: </w:t>
      </w:r>
      <w:r w:rsidRPr="00F80570">
        <w:rPr>
          <w:rFonts w:ascii="Times New Roman" w:hAnsi="Times New Roman" w:cs="Times New Roman"/>
          <w:noProof/>
        </w:rPr>
        <w:t xml:space="preserve">Corten </w:t>
      </w:r>
      <w:r>
        <w:rPr>
          <w:rFonts w:ascii="Times New Roman" w:hAnsi="Times New Roman" w:cs="Times New Roman"/>
          <w:noProof/>
        </w:rPr>
        <w:t xml:space="preserve">(n 90) </w:t>
      </w:r>
      <w:r w:rsidRPr="00F80570">
        <w:rPr>
          <w:rFonts w:ascii="Times New Roman" w:hAnsi="Times New Roman" w:cs="Times New Roman"/>
          <w:noProof/>
        </w:rPr>
        <w:t>364-6.</w:t>
      </w:r>
    </w:p>
  </w:footnote>
  <w:footnote w:id="200">
    <w:p w:rsidR="000F0FC8" w:rsidRPr="000F0FC8" w:rsidRDefault="000F0FC8">
      <w:pPr>
        <w:pStyle w:val="FootnoteText"/>
        <w:rPr>
          <w:rFonts w:ascii="Times New Roman" w:hAnsi="Times New Roman" w:cs="Times New Roman"/>
          <w:lang w:val="en-US"/>
        </w:rPr>
      </w:pPr>
      <w:r w:rsidRPr="000F0FC8">
        <w:rPr>
          <w:rStyle w:val="FootnoteReference"/>
          <w:rFonts w:ascii="Times New Roman" w:hAnsi="Times New Roman" w:cs="Times New Roman"/>
        </w:rPr>
        <w:footnoteRef/>
      </w:r>
      <w:r w:rsidR="0056618C">
        <w:rPr>
          <w:rFonts w:ascii="Times New Roman" w:hAnsi="Times New Roman" w:cs="Times New Roman"/>
        </w:rPr>
        <w:t xml:space="preserve"> </w:t>
      </w:r>
      <w:r w:rsidRPr="000F0FC8">
        <w:rPr>
          <w:rFonts w:ascii="Times New Roman" w:hAnsi="Times New Roman" w:cs="Times New Roman"/>
        </w:rPr>
        <w:t>Art 53, Vienna Convention on the Law of Treaties (1969) 1155 UNTS 331.</w:t>
      </w:r>
    </w:p>
  </w:footnote>
  <w:footnote w:id="201">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 xml:space="preserve">The ‘system [regulating the use of force] as it stands allows for the legal elasticity required to adapt to the changing world of security threats and forcible action’: </w:t>
      </w:r>
      <w:r w:rsidRPr="00F80570">
        <w:rPr>
          <w:rFonts w:ascii="Times New Roman" w:hAnsi="Times New Roman" w:cs="Times New Roman"/>
          <w:noProof/>
        </w:rPr>
        <w:t xml:space="preserve">Green </w:t>
      </w:r>
      <w:r>
        <w:rPr>
          <w:rFonts w:ascii="Times New Roman" w:hAnsi="Times New Roman" w:cs="Times New Roman"/>
          <w:noProof/>
        </w:rPr>
        <w:t xml:space="preserve">(n 10) </w:t>
      </w:r>
      <w:r w:rsidRPr="00F80570">
        <w:rPr>
          <w:rFonts w:ascii="Times New Roman" w:hAnsi="Times New Roman" w:cs="Times New Roman"/>
          <w:noProof/>
        </w:rPr>
        <w:t>237, generally 236-41.</w:t>
      </w:r>
    </w:p>
  </w:footnote>
  <w:footnote w:id="202">
    <w:p w:rsidR="00AF7273" w:rsidRPr="000F0FC8" w:rsidRDefault="00AF7273" w:rsidP="000F0FC8">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proofErr w:type="spellStart"/>
      <w:r w:rsidR="000F0FC8">
        <w:rPr>
          <w:rFonts w:ascii="Times New Roman" w:hAnsi="Times New Roman" w:cs="Times New Roman"/>
        </w:rPr>
        <w:t>Dapo</w:t>
      </w:r>
      <w:proofErr w:type="spellEnd"/>
      <w:r w:rsidR="000F0FC8">
        <w:rPr>
          <w:rFonts w:ascii="Times New Roman" w:hAnsi="Times New Roman" w:cs="Times New Roman"/>
        </w:rPr>
        <w:t xml:space="preserve"> </w:t>
      </w:r>
      <w:r w:rsidRPr="000F0FC8">
        <w:rPr>
          <w:rFonts w:ascii="Times New Roman" w:hAnsi="Times New Roman" w:cs="Times New Roman"/>
        </w:rPr>
        <w:t>Akande, ‘The Diversity of Rules on the Use of Force</w:t>
      </w:r>
      <w:r w:rsidR="000F0FC8" w:rsidRPr="000F0FC8">
        <w:rPr>
          <w:rFonts w:ascii="Times New Roman" w:hAnsi="Times New Roman" w:cs="Times New Roman"/>
        </w:rPr>
        <w:t>: Implications for the Evolution of the Law</w:t>
      </w:r>
      <w:r w:rsidRPr="000F0FC8">
        <w:rPr>
          <w:rFonts w:ascii="Times New Roman" w:hAnsi="Times New Roman" w:cs="Times New Roman"/>
        </w:rPr>
        <w:t>’</w:t>
      </w:r>
      <w:r w:rsidR="000F0FC8" w:rsidRPr="000F0FC8">
        <w:rPr>
          <w:rFonts w:ascii="Times New Roman" w:hAnsi="Times New Roman" w:cs="Times New Roman"/>
        </w:rPr>
        <w:t xml:space="preserve">, </w:t>
      </w:r>
      <w:proofErr w:type="spellStart"/>
      <w:r w:rsidR="000F0FC8" w:rsidRPr="000F0FC8">
        <w:rPr>
          <w:rFonts w:ascii="Times New Roman" w:hAnsi="Times New Roman" w:cs="Times New Roman"/>
          <w:i/>
          <w:iCs/>
        </w:rPr>
        <w:t>EJIL:Talk</w:t>
      </w:r>
      <w:proofErr w:type="spellEnd"/>
      <w:r w:rsidR="000F0FC8" w:rsidRPr="000F0FC8">
        <w:rPr>
          <w:rFonts w:ascii="Times New Roman" w:hAnsi="Times New Roman" w:cs="Times New Roman"/>
          <w:i/>
          <w:iCs/>
        </w:rPr>
        <w:t>!</w:t>
      </w:r>
      <w:r w:rsidR="000F0FC8" w:rsidRPr="000F0FC8">
        <w:rPr>
          <w:rFonts w:ascii="Times New Roman" w:hAnsi="Times New Roman" w:cs="Times New Roman"/>
        </w:rPr>
        <w:t xml:space="preserve"> (11 November 2019), </w:t>
      </w:r>
      <w:hyperlink r:id="rId28" w:history="1">
        <w:r w:rsidR="000F0FC8" w:rsidRPr="000F0FC8">
          <w:rPr>
            <w:rStyle w:val="Hyperlink"/>
            <w:rFonts w:ascii="Times New Roman" w:hAnsi="Times New Roman" w:cs="Times New Roman"/>
          </w:rPr>
          <w:t>https://www.ejiltalk.org/the-diversity-of-rules-on-the-use-of-force-implications-for-the-evolution-of-the-law/</w:t>
        </w:r>
      </w:hyperlink>
      <w:r w:rsidR="000F0FC8" w:rsidRPr="000F0FC8">
        <w:rPr>
          <w:rFonts w:ascii="Times New Roman" w:hAnsi="Times New Roman" w:cs="Times New Roman"/>
        </w:rPr>
        <w:t>.</w:t>
      </w:r>
    </w:p>
  </w:footnote>
  <w:footnote w:id="203">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56618C">
        <w:rPr>
          <w:rFonts w:ascii="Times New Roman" w:hAnsi="Times New Roman" w:cs="Times New Roman"/>
        </w:rPr>
        <w:t xml:space="preserve"> </w:t>
      </w:r>
      <w:r w:rsidRPr="00F80570">
        <w:rPr>
          <w:rFonts w:ascii="Times New Roman" w:hAnsi="Times New Roman" w:cs="Times New Roman"/>
        </w:rPr>
        <w:t>This is not to say that rules that protect important values are</w:t>
      </w:r>
      <w:r w:rsidR="000F0FC8">
        <w:rPr>
          <w:rFonts w:ascii="Times New Roman" w:hAnsi="Times New Roman" w:cs="Times New Roman"/>
          <w:i/>
          <w:iCs/>
        </w:rPr>
        <w:t xml:space="preserve"> </w:t>
      </w:r>
      <w:r w:rsidRPr="00F80570">
        <w:rPr>
          <w:rFonts w:ascii="Times New Roman" w:hAnsi="Times New Roman" w:cs="Times New Roman"/>
        </w:rPr>
        <w:t xml:space="preserve">peremptory. Peremptory status does not derive from the importance of the underlying values; it derives from </w:t>
      </w:r>
      <w:r>
        <w:rPr>
          <w:rFonts w:ascii="Times New Roman" w:hAnsi="Times New Roman" w:cs="Times New Roman"/>
        </w:rPr>
        <w:t>s</w:t>
      </w:r>
      <w:r w:rsidRPr="00F80570">
        <w:rPr>
          <w:rFonts w:ascii="Times New Roman" w:hAnsi="Times New Roman" w:cs="Times New Roman"/>
        </w:rPr>
        <w:t xml:space="preserve">tate consent. But </w:t>
      </w:r>
      <w:r w:rsidR="000F0FC8">
        <w:rPr>
          <w:rFonts w:ascii="Times New Roman" w:hAnsi="Times New Roman" w:cs="Times New Roman"/>
        </w:rPr>
        <w:t>s</w:t>
      </w:r>
      <w:r w:rsidRPr="00F80570">
        <w:rPr>
          <w:rFonts w:ascii="Times New Roman" w:hAnsi="Times New Roman" w:cs="Times New Roman"/>
        </w:rPr>
        <w:t>tates may choose to ‘accept and recognise’ a certain rule as peremptory because of the importance of the values that the rule protects.</w:t>
      </w:r>
    </w:p>
  </w:footnote>
  <w:footnote w:id="204">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F46C9A">
        <w:rPr>
          <w:rFonts w:ascii="Times New Roman" w:hAnsi="Times New Roman" w:cs="Times New Roman"/>
        </w:rPr>
        <w:t xml:space="preserve"> </w:t>
      </w:r>
      <w:r w:rsidRPr="00F80570">
        <w:rPr>
          <w:rFonts w:ascii="Times New Roman" w:hAnsi="Times New Roman" w:cs="Times New Roman"/>
        </w:rPr>
        <w:t xml:space="preserve">See the collection of practice and </w:t>
      </w:r>
      <w:proofErr w:type="spellStart"/>
      <w:r w:rsidRPr="00F80570">
        <w:rPr>
          <w:rFonts w:ascii="Times New Roman" w:hAnsi="Times New Roman" w:cs="Times New Roman"/>
          <w:i/>
          <w:iCs/>
        </w:rPr>
        <w:t>opinio</w:t>
      </w:r>
      <w:proofErr w:type="spellEnd"/>
      <w:r w:rsidRPr="00F80570">
        <w:rPr>
          <w:rFonts w:ascii="Times New Roman" w:hAnsi="Times New Roman" w:cs="Times New Roman"/>
          <w:i/>
          <w:iCs/>
        </w:rPr>
        <w:t xml:space="preserve"> juris</w:t>
      </w:r>
      <w:r w:rsidRPr="00F80570">
        <w:rPr>
          <w:rFonts w:ascii="Times New Roman" w:hAnsi="Times New Roman" w:cs="Times New Roman"/>
        </w:rPr>
        <w:t xml:space="preserve"> in Corten</w:t>
      </w:r>
      <w:r>
        <w:rPr>
          <w:rFonts w:ascii="Times New Roman" w:hAnsi="Times New Roman" w:cs="Times New Roman"/>
        </w:rPr>
        <w:t xml:space="preserve"> (n 90)</w:t>
      </w:r>
      <w:r w:rsidRPr="00F80570">
        <w:rPr>
          <w:rFonts w:ascii="Times New Roman" w:hAnsi="Times New Roman" w:cs="Times New Roman"/>
        </w:rPr>
        <w:t xml:space="preserve"> 342-9.</w:t>
      </w:r>
    </w:p>
  </w:footnote>
  <w:footnote w:id="205">
    <w:p w:rsidR="00AF7273" w:rsidRPr="00F80570" w:rsidRDefault="00AF7273" w:rsidP="00AF7273">
      <w:pPr>
        <w:pStyle w:val="FootnoteText"/>
        <w:jc w:val="both"/>
        <w:rPr>
          <w:rFonts w:ascii="Times New Roman" w:hAnsi="Times New Roman" w:cs="Times New Roman"/>
          <w:lang w:val="en-US"/>
        </w:rPr>
      </w:pPr>
      <w:r w:rsidRPr="00F80570">
        <w:rPr>
          <w:rStyle w:val="FootnoteReference"/>
          <w:rFonts w:ascii="Times New Roman" w:hAnsi="Times New Roman" w:cs="Times New Roman"/>
        </w:rPr>
        <w:footnoteRef/>
      </w:r>
      <w:r w:rsidR="00F46C9A">
        <w:rPr>
          <w:rFonts w:ascii="Times New Roman" w:hAnsi="Times New Roman" w:cs="Times New Roman"/>
        </w:rPr>
        <w:t xml:space="preserve"> </w:t>
      </w:r>
      <w:r w:rsidRPr="00F80570">
        <w:rPr>
          <w:rFonts w:ascii="Times New Roman" w:hAnsi="Times New Roman" w:cs="Times New Roman"/>
        </w:rPr>
        <w:t xml:space="preserve">In the sense of </w:t>
      </w:r>
      <w:proofErr w:type="spellStart"/>
      <w:r w:rsidRPr="00F80570">
        <w:rPr>
          <w:rFonts w:ascii="Times New Roman" w:hAnsi="Times New Roman" w:cs="Times New Roman"/>
        </w:rPr>
        <w:t>Koskenniemi’s</w:t>
      </w:r>
      <w:proofErr w:type="spellEnd"/>
      <w:r w:rsidRPr="00F80570">
        <w:rPr>
          <w:rFonts w:ascii="Times New Roman" w:hAnsi="Times New Roman" w:cs="Times New Roman"/>
        </w:rPr>
        <w:t xml:space="preserve"> </w:t>
      </w:r>
      <w:r w:rsidRPr="00F80570">
        <w:rPr>
          <w:rFonts w:ascii="Times New Roman" w:hAnsi="Times New Roman" w:cs="Times New Roman"/>
          <w:i/>
          <w:noProof/>
        </w:rPr>
        <w:t>From Apology to Utopia: The Structure of International Legal Argument</w:t>
      </w:r>
      <w:r w:rsidRPr="00F80570">
        <w:rPr>
          <w:rFonts w:ascii="Times New Roman" w:hAnsi="Times New Roman" w:cs="Times New Roman"/>
          <w:noProof/>
        </w:rPr>
        <w:t xml:space="preserve"> (CUP, 2006).</w:t>
      </w:r>
    </w:p>
  </w:footnote>
  <w:footnote w:id="206">
    <w:p w:rsidR="00AF7273" w:rsidRPr="00F80570" w:rsidRDefault="00AF7273" w:rsidP="00AF7273">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F46C9A">
        <w:rPr>
          <w:rFonts w:ascii="Times New Roman" w:hAnsi="Times New Roman" w:cs="Times New Roman"/>
        </w:rPr>
        <w:t xml:space="preserve"> </w:t>
      </w:r>
      <w:r w:rsidRPr="00F80570">
        <w:rPr>
          <w:rFonts w:ascii="Times New Roman" w:hAnsi="Times New Roman" w:cs="Times New Roman"/>
        </w:rPr>
        <w:t xml:space="preserve">See, </w:t>
      </w:r>
      <w:r>
        <w:rPr>
          <w:rFonts w:ascii="Times New Roman" w:hAnsi="Times New Roman" w:cs="Times New Roman"/>
        </w:rPr>
        <w:t>e.</w:t>
      </w:r>
      <w:r w:rsidRPr="00F80570">
        <w:rPr>
          <w:rFonts w:ascii="Times New Roman" w:hAnsi="Times New Roman" w:cs="Times New Roman"/>
        </w:rPr>
        <w:t>g</w:t>
      </w:r>
      <w:r>
        <w:rPr>
          <w:rFonts w:ascii="Times New Roman" w:hAnsi="Times New Roman" w:cs="Times New Roman"/>
        </w:rPr>
        <w:t>.</w:t>
      </w:r>
      <w:r w:rsidRPr="00F80570">
        <w:rPr>
          <w:rFonts w:ascii="Times New Roman" w:hAnsi="Times New Roman" w:cs="Times New Roman"/>
        </w:rPr>
        <w:t xml:space="preserve"> </w:t>
      </w:r>
      <w:r w:rsidRPr="00F80570">
        <w:rPr>
          <w:rFonts w:ascii="Times New Roman" w:hAnsi="Times New Roman" w:cs="Times New Roman"/>
          <w:noProof/>
        </w:rPr>
        <w:t>Linderfalk</w:t>
      </w:r>
      <w:r>
        <w:rPr>
          <w:rFonts w:ascii="Times New Roman" w:hAnsi="Times New Roman" w:cs="Times New Roman"/>
          <w:noProof/>
        </w:rPr>
        <w:t>,</w:t>
      </w:r>
      <w:r w:rsidRPr="00F80570">
        <w:rPr>
          <w:rFonts w:ascii="Times New Roman" w:hAnsi="Times New Roman" w:cs="Times New Roman"/>
          <w:noProof/>
        </w:rPr>
        <w:t xml:space="preserve"> Green</w:t>
      </w:r>
      <w:r>
        <w:rPr>
          <w:rFonts w:ascii="Times New Roman" w:hAnsi="Times New Roman" w:cs="Times New Roman"/>
          <w:noProof/>
        </w:rPr>
        <w:t>,</w:t>
      </w:r>
      <w:r w:rsidRPr="00F80570">
        <w:rPr>
          <w:rFonts w:ascii="Times New Roman" w:hAnsi="Times New Roman" w:cs="Times New Roman"/>
          <w:noProof/>
        </w:rPr>
        <w:t xml:space="preserve"> </w:t>
      </w:r>
      <w:r>
        <w:rPr>
          <w:rFonts w:ascii="Times New Roman" w:hAnsi="Times New Roman" w:cs="Times New Roman"/>
          <w:noProof/>
        </w:rPr>
        <w:t xml:space="preserve">and </w:t>
      </w:r>
      <w:r w:rsidRPr="00F80570">
        <w:rPr>
          <w:rFonts w:ascii="Times New Roman" w:hAnsi="Times New Roman" w:cs="Times New Roman"/>
          <w:noProof/>
        </w:rPr>
        <w:t>de Hoogh</w:t>
      </w:r>
      <w:r>
        <w:rPr>
          <w:rFonts w:ascii="Times New Roman" w:hAnsi="Times New Roman" w:cs="Times New Roman"/>
          <w:noProof/>
        </w:rPr>
        <w:t>, all at n 10</w:t>
      </w:r>
      <w:r w:rsidRPr="00F80570">
        <w:rPr>
          <w:rFonts w:ascii="Times New Roman" w:hAnsi="Times New Roman" w:cs="Times New Roman"/>
          <w:noProof/>
        </w:rPr>
        <w:t>.</w:t>
      </w:r>
    </w:p>
  </w:footnote>
  <w:footnote w:id="207">
    <w:p w:rsidR="000F0FC8" w:rsidRPr="00F80570" w:rsidRDefault="000F0FC8" w:rsidP="000F0FC8">
      <w:pPr>
        <w:pStyle w:val="FootnoteText"/>
        <w:rPr>
          <w:rFonts w:ascii="Times New Roman" w:hAnsi="Times New Roman" w:cs="Times New Roman"/>
          <w:lang w:val="en-US"/>
        </w:rPr>
      </w:pPr>
      <w:r w:rsidRPr="00F80570">
        <w:rPr>
          <w:rStyle w:val="FootnoteReference"/>
          <w:rFonts w:ascii="Times New Roman" w:hAnsi="Times New Roman" w:cs="Times New Roman"/>
        </w:rPr>
        <w:footnoteRef/>
      </w:r>
      <w:r w:rsidR="00F46C9A">
        <w:rPr>
          <w:rFonts w:ascii="Times New Roman" w:hAnsi="Times New Roman" w:cs="Times New Roman"/>
        </w:rPr>
        <w:t xml:space="preserve"> </w:t>
      </w:r>
      <w:r w:rsidRPr="00F80570">
        <w:rPr>
          <w:rFonts w:ascii="Times New Roman" w:hAnsi="Times New Roman" w:cs="Times New Roman"/>
          <w:i/>
          <w:iCs/>
        </w:rPr>
        <w:t>DRC v Uganda</w:t>
      </w:r>
      <w:r>
        <w:rPr>
          <w:rFonts w:ascii="Times New Roman" w:hAnsi="Times New Roman" w:cs="Times New Roman"/>
        </w:rPr>
        <w:t xml:space="preserve"> (n 27) para </w:t>
      </w:r>
      <w:r w:rsidRPr="00F80570">
        <w:rPr>
          <w:rFonts w:ascii="Times New Roman" w:hAnsi="Times New Roman" w:cs="Times New Roman"/>
        </w:rPr>
        <w:t>48.</w:t>
      </w:r>
    </w:p>
  </w:footnote>
  <w:footnote w:id="208">
    <w:p w:rsidR="000F0FC8" w:rsidRPr="000F0FC8" w:rsidRDefault="000F0FC8">
      <w:pPr>
        <w:pStyle w:val="FootnoteText"/>
        <w:rPr>
          <w:lang w:val="en-US"/>
        </w:rPr>
      </w:pPr>
      <w:r>
        <w:rPr>
          <w:rStyle w:val="FootnoteReference"/>
        </w:rPr>
        <w:footnoteRef/>
      </w:r>
      <w:r w:rsidR="00F46C9A">
        <w:t xml:space="preserve"> </w:t>
      </w:r>
      <w:r w:rsidR="00E0157D" w:rsidRPr="00F80570">
        <w:rPr>
          <w:rFonts w:ascii="Times New Roman" w:hAnsi="Times New Roman" w:cs="Times New Roman"/>
          <w:noProof/>
        </w:rPr>
        <w:t>Dörr and Randelzhofer</w:t>
      </w:r>
      <w:r w:rsidR="00E0157D">
        <w:rPr>
          <w:rFonts w:ascii="Times New Roman" w:hAnsi="Times New Roman" w:cs="Times New Roman"/>
          <w:noProof/>
        </w:rPr>
        <w:t xml:space="preserve"> (n 86)</w:t>
      </w:r>
      <w:r w:rsidR="00E0157D" w:rsidRPr="00F80570">
        <w:rPr>
          <w:rFonts w:ascii="Times New Roman" w:hAnsi="Times New Roman" w:cs="Times New Roman"/>
          <w:noProof/>
        </w:rPr>
        <w:t xml:space="preserve"> 2</w:t>
      </w:r>
      <w:r w:rsidR="00F46C9A">
        <w:rPr>
          <w:rFonts w:ascii="Times New Roman" w:hAnsi="Times New Roman" w:cs="Times New Roman"/>
          <w:noProof/>
        </w:rPr>
        <w:t>03</w:t>
      </w:r>
      <w:r w:rsidR="00E0157D" w:rsidRPr="00F80570">
        <w:rPr>
          <w:rFonts w:ascii="Times New Roman" w:hAnsi="Times New Roman" w:cs="Times New Roman"/>
          <w:noProof/>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934D54"/>
    <w:multiLevelType w:val="hybridMultilevel"/>
    <w:tmpl w:val="B3183240"/>
    <w:lvl w:ilvl="0" w:tplc="E522E130">
      <w:numFmt w:val="bullet"/>
      <w:lvlText w:val="-"/>
      <w:lvlJc w:val="left"/>
      <w:pPr>
        <w:ind w:left="420" w:hanging="360"/>
      </w:pPr>
      <w:rPr>
        <w:rFonts w:ascii="book antiqua" w:eastAsiaTheme="minorHAnsi" w:hAnsi="book antiqua" w:cstheme="minorBidi" w:hint="default"/>
      </w:rPr>
    </w:lvl>
    <w:lvl w:ilvl="1" w:tplc="04090003">
      <w:start w:val="1"/>
      <w:numFmt w:val="bullet"/>
      <w:lvlText w:val="o"/>
      <w:lvlJc w:val="left"/>
      <w:pPr>
        <w:ind w:left="1140" w:hanging="360"/>
      </w:pPr>
      <w:rPr>
        <w:rFonts w:ascii="Courier New" w:hAnsi="Courier New" w:cs="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cs="Courier New" w:hint="default"/>
      </w:rPr>
    </w:lvl>
    <w:lvl w:ilvl="5" w:tplc="04090005">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 w15:restartNumberingAfterBreak="0">
    <w:nsid w:val="17303B05"/>
    <w:multiLevelType w:val="multilevel"/>
    <w:tmpl w:val="255EE3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19700EAF"/>
    <w:multiLevelType w:val="hybridMultilevel"/>
    <w:tmpl w:val="58E833CA"/>
    <w:lvl w:ilvl="0" w:tplc="C08AF0AA">
      <w:start w:val="1"/>
      <w:numFmt w:val="lowerRoman"/>
      <w:lvlText w:val="(%1)"/>
      <w:lvlJc w:val="left"/>
      <w:pPr>
        <w:ind w:left="1080" w:hanging="72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B757A9"/>
    <w:multiLevelType w:val="multilevel"/>
    <w:tmpl w:val="F134DBFC"/>
    <w:lvl w:ilvl="0">
      <w:start w:val="6"/>
      <w:numFmt w:val="decimal"/>
      <w:lvlText w:val="%1."/>
      <w:lvlJc w:val="left"/>
      <w:pPr>
        <w:ind w:left="360" w:hanging="360"/>
      </w:pPr>
      <w:rPr>
        <w:rFonts w:hint="default"/>
        <w:sz w:val="24"/>
        <w:szCs w:val="24"/>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2FA9183D"/>
    <w:multiLevelType w:val="hybridMultilevel"/>
    <w:tmpl w:val="B75A6F52"/>
    <w:lvl w:ilvl="0" w:tplc="C074BF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18B51CC"/>
    <w:multiLevelType w:val="multilevel"/>
    <w:tmpl w:val="071AC0F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981BF7"/>
    <w:multiLevelType w:val="multilevel"/>
    <w:tmpl w:val="CCDCD216"/>
    <w:lvl w:ilvl="0">
      <w:start w:val="5"/>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7" w15:restartNumberingAfterBreak="0">
    <w:nsid w:val="367C01C1"/>
    <w:multiLevelType w:val="multilevel"/>
    <w:tmpl w:val="0A62C636"/>
    <w:lvl w:ilvl="0">
      <w:start w:val="5"/>
      <w:numFmt w:val="decimal"/>
      <w:lvlText w:val="%1."/>
      <w:lvlJc w:val="left"/>
      <w:pPr>
        <w:ind w:left="540" w:hanging="54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8" w15:restartNumberingAfterBreak="0">
    <w:nsid w:val="378076BD"/>
    <w:multiLevelType w:val="multilevel"/>
    <w:tmpl w:val="23A6FAD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42614084"/>
    <w:multiLevelType w:val="multilevel"/>
    <w:tmpl w:val="098A692A"/>
    <w:lvl w:ilvl="0">
      <w:start w:val="6"/>
      <w:numFmt w:val="decimal"/>
      <w:pStyle w:val="Heading1"/>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2C00EAF"/>
    <w:multiLevelType w:val="multilevel"/>
    <w:tmpl w:val="176CF660"/>
    <w:lvl w:ilvl="0">
      <w:start w:val="5"/>
      <w:numFmt w:val="decimal"/>
      <w:lvlText w:val="%1."/>
      <w:lvlJc w:val="left"/>
      <w:pPr>
        <w:ind w:left="400" w:hanging="400"/>
      </w:pPr>
      <w:rPr>
        <w:rFonts w:hint="default"/>
      </w:rPr>
    </w:lvl>
    <w:lvl w:ilvl="1">
      <w:start w:val="3"/>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1" w15:restartNumberingAfterBreak="0">
    <w:nsid w:val="4E956C1D"/>
    <w:multiLevelType w:val="hybridMultilevel"/>
    <w:tmpl w:val="F6F22A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19A5A47"/>
    <w:multiLevelType w:val="multilevel"/>
    <w:tmpl w:val="5F8AA23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E8C62D2"/>
    <w:multiLevelType w:val="multilevel"/>
    <w:tmpl w:val="CD4EB74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775408D"/>
    <w:multiLevelType w:val="multilevel"/>
    <w:tmpl w:val="359A9C54"/>
    <w:lvl w:ilvl="0">
      <w:start w:val="5"/>
      <w:numFmt w:val="decimal"/>
      <w:lvlText w:val="%1."/>
      <w:lvlJc w:val="left"/>
      <w:pPr>
        <w:ind w:left="400" w:hanging="40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5" w15:restartNumberingAfterBreak="0">
    <w:nsid w:val="6D2C7D35"/>
    <w:multiLevelType w:val="multilevel"/>
    <w:tmpl w:val="7512BE8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D702768"/>
    <w:multiLevelType w:val="hybridMultilevel"/>
    <w:tmpl w:val="F2DC8496"/>
    <w:lvl w:ilvl="0" w:tplc="C298BFDE">
      <w:start w:val="4"/>
      <w:numFmt w:val="bullet"/>
      <w:lvlText w:val="-"/>
      <w:lvlJc w:val="left"/>
      <w:pPr>
        <w:ind w:left="720" w:hanging="360"/>
      </w:pPr>
      <w:rPr>
        <w:rFonts w:ascii="book antiqua" w:eastAsiaTheme="minorHAnsi" w:hAnsi="book antiqu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7" w15:restartNumberingAfterBreak="0">
    <w:nsid w:val="6EA327EC"/>
    <w:multiLevelType w:val="hybridMultilevel"/>
    <w:tmpl w:val="E8EE767C"/>
    <w:lvl w:ilvl="0" w:tplc="B8D0AF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1133663"/>
    <w:multiLevelType w:val="multilevel"/>
    <w:tmpl w:val="C9FA1D2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1BF75F8"/>
    <w:multiLevelType w:val="multilevel"/>
    <w:tmpl w:val="D9E6DD9E"/>
    <w:lvl w:ilvl="0">
      <w:start w:val="5"/>
      <w:numFmt w:val="decimal"/>
      <w:lvlText w:val="%1."/>
      <w:lvlJc w:val="left"/>
      <w:pPr>
        <w:ind w:left="400" w:hanging="40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0" w15:restartNumberingAfterBreak="0">
    <w:nsid w:val="71F8064A"/>
    <w:multiLevelType w:val="multilevel"/>
    <w:tmpl w:val="F95E523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7C7864B7"/>
    <w:multiLevelType w:val="multilevel"/>
    <w:tmpl w:val="14BCD7FC"/>
    <w:lvl w:ilvl="0">
      <w:start w:val="5"/>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2" w15:restartNumberingAfterBreak="0">
    <w:nsid w:val="7FB81C11"/>
    <w:multiLevelType w:val="hybridMultilevel"/>
    <w:tmpl w:val="66821FAC"/>
    <w:lvl w:ilvl="0" w:tplc="D010B064">
      <w:start w:val="1"/>
      <w:numFmt w:val="bullet"/>
      <w:lvlText w:val="-"/>
      <w:lvlJc w:val="left"/>
      <w:pPr>
        <w:ind w:left="720" w:hanging="360"/>
      </w:pPr>
      <w:rPr>
        <w:rFonts w:ascii="book antiqua" w:eastAsiaTheme="minorHAnsi" w:hAnsi="book antiqu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num w:numId="1">
    <w:abstractNumId w:val="17"/>
  </w:num>
  <w:num w:numId="2">
    <w:abstractNumId w:val="18"/>
  </w:num>
  <w:num w:numId="3">
    <w:abstractNumId w:val="18"/>
  </w:num>
  <w:num w:numId="4">
    <w:abstractNumId w:val="1"/>
  </w:num>
  <w:num w:numId="5">
    <w:abstractNumId w:val="22"/>
  </w:num>
  <w:num w:numId="6">
    <w:abstractNumId w:val="2"/>
  </w:num>
  <w:num w:numId="7">
    <w:abstractNumId w:val="21"/>
  </w:num>
  <w:num w:numId="8">
    <w:abstractNumId w:val="6"/>
  </w:num>
  <w:num w:numId="9">
    <w:abstractNumId w:val="7"/>
  </w:num>
  <w:num w:numId="10">
    <w:abstractNumId w:val="19"/>
  </w:num>
  <w:num w:numId="11">
    <w:abstractNumId w:val="10"/>
  </w:num>
  <w:num w:numId="12">
    <w:abstractNumId w:val="14"/>
  </w:num>
  <w:num w:numId="13">
    <w:abstractNumId w:val="0"/>
  </w:num>
  <w:num w:numId="14">
    <w:abstractNumId w:val="16"/>
  </w:num>
  <w:num w:numId="15">
    <w:abstractNumId w:val="9"/>
  </w:num>
  <w:num w:numId="16">
    <w:abstractNumId w:val="3"/>
  </w:num>
  <w:num w:numId="17">
    <w:abstractNumId w:val="4"/>
  </w:num>
  <w:num w:numId="18">
    <w:abstractNumId w:val="11"/>
  </w:num>
  <w:num w:numId="19">
    <w:abstractNumId w:val="15"/>
  </w:num>
  <w:num w:numId="20">
    <w:abstractNumId w:val="8"/>
  </w:num>
  <w:num w:numId="21">
    <w:abstractNumId w:val="5"/>
  </w:num>
  <w:num w:numId="22">
    <w:abstractNumId w:val="12"/>
  </w:num>
  <w:num w:numId="23">
    <w:abstractNumId w:val="1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2"/>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455856"/>
    <w:rsid w:val="00002E78"/>
    <w:rsid w:val="0004788D"/>
    <w:rsid w:val="000734BD"/>
    <w:rsid w:val="00074054"/>
    <w:rsid w:val="00095D02"/>
    <w:rsid w:val="0009612B"/>
    <w:rsid w:val="000C1B80"/>
    <w:rsid w:val="000F0FC8"/>
    <w:rsid w:val="001165B7"/>
    <w:rsid w:val="001378FC"/>
    <w:rsid w:val="0014769D"/>
    <w:rsid w:val="00196D20"/>
    <w:rsid w:val="001C318D"/>
    <w:rsid w:val="001D4D80"/>
    <w:rsid w:val="001E02C3"/>
    <w:rsid w:val="001E0DD1"/>
    <w:rsid w:val="001F3096"/>
    <w:rsid w:val="001F414B"/>
    <w:rsid w:val="001F6A11"/>
    <w:rsid w:val="001F7A0E"/>
    <w:rsid w:val="0022694E"/>
    <w:rsid w:val="00253A3D"/>
    <w:rsid w:val="002605AA"/>
    <w:rsid w:val="002647A0"/>
    <w:rsid w:val="002D3664"/>
    <w:rsid w:val="002E695D"/>
    <w:rsid w:val="002F2A92"/>
    <w:rsid w:val="00307521"/>
    <w:rsid w:val="00326BEB"/>
    <w:rsid w:val="00352F25"/>
    <w:rsid w:val="003A71E6"/>
    <w:rsid w:val="003D04E3"/>
    <w:rsid w:val="003D7583"/>
    <w:rsid w:val="00413FAF"/>
    <w:rsid w:val="00421F0B"/>
    <w:rsid w:val="00455856"/>
    <w:rsid w:val="00485A1B"/>
    <w:rsid w:val="004912C3"/>
    <w:rsid w:val="004977CA"/>
    <w:rsid w:val="004A79CA"/>
    <w:rsid w:val="004D3432"/>
    <w:rsid w:val="00543E29"/>
    <w:rsid w:val="005508F8"/>
    <w:rsid w:val="0056618C"/>
    <w:rsid w:val="00572C30"/>
    <w:rsid w:val="005737D6"/>
    <w:rsid w:val="00592295"/>
    <w:rsid w:val="005B235C"/>
    <w:rsid w:val="005D79C8"/>
    <w:rsid w:val="0060084E"/>
    <w:rsid w:val="006045E0"/>
    <w:rsid w:val="00614F89"/>
    <w:rsid w:val="00616CA3"/>
    <w:rsid w:val="006302CB"/>
    <w:rsid w:val="00645E7B"/>
    <w:rsid w:val="00653001"/>
    <w:rsid w:val="006A1472"/>
    <w:rsid w:val="006D3C6C"/>
    <w:rsid w:val="006D40F2"/>
    <w:rsid w:val="006F2E4A"/>
    <w:rsid w:val="00710DA9"/>
    <w:rsid w:val="00731B28"/>
    <w:rsid w:val="007360E1"/>
    <w:rsid w:val="00746D74"/>
    <w:rsid w:val="007539E4"/>
    <w:rsid w:val="0078209E"/>
    <w:rsid w:val="007A4A74"/>
    <w:rsid w:val="007A5E20"/>
    <w:rsid w:val="007C6D96"/>
    <w:rsid w:val="007D012E"/>
    <w:rsid w:val="008129CA"/>
    <w:rsid w:val="00821787"/>
    <w:rsid w:val="00890297"/>
    <w:rsid w:val="00892617"/>
    <w:rsid w:val="00894592"/>
    <w:rsid w:val="008A32F5"/>
    <w:rsid w:val="008A5D49"/>
    <w:rsid w:val="008B10B4"/>
    <w:rsid w:val="008D1169"/>
    <w:rsid w:val="00900635"/>
    <w:rsid w:val="00925004"/>
    <w:rsid w:val="009375C4"/>
    <w:rsid w:val="00942596"/>
    <w:rsid w:val="00944BC2"/>
    <w:rsid w:val="00954289"/>
    <w:rsid w:val="0095678C"/>
    <w:rsid w:val="0096397B"/>
    <w:rsid w:val="0097674C"/>
    <w:rsid w:val="009806FE"/>
    <w:rsid w:val="009859C1"/>
    <w:rsid w:val="00993FE0"/>
    <w:rsid w:val="00996BA9"/>
    <w:rsid w:val="009E1F5E"/>
    <w:rsid w:val="009E3353"/>
    <w:rsid w:val="00A00AC0"/>
    <w:rsid w:val="00A21364"/>
    <w:rsid w:val="00A67BF3"/>
    <w:rsid w:val="00A80010"/>
    <w:rsid w:val="00A809D5"/>
    <w:rsid w:val="00AB7EAE"/>
    <w:rsid w:val="00AF7273"/>
    <w:rsid w:val="00B21970"/>
    <w:rsid w:val="00B25A1E"/>
    <w:rsid w:val="00B27BB0"/>
    <w:rsid w:val="00B3766F"/>
    <w:rsid w:val="00B53E59"/>
    <w:rsid w:val="00B65C32"/>
    <w:rsid w:val="00B713A7"/>
    <w:rsid w:val="00B771C0"/>
    <w:rsid w:val="00BE191E"/>
    <w:rsid w:val="00C270D9"/>
    <w:rsid w:val="00C40584"/>
    <w:rsid w:val="00C50BA5"/>
    <w:rsid w:val="00C51800"/>
    <w:rsid w:val="00C62251"/>
    <w:rsid w:val="00C63B68"/>
    <w:rsid w:val="00C769E3"/>
    <w:rsid w:val="00D13D23"/>
    <w:rsid w:val="00D245E9"/>
    <w:rsid w:val="00D3549C"/>
    <w:rsid w:val="00D558FA"/>
    <w:rsid w:val="00D9180B"/>
    <w:rsid w:val="00DB041B"/>
    <w:rsid w:val="00DC5A5D"/>
    <w:rsid w:val="00E0157D"/>
    <w:rsid w:val="00E022AC"/>
    <w:rsid w:val="00E10402"/>
    <w:rsid w:val="00E13FFA"/>
    <w:rsid w:val="00E1788D"/>
    <w:rsid w:val="00E27600"/>
    <w:rsid w:val="00E404B1"/>
    <w:rsid w:val="00E47EE9"/>
    <w:rsid w:val="00E50BF2"/>
    <w:rsid w:val="00E51362"/>
    <w:rsid w:val="00E5309D"/>
    <w:rsid w:val="00E56A9D"/>
    <w:rsid w:val="00E6021D"/>
    <w:rsid w:val="00E60BA7"/>
    <w:rsid w:val="00E6439F"/>
    <w:rsid w:val="00E755F6"/>
    <w:rsid w:val="00E9350A"/>
    <w:rsid w:val="00EA4827"/>
    <w:rsid w:val="00EB3E7A"/>
    <w:rsid w:val="00F46C9A"/>
    <w:rsid w:val="00F619BD"/>
    <w:rsid w:val="00F828DB"/>
    <w:rsid w:val="00F8745A"/>
    <w:rsid w:val="00FC3C0C"/>
    <w:rsid w:val="00FD2B46"/>
    <w:rsid w:val="00FD3E7A"/>
    <w:rsid w:val="00FE72DE"/>
    <w:rsid w:val="00FF0D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AFDFBE1"/>
  <w15:chartTrackingRefBased/>
  <w15:docId w15:val="{2558ED05-DD15-B44A-B2E4-9CBE907EC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5856"/>
    <w:rPr>
      <w:rFonts w:ascii="book antiqua" w:hAnsi="book antiqua"/>
    </w:rPr>
  </w:style>
  <w:style w:type="paragraph" w:styleId="Heading1">
    <w:name w:val="heading 1"/>
    <w:basedOn w:val="Normal"/>
    <w:next w:val="Normal"/>
    <w:link w:val="Heading1Char"/>
    <w:autoRedefine/>
    <w:uiPriority w:val="9"/>
    <w:qFormat/>
    <w:rsid w:val="00455856"/>
    <w:pPr>
      <w:keepNext/>
      <w:keepLines/>
      <w:numPr>
        <w:numId w:val="15"/>
      </w:numPr>
      <w:spacing w:before="240" w:after="240"/>
      <w:outlineLvl w:val="0"/>
    </w:pPr>
    <w:rPr>
      <w:rFonts w:eastAsiaTheme="majorEastAsia" w:cs="Times New Roman (Headings CS)"/>
      <w:b/>
      <w:color w:val="000000" w:themeColor="text1"/>
      <w:sz w:val="28"/>
      <w:szCs w:val="32"/>
      <w:lang w:val="en-US"/>
    </w:rPr>
  </w:style>
  <w:style w:type="paragraph" w:styleId="Heading2">
    <w:name w:val="heading 2"/>
    <w:basedOn w:val="Normal"/>
    <w:next w:val="Normal"/>
    <w:link w:val="Heading2Char"/>
    <w:autoRedefine/>
    <w:uiPriority w:val="9"/>
    <w:unhideWhenUsed/>
    <w:qFormat/>
    <w:rsid w:val="00455856"/>
    <w:pPr>
      <w:keepNext/>
      <w:keepLines/>
      <w:snapToGrid w:val="0"/>
      <w:spacing w:before="240" w:after="240" w:line="360" w:lineRule="auto"/>
      <w:outlineLvl w:val="1"/>
    </w:pPr>
    <w:rPr>
      <w:rFonts w:ascii="Times New Roman" w:eastAsiaTheme="majorEastAsia" w:hAnsi="Times New Roman" w:cs="Times New Roman"/>
      <w:b/>
      <w:i/>
      <w:iCs/>
      <w:color w:val="000000" w:themeColor="text1"/>
      <w:szCs w:val="26"/>
      <w:lang w:val="en-US"/>
    </w:rPr>
  </w:style>
  <w:style w:type="paragraph" w:styleId="Heading3">
    <w:name w:val="heading 3"/>
    <w:basedOn w:val="Normal"/>
    <w:next w:val="Normal"/>
    <w:link w:val="Heading3Char"/>
    <w:autoRedefine/>
    <w:uiPriority w:val="9"/>
    <w:unhideWhenUsed/>
    <w:qFormat/>
    <w:rsid w:val="00455856"/>
    <w:pPr>
      <w:keepNext/>
      <w:keepLines/>
      <w:spacing w:before="120" w:after="120" w:line="360" w:lineRule="auto"/>
      <w:ind w:left="720"/>
      <w:outlineLvl w:val="2"/>
    </w:pPr>
    <w:rPr>
      <w:rFonts w:ascii="Times New Roman" w:eastAsiaTheme="majorEastAsia" w:hAnsi="Times New Roman" w:cs="Times New Roman"/>
      <w:i/>
      <w:iCs/>
      <w:color w:val="1F3763" w:themeColor="accent1" w:themeShade="7F"/>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5856"/>
    <w:rPr>
      <w:rFonts w:ascii="book antiqua" w:eastAsiaTheme="majorEastAsia" w:hAnsi="book antiqua" w:cs="Times New Roman (Headings CS)"/>
      <w:b/>
      <w:color w:val="000000" w:themeColor="text1"/>
      <w:sz w:val="28"/>
      <w:szCs w:val="32"/>
      <w:lang w:val="en-US"/>
    </w:rPr>
  </w:style>
  <w:style w:type="character" w:customStyle="1" w:styleId="Heading3Char">
    <w:name w:val="Heading 3 Char"/>
    <w:basedOn w:val="DefaultParagraphFont"/>
    <w:link w:val="Heading3"/>
    <w:uiPriority w:val="9"/>
    <w:rsid w:val="00455856"/>
    <w:rPr>
      <w:rFonts w:ascii="Times New Roman" w:eastAsiaTheme="majorEastAsia" w:hAnsi="Times New Roman" w:cs="Times New Roman"/>
      <w:i/>
      <w:iCs/>
      <w:color w:val="1F3763" w:themeColor="accent1" w:themeShade="7F"/>
      <w:lang w:val="en-US"/>
    </w:rPr>
  </w:style>
  <w:style w:type="character" w:customStyle="1" w:styleId="Heading2Char">
    <w:name w:val="Heading 2 Char"/>
    <w:basedOn w:val="DefaultParagraphFont"/>
    <w:link w:val="Heading2"/>
    <w:uiPriority w:val="9"/>
    <w:rsid w:val="00455856"/>
    <w:rPr>
      <w:rFonts w:ascii="Times New Roman" w:eastAsiaTheme="majorEastAsia" w:hAnsi="Times New Roman" w:cs="Times New Roman"/>
      <w:b/>
      <w:i/>
      <w:iCs/>
      <w:color w:val="000000" w:themeColor="text1"/>
      <w:szCs w:val="26"/>
      <w:lang w:val="en-US"/>
    </w:rPr>
  </w:style>
  <w:style w:type="paragraph" w:styleId="ListParagraph">
    <w:name w:val="List Paragraph"/>
    <w:basedOn w:val="Normal"/>
    <w:uiPriority w:val="34"/>
    <w:qFormat/>
    <w:rsid w:val="00455856"/>
    <w:pPr>
      <w:ind w:left="720"/>
      <w:contextualSpacing/>
    </w:pPr>
  </w:style>
  <w:style w:type="paragraph" w:styleId="BalloonText">
    <w:name w:val="Balloon Text"/>
    <w:basedOn w:val="Normal"/>
    <w:link w:val="BalloonTextChar"/>
    <w:uiPriority w:val="99"/>
    <w:semiHidden/>
    <w:unhideWhenUsed/>
    <w:rsid w:val="0045585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55856"/>
    <w:rPr>
      <w:rFonts w:ascii="Times New Roman" w:hAnsi="Times New Roman" w:cs="Times New Roman"/>
      <w:sz w:val="18"/>
      <w:szCs w:val="18"/>
    </w:rPr>
  </w:style>
  <w:style w:type="paragraph" w:styleId="FootnoteText">
    <w:name w:val="footnote text"/>
    <w:aliases w:val="fn,footnote text"/>
    <w:basedOn w:val="Normal"/>
    <w:link w:val="FootnoteTextChar"/>
    <w:unhideWhenUsed/>
    <w:qFormat/>
    <w:rsid w:val="00455856"/>
    <w:rPr>
      <w:sz w:val="20"/>
      <w:szCs w:val="20"/>
    </w:rPr>
  </w:style>
  <w:style w:type="character" w:customStyle="1" w:styleId="FootnoteTextChar">
    <w:name w:val="Footnote Text Char"/>
    <w:aliases w:val="fn Char,footnote text Char"/>
    <w:basedOn w:val="DefaultParagraphFont"/>
    <w:link w:val="FootnoteText"/>
    <w:rsid w:val="00455856"/>
    <w:rPr>
      <w:rFonts w:ascii="book antiqua" w:hAnsi="book antiqua"/>
      <w:sz w:val="20"/>
      <w:szCs w:val="20"/>
    </w:rPr>
  </w:style>
  <w:style w:type="character" w:styleId="FootnoteReference">
    <w:name w:val="footnote reference"/>
    <w:basedOn w:val="DefaultParagraphFont"/>
    <w:uiPriority w:val="99"/>
    <w:unhideWhenUsed/>
    <w:rsid w:val="00455856"/>
    <w:rPr>
      <w:vertAlign w:val="superscript"/>
    </w:rPr>
  </w:style>
  <w:style w:type="character" w:styleId="CommentReference">
    <w:name w:val="annotation reference"/>
    <w:basedOn w:val="DefaultParagraphFont"/>
    <w:uiPriority w:val="99"/>
    <w:semiHidden/>
    <w:unhideWhenUsed/>
    <w:rsid w:val="00455856"/>
    <w:rPr>
      <w:sz w:val="16"/>
      <w:szCs w:val="16"/>
    </w:rPr>
  </w:style>
  <w:style w:type="paragraph" w:styleId="CommentText">
    <w:name w:val="annotation text"/>
    <w:basedOn w:val="Normal"/>
    <w:link w:val="CommentTextChar"/>
    <w:uiPriority w:val="99"/>
    <w:semiHidden/>
    <w:unhideWhenUsed/>
    <w:rsid w:val="00455856"/>
    <w:rPr>
      <w:sz w:val="20"/>
      <w:szCs w:val="20"/>
    </w:rPr>
  </w:style>
  <w:style w:type="character" w:customStyle="1" w:styleId="CommentTextChar">
    <w:name w:val="Comment Text Char"/>
    <w:basedOn w:val="DefaultParagraphFont"/>
    <w:link w:val="CommentText"/>
    <w:uiPriority w:val="99"/>
    <w:semiHidden/>
    <w:rsid w:val="00455856"/>
    <w:rPr>
      <w:rFonts w:ascii="book antiqua" w:hAnsi="book antiqua"/>
      <w:sz w:val="20"/>
      <w:szCs w:val="20"/>
    </w:rPr>
  </w:style>
  <w:style w:type="paragraph" w:styleId="Revision">
    <w:name w:val="Revision"/>
    <w:hidden/>
    <w:uiPriority w:val="99"/>
    <w:semiHidden/>
    <w:rsid w:val="00455856"/>
    <w:rPr>
      <w:rFonts w:ascii="book antiqua" w:hAnsi="book antiqua"/>
    </w:rPr>
  </w:style>
  <w:style w:type="character" w:styleId="Hyperlink">
    <w:name w:val="Hyperlink"/>
    <w:basedOn w:val="DefaultParagraphFont"/>
    <w:uiPriority w:val="99"/>
    <w:unhideWhenUsed/>
    <w:rsid w:val="00455856"/>
    <w:rPr>
      <w:color w:val="0563C1" w:themeColor="hyperlink"/>
      <w:u w:val="single"/>
    </w:rPr>
  </w:style>
  <w:style w:type="character" w:styleId="UnresolvedMention">
    <w:name w:val="Unresolved Mention"/>
    <w:basedOn w:val="DefaultParagraphFont"/>
    <w:uiPriority w:val="99"/>
    <w:semiHidden/>
    <w:unhideWhenUsed/>
    <w:rsid w:val="00455856"/>
    <w:rPr>
      <w:color w:val="605E5C"/>
      <w:shd w:val="clear" w:color="auto" w:fill="E1DFDD"/>
    </w:rPr>
  </w:style>
  <w:style w:type="character" w:styleId="FollowedHyperlink">
    <w:name w:val="FollowedHyperlink"/>
    <w:basedOn w:val="DefaultParagraphFont"/>
    <w:uiPriority w:val="99"/>
    <w:semiHidden/>
    <w:unhideWhenUsed/>
    <w:rsid w:val="00455856"/>
    <w:rPr>
      <w:color w:val="954F72" w:themeColor="followedHyperlink"/>
      <w:u w:val="single"/>
    </w:rPr>
  </w:style>
  <w:style w:type="paragraph" w:styleId="NormalWeb">
    <w:name w:val="Normal (Web)"/>
    <w:basedOn w:val="Normal"/>
    <w:uiPriority w:val="99"/>
    <w:semiHidden/>
    <w:unhideWhenUsed/>
    <w:rsid w:val="00455856"/>
    <w:rPr>
      <w:rFonts w:ascii="Times New Roman" w:hAnsi="Times New Roman" w:cs="Times New Roman"/>
    </w:rPr>
  </w:style>
  <w:style w:type="paragraph" w:styleId="TOC1">
    <w:name w:val="toc 1"/>
    <w:basedOn w:val="Normal"/>
    <w:next w:val="Normal"/>
    <w:autoRedefine/>
    <w:uiPriority w:val="39"/>
    <w:unhideWhenUsed/>
    <w:rsid w:val="00455856"/>
    <w:pPr>
      <w:tabs>
        <w:tab w:val="left" w:pos="480"/>
        <w:tab w:val="right" w:leader="dot" w:pos="9010"/>
      </w:tabs>
      <w:spacing w:after="100"/>
    </w:pPr>
  </w:style>
  <w:style w:type="paragraph" w:styleId="TOC2">
    <w:name w:val="toc 2"/>
    <w:basedOn w:val="Normal"/>
    <w:next w:val="Normal"/>
    <w:autoRedefine/>
    <w:uiPriority w:val="39"/>
    <w:unhideWhenUsed/>
    <w:rsid w:val="00455856"/>
    <w:pPr>
      <w:tabs>
        <w:tab w:val="right" w:leader="dot" w:pos="9010"/>
      </w:tabs>
      <w:spacing w:after="100"/>
      <w:ind w:left="240"/>
    </w:pPr>
  </w:style>
  <w:style w:type="paragraph" w:styleId="CommentSubject">
    <w:name w:val="annotation subject"/>
    <w:basedOn w:val="CommentText"/>
    <w:next w:val="CommentText"/>
    <w:link w:val="CommentSubjectChar"/>
    <w:uiPriority w:val="99"/>
    <w:semiHidden/>
    <w:unhideWhenUsed/>
    <w:rsid w:val="00455856"/>
    <w:rPr>
      <w:b/>
      <w:bCs/>
    </w:rPr>
  </w:style>
  <w:style w:type="character" w:customStyle="1" w:styleId="CommentSubjectChar">
    <w:name w:val="Comment Subject Char"/>
    <w:basedOn w:val="CommentTextChar"/>
    <w:link w:val="CommentSubject"/>
    <w:uiPriority w:val="99"/>
    <w:semiHidden/>
    <w:rsid w:val="00455856"/>
    <w:rPr>
      <w:rFonts w:ascii="book antiqua" w:hAnsi="book antiqua"/>
      <w:b/>
      <w:bCs/>
      <w:sz w:val="20"/>
      <w:szCs w:val="20"/>
    </w:rPr>
  </w:style>
  <w:style w:type="paragraph" w:styleId="TOC3">
    <w:name w:val="toc 3"/>
    <w:basedOn w:val="Normal"/>
    <w:next w:val="Normal"/>
    <w:autoRedefine/>
    <w:uiPriority w:val="39"/>
    <w:unhideWhenUsed/>
    <w:rsid w:val="00455856"/>
    <w:pPr>
      <w:spacing w:after="100"/>
      <w:ind w:left="480"/>
    </w:pPr>
  </w:style>
  <w:style w:type="paragraph" w:styleId="Footer">
    <w:name w:val="footer"/>
    <w:basedOn w:val="Normal"/>
    <w:link w:val="FooterChar"/>
    <w:uiPriority w:val="99"/>
    <w:unhideWhenUsed/>
    <w:rsid w:val="00455856"/>
    <w:pPr>
      <w:tabs>
        <w:tab w:val="center" w:pos="4680"/>
        <w:tab w:val="right" w:pos="9360"/>
      </w:tabs>
    </w:pPr>
  </w:style>
  <w:style w:type="character" w:customStyle="1" w:styleId="FooterChar">
    <w:name w:val="Footer Char"/>
    <w:basedOn w:val="DefaultParagraphFont"/>
    <w:link w:val="Footer"/>
    <w:uiPriority w:val="99"/>
    <w:rsid w:val="00455856"/>
    <w:rPr>
      <w:rFonts w:ascii="book antiqua" w:hAnsi="book antiqua"/>
    </w:rPr>
  </w:style>
  <w:style w:type="character" w:styleId="PageNumber">
    <w:name w:val="page number"/>
    <w:basedOn w:val="DefaultParagraphFont"/>
    <w:uiPriority w:val="99"/>
    <w:semiHidden/>
    <w:unhideWhenUsed/>
    <w:rsid w:val="004558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8812315">
      <w:bodyDiv w:val="1"/>
      <w:marLeft w:val="0"/>
      <w:marRight w:val="0"/>
      <w:marTop w:val="0"/>
      <w:marBottom w:val="0"/>
      <w:divBdr>
        <w:top w:val="none" w:sz="0" w:space="0" w:color="auto"/>
        <w:left w:val="none" w:sz="0" w:space="0" w:color="auto"/>
        <w:bottom w:val="none" w:sz="0" w:space="0" w:color="auto"/>
        <w:right w:val="none" w:sz="0" w:space="0" w:color="auto"/>
      </w:divBdr>
    </w:div>
    <w:div w:id="1310398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fip20@cam.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papersmart.unmeetings.org/media2/22000123/-e-croatia-statement.pdf" TargetMode="External"/><Relationship Id="rId13" Type="http://schemas.openxmlformats.org/officeDocument/2006/relationships/hyperlink" Target="https://igad.int/attachments/395_Communique%20-Final%202.pdf" TargetMode="External"/><Relationship Id="rId18" Type="http://schemas.openxmlformats.org/officeDocument/2006/relationships/hyperlink" Target="https://www.government.nl/latest/news/2014/09/25/netherlands-to-make-military-contribution-to-fight-against-isis" TargetMode="External"/><Relationship Id="rId26" Type="http://schemas.openxmlformats.org/officeDocument/2006/relationships/hyperlink" Target="http://eeas.europa.eu/statements-eeas/2015/150326_02_en.htm" TargetMode="External"/><Relationship Id="rId3" Type="http://schemas.openxmlformats.org/officeDocument/2006/relationships/hyperlink" Target="https://papersmart.unmeetings.org/media2/23328748/-e-sierra-leone.pdf" TargetMode="External"/><Relationship Id="rId21" Type="http://schemas.openxmlformats.org/officeDocument/2006/relationships/hyperlink" Target="http://www.diplomatie.gouv.fr/en/country-files/yemen/events/article/yemen-situation-26-03-15" TargetMode="External"/><Relationship Id="rId7" Type="http://schemas.openxmlformats.org/officeDocument/2006/relationships/hyperlink" Target="https://papersmart.unmeetings.org/media2/21999959/brazil.pdf" TargetMode="External"/><Relationship Id="rId12" Type="http://schemas.openxmlformats.org/officeDocument/2006/relationships/hyperlink" Target="https://www.bbc.co.uk/news/world-africa-15807215" TargetMode="External"/><Relationship Id="rId17" Type="http://schemas.openxmlformats.org/officeDocument/2006/relationships/hyperlink" Target="http://www.defense.gouv.fr/operations/operations/irak-syrie/dossier-de-presentation-de-l-operation-chammal/operation-chammal" TargetMode="External"/><Relationship Id="rId25" Type="http://schemas.openxmlformats.org/officeDocument/2006/relationships/hyperlink" Target="http://www.fmprc.gov.cn/mfa_eng/xwfw_665399/s2510_665401/t1248965.shtml" TargetMode="External"/><Relationship Id="rId2" Type="http://schemas.openxmlformats.org/officeDocument/2006/relationships/hyperlink" Target="https://papersmart.unmeetings.org/media2/21999913/-s-nicaragua-statement.pdf" TargetMode="External"/><Relationship Id="rId16" Type="http://schemas.openxmlformats.org/officeDocument/2006/relationships/hyperlink" Target="https://www.gov.uk/government/publications/military-action-in-iraq-against-isil-government-legal-position/summary-of-the-government-legal-position-on-military-action-in-iraq-against-isil" TargetMode="External"/><Relationship Id="rId20" Type="http://schemas.openxmlformats.org/officeDocument/2006/relationships/hyperlink" Target="http://www.whitehouse.gov/the-press-office/2015/03/25/statement-nsc-spokesperson-bernadette-meehan-situation-yemen" TargetMode="External"/><Relationship Id="rId1" Type="http://schemas.openxmlformats.org/officeDocument/2006/relationships/hyperlink" Target="https://www.ila-hq.org/images/ILA/DraftReports/DraftReport_UseOfForce.pdf" TargetMode="External"/><Relationship Id="rId6" Type="http://schemas.openxmlformats.org/officeDocument/2006/relationships/hyperlink" Target="https://papersmart.unmeetings.org/media2/21999911/-e-austria-statement.docx" TargetMode="External"/><Relationship Id="rId11" Type="http://schemas.openxmlformats.org/officeDocument/2006/relationships/hyperlink" Target="https://www.bbc.co.uk/news/world-africa-15331448" TargetMode="External"/><Relationship Id="rId24" Type="http://schemas.openxmlformats.org/officeDocument/2006/relationships/hyperlink" Target="http://www.gov.uk/government/news/pm-call-with-king-salman-of-saudi-arabia-27-march-2015" TargetMode="External"/><Relationship Id="rId5" Type="http://schemas.openxmlformats.org/officeDocument/2006/relationships/hyperlink" Target="https://papersmart.unmeetings.org/media2/23328674/-s-e-spain.pdf" TargetMode="External"/><Relationship Id="rId15" Type="http://schemas.openxmlformats.org/officeDocument/2006/relationships/hyperlink" Target="http://basedoc.diplomatie.gouv.fr/vues/Kiosque/FranceDiplomatie/kiosque.php?fichier=baen2013-01-14.html" TargetMode="External"/><Relationship Id="rId23" Type="http://schemas.openxmlformats.org/officeDocument/2006/relationships/hyperlink" Target="http://www.parliament.uk/business/publications/written-questions-answers-statements/written-question/Lords/2015-07-06/HL1125" TargetMode="External"/><Relationship Id="rId28" Type="http://schemas.openxmlformats.org/officeDocument/2006/relationships/hyperlink" Target="https://www.ejiltalk.org/the-diversity-of-rules-on-the-use-of-force-implications-for-the-evolution-of-the-law/" TargetMode="External"/><Relationship Id="rId10" Type="http://schemas.openxmlformats.org/officeDocument/2006/relationships/hyperlink" Target="https://link.springer.com/article/10.1007/s11572-020-09529-6" TargetMode="External"/><Relationship Id="rId19" Type="http://schemas.openxmlformats.org/officeDocument/2006/relationships/hyperlink" Target="http://www.operationrenewalofhope.com/statement-by-saudi-ambassador-al-jubeir-on-military-operations-in-yemen/" TargetMode="External"/><Relationship Id="rId4" Type="http://schemas.openxmlformats.org/officeDocument/2006/relationships/hyperlink" Target="https://papersmart.unmeetings.org/media2/23328777/-e-south-africa-statement.docx" TargetMode="External"/><Relationship Id="rId9" Type="http://schemas.openxmlformats.org/officeDocument/2006/relationships/hyperlink" Target="https://papersmart.unmeetings.org/media2/21999915/-e-slovakia-statement.pdf" TargetMode="External"/><Relationship Id="rId14" Type="http://schemas.openxmlformats.org/officeDocument/2006/relationships/hyperlink" Target="https://igad.int/attachments/375_Final_Comminuque_of_the_19th_Extra-ordinary_session_of_the_IGAD_HoS.pdf" TargetMode="External"/><Relationship Id="rId22" Type="http://schemas.openxmlformats.org/officeDocument/2006/relationships/hyperlink" Target="https://www.canada.ca/en/news/archive/2015/03/minister-nicholson-concerned-crisis-yemen.html" TargetMode="External"/><Relationship Id="rId27" Type="http://schemas.openxmlformats.org/officeDocument/2006/relationships/hyperlink" Target="http://ilareporter.org.au/2017/02/rival-governments-and-the-authority-to-represent-the-state-was-the-use-of-forceby-ecowas-in-the-gambia-a-violation-of-international-law-catherine-drummon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217</TotalTime>
  <Pages>47</Pages>
  <Words>14610</Words>
  <Characters>83282</Characters>
  <Application>Microsoft Office Word</Application>
  <DocSecurity>0</DocSecurity>
  <Lines>694</Lines>
  <Paragraphs>195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 Paddeu</dc:creator>
  <cp:keywords/>
  <dc:description/>
  <cp:lastModifiedBy>F.I. Paddeu</cp:lastModifiedBy>
  <cp:revision>104</cp:revision>
  <dcterms:created xsi:type="dcterms:W3CDTF">2020-07-23T07:59:00Z</dcterms:created>
  <dcterms:modified xsi:type="dcterms:W3CDTF">2020-08-04T07:21:00Z</dcterms:modified>
</cp:coreProperties>
</file>