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6DC184" w14:textId="619926E0" w:rsidR="00C947FA" w:rsidRPr="007F0941" w:rsidRDefault="00A07700" w:rsidP="00010CE1">
      <w:pPr>
        <w:jc w:val="center"/>
        <w:rPr>
          <w:rFonts w:ascii="Times New Roman" w:hAnsi="Times New Roman" w:cs="Times New Roman"/>
          <w:b/>
        </w:rPr>
      </w:pPr>
      <w:bookmarkStart w:id="0" w:name="_GoBack"/>
      <w:bookmarkEnd w:id="0"/>
      <w:r>
        <w:rPr>
          <w:rFonts w:ascii="Times New Roman" w:hAnsi="Times New Roman" w:cs="Times New Roman"/>
          <w:b/>
        </w:rPr>
        <w:t>TRAVELING MACHINES AND COLONIAL TIMES</w:t>
      </w:r>
    </w:p>
    <w:p w14:paraId="5DA59EB9" w14:textId="77777777" w:rsidR="00C947FA" w:rsidRPr="007F0941" w:rsidRDefault="00C947FA" w:rsidP="009448F9">
      <w:pPr>
        <w:jc w:val="both"/>
        <w:rPr>
          <w:rFonts w:ascii="Times New Roman" w:hAnsi="Times New Roman" w:cs="Times New Roman"/>
        </w:rPr>
      </w:pPr>
    </w:p>
    <w:p w14:paraId="58C050E9" w14:textId="6CACE6D1" w:rsidR="00D9567A" w:rsidRPr="007F0941" w:rsidRDefault="00C947FA" w:rsidP="007D5F0F">
      <w:pPr>
        <w:jc w:val="center"/>
        <w:rPr>
          <w:rFonts w:ascii="Times New Roman" w:hAnsi="Times New Roman" w:cs="Times New Roman"/>
          <w:lang w:val="en-GB"/>
        </w:rPr>
      </w:pPr>
      <w:r w:rsidRPr="007F0941">
        <w:rPr>
          <w:rFonts w:ascii="Times New Roman" w:hAnsi="Times New Roman" w:cs="Times New Roman"/>
          <w:b/>
        </w:rPr>
        <w:t xml:space="preserve">Simon Schaffer </w:t>
      </w:r>
    </w:p>
    <w:p w14:paraId="1436991D" w14:textId="77777777" w:rsidR="00E10F42" w:rsidRPr="007F0941" w:rsidRDefault="00E10F42" w:rsidP="009448F9">
      <w:pPr>
        <w:jc w:val="both"/>
        <w:rPr>
          <w:rFonts w:ascii="Times New Roman" w:hAnsi="Times New Roman" w:cs="Times New Roman"/>
        </w:rPr>
      </w:pPr>
    </w:p>
    <w:p w14:paraId="562C8901" w14:textId="40A03CF0" w:rsidR="00017B85" w:rsidRPr="007F0941" w:rsidRDefault="00017B85" w:rsidP="00017B85">
      <w:pPr>
        <w:ind w:left="567" w:right="929"/>
        <w:jc w:val="both"/>
        <w:rPr>
          <w:rFonts w:ascii="Times New Roman" w:hAnsi="Times New Roman" w:cs="Times New Roman"/>
        </w:rPr>
      </w:pPr>
      <w:r w:rsidRPr="007F0941">
        <w:rPr>
          <w:rFonts w:ascii="Times New Roman" w:hAnsi="Times New Roman" w:cs="Times New Roman"/>
        </w:rPr>
        <w:t xml:space="preserve">“The British rulers of India are like men bound to make their watches keep time in two longitudes at once. Nevertheless, this paradoxical position must be accepted. If they are too slow, there will be no improvement. If they are too fast, there will be no security” (Henry Maine, </w:t>
      </w:r>
      <w:r w:rsidRPr="007F0941">
        <w:rPr>
          <w:rFonts w:ascii="Times New Roman" w:hAnsi="Times New Roman" w:cs="Times New Roman"/>
          <w:i/>
        </w:rPr>
        <w:t>The effects of observation of India on modern European thought</w:t>
      </w:r>
      <w:r w:rsidRPr="007F0941">
        <w:rPr>
          <w:rFonts w:ascii="Times New Roman" w:hAnsi="Times New Roman" w:cs="Times New Roman"/>
        </w:rPr>
        <w:t>, 1875)</w:t>
      </w:r>
    </w:p>
    <w:p w14:paraId="667C7922" w14:textId="77777777" w:rsidR="00017B85" w:rsidRPr="007F0941" w:rsidRDefault="00017B85" w:rsidP="009448F9">
      <w:pPr>
        <w:jc w:val="both"/>
        <w:rPr>
          <w:rFonts w:ascii="Times New Roman" w:hAnsi="Times New Roman" w:cs="Times New Roman"/>
        </w:rPr>
      </w:pPr>
    </w:p>
    <w:p w14:paraId="72426684" w14:textId="7863C944" w:rsidR="00E10F42" w:rsidRPr="007F0941" w:rsidRDefault="00E10F42" w:rsidP="009448F9">
      <w:pPr>
        <w:jc w:val="both"/>
        <w:rPr>
          <w:rFonts w:ascii="Times New Roman" w:hAnsi="Times New Roman" w:cs="Times New Roman"/>
          <w:b/>
        </w:rPr>
      </w:pPr>
      <w:r w:rsidRPr="007F0941">
        <w:rPr>
          <w:rFonts w:ascii="Times New Roman" w:hAnsi="Times New Roman" w:cs="Times New Roman"/>
          <w:b/>
        </w:rPr>
        <w:t>1 Time machines</w:t>
      </w:r>
    </w:p>
    <w:p w14:paraId="0D9CB2C6" w14:textId="77777777" w:rsidR="00E10F42" w:rsidRPr="007F0941" w:rsidRDefault="00E10F42" w:rsidP="009448F9">
      <w:pPr>
        <w:ind w:firstLine="720"/>
        <w:jc w:val="both"/>
        <w:rPr>
          <w:rFonts w:ascii="Times New Roman" w:hAnsi="Times New Roman" w:cs="Times New Roman"/>
        </w:rPr>
      </w:pPr>
    </w:p>
    <w:p w14:paraId="6B8FEA10" w14:textId="56776F14" w:rsidR="00A90B00" w:rsidRPr="007F0941" w:rsidRDefault="00A31846" w:rsidP="009448F9">
      <w:pPr>
        <w:ind w:firstLine="720"/>
        <w:jc w:val="both"/>
        <w:rPr>
          <w:rFonts w:ascii="Times New Roman" w:hAnsi="Times New Roman" w:cs="Times New Roman"/>
        </w:rPr>
      </w:pPr>
      <w:r>
        <w:rPr>
          <w:rFonts w:ascii="Times New Roman" w:hAnsi="Times New Roman" w:cs="Times New Roman"/>
        </w:rPr>
        <w:t>This workshop explores claims that k</w:t>
      </w:r>
      <w:r w:rsidR="00C947FA" w:rsidRPr="007F0941">
        <w:rPr>
          <w:rFonts w:ascii="Times New Roman" w:hAnsi="Times New Roman" w:cs="Times New Roman"/>
        </w:rPr>
        <w:t xml:space="preserve">nowledge and belief are inevitably and productively entangled. </w:t>
      </w:r>
      <w:r>
        <w:rPr>
          <w:rFonts w:ascii="Times New Roman" w:hAnsi="Times New Roman" w:cs="Times New Roman"/>
        </w:rPr>
        <w:t>It is suggested that t</w:t>
      </w:r>
      <w:r w:rsidR="00C947FA" w:rsidRPr="007F0941">
        <w:rPr>
          <w:rFonts w:ascii="Times New Roman" w:hAnsi="Times New Roman" w:cs="Times New Roman"/>
        </w:rPr>
        <w:t xml:space="preserve">his kind of interweaving is peculiarly evident and important in work with objects that somehow respond to and register invisible forces, powers otherwise beyond observation and experience. </w:t>
      </w:r>
      <w:r w:rsidR="005249E7" w:rsidRPr="007F0941">
        <w:rPr>
          <w:rFonts w:ascii="Times New Roman" w:hAnsi="Times New Roman" w:cs="Times New Roman"/>
        </w:rPr>
        <w:t>Many</w:t>
      </w:r>
      <w:r w:rsidR="00C947FA" w:rsidRPr="007F0941">
        <w:rPr>
          <w:rFonts w:ascii="Times New Roman" w:hAnsi="Times New Roman" w:cs="Times New Roman"/>
        </w:rPr>
        <w:t xml:space="preserve"> devices </w:t>
      </w:r>
      <w:r w:rsidR="005249E7" w:rsidRPr="007F0941">
        <w:rPr>
          <w:rFonts w:ascii="Times New Roman" w:hAnsi="Times New Roman" w:cs="Times New Roman"/>
        </w:rPr>
        <w:t xml:space="preserve">have been </w:t>
      </w:r>
      <w:r w:rsidR="00C947FA" w:rsidRPr="007F0941">
        <w:rPr>
          <w:rFonts w:ascii="Times New Roman" w:hAnsi="Times New Roman" w:cs="Times New Roman"/>
        </w:rPr>
        <w:t>charged with such a function</w:t>
      </w:r>
      <w:r w:rsidR="00A90B00" w:rsidRPr="007F0941">
        <w:rPr>
          <w:rFonts w:ascii="Times New Roman" w:hAnsi="Times New Roman" w:cs="Times New Roman"/>
        </w:rPr>
        <w:t>. M</w:t>
      </w:r>
      <w:r w:rsidR="00C947FA" w:rsidRPr="007F0941">
        <w:rPr>
          <w:rFonts w:ascii="Times New Roman" w:hAnsi="Times New Roman" w:cs="Times New Roman"/>
        </w:rPr>
        <w:t>achines that register and manage time seem peculiarly apt for consideration. The relation between knowledge and belief has a clear temporal dimension. Current knowledges are often used as standards against which past knowledge claims are dismissed, or appreciated, as systems of belief. It is as though the contrast between reliable engagement with nature and the world</w:t>
      </w:r>
      <w:r w:rsidR="00DA26D1" w:rsidRPr="007F0941">
        <w:rPr>
          <w:rFonts w:ascii="Times New Roman" w:hAnsi="Times New Roman" w:cs="Times New Roman"/>
        </w:rPr>
        <w:t>s</w:t>
      </w:r>
      <w:r w:rsidR="00C947FA" w:rsidRPr="007F0941">
        <w:rPr>
          <w:rFonts w:ascii="Times New Roman" w:hAnsi="Times New Roman" w:cs="Times New Roman"/>
        </w:rPr>
        <w:t xml:space="preserve"> of cultural belief turns into a contrast between the future and the past. </w:t>
      </w:r>
      <w:r w:rsidR="00DA26D1" w:rsidRPr="007F0941">
        <w:rPr>
          <w:rFonts w:ascii="Times New Roman" w:hAnsi="Times New Roman" w:cs="Times New Roman"/>
        </w:rPr>
        <w:t>It</w:t>
      </w:r>
      <w:r w:rsidR="00C947FA" w:rsidRPr="007F0941">
        <w:rPr>
          <w:rFonts w:ascii="Times New Roman" w:hAnsi="Times New Roman" w:cs="Times New Roman"/>
        </w:rPr>
        <w:t xml:space="preserve"> is often claimed</w:t>
      </w:r>
      <w:r w:rsidR="00A90B00" w:rsidRPr="007F0941">
        <w:rPr>
          <w:rFonts w:ascii="Times New Roman" w:hAnsi="Times New Roman" w:cs="Times New Roman"/>
        </w:rPr>
        <w:t xml:space="preserve"> as part of the celebration of scientific modernity</w:t>
      </w:r>
      <w:r w:rsidR="00DA26D1" w:rsidRPr="007F0941">
        <w:rPr>
          <w:rFonts w:ascii="Times New Roman" w:hAnsi="Times New Roman" w:cs="Times New Roman"/>
        </w:rPr>
        <w:t xml:space="preserve"> that as time passes</w:t>
      </w:r>
      <w:r w:rsidR="00C947FA" w:rsidRPr="007F0941">
        <w:rPr>
          <w:rFonts w:ascii="Times New Roman" w:hAnsi="Times New Roman" w:cs="Times New Roman"/>
        </w:rPr>
        <w:t xml:space="preserve"> culturally generated beliefs are systematically displaced by delocalised knowledge.</w:t>
      </w:r>
      <w:r w:rsidR="00C947FA" w:rsidRPr="007F0941">
        <w:rPr>
          <w:rStyle w:val="FootnoteReference"/>
          <w:rFonts w:ascii="Times New Roman" w:hAnsi="Times New Roman" w:cs="Times New Roman"/>
        </w:rPr>
        <w:footnoteReference w:id="1"/>
      </w:r>
      <w:r w:rsidR="00C947FA" w:rsidRPr="007F0941">
        <w:rPr>
          <w:rFonts w:ascii="Times New Roman" w:hAnsi="Times New Roman" w:cs="Times New Roman"/>
        </w:rPr>
        <w:t xml:space="preserve"> </w:t>
      </w:r>
    </w:p>
    <w:p w14:paraId="0259557A" w14:textId="77777777" w:rsidR="00A90B00" w:rsidRPr="007F0941" w:rsidRDefault="00A90B00" w:rsidP="009448F9">
      <w:pPr>
        <w:ind w:firstLine="720"/>
        <w:jc w:val="both"/>
        <w:rPr>
          <w:rFonts w:ascii="Times New Roman" w:hAnsi="Times New Roman" w:cs="Times New Roman"/>
        </w:rPr>
      </w:pPr>
    </w:p>
    <w:p w14:paraId="7660AD7F" w14:textId="38D29488" w:rsidR="00C947FA" w:rsidRPr="007F0941" w:rsidRDefault="00A90B00" w:rsidP="009448F9">
      <w:pPr>
        <w:ind w:firstLine="720"/>
        <w:jc w:val="both"/>
        <w:rPr>
          <w:rFonts w:ascii="Times New Roman" w:hAnsi="Times New Roman" w:cs="Times New Roman"/>
        </w:rPr>
      </w:pPr>
      <w:r w:rsidRPr="007F0941">
        <w:rPr>
          <w:rFonts w:ascii="Times New Roman" w:hAnsi="Times New Roman" w:cs="Times New Roman"/>
        </w:rPr>
        <w:t>The</w:t>
      </w:r>
      <w:r w:rsidR="00C947FA" w:rsidRPr="007F0941">
        <w:rPr>
          <w:rFonts w:ascii="Times New Roman" w:hAnsi="Times New Roman" w:cs="Times New Roman"/>
        </w:rPr>
        <w:t xml:space="preserve"> machineries of time, both as measure and as travel, offer peculiarly perspicuous technologies that engage with, and register, invisible powers otherwise beyond experience. It seems peculiarly important to attend to such time machines in settings of cultural encounter and engagement, since it has often been supposed that temporal devices embody and reinforce specific cultural systems, and cannot function outwith such networks. Stories of colonial mobility and imperial regimes are well stocked with anecdotes of the indispensable role of time systems, and the use of temporal technologies as means of translating between, and exercising power over, a range of social orders. </w:t>
      </w:r>
      <w:r w:rsidR="00DA26D1" w:rsidRPr="007F0941">
        <w:rPr>
          <w:rFonts w:ascii="Times New Roman" w:hAnsi="Times New Roman" w:cs="Times New Roman"/>
        </w:rPr>
        <w:t>I</w:t>
      </w:r>
      <w:r w:rsidR="00FC7478" w:rsidRPr="007F0941">
        <w:rPr>
          <w:rFonts w:ascii="Times New Roman" w:hAnsi="Times New Roman" w:cs="Times New Roman"/>
        </w:rPr>
        <w:t>n Lilliput Gulliver’s pocket watch was taken by the natives to be his God</w:t>
      </w:r>
      <w:r w:rsidR="00DA26D1" w:rsidRPr="007F0941">
        <w:rPr>
          <w:rFonts w:ascii="Times New Roman" w:hAnsi="Times New Roman" w:cs="Times New Roman"/>
        </w:rPr>
        <w:t>:</w:t>
      </w:r>
      <w:r w:rsidR="00FC7478" w:rsidRPr="007F0941">
        <w:rPr>
          <w:rFonts w:ascii="Times New Roman" w:hAnsi="Times New Roman" w:cs="Times New Roman"/>
        </w:rPr>
        <w:t xml:space="preserve"> so in stories of the colonial encounter it was repeatedly related that indigenous observers took such instruments as signs of power, and the uncanny ability to predict celestial events such as eclipses as a kind of omnipotent magic. </w:t>
      </w:r>
      <w:r w:rsidR="005249E7" w:rsidRPr="007F0941">
        <w:rPr>
          <w:rFonts w:ascii="Times New Roman" w:hAnsi="Times New Roman" w:cs="Times New Roman"/>
        </w:rPr>
        <w:t>When the pre-eminent missionary and colonial agent David Livingstone prepared for his expedition across northern Botswana and the Zambesi in 1853, he made the significant decision to stash in one specially insulated ca</w:t>
      </w:r>
      <w:r w:rsidR="00DA26D1" w:rsidRPr="007F0941">
        <w:rPr>
          <w:rFonts w:ascii="Times New Roman" w:hAnsi="Times New Roman" w:cs="Times New Roman"/>
        </w:rPr>
        <w:t>se</w:t>
      </w:r>
      <w:r w:rsidR="005249E7" w:rsidRPr="007F0941">
        <w:rPr>
          <w:rFonts w:ascii="Times New Roman" w:hAnsi="Times New Roman" w:cs="Times New Roman"/>
        </w:rPr>
        <w:t xml:space="preserve"> the three texts on which his survival apparently depended: the Bible, the Nautical Almanac, and the Table of Logarithms. These were closely related ways of managing his time. With advice from astronomers in London and Cape Town, he learnt how to use a fine Dent chronometer and a Troughton sextant. The hardware’s use dominated racist and imperial imaginaries. </w:t>
      </w:r>
      <w:r w:rsidR="004B56F6" w:rsidRPr="007F0941">
        <w:rPr>
          <w:rFonts w:ascii="Times New Roman" w:hAnsi="Times New Roman" w:cs="Times New Roman"/>
        </w:rPr>
        <w:t>In the epoch of high imperialism, s</w:t>
      </w:r>
      <w:r w:rsidR="00FC7478" w:rsidRPr="007F0941">
        <w:rPr>
          <w:rFonts w:ascii="Times New Roman" w:hAnsi="Times New Roman" w:cs="Times New Roman"/>
        </w:rPr>
        <w:t xml:space="preserve">uch effective </w:t>
      </w:r>
      <w:r w:rsidR="005249E7" w:rsidRPr="007F0941">
        <w:rPr>
          <w:rFonts w:ascii="Times New Roman" w:hAnsi="Times New Roman" w:cs="Times New Roman"/>
        </w:rPr>
        <w:t xml:space="preserve">machines and </w:t>
      </w:r>
      <w:r w:rsidR="00FC7478" w:rsidRPr="007F0941">
        <w:rPr>
          <w:rFonts w:ascii="Times New Roman" w:hAnsi="Times New Roman" w:cs="Times New Roman"/>
        </w:rPr>
        <w:t xml:space="preserve">predictions </w:t>
      </w:r>
      <w:r w:rsidR="004B56F6" w:rsidRPr="007F0941">
        <w:rPr>
          <w:rFonts w:ascii="Times New Roman" w:hAnsi="Times New Roman" w:cs="Times New Roman"/>
        </w:rPr>
        <w:t xml:space="preserve">fictively </w:t>
      </w:r>
      <w:r w:rsidR="00FC7478" w:rsidRPr="007F0941">
        <w:rPr>
          <w:rFonts w:ascii="Times New Roman" w:hAnsi="Times New Roman" w:cs="Times New Roman"/>
        </w:rPr>
        <w:t>worked to win victory for the otherwise desperate modern protagonists over hostile southern A</w:t>
      </w:r>
      <w:r w:rsidR="005249E7" w:rsidRPr="007F0941">
        <w:rPr>
          <w:rFonts w:ascii="Times New Roman" w:hAnsi="Times New Roman" w:cs="Times New Roman"/>
        </w:rPr>
        <w:t>fr</w:t>
      </w:r>
      <w:r w:rsidR="00FC7478" w:rsidRPr="007F0941">
        <w:rPr>
          <w:rFonts w:ascii="Times New Roman" w:hAnsi="Times New Roman" w:cs="Times New Roman"/>
        </w:rPr>
        <w:t>icans in</w:t>
      </w:r>
      <w:r w:rsidR="005249E7" w:rsidRPr="007F0941">
        <w:rPr>
          <w:rFonts w:ascii="Times New Roman" w:hAnsi="Times New Roman" w:cs="Times New Roman"/>
        </w:rPr>
        <w:t xml:space="preserve"> Rider Haggard’s</w:t>
      </w:r>
      <w:r w:rsidR="00FC7478" w:rsidRPr="007F0941">
        <w:rPr>
          <w:rFonts w:ascii="Times New Roman" w:hAnsi="Times New Roman" w:cs="Times New Roman"/>
        </w:rPr>
        <w:t xml:space="preserve"> </w:t>
      </w:r>
      <w:r w:rsidR="00FC7478" w:rsidRPr="007F0941">
        <w:rPr>
          <w:rFonts w:ascii="Times New Roman" w:hAnsi="Times New Roman" w:cs="Times New Roman"/>
          <w:i/>
        </w:rPr>
        <w:t>King Solomon’s Mines</w:t>
      </w:r>
      <w:r w:rsidR="00FC7478" w:rsidRPr="007F0941">
        <w:rPr>
          <w:rFonts w:ascii="Times New Roman" w:hAnsi="Times New Roman" w:cs="Times New Roman"/>
        </w:rPr>
        <w:t xml:space="preserve"> </w:t>
      </w:r>
      <w:r w:rsidR="005249E7" w:rsidRPr="007F0941">
        <w:rPr>
          <w:rFonts w:ascii="Times New Roman" w:hAnsi="Times New Roman" w:cs="Times New Roman"/>
        </w:rPr>
        <w:lastRenderedPageBreak/>
        <w:t>(1885)</w:t>
      </w:r>
      <w:r w:rsidR="00FC7478" w:rsidRPr="007F0941">
        <w:rPr>
          <w:rFonts w:ascii="Times New Roman" w:hAnsi="Times New Roman" w:cs="Times New Roman"/>
        </w:rPr>
        <w:t xml:space="preserve"> and over primitive medieval knights in</w:t>
      </w:r>
      <w:r w:rsidR="005249E7" w:rsidRPr="007F0941">
        <w:rPr>
          <w:rFonts w:ascii="Times New Roman" w:hAnsi="Times New Roman" w:cs="Times New Roman"/>
        </w:rPr>
        <w:t xml:space="preserve"> Mark Twain’s</w:t>
      </w:r>
      <w:r w:rsidR="00FC7478" w:rsidRPr="007F0941">
        <w:rPr>
          <w:rFonts w:ascii="Times New Roman" w:hAnsi="Times New Roman" w:cs="Times New Roman"/>
        </w:rPr>
        <w:t xml:space="preserve"> </w:t>
      </w:r>
      <w:r w:rsidR="00FC7478" w:rsidRPr="007F0941">
        <w:rPr>
          <w:rFonts w:ascii="Times New Roman" w:hAnsi="Times New Roman" w:cs="Times New Roman"/>
          <w:i/>
        </w:rPr>
        <w:t xml:space="preserve">A </w:t>
      </w:r>
      <w:r w:rsidR="004B56F6" w:rsidRPr="007F0941">
        <w:rPr>
          <w:rFonts w:ascii="Times New Roman" w:hAnsi="Times New Roman" w:cs="Times New Roman"/>
          <w:i/>
        </w:rPr>
        <w:t>Connecticut Yankee at King Art</w:t>
      </w:r>
      <w:r w:rsidR="00FC7478" w:rsidRPr="007F0941">
        <w:rPr>
          <w:rFonts w:ascii="Times New Roman" w:hAnsi="Times New Roman" w:cs="Times New Roman"/>
          <w:i/>
        </w:rPr>
        <w:t>hur’s Court</w:t>
      </w:r>
      <w:r w:rsidR="00FC7478" w:rsidRPr="007F0941">
        <w:rPr>
          <w:rFonts w:ascii="Times New Roman" w:hAnsi="Times New Roman" w:cs="Times New Roman"/>
        </w:rPr>
        <w:t xml:space="preserve"> </w:t>
      </w:r>
      <w:r w:rsidR="005249E7" w:rsidRPr="007F0941">
        <w:rPr>
          <w:rFonts w:ascii="Times New Roman" w:hAnsi="Times New Roman" w:cs="Times New Roman"/>
        </w:rPr>
        <w:t>(1889).</w:t>
      </w:r>
      <w:r w:rsidR="00FC7478" w:rsidRPr="007F0941">
        <w:rPr>
          <w:rStyle w:val="FootnoteReference"/>
          <w:rFonts w:ascii="Times New Roman" w:hAnsi="Times New Roman" w:cs="Times New Roman"/>
        </w:rPr>
        <w:footnoteReference w:id="2"/>
      </w:r>
      <w:r w:rsidR="00FC7478" w:rsidRPr="007F0941">
        <w:rPr>
          <w:rFonts w:ascii="Times New Roman" w:hAnsi="Times New Roman" w:cs="Times New Roman"/>
        </w:rPr>
        <w:t xml:space="preserve"> The question of time’s magic was salient. </w:t>
      </w:r>
      <w:r w:rsidR="00C947FA" w:rsidRPr="007F0941">
        <w:rPr>
          <w:rFonts w:ascii="Times New Roman" w:hAnsi="Times New Roman" w:cs="Times New Roman"/>
        </w:rPr>
        <w:t xml:space="preserve">Programmes that </w:t>
      </w:r>
      <w:r w:rsidR="00666A49" w:rsidRPr="007F0941">
        <w:rPr>
          <w:rFonts w:ascii="Times New Roman" w:hAnsi="Times New Roman" w:cs="Times New Roman"/>
        </w:rPr>
        <w:t xml:space="preserve">subjected, </w:t>
      </w:r>
      <w:r w:rsidR="00C947FA" w:rsidRPr="007F0941">
        <w:rPr>
          <w:rFonts w:ascii="Times New Roman" w:hAnsi="Times New Roman" w:cs="Times New Roman"/>
        </w:rPr>
        <w:t xml:space="preserve">examined </w:t>
      </w:r>
      <w:r w:rsidR="00666A49" w:rsidRPr="007F0941">
        <w:rPr>
          <w:rFonts w:ascii="Times New Roman" w:hAnsi="Times New Roman" w:cs="Times New Roman"/>
        </w:rPr>
        <w:t xml:space="preserve">and historicised </w:t>
      </w:r>
      <w:r w:rsidR="00FC7478" w:rsidRPr="007F0941">
        <w:rPr>
          <w:rFonts w:ascii="Times New Roman" w:hAnsi="Times New Roman" w:cs="Times New Roman"/>
        </w:rPr>
        <w:t xml:space="preserve">the </w:t>
      </w:r>
      <w:r w:rsidR="00666A49" w:rsidRPr="007F0941">
        <w:rPr>
          <w:rFonts w:ascii="Times New Roman" w:hAnsi="Times New Roman" w:cs="Times New Roman"/>
        </w:rPr>
        <w:t>colonised populations</w:t>
      </w:r>
      <w:r w:rsidR="00C947FA" w:rsidRPr="007F0941">
        <w:rPr>
          <w:rFonts w:ascii="Times New Roman" w:hAnsi="Times New Roman" w:cs="Times New Roman"/>
        </w:rPr>
        <w:t xml:space="preserve"> often did so, precisely, in the name of a story of the displacement </w:t>
      </w:r>
      <w:r w:rsidR="00FC7478" w:rsidRPr="007F0941">
        <w:rPr>
          <w:rFonts w:ascii="Times New Roman" w:hAnsi="Times New Roman" w:cs="Times New Roman"/>
        </w:rPr>
        <w:t xml:space="preserve">and redemption </w:t>
      </w:r>
      <w:r w:rsidR="00C947FA" w:rsidRPr="007F0941">
        <w:rPr>
          <w:rFonts w:ascii="Times New Roman" w:hAnsi="Times New Roman" w:cs="Times New Roman"/>
        </w:rPr>
        <w:t>of a degenerate past by imperial modernity</w:t>
      </w:r>
      <w:r w:rsidRPr="007F0941">
        <w:rPr>
          <w:rFonts w:ascii="Times New Roman" w:hAnsi="Times New Roman" w:cs="Times New Roman"/>
        </w:rPr>
        <w:t>. T</w:t>
      </w:r>
      <w:r w:rsidR="00C947FA" w:rsidRPr="007F0941">
        <w:rPr>
          <w:rFonts w:ascii="Times New Roman" w:hAnsi="Times New Roman" w:cs="Times New Roman"/>
        </w:rPr>
        <w:t>he</w:t>
      </w:r>
      <w:r w:rsidR="00666A49" w:rsidRPr="007F0941">
        <w:rPr>
          <w:rFonts w:ascii="Times New Roman" w:hAnsi="Times New Roman" w:cs="Times New Roman"/>
        </w:rPr>
        <w:t>re was a close</w:t>
      </w:r>
      <w:r w:rsidR="00C947FA" w:rsidRPr="007F0941">
        <w:rPr>
          <w:rFonts w:ascii="Times New Roman" w:hAnsi="Times New Roman" w:cs="Times New Roman"/>
        </w:rPr>
        <w:t xml:space="preserve"> association between the denunciation of superstition and of magical belief </w:t>
      </w:r>
      <w:r w:rsidR="00666A49" w:rsidRPr="007F0941">
        <w:rPr>
          <w:rFonts w:ascii="Times New Roman" w:hAnsi="Times New Roman" w:cs="Times New Roman"/>
        </w:rPr>
        <w:t>and</w:t>
      </w:r>
      <w:r w:rsidR="00C947FA" w:rsidRPr="007F0941">
        <w:rPr>
          <w:rFonts w:ascii="Times New Roman" w:hAnsi="Times New Roman" w:cs="Times New Roman"/>
        </w:rPr>
        <w:t xml:space="preserve"> the deployment of time devices and </w:t>
      </w:r>
      <w:r w:rsidR="00666A49" w:rsidRPr="007F0941">
        <w:rPr>
          <w:rFonts w:ascii="Times New Roman" w:hAnsi="Times New Roman" w:cs="Times New Roman"/>
        </w:rPr>
        <w:t xml:space="preserve">exquisite </w:t>
      </w:r>
      <w:r w:rsidR="00C947FA" w:rsidRPr="007F0941">
        <w:rPr>
          <w:rFonts w:ascii="Times New Roman" w:hAnsi="Times New Roman" w:cs="Times New Roman"/>
        </w:rPr>
        <w:t xml:space="preserve">instrumentation </w:t>
      </w:r>
      <w:r w:rsidRPr="007F0941">
        <w:rPr>
          <w:rFonts w:ascii="Times New Roman" w:hAnsi="Times New Roman" w:cs="Times New Roman"/>
        </w:rPr>
        <w:t>that could</w:t>
      </w:r>
      <w:r w:rsidR="00C947FA" w:rsidRPr="007F0941">
        <w:rPr>
          <w:rFonts w:ascii="Times New Roman" w:hAnsi="Times New Roman" w:cs="Times New Roman"/>
        </w:rPr>
        <w:t xml:space="preserve"> </w:t>
      </w:r>
      <w:r w:rsidR="00666A49" w:rsidRPr="007F0941">
        <w:rPr>
          <w:rFonts w:ascii="Times New Roman" w:hAnsi="Times New Roman" w:cs="Times New Roman"/>
        </w:rPr>
        <w:t xml:space="preserve">allegedly </w:t>
      </w:r>
      <w:r w:rsidR="00C947FA" w:rsidRPr="007F0941">
        <w:rPr>
          <w:rFonts w:ascii="Times New Roman" w:hAnsi="Times New Roman" w:cs="Times New Roman"/>
        </w:rPr>
        <w:t xml:space="preserve">demarcate knowledge </w:t>
      </w:r>
      <w:r w:rsidR="00666A49" w:rsidRPr="007F0941">
        <w:rPr>
          <w:rFonts w:ascii="Times New Roman" w:hAnsi="Times New Roman" w:cs="Times New Roman"/>
        </w:rPr>
        <w:t>from</w:t>
      </w:r>
      <w:r w:rsidR="00C947FA" w:rsidRPr="007F0941">
        <w:rPr>
          <w:rFonts w:ascii="Times New Roman" w:hAnsi="Times New Roman" w:cs="Times New Roman"/>
        </w:rPr>
        <w:t xml:space="preserve"> belief.</w:t>
      </w:r>
      <w:r w:rsidR="00C947FA" w:rsidRPr="007F0941">
        <w:rPr>
          <w:rStyle w:val="FootnoteReference"/>
          <w:rFonts w:ascii="Times New Roman" w:hAnsi="Times New Roman" w:cs="Times New Roman"/>
        </w:rPr>
        <w:footnoteReference w:id="3"/>
      </w:r>
      <w:r w:rsidR="00666A49" w:rsidRPr="007F0941">
        <w:rPr>
          <w:rFonts w:ascii="Times New Roman" w:hAnsi="Times New Roman" w:cs="Times New Roman"/>
        </w:rPr>
        <w:t xml:space="preserve"> </w:t>
      </w:r>
    </w:p>
    <w:p w14:paraId="75ECCEFB" w14:textId="77777777" w:rsidR="00666A49" w:rsidRPr="007F0941" w:rsidRDefault="00666A49" w:rsidP="009448F9">
      <w:pPr>
        <w:ind w:firstLine="720"/>
        <w:jc w:val="both"/>
        <w:rPr>
          <w:rFonts w:ascii="Times New Roman" w:hAnsi="Times New Roman" w:cs="Times New Roman"/>
        </w:rPr>
      </w:pPr>
    </w:p>
    <w:p w14:paraId="25659FFA" w14:textId="1221484B" w:rsidR="004D1009" w:rsidRPr="007F0941" w:rsidRDefault="00381352" w:rsidP="009448F9">
      <w:pPr>
        <w:ind w:firstLine="720"/>
        <w:jc w:val="both"/>
        <w:rPr>
          <w:rFonts w:ascii="Times New Roman" w:hAnsi="Times New Roman" w:cs="Times New Roman"/>
        </w:rPr>
      </w:pPr>
      <w:r w:rsidRPr="007F0941">
        <w:rPr>
          <w:rFonts w:ascii="Times New Roman" w:hAnsi="Times New Roman" w:cs="Times New Roman"/>
        </w:rPr>
        <w:t>Attention to the material devices, instruments and related hardware made of ivory and brass, wood and glass, us</w:t>
      </w:r>
      <w:r w:rsidR="00A90B00" w:rsidRPr="007F0941">
        <w:rPr>
          <w:rFonts w:ascii="Times New Roman" w:hAnsi="Times New Roman" w:cs="Times New Roman"/>
        </w:rPr>
        <w:t xml:space="preserve">ed as time machines in colonial </w:t>
      </w:r>
      <w:r w:rsidRPr="007F0941">
        <w:rPr>
          <w:rFonts w:ascii="Times New Roman" w:hAnsi="Times New Roman" w:cs="Times New Roman"/>
        </w:rPr>
        <w:t xml:space="preserve">programmes, helps illuminate these problems of </w:t>
      </w:r>
      <w:r w:rsidR="00A90B00" w:rsidRPr="007F0941">
        <w:rPr>
          <w:rFonts w:ascii="Times New Roman" w:hAnsi="Times New Roman" w:cs="Times New Roman"/>
        </w:rPr>
        <w:t xml:space="preserve">asymmetric </w:t>
      </w:r>
      <w:r w:rsidRPr="007F0941">
        <w:rPr>
          <w:rFonts w:ascii="Times New Roman" w:hAnsi="Times New Roman" w:cs="Times New Roman"/>
        </w:rPr>
        <w:t xml:space="preserve">demarcation and power. Often commissioned and funded as central aspects of the military budgets of European imperial organisation from at least the epoch of the </w:t>
      </w:r>
      <w:r w:rsidR="00DA26D1" w:rsidRPr="007F0941">
        <w:rPr>
          <w:rFonts w:ascii="Times New Roman" w:hAnsi="Times New Roman" w:cs="Times New Roman"/>
        </w:rPr>
        <w:t xml:space="preserve">sixteenth century </w:t>
      </w:r>
      <w:r w:rsidRPr="007F0941">
        <w:rPr>
          <w:rFonts w:ascii="Times New Roman" w:hAnsi="Times New Roman" w:cs="Times New Roman"/>
        </w:rPr>
        <w:t>Catholic Monarchy, the equipment that was used to record and manage time was always a major component not only of precision measures, but of the capacity to travel, to sustain a militant presence, and to organise relations across and within cultures elsewhere.</w:t>
      </w:r>
      <w:r w:rsidR="004D1009" w:rsidRPr="007F0941">
        <w:rPr>
          <w:rFonts w:ascii="Times New Roman" w:hAnsi="Times New Roman" w:cs="Times New Roman"/>
        </w:rPr>
        <w:t xml:space="preserve"> According to Serge Gruzinski, in his comparative study of the </w:t>
      </w:r>
      <w:r w:rsidR="004D1009" w:rsidRPr="007F0941">
        <w:rPr>
          <w:rFonts w:ascii="Times New Roman" w:hAnsi="Times New Roman" w:cs="Times New Roman"/>
          <w:i/>
        </w:rPr>
        <w:t>Tarih-i-Hind Garbi</w:t>
      </w:r>
      <w:r w:rsidR="004D1009" w:rsidRPr="007F0941">
        <w:rPr>
          <w:rFonts w:ascii="Times New Roman" w:hAnsi="Times New Roman" w:cs="Times New Roman"/>
        </w:rPr>
        <w:t xml:space="preserve"> composed in Istanbul around 1580 as an account of the Americas, and the account of the Ottoman empire written by the cosmographer and printer Heinrich Martin in Mexico in 1606, </w:t>
      </w:r>
      <w:r w:rsidR="004D1009" w:rsidRPr="007F0941">
        <w:rPr>
          <w:rFonts w:ascii="Times New Roman" w:hAnsi="Times New Roman" w:cs="Times New Roman"/>
          <w:i/>
        </w:rPr>
        <w:t xml:space="preserve">Reperterio de los tiempos, </w:t>
      </w:r>
      <w:r w:rsidR="004D1009" w:rsidRPr="007F0941">
        <w:rPr>
          <w:rFonts w:ascii="Times New Roman" w:hAnsi="Times New Roman" w:cs="Times New Roman"/>
        </w:rPr>
        <w:t>this was when, for the first time, European experts employed as colonial officers manage</w:t>
      </w:r>
      <w:r w:rsidR="00DA26D1" w:rsidRPr="007F0941">
        <w:rPr>
          <w:rFonts w:ascii="Times New Roman" w:hAnsi="Times New Roman" w:cs="Times New Roman"/>
        </w:rPr>
        <w:t>d</w:t>
      </w:r>
      <w:r w:rsidR="004D1009" w:rsidRPr="007F0941">
        <w:rPr>
          <w:rFonts w:ascii="Times New Roman" w:hAnsi="Times New Roman" w:cs="Times New Roman"/>
        </w:rPr>
        <w:t xml:space="preserve"> to use their hardware to carry out co-ordinated and putatively simultaneous operations across the globe: administrative simultaneity was a vital aim and practical interest of the new time machines deployed across these regimes.</w:t>
      </w:r>
      <w:r w:rsidR="00A90B00" w:rsidRPr="007F0941">
        <w:rPr>
          <w:rStyle w:val="FootnoteReference"/>
          <w:rFonts w:ascii="Times New Roman" w:hAnsi="Times New Roman" w:cs="Times New Roman"/>
        </w:rPr>
        <w:footnoteReference w:id="4"/>
      </w:r>
      <w:r w:rsidRPr="007F0941">
        <w:rPr>
          <w:rFonts w:ascii="Times New Roman" w:hAnsi="Times New Roman" w:cs="Times New Roman"/>
        </w:rPr>
        <w:t xml:space="preserve"> </w:t>
      </w:r>
    </w:p>
    <w:p w14:paraId="7521729A" w14:textId="77777777" w:rsidR="004D1009" w:rsidRPr="007F0941" w:rsidRDefault="004D1009" w:rsidP="009448F9">
      <w:pPr>
        <w:ind w:firstLine="720"/>
        <w:jc w:val="both"/>
        <w:rPr>
          <w:rFonts w:ascii="Times New Roman" w:hAnsi="Times New Roman" w:cs="Times New Roman"/>
        </w:rPr>
      </w:pPr>
    </w:p>
    <w:p w14:paraId="4F423681" w14:textId="5D119E9C" w:rsidR="00A90B00" w:rsidRPr="007F0941" w:rsidRDefault="00381352" w:rsidP="009448F9">
      <w:pPr>
        <w:ind w:firstLine="720"/>
        <w:jc w:val="both"/>
        <w:rPr>
          <w:rFonts w:ascii="Times New Roman" w:hAnsi="Times New Roman" w:cs="Times New Roman"/>
        </w:rPr>
      </w:pPr>
      <w:r w:rsidRPr="007F0941">
        <w:rPr>
          <w:rFonts w:ascii="Times New Roman" w:hAnsi="Times New Roman" w:cs="Times New Roman"/>
        </w:rPr>
        <w:t xml:space="preserve">Several features of these </w:t>
      </w:r>
      <w:r w:rsidR="004D1009" w:rsidRPr="007F0941">
        <w:rPr>
          <w:rFonts w:ascii="Times New Roman" w:hAnsi="Times New Roman" w:cs="Times New Roman"/>
        </w:rPr>
        <w:t>machine</w:t>
      </w:r>
      <w:r w:rsidRPr="007F0941">
        <w:rPr>
          <w:rFonts w:ascii="Times New Roman" w:hAnsi="Times New Roman" w:cs="Times New Roman"/>
        </w:rPr>
        <w:t xml:space="preserve">s' use are </w:t>
      </w:r>
      <w:r w:rsidR="004D1009" w:rsidRPr="007F0941">
        <w:rPr>
          <w:rFonts w:ascii="Times New Roman" w:hAnsi="Times New Roman" w:cs="Times New Roman"/>
        </w:rPr>
        <w:t xml:space="preserve">thus </w:t>
      </w:r>
      <w:r w:rsidRPr="007F0941">
        <w:rPr>
          <w:rFonts w:ascii="Times New Roman" w:hAnsi="Times New Roman" w:cs="Times New Roman"/>
        </w:rPr>
        <w:t xml:space="preserve">important: the work of making reliable knowledge, in which time machines were understood as mediators between users and the world; and the work of making knowledge communities, in which such instruments were understood as mediators between different users. It is a familiar lesson of the history of the sciences that these uses depended on each other; solutions to the problem of knowledge are solutions to the problem of social order. As Marilyn Strathern has argued, such </w:t>
      </w:r>
      <w:r w:rsidR="00DA26D1" w:rsidRPr="007F0941">
        <w:rPr>
          <w:rFonts w:ascii="Times New Roman" w:hAnsi="Times New Roman" w:cs="Times New Roman"/>
        </w:rPr>
        <w:t>devic</w:t>
      </w:r>
      <w:r w:rsidR="00A90B00" w:rsidRPr="007F0941">
        <w:rPr>
          <w:rFonts w:ascii="Times New Roman" w:hAnsi="Times New Roman" w:cs="Times New Roman"/>
        </w:rPr>
        <w:t>es</w:t>
      </w:r>
      <w:r w:rsidRPr="007F0941">
        <w:rPr>
          <w:rFonts w:ascii="Times New Roman" w:hAnsi="Times New Roman" w:cs="Times New Roman"/>
        </w:rPr>
        <w:t xml:space="preserve"> never simply illustrated nor brought to presence sets of meanings that could somehow be spelt out in other ways. The view that interpretation should best treat such objects as mere illustrations, she pointed out, helped divorce social anthropology from the study of material culture; and exactly the same could be charged against histories of the sciences that reckoned such </w:t>
      </w:r>
      <w:r w:rsidR="00A90B00" w:rsidRPr="007F0941">
        <w:rPr>
          <w:rFonts w:ascii="Times New Roman" w:hAnsi="Times New Roman" w:cs="Times New Roman"/>
        </w:rPr>
        <w:t xml:space="preserve">chronometric </w:t>
      </w:r>
      <w:r w:rsidRPr="007F0941">
        <w:rPr>
          <w:rFonts w:ascii="Times New Roman" w:hAnsi="Times New Roman" w:cs="Times New Roman"/>
        </w:rPr>
        <w:t>devices offered little save ‘background information’ about elegant and celebrated scientific theories. But social orders offer conventions with and against which users improvise, by reworking or revising the objects with which they live.</w:t>
      </w:r>
      <w:r w:rsidRPr="007F0941">
        <w:rPr>
          <w:rStyle w:val="EndnoteReference"/>
          <w:rFonts w:ascii="Times New Roman" w:hAnsi="Times New Roman" w:cs="Times New Roman"/>
        </w:rPr>
        <w:t xml:space="preserve"> </w:t>
      </w:r>
      <w:r w:rsidRPr="007F0941">
        <w:rPr>
          <w:rStyle w:val="FootnoteReference"/>
          <w:rFonts w:ascii="Times New Roman" w:hAnsi="Times New Roman" w:cs="Times New Roman"/>
        </w:rPr>
        <w:footnoteReference w:id="5"/>
      </w:r>
      <w:r w:rsidRPr="007F0941">
        <w:rPr>
          <w:rFonts w:ascii="Times New Roman" w:hAnsi="Times New Roman" w:cs="Times New Roman"/>
        </w:rPr>
        <w:t xml:space="preserve"> </w:t>
      </w:r>
    </w:p>
    <w:p w14:paraId="26CB616E" w14:textId="77777777" w:rsidR="00A90B00" w:rsidRPr="007F0941" w:rsidRDefault="00A90B00" w:rsidP="009448F9">
      <w:pPr>
        <w:ind w:firstLine="720"/>
        <w:jc w:val="both"/>
        <w:rPr>
          <w:rFonts w:ascii="Times New Roman" w:hAnsi="Times New Roman" w:cs="Times New Roman"/>
        </w:rPr>
      </w:pPr>
    </w:p>
    <w:p w14:paraId="37158C46" w14:textId="41C1F27E" w:rsidR="00381352" w:rsidRPr="007F0941" w:rsidRDefault="00381352" w:rsidP="009448F9">
      <w:pPr>
        <w:ind w:firstLine="720"/>
        <w:jc w:val="both"/>
        <w:rPr>
          <w:rFonts w:ascii="Times New Roman" w:hAnsi="Times New Roman" w:cs="Times New Roman"/>
        </w:rPr>
      </w:pPr>
      <w:r w:rsidRPr="007F0941">
        <w:rPr>
          <w:rFonts w:ascii="Times New Roman" w:hAnsi="Times New Roman" w:cs="Times New Roman"/>
        </w:rPr>
        <w:t xml:space="preserve">Such work of improvisation and adaptation was performed </w:t>
      </w:r>
      <w:r w:rsidR="004D1009" w:rsidRPr="007F0941">
        <w:rPr>
          <w:rFonts w:ascii="Times New Roman" w:hAnsi="Times New Roman" w:cs="Times New Roman"/>
        </w:rPr>
        <w:t>by</w:t>
      </w:r>
      <w:r w:rsidRPr="007F0941">
        <w:rPr>
          <w:rFonts w:ascii="Times New Roman" w:hAnsi="Times New Roman" w:cs="Times New Roman"/>
        </w:rPr>
        <w:t xml:space="preserve"> hardware carried </w:t>
      </w:r>
      <w:r w:rsidR="00A90B00" w:rsidRPr="007F0941">
        <w:rPr>
          <w:rFonts w:ascii="Times New Roman" w:hAnsi="Times New Roman" w:cs="Times New Roman"/>
        </w:rPr>
        <w:t>by travelers, experts, administrators and merchants, especially in moments of encounter and exchange</w:t>
      </w:r>
      <w:r w:rsidRPr="007F0941">
        <w:rPr>
          <w:rFonts w:ascii="Times New Roman" w:hAnsi="Times New Roman" w:cs="Times New Roman"/>
        </w:rPr>
        <w:t>.</w:t>
      </w:r>
      <w:r w:rsidRPr="007F0941">
        <w:rPr>
          <w:rStyle w:val="FootnoteReference"/>
          <w:rFonts w:ascii="Times New Roman" w:hAnsi="Times New Roman" w:cs="Times New Roman"/>
        </w:rPr>
        <w:footnoteReference w:id="6"/>
      </w:r>
      <w:r w:rsidRPr="007F0941">
        <w:rPr>
          <w:rFonts w:ascii="Times New Roman" w:hAnsi="Times New Roman" w:cs="Times New Roman"/>
        </w:rPr>
        <w:t xml:space="preserve"> Long before the celebrated voyages of the European Enlightenment</w:t>
      </w:r>
      <w:r w:rsidR="00A90B00" w:rsidRPr="007F0941">
        <w:rPr>
          <w:rFonts w:ascii="Times New Roman" w:hAnsi="Times New Roman" w:cs="Times New Roman"/>
        </w:rPr>
        <w:t xml:space="preserve"> and its imperial aftermath</w:t>
      </w:r>
      <w:r w:rsidR="004D1009" w:rsidRPr="007F0941">
        <w:rPr>
          <w:rFonts w:ascii="Times New Roman" w:hAnsi="Times New Roman" w:cs="Times New Roman"/>
        </w:rPr>
        <w:t>s</w:t>
      </w:r>
      <w:r w:rsidRPr="007F0941">
        <w:rPr>
          <w:rFonts w:ascii="Times New Roman" w:hAnsi="Times New Roman" w:cs="Times New Roman"/>
        </w:rPr>
        <w:t xml:space="preserve">, Portuguese navigators trained by Islamic and Jewish experts in the rule of the astrolabe had claimed possession of the lands of the Tupinamba or the Monomatapa by ceremonially enacting astronomical determinations of position, their cross-staffs and quadrants helping vouch for these lands’ place </w:t>
      </w:r>
      <w:r w:rsidR="00A90B00" w:rsidRPr="007F0941">
        <w:rPr>
          <w:rFonts w:ascii="Times New Roman" w:hAnsi="Times New Roman" w:cs="Times New Roman"/>
        </w:rPr>
        <w:t xml:space="preserve">and time </w:t>
      </w:r>
      <w:r w:rsidRPr="007F0941">
        <w:rPr>
          <w:rFonts w:ascii="Times New Roman" w:hAnsi="Times New Roman" w:cs="Times New Roman"/>
        </w:rPr>
        <w:t xml:space="preserve">in their tale of conquest. </w:t>
      </w:r>
      <w:r w:rsidR="004D1009" w:rsidRPr="007F0941">
        <w:rPr>
          <w:rFonts w:ascii="Times New Roman" w:hAnsi="Times New Roman" w:cs="Times New Roman"/>
        </w:rPr>
        <w:t>European</w:t>
      </w:r>
      <w:r w:rsidRPr="007F0941">
        <w:rPr>
          <w:rFonts w:ascii="Times New Roman" w:hAnsi="Times New Roman" w:cs="Times New Roman"/>
        </w:rPr>
        <w:t xml:space="preserve"> mariners off course in the spaces of the Indian Ocean found that they were already mastered by locally expert traders, observers and travellers whose knowledge and skill proved decisive as resources and obstacles, while Jesuit missionaries were exceptionally ingenious in mobilising </w:t>
      </w:r>
      <w:r w:rsidR="00A90B00" w:rsidRPr="007F0941">
        <w:rPr>
          <w:rFonts w:ascii="Times New Roman" w:hAnsi="Times New Roman" w:cs="Times New Roman"/>
        </w:rPr>
        <w:t>temporal</w:t>
      </w:r>
      <w:r w:rsidRPr="007F0941">
        <w:rPr>
          <w:rFonts w:ascii="Times New Roman" w:hAnsi="Times New Roman" w:cs="Times New Roman"/>
        </w:rPr>
        <w:t xml:space="preserve"> hardware worldwide in networks they helped make and reinforce.</w:t>
      </w:r>
      <w:r w:rsidRPr="007F0941">
        <w:rPr>
          <w:rStyle w:val="FootnoteReference"/>
          <w:rFonts w:ascii="Times New Roman" w:hAnsi="Times New Roman" w:cs="Times New Roman"/>
        </w:rPr>
        <w:footnoteReference w:id="7"/>
      </w:r>
      <w:r w:rsidRPr="007F0941">
        <w:rPr>
          <w:rFonts w:ascii="Times New Roman" w:hAnsi="Times New Roman" w:cs="Times New Roman"/>
        </w:rPr>
        <w:t xml:space="preserve"> The technological ensembles of eighteenth-century navigation</w:t>
      </w:r>
      <w:r w:rsidR="004D1009" w:rsidRPr="007F0941">
        <w:rPr>
          <w:rFonts w:ascii="Times New Roman" w:hAnsi="Times New Roman" w:cs="Times New Roman"/>
        </w:rPr>
        <w:t xml:space="preserve"> were </w:t>
      </w:r>
      <w:r w:rsidR="00D710B1" w:rsidRPr="007F0941">
        <w:rPr>
          <w:rFonts w:ascii="Times New Roman" w:hAnsi="Times New Roman" w:cs="Times New Roman"/>
        </w:rPr>
        <w:t xml:space="preserve">admittedly </w:t>
      </w:r>
      <w:r w:rsidR="004D1009" w:rsidRPr="007F0941">
        <w:rPr>
          <w:rFonts w:ascii="Times New Roman" w:hAnsi="Times New Roman" w:cs="Times New Roman"/>
        </w:rPr>
        <w:t>novel</w:t>
      </w:r>
      <w:r w:rsidRPr="007F0941">
        <w:rPr>
          <w:rFonts w:ascii="Times New Roman" w:hAnsi="Times New Roman" w:cs="Times New Roman"/>
        </w:rPr>
        <w:t xml:space="preserve">, involving marine chronometers, </w:t>
      </w:r>
      <w:r w:rsidR="00D710B1" w:rsidRPr="007F0941">
        <w:rPr>
          <w:rFonts w:ascii="Times New Roman" w:hAnsi="Times New Roman" w:cs="Times New Roman"/>
        </w:rPr>
        <w:t xml:space="preserve">lunar almanacs, </w:t>
      </w:r>
      <w:r w:rsidRPr="007F0941">
        <w:rPr>
          <w:rFonts w:ascii="Times New Roman" w:hAnsi="Times New Roman" w:cs="Times New Roman"/>
        </w:rPr>
        <w:t>quadrants, theodolites</w:t>
      </w:r>
      <w:r w:rsidR="00D710B1" w:rsidRPr="007F0941">
        <w:rPr>
          <w:rFonts w:ascii="Times New Roman" w:hAnsi="Times New Roman" w:cs="Times New Roman"/>
        </w:rPr>
        <w:t>, sextants</w:t>
      </w:r>
      <w:r w:rsidRPr="007F0941">
        <w:rPr>
          <w:rFonts w:ascii="Times New Roman" w:hAnsi="Times New Roman" w:cs="Times New Roman"/>
        </w:rPr>
        <w:t xml:space="preserve"> and sophisticated compasses, </w:t>
      </w:r>
      <w:r w:rsidR="004D1009" w:rsidRPr="007F0941">
        <w:rPr>
          <w:rFonts w:ascii="Times New Roman" w:hAnsi="Times New Roman" w:cs="Times New Roman"/>
        </w:rPr>
        <w:t>but</w:t>
      </w:r>
      <w:r w:rsidRPr="007F0941">
        <w:rPr>
          <w:rFonts w:ascii="Times New Roman" w:hAnsi="Times New Roman" w:cs="Times New Roman"/>
        </w:rPr>
        <w:t xml:space="preserve"> just as charged with </w:t>
      </w:r>
      <w:r w:rsidR="004D1009" w:rsidRPr="007F0941">
        <w:rPr>
          <w:rFonts w:ascii="Times New Roman" w:hAnsi="Times New Roman" w:cs="Times New Roman"/>
        </w:rPr>
        <w:t xml:space="preserve">these </w:t>
      </w:r>
      <w:r w:rsidRPr="007F0941">
        <w:rPr>
          <w:rFonts w:ascii="Times New Roman" w:hAnsi="Times New Roman" w:cs="Times New Roman"/>
        </w:rPr>
        <w:t xml:space="preserve">symbolic </w:t>
      </w:r>
      <w:r w:rsidR="004D1009" w:rsidRPr="007F0941">
        <w:rPr>
          <w:rFonts w:ascii="Times New Roman" w:hAnsi="Times New Roman" w:cs="Times New Roman"/>
        </w:rPr>
        <w:t xml:space="preserve">and practical </w:t>
      </w:r>
      <w:r w:rsidRPr="007F0941">
        <w:rPr>
          <w:rFonts w:ascii="Times New Roman" w:hAnsi="Times New Roman" w:cs="Times New Roman"/>
        </w:rPr>
        <w:t>significance</w:t>
      </w:r>
      <w:r w:rsidR="004D1009" w:rsidRPr="007F0941">
        <w:rPr>
          <w:rFonts w:ascii="Times New Roman" w:hAnsi="Times New Roman" w:cs="Times New Roman"/>
        </w:rPr>
        <w:t>s</w:t>
      </w:r>
      <w:r w:rsidRPr="007F0941">
        <w:rPr>
          <w:rFonts w:ascii="Times New Roman" w:hAnsi="Times New Roman" w:cs="Times New Roman"/>
        </w:rPr>
        <w:t>.</w:t>
      </w:r>
      <w:r w:rsidR="004510CD" w:rsidRPr="007F0941">
        <w:rPr>
          <w:rStyle w:val="FootnoteReference"/>
          <w:rFonts w:ascii="Times New Roman" w:hAnsi="Times New Roman" w:cs="Times New Roman"/>
        </w:rPr>
        <w:footnoteReference w:id="8"/>
      </w:r>
      <w:r w:rsidRPr="007F0941">
        <w:rPr>
          <w:rFonts w:ascii="Times New Roman" w:hAnsi="Times New Roman" w:cs="Times New Roman"/>
        </w:rPr>
        <w:t xml:space="preserve"> </w:t>
      </w:r>
      <w:r w:rsidR="00A90B00" w:rsidRPr="007F0941">
        <w:rPr>
          <w:rFonts w:ascii="Times New Roman" w:hAnsi="Times New Roman" w:cs="Times New Roman"/>
        </w:rPr>
        <w:t>It’s been argued, not always convincingly, that s</w:t>
      </w:r>
      <w:r w:rsidRPr="007F0941">
        <w:rPr>
          <w:rFonts w:ascii="Times New Roman" w:hAnsi="Times New Roman" w:cs="Times New Roman"/>
        </w:rPr>
        <w:t xml:space="preserve">hips </w:t>
      </w:r>
      <w:r w:rsidR="004D1009" w:rsidRPr="007F0941">
        <w:rPr>
          <w:rFonts w:ascii="Times New Roman" w:hAnsi="Times New Roman" w:cs="Times New Roman"/>
        </w:rPr>
        <w:t xml:space="preserve">then </w:t>
      </w:r>
      <w:r w:rsidRPr="007F0941">
        <w:rPr>
          <w:rFonts w:ascii="Times New Roman" w:hAnsi="Times New Roman" w:cs="Times New Roman"/>
        </w:rPr>
        <w:t xml:space="preserve">functioned as so many scientific instruments, </w:t>
      </w:r>
      <w:r w:rsidR="004D1009" w:rsidRPr="007F0941">
        <w:rPr>
          <w:rFonts w:ascii="Times New Roman" w:hAnsi="Times New Roman" w:cs="Times New Roman"/>
        </w:rPr>
        <w:t>as</w:t>
      </w:r>
      <w:r w:rsidRPr="007F0941">
        <w:rPr>
          <w:rFonts w:ascii="Times New Roman" w:hAnsi="Times New Roman" w:cs="Times New Roman"/>
        </w:rPr>
        <w:t xml:space="preserve"> in European journeys into the Pacific and their reception by Polynesian navigators. According to Bernard Smith, the ‘construction of reliable chronometers’ carried by vessels which combined the virtues of ‘the laboratory and the fortress’ meant that the ‘archipelagos of the Pacific yielded information of value to the ocean-going scientist’ with what he claimed was unprecedented ease.</w:t>
      </w:r>
      <w:r w:rsidRPr="007F0941">
        <w:rPr>
          <w:rStyle w:val="FootnoteReference"/>
          <w:rFonts w:ascii="Times New Roman" w:hAnsi="Times New Roman" w:cs="Times New Roman"/>
        </w:rPr>
        <w:footnoteReference w:id="9"/>
      </w:r>
      <w:r w:rsidRPr="007F0941">
        <w:rPr>
          <w:rFonts w:ascii="Times New Roman" w:hAnsi="Times New Roman" w:cs="Times New Roman"/>
        </w:rPr>
        <w:t xml:space="preserve"> The indispensable information provided to James Cook by the Tahitian expert Tupaia, for example, was then calibrated against the </w:t>
      </w:r>
      <w:r w:rsidR="00A90B00" w:rsidRPr="007F0941">
        <w:rPr>
          <w:rFonts w:ascii="Times New Roman" w:hAnsi="Times New Roman" w:cs="Times New Roman"/>
        </w:rPr>
        <w:t>times recorded and</w:t>
      </w:r>
      <w:r w:rsidRPr="007F0941">
        <w:rPr>
          <w:rFonts w:ascii="Times New Roman" w:hAnsi="Times New Roman" w:cs="Times New Roman"/>
        </w:rPr>
        <w:t xml:space="preserve"> apparently </w:t>
      </w:r>
      <w:r w:rsidR="004D1009" w:rsidRPr="007F0941">
        <w:rPr>
          <w:rFonts w:ascii="Times New Roman" w:hAnsi="Times New Roman" w:cs="Times New Roman"/>
        </w:rPr>
        <w:t>well established</w:t>
      </w:r>
      <w:r w:rsidRPr="007F0941">
        <w:rPr>
          <w:rFonts w:ascii="Times New Roman" w:hAnsi="Times New Roman" w:cs="Times New Roman"/>
        </w:rPr>
        <w:t xml:space="preserve"> by British astronomers and their equipment. As Anne Salmond has argued, </w:t>
      </w:r>
      <w:r w:rsidR="004D1009" w:rsidRPr="007F0941">
        <w:rPr>
          <w:rFonts w:ascii="Times New Roman" w:hAnsi="Times New Roman" w:cs="Times New Roman"/>
        </w:rPr>
        <w:t xml:space="preserve">however, </w:t>
      </w:r>
      <w:r w:rsidRPr="007F0941">
        <w:rPr>
          <w:rFonts w:ascii="Times New Roman" w:hAnsi="Times New Roman" w:cs="Times New Roman"/>
        </w:rPr>
        <w:t xml:space="preserve">much was </w:t>
      </w:r>
      <w:r w:rsidR="004D1009" w:rsidRPr="007F0941">
        <w:rPr>
          <w:rFonts w:ascii="Times New Roman" w:hAnsi="Times New Roman" w:cs="Times New Roman"/>
        </w:rPr>
        <w:t xml:space="preserve">also </w:t>
      </w:r>
      <w:r w:rsidRPr="007F0941">
        <w:rPr>
          <w:rFonts w:ascii="Times New Roman" w:hAnsi="Times New Roman" w:cs="Times New Roman"/>
        </w:rPr>
        <w:t xml:space="preserve">lost or blocked in these kinds of encounters. Tupaia never mastered European navigational instruments, while Europeans simply didn’t manage to make </w:t>
      </w:r>
      <w:r w:rsidR="004D1009" w:rsidRPr="007F0941">
        <w:rPr>
          <w:rFonts w:ascii="Times New Roman" w:hAnsi="Times New Roman" w:cs="Times New Roman"/>
        </w:rPr>
        <w:t xml:space="preserve">good </w:t>
      </w:r>
      <w:r w:rsidRPr="007F0941">
        <w:rPr>
          <w:rFonts w:ascii="Times New Roman" w:hAnsi="Times New Roman" w:cs="Times New Roman"/>
        </w:rPr>
        <w:t xml:space="preserve">sense of Polynesian maritime knowledge. </w:t>
      </w:r>
      <w:r w:rsidR="00A90B00" w:rsidRPr="007F0941">
        <w:rPr>
          <w:rFonts w:ascii="Times New Roman" w:hAnsi="Times New Roman" w:cs="Times New Roman"/>
        </w:rPr>
        <w:t>In such cases time machines and their expert specialists</w:t>
      </w:r>
      <w:r w:rsidRPr="007F0941">
        <w:rPr>
          <w:rFonts w:ascii="Times New Roman" w:hAnsi="Times New Roman" w:cs="Times New Roman"/>
        </w:rPr>
        <w:t xml:space="preserve"> often failed </w:t>
      </w:r>
      <w:r w:rsidR="00A90B00" w:rsidRPr="007F0941">
        <w:rPr>
          <w:rFonts w:ascii="Times New Roman" w:hAnsi="Times New Roman" w:cs="Times New Roman"/>
        </w:rPr>
        <w:t xml:space="preserve">quite </w:t>
      </w:r>
      <w:r w:rsidRPr="007F0941">
        <w:rPr>
          <w:rFonts w:ascii="Times New Roman" w:hAnsi="Times New Roman" w:cs="Times New Roman"/>
        </w:rPr>
        <w:t>to sustain effective encounters, and ‘the translational task was too difficult’.</w:t>
      </w:r>
      <w:r w:rsidRPr="007F0941">
        <w:rPr>
          <w:rStyle w:val="FootnoteReference"/>
          <w:rFonts w:ascii="Times New Roman" w:hAnsi="Times New Roman" w:cs="Times New Roman"/>
        </w:rPr>
        <w:footnoteReference w:id="10"/>
      </w:r>
      <w:r w:rsidRPr="007F0941">
        <w:rPr>
          <w:rFonts w:ascii="Times New Roman" w:hAnsi="Times New Roman" w:cs="Times New Roman"/>
        </w:rPr>
        <w:t xml:space="preserve"> </w:t>
      </w:r>
    </w:p>
    <w:p w14:paraId="50B3349E" w14:textId="77777777" w:rsidR="001915CA" w:rsidRPr="007F0941" w:rsidRDefault="001915CA" w:rsidP="009448F9">
      <w:pPr>
        <w:ind w:firstLine="720"/>
        <w:jc w:val="both"/>
        <w:rPr>
          <w:rFonts w:ascii="Times New Roman" w:hAnsi="Times New Roman" w:cs="Times New Roman"/>
        </w:rPr>
      </w:pPr>
    </w:p>
    <w:p w14:paraId="3A0D29DB" w14:textId="16CD079E" w:rsidR="004B56F6" w:rsidRPr="007F0941" w:rsidRDefault="00C947FA" w:rsidP="009448F9">
      <w:pPr>
        <w:jc w:val="both"/>
        <w:rPr>
          <w:rFonts w:ascii="Times New Roman" w:hAnsi="Times New Roman" w:cs="Times New Roman"/>
        </w:rPr>
      </w:pPr>
      <w:r w:rsidRPr="007F0941">
        <w:rPr>
          <w:rFonts w:ascii="Times New Roman" w:hAnsi="Times New Roman" w:cs="Times New Roman"/>
        </w:rPr>
        <w:tab/>
      </w:r>
      <w:r w:rsidR="007B708B" w:rsidRPr="007F0941">
        <w:rPr>
          <w:rFonts w:ascii="Times New Roman" w:hAnsi="Times New Roman" w:cs="Times New Roman"/>
        </w:rPr>
        <w:t>Such problems of translation in encounter, and, more generally, the intricate relation between translation in space and the measure of time, have long dominated the very definition of the work of anthropology and of history in their dealings with cultural varia</w:t>
      </w:r>
      <w:r w:rsidR="00FC7478" w:rsidRPr="007F0941">
        <w:rPr>
          <w:rFonts w:ascii="Times New Roman" w:hAnsi="Times New Roman" w:cs="Times New Roman"/>
        </w:rPr>
        <w:t xml:space="preserve">tion in colonised settings. There was a fundamental instructive relation between the use of chronometric technologies by expert specialists and the claim that to travel to so-called exotic territories was to travel back in time. The notorious formulation was </w:t>
      </w:r>
      <w:r w:rsidR="004B56F6" w:rsidRPr="007F0941">
        <w:rPr>
          <w:rFonts w:ascii="Times New Roman" w:hAnsi="Times New Roman" w:cs="Times New Roman"/>
        </w:rPr>
        <w:t xml:space="preserve">composed </w:t>
      </w:r>
      <w:r w:rsidR="007D6645" w:rsidRPr="007F0941">
        <w:rPr>
          <w:rFonts w:ascii="Times New Roman" w:hAnsi="Times New Roman" w:cs="Times New Roman"/>
        </w:rPr>
        <w:t xml:space="preserve">by the </w:t>
      </w:r>
      <w:r w:rsidR="007D6645" w:rsidRPr="007F0941">
        <w:rPr>
          <w:rFonts w:ascii="Times New Roman" w:hAnsi="Times New Roman" w:cs="Times New Roman"/>
          <w:i/>
        </w:rPr>
        <w:t>idéologue</w:t>
      </w:r>
      <w:r w:rsidR="007D6645" w:rsidRPr="007F0941">
        <w:rPr>
          <w:rFonts w:ascii="Times New Roman" w:hAnsi="Times New Roman" w:cs="Times New Roman"/>
        </w:rPr>
        <w:t xml:space="preserve"> Joseph-Marie de Gérando in September 1799 as part of the briefing documents for </w:t>
      </w:r>
      <w:r w:rsidR="004B56F6" w:rsidRPr="007F0941">
        <w:rPr>
          <w:rFonts w:ascii="Times New Roman" w:hAnsi="Times New Roman" w:cs="Times New Roman"/>
        </w:rPr>
        <w:t>a</w:t>
      </w:r>
      <w:r w:rsidR="007D6645" w:rsidRPr="007F0941">
        <w:rPr>
          <w:rFonts w:ascii="Times New Roman" w:hAnsi="Times New Roman" w:cs="Times New Roman"/>
        </w:rPr>
        <w:t xml:space="preserve"> survey expedition led by Nicolas Baudin to Australasia and the south Pacific.</w:t>
      </w:r>
      <w:r w:rsidR="007D6645" w:rsidRPr="007F0941">
        <w:rPr>
          <w:rStyle w:val="FootnoteReference"/>
          <w:rFonts w:ascii="Times New Roman" w:hAnsi="Times New Roman" w:cs="Times New Roman"/>
        </w:rPr>
        <w:footnoteReference w:id="11"/>
      </w:r>
      <w:r w:rsidR="007D6645" w:rsidRPr="007F0941">
        <w:rPr>
          <w:rFonts w:ascii="Times New Roman" w:hAnsi="Times New Roman" w:cs="Times New Roman"/>
        </w:rPr>
        <w:t xml:space="preserve"> This was a decisive exercise in the mobilisation of European scientific hardware and personnel in the region. Rather than </w:t>
      </w:r>
      <w:r w:rsidR="00D710B1" w:rsidRPr="007F0941">
        <w:rPr>
          <w:rFonts w:ascii="Times New Roman" w:hAnsi="Times New Roman" w:cs="Times New Roman"/>
        </w:rPr>
        <w:t xml:space="preserve">pursue </w:t>
      </w:r>
      <w:r w:rsidR="007D6645" w:rsidRPr="007F0941">
        <w:rPr>
          <w:rFonts w:ascii="Times New Roman" w:hAnsi="Times New Roman" w:cs="Times New Roman"/>
        </w:rPr>
        <w:t>his South American enterprise, Alexander von Humboldt energetically but abortively lobbied to take his vast collection of clocks, sextants, telescopes, and meteorolo</w:t>
      </w:r>
      <w:r w:rsidR="00A34D62" w:rsidRPr="007F0941">
        <w:rPr>
          <w:rFonts w:ascii="Times New Roman" w:hAnsi="Times New Roman" w:cs="Times New Roman"/>
        </w:rPr>
        <w:t>gical devices on Baudin’s voyage.</w:t>
      </w:r>
      <w:r w:rsidR="007D6645" w:rsidRPr="007F0941">
        <w:rPr>
          <w:rStyle w:val="FootnoteReference"/>
          <w:rFonts w:ascii="Times New Roman" w:hAnsi="Times New Roman" w:cs="Times New Roman"/>
        </w:rPr>
        <w:footnoteReference w:id="12"/>
      </w:r>
      <w:r w:rsidR="00D710B1" w:rsidRPr="007F0941">
        <w:rPr>
          <w:rFonts w:ascii="Times New Roman" w:hAnsi="Times New Roman" w:cs="Times New Roman"/>
        </w:rPr>
        <w:t xml:space="preserve"> </w:t>
      </w:r>
      <w:r w:rsidR="00C25053" w:rsidRPr="007F0941">
        <w:rPr>
          <w:rFonts w:ascii="Times New Roman" w:hAnsi="Times New Roman" w:cs="Times New Roman"/>
        </w:rPr>
        <w:t>The expedition’s deployment of Ed</w:t>
      </w:r>
      <w:r w:rsidR="00F041F3" w:rsidRPr="007F0941">
        <w:rPr>
          <w:rFonts w:ascii="Times New Roman" w:hAnsi="Times New Roman" w:cs="Times New Roman"/>
        </w:rPr>
        <w:t>mé</w:t>
      </w:r>
      <w:r w:rsidR="00C25053" w:rsidRPr="007F0941">
        <w:rPr>
          <w:rFonts w:ascii="Times New Roman" w:hAnsi="Times New Roman" w:cs="Times New Roman"/>
        </w:rPr>
        <w:t xml:space="preserve"> R</w:t>
      </w:r>
      <w:r w:rsidR="00F041F3" w:rsidRPr="007F0941">
        <w:rPr>
          <w:rFonts w:ascii="Times New Roman" w:hAnsi="Times New Roman" w:cs="Times New Roman"/>
        </w:rPr>
        <w:t>é</w:t>
      </w:r>
      <w:r w:rsidR="00C25053" w:rsidRPr="007F0941">
        <w:rPr>
          <w:rFonts w:ascii="Times New Roman" w:hAnsi="Times New Roman" w:cs="Times New Roman"/>
        </w:rPr>
        <w:t xml:space="preserve">gnier’s newfangled dynamometer to determine the relative physical strength of indigenous and European populations represented a peculiarly clear case of the use of </w:t>
      </w:r>
      <w:r w:rsidR="00C970D6" w:rsidRPr="007F0941">
        <w:rPr>
          <w:rFonts w:ascii="Times New Roman" w:hAnsi="Times New Roman" w:cs="Times New Roman"/>
        </w:rPr>
        <w:t xml:space="preserve">credible </w:t>
      </w:r>
      <w:r w:rsidR="00C25053" w:rsidRPr="007F0941">
        <w:rPr>
          <w:rFonts w:ascii="Times New Roman" w:hAnsi="Times New Roman" w:cs="Times New Roman"/>
        </w:rPr>
        <w:t>machinery to bring invisible forces to presence, then to use those forces to calibrate t</w:t>
      </w:r>
      <w:r w:rsidR="00B568A7" w:rsidRPr="007F0941">
        <w:rPr>
          <w:rFonts w:ascii="Times New Roman" w:hAnsi="Times New Roman" w:cs="Times New Roman"/>
        </w:rPr>
        <w:t>he virtue of contrasted cultures</w:t>
      </w:r>
      <w:r w:rsidR="00C25053" w:rsidRPr="007F0941">
        <w:rPr>
          <w:rFonts w:ascii="Times New Roman" w:hAnsi="Times New Roman" w:cs="Times New Roman"/>
        </w:rPr>
        <w:t xml:space="preserve">. It was argued by the French </w:t>
      </w:r>
      <w:r w:rsidR="00C970D6" w:rsidRPr="007F0941">
        <w:rPr>
          <w:rFonts w:ascii="Times New Roman" w:hAnsi="Times New Roman" w:cs="Times New Roman"/>
        </w:rPr>
        <w:t>voyager</w:t>
      </w:r>
      <w:r w:rsidR="00C25053" w:rsidRPr="007F0941">
        <w:rPr>
          <w:rFonts w:ascii="Times New Roman" w:hAnsi="Times New Roman" w:cs="Times New Roman"/>
        </w:rPr>
        <w:t xml:space="preserve">s that instrumental data </w:t>
      </w:r>
      <w:r w:rsidR="00B568A7" w:rsidRPr="007F0941">
        <w:rPr>
          <w:rFonts w:ascii="Times New Roman" w:hAnsi="Times New Roman" w:cs="Times New Roman"/>
        </w:rPr>
        <w:t>that showed Tasmanians were typically dynamically weaker were the more reliable</w:t>
      </w:r>
      <w:r w:rsidR="00C970D6" w:rsidRPr="007F0941">
        <w:rPr>
          <w:rFonts w:ascii="Times New Roman" w:hAnsi="Times New Roman" w:cs="Times New Roman"/>
        </w:rPr>
        <w:t>,</w:t>
      </w:r>
      <w:r w:rsidR="00B568A7" w:rsidRPr="007F0941">
        <w:rPr>
          <w:rFonts w:ascii="Times New Roman" w:hAnsi="Times New Roman" w:cs="Times New Roman"/>
        </w:rPr>
        <w:t xml:space="preserve"> precisely because indigenous populations were so uniform, while European peoples were intrinsically varied.</w:t>
      </w:r>
      <w:r w:rsidR="00B568A7" w:rsidRPr="007F0941">
        <w:rPr>
          <w:rStyle w:val="FootnoteReference"/>
          <w:rFonts w:ascii="Times New Roman" w:hAnsi="Times New Roman" w:cs="Times New Roman"/>
        </w:rPr>
        <w:footnoteReference w:id="13"/>
      </w:r>
      <w:r w:rsidR="00B568A7" w:rsidRPr="007F0941">
        <w:rPr>
          <w:rFonts w:ascii="Times New Roman" w:hAnsi="Times New Roman" w:cs="Times New Roman"/>
        </w:rPr>
        <w:t xml:space="preserve"> </w:t>
      </w:r>
    </w:p>
    <w:p w14:paraId="23CC54F2" w14:textId="77777777" w:rsidR="004B56F6" w:rsidRPr="007F0941" w:rsidRDefault="004B56F6" w:rsidP="009448F9">
      <w:pPr>
        <w:jc w:val="both"/>
        <w:rPr>
          <w:rFonts w:ascii="Times New Roman" w:hAnsi="Times New Roman" w:cs="Times New Roman"/>
        </w:rPr>
      </w:pPr>
    </w:p>
    <w:p w14:paraId="05F66D6A" w14:textId="50872B51" w:rsidR="00C947FA" w:rsidRPr="007F0941" w:rsidRDefault="00B568A7" w:rsidP="009448F9">
      <w:pPr>
        <w:ind w:firstLine="720"/>
        <w:jc w:val="both"/>
        <w:rPr>
          <w:rFonts w:ascii="Times New Roman" w:hAnsi="Times New Roman" w:cs="Times New Roman"/>
        </w:rPr>
      </w:pPr>
      <w:r w:rsidRPr="007F0941">
        <w:rPr>
          <w:rFonts w:ascii="Times New Roman" w:hAnsi="Times New Roman" w:cs="Times New Roman"/>
        </w:rPr>
        <w:t xml:space="preserve">De Gérando’s memoir </w:t>
      </w:r>
      <w:r w:rsidR="00A34D62" w:rsidRPr="007F0941">
        <w:rPr>
          <w:rFonts w:ascii="Times New Roman" w:hAnsi="Times New Roman" w:cs="Times New Roman"/>
        </w:rPr>
        <w:t xml:space="preserve">for the expedition </w:t>
      </w:r>
      <w:r w:rsidRPr="007F0941">
        <w:rPr>
          <w:rFonts w:ascii="Times New Roman" w:hAnsi="Times New Roman" w:cs="Times New Roman"/>
        </w:rPr>
        <w:t xml:space="preserve">already pithily explained that to make such a journey was to travel into the atavistic human past. </w:t>
      </w:r>
      <w:r w:rsidR="004B56F6" w:rsidRPr="007F0941">
        <w:rPr>
          <w:rFonts w:ascii="Times New Roman" w:hAnsi="Times New Roman" w:cs="Times New Roman"/>
        </w:rPr>
        <w:t>‘The</w:t>
      </w:r>
      <w:r w:rsidR="00C970D6" w:rsidRPr="007F0941">
        <w:rPr>
          <w:rFonts w:ascii="Times New Roman" w:hAnsi="Times New Roman" w:cs="Times New Roman"/>
        </w:rPr>
        <w:t xml:space="preserve"> philosophic traveler who </w:t>
      </w:r>
      <w:r w:rsidR="00A34D62" w:rsidRPr="007F0941">
        <w:rPr>
          <w:rFonts w:ascii="Times New Roman" w:hAnsi="Times New Roman" w:cs="Times New Roman"/>
        </w:rPr>
        <w:t>sail</w:t>
      </w:r>
      <w:r w:rsidR="00C970D6" w:rsidRPr="007F0941">
        <w:rPr>
          <w:rFonts w:ascii="Times New Roman" w:hAnsi="Times New Roman" w:cs="Times New Roman"/>
        </w:rPr>
        <w:t xml:space="preserve">s to the </w:t>
      </w:r>
      <w:r w:rsidR="00A34D62" w:rsidRPr="007F0941">
        <w:rPr>
          <w:rFonts w:ascii="Times New Roman" w:hAnsi="Times New Roman" w:cs="Times New Roman"/>
        </w:rPr>
        <w:t>end</w:t>
      </w:r>
      <w:r w:rsidR="00C970D6" w:rsidRPr="007F0941">
        <w:rPr>
          <w:rFonts w:ascii="Times New Roman" w:hAnsi="Times New Roman" w:cs="Times New Roman"/>
        </w:rPr>
        <w:t xml:space="preserve">s of the Earth, is </w:t>
      </w:r>
      <w:r w:rsidR="00A34D62" w:rsidRPr="007F0941">
        <w:rPr>
          <w:rFonts w:ascii="Times New Roman" w:hAnsi="Times New Roman" w:cs="Times New Roman"/>
        </w:rPr>
        <w:t>in fact journeying</w:t>
      </w:r>
      <w:r w:rsidR="00C970D6" w:rsidRPr="007F0941">
        <w:rPr>
          <w:rFonts w:ascii="Times New Roman" w:hAnsi="Times New Roman" w:cs="Times New Roman"/>
        </w:rPr>
        <w:t xml:space="preserve"> through the sequence of ages, he travels into the past; every step he takes is a century he traverses.</w:t>
      </w:r>
      <w:r w:rsidR="00A34D62" w:rsidRPr="007F0941">
        <w:rPr>
          <w:rFonts w:ascii="Times New Roman" w:hAnsi="Times New Roman" w:cs="Times New Roman"/>
        </w:rPr>
        <w:t xml:space="preserve">’ He made a rather direct contrast between the virtues of such chronogeography and the vices of the Egyptomania that flourished in the wake of Constantin Volney’s </w:t>
      </w:r>
      <w:r w:rsidR="00A34D62" w:rsidRPr="007F0941">
        <w:rPr>
          <w:rFonts w:ascii="Times New Roman" w:hAnsi="Times New Roman" w:cs="Times New Roman"/>
          <w:i/>
        </w:rPr>
        <w:t>Les ruines</w:t>
      </w:r>
      <w:r w:rsidR="00A34D62" w:rsidRPr="007F0941">
        <w:rPr>
          <w:rFonts w:ascii="Times New Roman" w:hAnsi="Times New Roman" w:cs="Times New Roman"/>
        </w:rPr>
        <w:t xml:space="preserve"> (1791)</w:t>
      </w:r>
      <w:r w:rsidR="00A7546F" w:rsidRPr="007F0941">
        <w:rPr>
          <w:rFonts w:ascii="Times New Roman" w:hAnsi="Times New Roman" w:cs="Times New Roman"/>
        </w:rPr>
        <w:t xml:space="preserve"> and the 1798 Egyptian expedition</w:t>
      </w:r>
      <w:r w:rsidR="00A34D62" w:rsidRPr="007F0941">
        <w:rPr>
          <w:rFonts w:ascii="Times New Roman" w:hAnsi="Times New Roman" w:cs="Times New Roman"/>
        </w:rPr>
        <w:t>.</w:t>
      </w:r>
      <w:r w:rsidR="00D710B1" w:rsidRPr="007F0941">
        <w:rPr>
          <w:rFonts w:ascii="Times New Roman" w:hAnsi="Times New Roman" w:cs="Times New Roman"/>
        </w:rPr>
        <w:t xml:space="preserve"> De Gérando composed his memoir at exactly the same time as Bonaparte’s hurried return to France from Egypt, where the military commander had famously appealed to the ‘forty centuries’ that gazed down from the Pyramids on </w:t>
      </w:r>
      <w:r w:rsidR="00A7546F" w:rsidRPr="007F0941">
        <w:rPr>
          <w:rFonts w:ascii="Times New Roman" w:hAnsi="Times New Roman" w:cs="Times New Roman"/>
        </w:rPr>
        <w:t>his</w:t>
      </w:r>
      <w:r w:rsidR="00D710B1" w:rsidRPr="007F0941">
        <w:rPr>
          <w:rFonts w:ascii="Times New Roman" w:hAnsi="Times New Roman" w:cs="Times New Roman"/>
        </w:rPr>
        <w:t xml:space="preserve"> troops. In response, </w:t>
      </w:r>
      <w:r w:rsidR="00A34D62" w:rsidRPr="007F0941">
        <w:rPr>
          <w:rFonts w:ascii="Times New Roman" w:hAnsi="Times New Roman" w:cs="Times New Roman"/>
        </w:rPr>
        <w:t xml:space="preserve">De Gérando taught that </w:t>
      </w:r>
      <w:r w:rsidR="00A7546F" w:rsidRPr="007F0941">
        <w:rPr>
          <w:rFonts w:ascii="Times New Roman" w:hAnsi="Times New Roman" w:cs="Times New Roman"/>
        </w:rPr>
        <w:t>Pacific islanders</w:t>
      </w:r>
      <w:r w:rsidR="00C970D6" w:rsidRPr="007F0941">
        <w:rPr>
          <w:rFonts w:ascii="Times New Roman" w:hAnsi="Times New Roman" w:cs="Times New Roman"/>
        </w:rPr>
        <w:t xml:space="preserve"> </w:t>
      </w:r>
      <w:r w:rsidR="00A7546F" w:rsidRPr="007F0941">
        <w:rPr>
          <w:rFonts w:ascii="Times New Roman" w:hAnsi="Times New Roman" w:cs="Times New Roman"/>
        </w:rPr>
        <w:t>‘</w:t>
      </w:r>
      <w:r w:rsidR="00C970D6" w:rsidRPr="007F0941">
        <w:rPr>
          <w:rFonts w:ascii="Times New Roman" w:hAnsi="Times New Roman" w:cs="Times New Roman"/>
        </w:rPr>
        <w:t xml:space="preserve">who scorn our ignorant vanity, reveal themselves as antiquities and majestic monuments of the origin of time; </w:t>
      </w:r>
      <w:r w:rsidR="00A34D62" w:rsidRPr="007F0941">
        <w:rPr>
          <w:rFonts w:ascii="Times New Roman" w:hAnsi="Times New Roman" w:cs="Times New Roman"/>
        </w:rPr>
        <w:t>monuments much more than a thousand times worthy of our admiration and respect than those famous pyramids on which the banks of the Nile pride themselves. The latter only attest to the frivolous ambition and transient power of some individuals whose very name has scarcely come down to us; the former retrace for us the state of our own ancestors, and the first history of the world’.</w:t>
      </w:r>
      <w:r w:rsidR="00A34D62" w:rsidRPr="007F0941">
        <w:rPr>
          <w:rStyle w:val="FootnoteReference"/>
          <w:rFonts w:ascii="Times New Roman" w:hAnsi="Times New Roman" w:cs="Times New Roman"/>
        </w:rPr>
        <w:footnoteReference w:id="14"/>
      </w:r>
    </w:p>
    <w:p w14:paraId="6C95A7E0" w14:textId="77777777" w:rsidR="00A7546F" w:rsidRPr="007F0941" w:rsidRDefault="00A7546F" w:rsidP="009448F9">
      <w:pPr>
        <w:ind w:firstLine="720"/>
        <w:jc w:val="both"/>
        <w:rPr>
          <w:rFonts w:ascii="Times New Roman" w:hAnsi="Times New Roman" w:cs="Times New Roman"/>
        </w:rPr>
      </w:pPr>
    </w:p>
    <w:p w14:paraId="44563A54" w14:textId="601BA7F9" w:rsidR="00A7546F" w:rsidRPr="007F0941" w:rsidRDefault="0080160E" w:rsidP="009448F9">
      <w:pPr>
        <w:ind w:firstLine="720"/>
        <w:jc w:val="both"/>
        <w:rPr>
          <w:rFonts w:ascii="Times New Roman" w:hAnsi="Times New Roman" w:cs="Times New Roman"/>
        </w:rPr>
      </w:pPr>
      <w:r w:rsidRPr="007F0941">
        <w:rPr>
          <w:rFonts w:ascii="Times New Roman" w:hAnsi="Times New Roman" w:cs="Times New Roman"/>
        </w:rPr>
        <w:t xml:space="preserve">The notion that </w:t>
      </w:r>
      <w:r w:rsidR="00A95DA7" w:rsidRPr="007F0941">
        <w:rPr>
          <w:rFonts w:ascii="Times New Roman" w:hAnsi="Times New Roman" w:cs="Times New Roman"/>
        </w:rPr>
        <w:t>fieldwork is time travel</w:t>
      </w:r>
      <w:r w:rsidRPr="007F0941">
        <w:rPr>
          <w:rFonts w:ascii="Times New Roman" w:hAnsi="Times New Roman" w:cs="Times New Roman"/>
        </w:rPr>
        <w:t xml:space="preserve">, </w:t>
      </w:r>
      <w:r w:rsidR="00A95DA7" w:rsidRPr="007F0941">
        <w:rPr>
          <w:rFonts w:ascii="Times New Roman" w:hAnsi="Times New Roman" w:cs="Times New Roman"/>
        </w:rPr>
        <w:t>dependent on</w:t>
      </w:r>
      <w:r w:rsidRPr="007F0941">
        <w:rPr>
          <w:rFonts w:ascii="Times New Roman" w:hAnsi="Times New Roman" w:cs="Times New Roman"/>
        </w:rPr>
        <w:t xml:space="preserve"> the </w:t>
      </w:r>
      <w:r w:rsidR="00F041F3" w:rsidRPr="007F0941">
        <w:rPr>
          <w:rFonts w:ascii="Times New Roman" w:hAnsi="Times New Roman" w:cs="Times New Roman"/>
        </w:rPr>
        <w:t xml:space="preserve">traveler’s </w:t>
      </w:r>
      <w:r w:rsidR="00380295" w:rsidRPr="007F0941">
        <w:rPr>
          <w:rFonts w:ascii="Times New Roman" w:hAnsi="Times New Roman" w:cs="Times New Roman"/>
        </w:rPr>
        <w:t>machinery</w:t>
      </w:r>
      <w:r w:rsidRPr="007F0941">
        <w:rPr>
          <w:rFonts w:ascii="Times New Roman" w:hAnsi="Times New Roman" w:cs="Times New Roman"/>
        </w:rPr>
        <w:t xml:space="preserve">, has since dominated reflexion on the anthropology of knowledge and belief, even and particularly when those reflexions take the form of critique. </w:t>
      </w:r>
      <w:r w:rsidR="00F041F3" w:rsidRPr="007F0941">
        <w:rPr>
          <w:rFonts w:ascii="Times New Roman" w:hAnsi="Times New Roman" w:cs="Times New Roman"/>
        </w:rPr>
        <w:t>In</w:t>
      </w:r>
      <w:r w:rsidRPr="007F0941">
        <w:rPr>
          <w:rFonts w:ascii="Times New Roman" w:hAnsi="Times New Roman" w:cs="Times New Roman"/>
        </w:rPr>
        <w:t xml:space="preserve"> a remarkable lecture </w:t>
      </w:r>
      <w:r w:rsidR="001952DA" w:rsidRPr="007F0941">
        <w:rPr>
          <w:rFonts w:ascii="Times New Roman" w:hAnsi="Times New Roman" w:cs="Times New Roman"/>
        </w:rPr>
        <w:t xml:space="preserve">on anthropology’s scope given </w:t>
      </w:r>
      <w:r w:rsidRPr="007F0941">
        <w:rPr>
          <w:rFonts w:ascii="Times New Roman" w:hAnsi="Times New Roman" w:cs="Times New Roman"/>
        </w:rPr>
        <w:t xml:space="preserve">at the Smithsonian Institution in 1965, </w:t>
      </w:r>
      <w:r w:rsidR="001952DA" w:rsidRPr="007F0941">
        <w:rPr>
          <w:rFonts w:ascii="Times New Roman" w:hAnsi="Times New Roman" w:cs="Times New Roman"/>
        </w:rPr>
        <w:t>Claude Lévi-Strauss pondered the twin challenges of ‘the high rate of extinction afflicting primitive tribes</w:t>
      </w:r>
      <w:r w:rsidR="00F041F3" w:rsidRPr="007F0941">
        <w:rPr>
          <w:rFonts w:ascii="Times New Roman" w:hAnsi="Times New Roman" w:cs="Times New Roman"/>
        </w:rPr>
        <w:t>’</w:t>
      </w:r>
      <w:r w:rsidR="001952DA" w:rsidRPr="007F0941">
        <w:rPr>
          <w:rFonts w:ascii="Times New Roman" w:hAnsi="Times New Roman" w:cs="Times New Roman"/>
        </w:rPr>
        <w:t xml:space="preserve"> and ‘the distrust in which traditional anthropology is held’ by ‘peoples who prefer to look at themselves as temporarily backward rather than permanently different’.</w:t>
      </w:r>
      <w:r w:rsidR="001952DA" w:rsidRPr="007F0941">
        <w:rPr>
          <w:rStyle w:val="FootnoteReference"/>
          <w:rFonts w:ascii="Times New Roman" w:hAnsi="Times New Roman" w:cs="Times New Roman"/>
        </w:rPr>
        <w:footnoteReference w:id="15"/>
      </w:r>
      <w:r w:rsidR="001952DA" w:rsidRPr="007F0941">
        <w:rPr>
          <w:rFonts w:ascii="Times New Roman" w:hAnsi="Times New Roman" w:cs="Times New Roman"/>
        </w:rPr>
        <w:t xml:space="preserve"> Both extinction and development</w:t>
      </w:r>
      <w:r w:rsidR="00F041F3" w:rsidRPr="007F0941">
        <w:rPr>
          <w:rFonts w:ascii="Times New Roman" w:hAnsi="Times New Roman" w:cs="Times New Roman"/>
        </w:rPr>
        <w:t>, two forms of capitalist intensification,</w:t>
      </w:r>
      <w:r w:rsidR="001952DA" w:rsidRPr="007F0941">
        <w:rPr>
          <w:rFonts w:ascii="Times New Roman" w:hAnsi="Times New Roman" w:cs="Times New Roman"/>
        </w:rPr>
        <w:t xml:space="preserve"> thus seemed major problems for </w:t>
      </w:r>
      <w:r w:rsidR="00F041F3" w:rsidRPr="007F0941">
        <w:rPr>
          <w:rFonts w:ascii="Times New Roman" w:hAnsi="Times New Roman" w:cs="Times New Roman"/>
        </w:rPr>
        <w:t>his science</w:t>
      </w:r>
      <w:r w:rsidR="001952DA" w:rsidRPr="007F0941">
        <w:rPr>
          <w:rFonts w:ascii="Times New Roman" w:hAnsi="Times New Roman" w:cs="Times New Roman"/>
        </w:rPr>
        <w:t xml:space="preserve">. Significantly, </w:t>
      </w:r>
      <w:r w:rsidR="00F041F3" w:rsidRPr="007F0941">
        <w:rPr>
          <w:rFonts w:ascii="Times New Roman" w:hAnsi="Times New Roman" w:cs="Times New Roman"/>
        </w:rPr>
        <w:t>Lévi-Strauss</w:t>
      </w:r>
      <w:r w:rsidR="001952DA" w:rsidRPr="007F0941">
        <w:rPr>
          <w:rFonts w:ascii="Times New Roman" w:hAnsi="Times New Roman" w:cs="Times New Roman"/>
        </w:rPr>
        <w:t xml:space="preserve"> chose an astronomical metaphor to </w:t>
      </w:r>
      <w:r w:rsidR="00F041F3" w:rsidRPr="007F0941">
        <w:rPr>
          <w:rFonts w:ascii="Times New Roman" w:hAnsi="Times New Roman" w:cs="Times New Roman"/>
        </w:rPr>
        <w:t xml:space="preserve">demand investment in </w:t>
      </w:r>
      <w:r w:rsidR="00A95DA7" w:rsidRPr="007F0941">
        <w:rPr>
          <w:rFonts w:ascii="Times New Roman" w:hAnsi="Times New Roman" w:cs="Times New Roman"/>
        </w:rPr>
        <w:t>salvage ethnography’s time machinery</w:t>
      </w:r>
      <w:r w:rsidR="00F041F3" w:rsidRPr="007F0941">
        <w:rPr>
          <w:rFonts w:ascii="Times New Roman" w:hAnsi="Times New Roman" w:cs="Times New Roman"/>
        </w:rPr>
        <w:t xml:space="preserve">. </w:t>
      </w:r>
      <w:r w:rsidR="00A95DA7" w:rsidRPr="007F0941">
        <w:rPr>
          <w:rFonts w:ascii="Times New Roman" w:hAnsi="Times New Roman" w:cs="Times New Roman"/>
        </w:rPr>
        <w:t>He imagined</w:t>
      </w:r>
      <w:r w:rsidR="001952DA" w:rsidRPr="007F0941">
        <w:rPr>
          <w:rFonts w:ascii="Times New Roman" w:hAnsi="Times New Roman" w:cs="Times New Roman"/>
        </w:rPr>
        <w:t xml:space="preserve"> an unknown planet within observational range for a few decades. Surely </w:t>
      </w:r>
      <w:r w:rsidR="00F041F3" w:rsidRPr="007F0941">
        <w:rPr>
          <w:rFonts w:ascii="Times New Roman" w:hAnsi="Times New Roman" w:cs="Times New Roman"/>
        </w:rPr>
        <w:t xml:space="preserve">there would be </w:t>
      </w:r>
      <w:r w:rsidR="00380295" w:rsidRPr="007F0941">
        <w:rPr>
          <w:rFonts w:ascii="Times New Roman" w:hAnsi="Times New Roman" w:cs="Times New Roman"/>
        </w:rPr>
        <w:t>support for</w:t>
      </w:r>
      <w:r w:rsidR="00F041F3" w:rsidRPr="007F0941">
        <w:rPr>
          <w:rFonts w:ascii="Times New Roman" w:hAnsi="Times New Roman" w:cs="Times New Roman"/>
        </w:rPr>
        <w:t xml:space="preserve"> purpose-built ‘telescopes and satellites’ to study it. How much more important to invest in the study of ‘native cultures [that] are disintegrating faster than radioactive bodies; and the Moon, Mars and Venus will still be at the same distance from the Earth when that mirror which other civilizations hold up to us will have so receded from our eyes’ that they would become invisible, ‘however costly and elaborate the instruments at our disposal’.</w:t>
      </w:r>
      <w:r w:rsidR="00F041F3" w:rsidRPr="007F0941">
        <w:rPr>
          <w:rStyle w:val="FootnoteReference"/>
          <w:rFonts w:ascii="Times New Roman" w:hAnsi="Times New Roman" w:cs="Times New Roman"/>
        </w:rPr>
        <w:footnoteReference w:id="16"/>
      </w:r>
      <w:r w:rsidR="00A95DA7" w:rsidRPr="007F0941">
        <w:rPr>
          <w:rFonts w:ascii="Times New Roman" w:hAnsi="Times New Roman" w:cs="Times New Roman"/>
        </w:rPr>
        <w:t xml:space="preserve"> The role of time machinery in anthropology’s fate was even clearer in an exactly contemporary </w:t>
      </w:r>
      <w:r w:rsidR="00380295" w:rsidRPr="007F0941">
        <w:rPr>
          <w:rFonts w:ascii="Times New Roman" w:hAnsi="Times New Roman" w:cs="Times New Roman"/>
        </w:rPr>
        <w:t>remark by Ernest Gellner, reflecting on the transition from evolutionary to structural-functional modes in anthropology. In 1964 he explained how ‘systematic study of primitive trives began first in the hope of using them as a kind of time machine’, a journey into the past of the cultures of those doing the studying; yet even after the abandonment of evolutionary historicism, ‘this supposed time machine was used with redoubled vigour’.</w:t>
      </w:r>
      <w:r w:rsidR="00380295" w:rsidRPr="007F0941">
        <w:rPr>
          <w:rStyle w:val="FootnoteReference"/>
          <w:rFonts w:ascii="Times New Roman" w:hAnsi="Times New Roman" w:cs="Times New Roman"/>
        </w:rPr>
        <w:footnoteReference w:id="17"/>
      </w:r>
      <w:r w:rsidR="00380295" w:rsidRPr="007F0941">
        <w:rPr>
          <w:rFonts w:ascii="Times New Roman" w:hAnsi="Times New Roman" w:cs="Times New Roman"/>
        </w:rPr>
        <w:t xml:space="preserve"> The image stayed common in Gellner’s comments on the transition from evolutionism. A much later remark</w:t>
      </w:r>
      <w:r w:rsidR="008A1BF2" w:rsidRPr="007F0941">
        <w:rPr>
          <w:rFonts w:ascii="Times New Roman" w:hAnsi="Times New Roman" w:cs="Times New Roman"/>
        </w:rPr>
        <w:t>, posthumously published,</w:t>
      </w:r>
      <w:r w:rsidR="00380295" w:rsidRPr="007F0941">
        <w:rPr>
          <w:rFonts w:ascii="Times New Roman" w:hAnsi="Times New Roman" w:cs="Times New Roman"/>
        </w:rPr>
        <w:t xml:space="preserve"> on ‘the rich and rapidly growing mass of ethnographic literature’ accumulated by colonial administrators and evolutionist ethnographers simply labeled </w:t>
      </w:r>
      <w:r w:rsidR="008A1BF2" w:rsidRPr="007F0941">
        <w:rPr>
          <w:rFonts w:ascii="Times New Roman" w:hAnsi="Times New Roman" w:cs="Times New Roman"/>
        </w:rPr>
        <w:t>such material as</w:t>
      </w:r>
      <w:r w:rsidR="00380295" w:rsidRPr="007F0941">
        <w:rPr>
          <w:rFonts w:ascii="Times New Roman" w:hAnsi="Times New Roman" w:cs="Times New Roman"/>
        </w:rPr>
        <w:t xml:space="preserve"> ‘the new time machine’.</w:t>
      </w:r>
      <w:r w:rsidR="00380295" w:rsidRPr="007F0941">
        <w:rPr>
          <w:rStyle w:val="FootnoteReference"/>
          <w:rFonts w:ascii="Times New Roman" w:hAnsi="Times New Roman" w:cs="Times New Roman"/>
        </w:rPr>
        <w:footnoteReference w:id="18"/>
      </w:r>
    </w:p>
    <w:p w14:paraId="2007D5F9" w14:textId="77777777" w:rsidR="008A1BF2" w:rsidRPr="007F0941" w:rsidRDefault="008A1BF2" w:rsidP="009448F9">
      <w:pPr>
        <w:ind w:firstLine="720"/>
        <w:jc w:val="both"/>
        <w:rPr>
          <w:rFonts w:ascii="Times New Roman" w:hAnsi="Times New Roman" w:cs="Times New Roman"/>
        </w:rPr>
      </w:pPr>
    </w:p>
    <w:p w14:paraId="4741FA43" w14:textId="75344CAD" w:rsidR="00081AD0" w:rsidRPr="007F0941" w:rsidRDefault="008A1BF2" w:rsidP="009448F9">
      <w:pPr>
        <w:ind w:firstLine="720"/>
        <w:jc w:val="both"/>
        <w:rPr>
          <w:rFonts w:ascii="Times New Roman" w:hAnsi="Times New Roman" w:cs="Times New Roman"/>
        </w:rPr>
      </w:pPr>
      <w:r w:rsidRPr="007F0941">
        <w:rPr>
          <w:rFonts w:ascii="Times New Roman" w:hAnsi="Times New Roman" w:cs="Times New Roman"/>
        </w:rPr>
        <w:tab/>
        <w:t xml:space="preserve">No doubt the prevalence of this imagery of time machinery helps make sense of </w:t>
      </w:r>
      <w:r w:rsidR="00153A3B" w:rsidRPr="007F0941">
        <w:rPr>
          <w:rFonts w:ascii="Times New Roman" w:hAnsi="Times New Roman" w:cs="Times New Roman"/>
        </w:rPr>
        <w:t>a</w:t>
      </w:r>
      <w:r w:rsidRPr="007F0941">
        <w:rPr>
          <w:rFonts w:ascii="Times New Roman" w:hAnsi="Times New Roman" w:cs="Times New Roman"/>
        </w:rPr>
        <w:t xml:space="preserve"> familiar paradox in studies of different time cultures. As articulated </w:t>
      </w:r>
      <w:r w:rsidR="0052508D" w:rsidRPr="007F0941">
        <w:rPr>
          <w:rFonts w:ascii="Times New Roman" w:hAnsi="Times New Roman" w:cs="Times New Roman"/>
        </w:rPr>
        <w:t xml:space="preserve">most </w:t>
      </w:r>
      <w:r w:rsidRPr="007F0941">
        <w:rPr>
          <w:rFonts w:ascii="Times New Roman" w:hAnsi="Times New Roman" w:cs="Times New Roman"/>
        </w:rPr>
        <w:t xml:space="preserve">powerfully by Johannes Fabian, it is </w:t>
      </w:r>
      <w:r w:rsidR="0052508D" w:rsidRPr="007F0941">
        <w:rPr>
          <w:rFonts w:ascii="Times New Roman" w:hAnsi="Times New Roman" w:cs="Times New Roman"/>
        </w:rPr>
        <w:t>charged</w:t>
      </w:r>
      <w:r w:rsidRPr="007F0941">
        <w:rPr>
          <w:rFonts w:ascii="Times New Roman" w:hAnsi="Times New Roman" w:cs="Times New Roman"/>
        </w:rPr>
        <w:t xml:space="preserve"> that anthropology has systematically asserted that contemporary peoples are in fact occupants of an ancient past: anthropology’s </w:t>
      </w:r>
      <w:r w:rsidR="0052508D" w:rsidRPr="007F0941">
        <w:rPr>
          <w:rFonts w:ascii="Times New Roman" w:hAnsi="Times New Roman" w:cs="Times New Roman"/>
        </w:rPr>
        <w:t xml:space="preserve">political </w:t>
      </w:r>
      <w:r w:rsidRPr="007F0941">
        <w:rPr>
          <w:rFonts w:ascii="Times New Roman" w:hAnsi="Times New Roman" w:cs="Times New Roman"/>
        </w:rPr>
        <w:t>crime i</w:t>
      </w:r>
      <w:r w:rsidR="00081AD0" w:rsidRPr="007F0941">
        <w:rPr>
          <w:rFonts w:ascii="Times New Roman" w:hAnsi="Times New Roman" w:cs="Times New Roman"/>
        </w:rPr>
        <w:t>nclude</w:t>
      </w:r>
      <w:r w:rsidRPr="007F0941">
        <w:rPr>
          <w:rFonts w:ascii="Times New Roman" w:hAnsi="Times New Roman" w:cs="Times New Roman"/>
        </w:rPr>
        <w:t xml:space="preserve">s the denial of a commonly shared time. Yet historians of colonial regimes have </w:t>
      </w:r>
      <w:r w:rsidR="0052508D" w:rsidRPr="007F0941">
        <w:rPr>
          <w:rFonts w:ascii="Times New Roman" w:hAnsi="Times New Roman" w:cs="Times New Roman"/>
        </w:rPr>
        <w:t>apparently cha</w:t>
      </w:r>
      <w:r w:rsidRPr="007F0941">
        <w:rPr>
          <w:rFonts w:ascii="Times New Roman" w:hAnsi="Times New Roman" w:cs="Times New Roman"/>
        </w:rPr>
        <w:t xml:space="preserve">rged the opposite: imperialism’s </w:t>
      </w:r>
      <w:r w:rsidR="0052508D" w:rsidRPr="007F0941">
        <w:rPr>
          <w:rFonts w:ascii="Times New Roman" w:hAnsi="Times New Roman" w:cs="Times New Roman"/>
        </w:rPr>
        <w:t xml:space="preserve">political </w:t>
      </w:r>
      <w:r w:rsidRPr="007F0941">
        <w:rPr>
          <w:rFonts w:ascii="Times New Roman" w:hAnsi="Times New Roman" w:cs="Times New Roman"/>
        </w:rPr>
        <w:t>crime i</w:t>
      </w:r>
      <w:r w:rsidR="00081AD0" w:rsidRPr="007F0941">
        <w:rPr>
          <w:rFonts w:ascii="Times New Roman" w:hAnsi="Times New Roman" w:cs="Times New Roman"/>
        </w:rPr>
        <w:t>nclude</w:t>
      </w:r>
      <w:r w:rsidRPr="007F0941">
        <w:rPr>
          <w:rFonts w:ascii="Times New Roman" w:hAnsi="Times New Roman" w:cs="Times New Roman"/>
        </w:rPr>
        <w:t>s the impo</w:t>
      </w:r>
      <w:r w:rsidR="00153A3B" w:rsidRPr="007F0941">
        <w:rPr>
          <w:rFonts w:ascii="Times New Roman" w:hAnsi="Times New Roman" w:cs="Times New Roman"/>
        </w:rPr>
        <w:t>sition of a commonly shared time</w:t>
      </w:r>
      <w:r w:rsidRPr="007F0941">
        <w:rPr>
          <w:rFonts w:ascii="Times New Roman" w:hAnsi="Times New Roman" w:cs="Times New Roman"/>
        </w:rPr>
        <w:t>.</w:t>
      </w:r>
      <w:r w:rsidR="0052508D" w:rsidRPr="007F0941">
        <w:rPr>
          <w:rStyle w:val="FootnoteReference"/>
          <w:rFonts w:ascii="Times New Roman" w:hAnsi="Times New Roman" w:cs="Times New Roman"/>
        </w:rPr>
        <w:footnoteReference w:id="19"/>
      </w:r>
      <w:r w:rsidRPr="007F0941">
        <w:rPr>
          <w:rFonts w:ascii="Times New Roman" w:hAnsi="Times New Roman" w:cs="Times New Roman"/>
        </w:rPr>
        <w:t xml:space="preserve"> </w:t>
      </w:r>
      <w:r w:rsidR="00081AD0" w:rsidRPr="007F0941">
        <w:rPr>
          <w:rFonts w:ascii="Times New Roman" w:hAnsi="Times New Roman" w:cs="Times New Roman"/>
        </w:rPr>
        <w:t>A canonical case is provided by accounts of encounters between Australian aboriginal and settler communities. Settlement and appropriation depended on the mobilisation of the military technologies of a time measurement and chronometric navigation: the establishment of an astronomical observatory and pendulum clock at Sydney Cove during the construction of the first penal colony in 1788 has been described as a sign of ‘the permeation of the entire world by the European time spirit’. In his account of Australian time cultures, Graeme Davison also points out that the very phrase ‘doing time’, as an expression of the length of a prison sentence, was born in the Australian penal colony. The devices of time measurement were thus sites of resistance and contestation, of dominance and power over what might other escape surveillance.</w:t>
      </w:r>
      <w:r w:rsidR="004510CD" w:rsidRPr="007F0941">
        <w:rPr>
          <w:rFonts w:ascii="Times New Roman" w:hAnsi="Times New Roman" w:cs="Times New Roman"/>
        </w:rPr>
        <w:t xml:space="preserve"> Most importantly, the machines that determined time were also understood very wiudely as devices for disciplining the soul – time thus measured became a form of redemption.</w:t>
      </w:r>
      <w:r w:rsidR="00081AD0" w:rsidRPr="007F0941">
        <w:rPr>
          <w:rStyle w:val="FootnoteReference"/>
          <w:rFonts w:ascii="Times New Roman" w:hAnsi="Times New Roman" w:cs="Times New Roman"/>
        </w:rPr>
        <w:footnoteReference w:id="20"/>
      </w:r>
    </w:p>
    <w:p w14:paraId="091FB76B" w14:textId="77777777" w:rsidR="00081AD0" w:rsidRPr="007F0941" w:rsidRDefault="00081AD0" w:rsidP="009448F9">
      <w:pPr>
        <w:ind w:firstLine="720"/>
        <w:jc w:val="both"/>
        <w:rPr>
          <w:rFonts w:ascii="Times New Roman" w:hAnsi="Times New Roman" w:cs="Times New Roman"/>
        </w:rPr>
      </w:pPr>
    </w:p>
    <w:p w14:paraId="1BE66830" w14:textId="42DD5C16" w:rsidR="00E10F42" w:rsidRPr="007F0941" w:rsidRDefault="009B1F77" w:rsidP="00185057">
      <w:pPr>
        <w:ind w:firstLine="720"/>
        <w:jc w:val="both"/>
        <w:rPr>
          <w:rFonts w:ascii="Times New Roman" w:hAnsi="Times New Roman" w:cs="Times New Roman"/>
        </w:rPr>
      </w:pPr>
      <w:r w:rsidRPr="007F0941">
        <w:rPr>
          <w:rFonts w:ascii="Times New Roman" w:hAnsi="Times New Roman" w:cs="Times New Roman"/>
        </w:rPr>
        <w:t xml:space="preserve">This is why an interest in the techniques and devices that produced beliefs and captured otherwise invisible powers is so valuable: especially if it includes attention to the use of such devices in moments of encounter and exchange. Historians of time technologies in colonial and imperial settings have shown clearly how there was a form of temporal conversion, in which different chronologies and different chronometric machinery could be used as a kind of calibration, judging cultures according to the presence or absence of temporality and punctuality as understood within the dominant cultural power. </w:t>
      </w:r>
      <w:r w:rsidR="00081AD0" w:rsidRPr="007F0941">
        <w:rPr>
          <w:rFonts w:ascii="Times New Roman" w:hAnsi="Times New Roman" w:cs="Times New Roman"/>
        </w:rPr>
        <w:t>It was never the case that aboriginal cultures were timeless, and instead exercised sophisticated and alert senses of judgment of time and season. But they were judged timeless by colonial powers, and thus assigned to a time immensely prior to the time these powers sought to master. Historians of colonial time</w:t>
      </w:r>
      <w:r w:rsidRPr="007F0941">
        <w:rPr>
          <w:rFonts w:ascii="Times New Roman" w:hAnsi="Times New Roman" w:cs="Times New Roman"/>
        </w:rPr>
        <w:t xml:space="preserve"> have also shown how uneven, how contested, and how fractured were these forms of dominance. Time machines were almost always sites of conflict and of challenge, allowing the development of a range of contrasted senses of time and of chronological belief systems.</w:t>
      </w:r>
      <w:r w:rsidRPr="007F0941">
        <w:rPr>
          <w:rStyle w:val="FootnoteReference"/>
          <w:rFonts w:ascii="Times New Roman" w:hAnsi="Times New Roman" w:cs="Times New Roman"/>
        </w:rPr>
        <w:footnoteReference w:id="21"/>
      </w:r>
      <w:r w:rsidRPr="007F0941">
        <w:rPr>
          <w:rFonts w:ascii="Times New Roman" w:hAnsi="Times New Roman" w:cs="Times New Roman"/>
        </w:rPr>
        <w:t xml:space="preserve"> </w:t>
      </w:r>
    </w:p>
    <w:p w14:paraId="7137B6A7" w14:textId="77777777" w:rsidR="00E10F42" w:rsidRPr="007F0941" w:rsidRDefault="00E10F42" w:rsidP="009448F9">
      <w:pPr>
        <w:jc w:val="both"/>
        <w:rPr>
          <w:rFonts w:ascii="Times New Roman" w:hAnsi="Times New Roman" w:cs="Times New Roman"/>
        </w:rPr>
      </w:pPr>
    </w:p>
    <w:p w14:paraId="01670DDF" w14:textId="698BD862" w:rsidR="00E10F42" w:rsidRPr="007F0941" w:rsidRDefault="00E10F42" w:rsidP="009448F9">
      <w:pPr>
        <w:jc w:val="both"/>
        <w:rPr>
          <w:rFonts w:ascii="Times New Roman" w:hAnsi="Times New Roman" w:cs="Times New Roman"/>
          <w:b/>
        </w:rPr>
      </w:pPr>
      <w:r w:rsidRPr="007F0941">
        <w:rPr>
          <w:rFonts w:ascii="Times New Roman" w:hAnsi="Times New Roman" w:cs="Times New Roman"/>
          <w:b/>
        </w:rPr>
        <w:t>2 Encountering clocks</w:t>
      </w:r>
    </w:p>
    <w:p w14:paraId="0007E6F4" w14:textId="77777777" w:rsidR="009448F9" w:rsidRPr="007F0941" w:rsidRDefault="009448F9" w:rsidP="00185057">
      <w:pPr>
        <w:pStyle w:val="BodyText"/>
        <w:spacing w:line="240" w:lineRule="auto"/>
        <w:rPr>
          <w:szCs w:val="24"/>
        </w:rPr>
      </w:pPr>
    </w:p>
    <w:p w14:paraId="4A33C9B9" w14:textId="230B25D7" w:rsidR="009448F9" w:rsidRPr="007F0941" w:rsidRDefault="00185057" w:rsidP="009448F9">
      <w:pPr>
        <w:pStyle w:val="BodyText"/>
        <w:spacing w:line="240" w:lineRule="auto"/>
        <w:ind w:firstLine="720"/>
        <w:rPr>
          <w:szCs w:val="24"/>
        </w:rPr>
      </w:pPr>
      <w:r w:rsidRPr="007F0941">
        <w:rPr>
          <w:szCs w:val="24"/>
        </w:rPr>
        <w:t xml:space="preserve">In what follows, the relationship between the machinery of time measures, encounters across cultures, and the roles of exchange and encounter in making sense of how belief is defined are explored in the cases from the later eighteenth century southern Pacific, one of the </w:t>
      </w:r>
      <w:r w:rsidR="00DA259E" w:rsidRPr="007F0941">
        <w:rPr>
          <w:szCs w:val="24"/>
        </w:rPr>
        <w:t>key</w:t>
      </w:r>
      <w:r w:rsidRPr="007F0941">
        <w:rPr>
          <w:szCs w:val="24"/>
        </w:rPr>
        <w:t xml:space="preserve"> regions where such debates were developed and analysed. It was in this field that some of the most celebrated and sacred objects of European time culture were tried out</w:t>
      </w:r>
      <w:r w:rsidR="00DA259E" w:rsidRPr="007F0941">
        <w:rPr>
          <w:szCs w:val="24"/>
        </w:rPr>
        <w:t xml:space="preserve"> and where some of the most sophisticated systems and practices of indigenous time cosmology, in Polynesian navigation and in Melanesian networks, were to be found</w:t>
      </w:r>
      <w:r w:rsidRPr="007F0941">
        <w:rPr>
          <w:szCs w:val="24"/>
        </w:rPr>
        <w:t xml:space="preserve">. Every marine chronometer, for example, functioned only because of the integrity of all the encounters between instruments and others, including makers, mariners and islanders. </w:t>
      </w:r>
      <w:r w:rsidR="009448F9" w:rsidRPr="007F0941">
        <w:rPr>
          <w:szCs w:val="24"/>
        </w:rPr>
        <w:t xml:space="preserve">The life of </w:t>
      </w:r>
      <w:r w:rsidRPr="007F0941">
        <w:rPr>
          <w:szCs w:val="24"/>
        </w:rPr>
        <w:t xml:space="preserve">James </w:t>
      </w:r>
      <w:r w:rsidR="009448F9" w:rsidRPr="007F0941">
        <w:rPr>
          <w:szCs w:val="24"/>
        </w:rPr>
        <w:t xml:space="preserve">Cook’s so-called ‘trusty friend’ K1, the copy of John Harrison’s sea watch completed by Larcum Kendall in 1769, shows how these processes worked. It’s been tempting to treat these devices as magnificently autonomous, associated with a single maker and somehow capable of working permanently and in solitude as guides and indicators. </w:t>
      </w:r>
      <w:r w:rsidR="00DA259E" w:rsidRPr="007F0941">
        <w:rPr>
          <w:szCs w:val="24"/>
        </w:rPr>
        <w:t xml:space="preserve">That is why such devices so often appear in hagiographic stories of the effortless victory of European time sense. </w:t>
      </w:r>
      <w:r w:rsidR="009448F9" w:rsidRPr="007F0941">
        <w:rPr>
          <w:szCs w:val="24"/>
        </w:rPr>
        <w:t xml:space="preserve">The temptation must be resisted. </w:t>
      </w:r>
      <w:r w:rsidR="00DA259E" w:rsidRPr="007F0941">
        <w:rPr>
          <w:szCs w:val="24"/>
        </w:rPr>
        <w:t>These</w:t>
      </w:r>
      <w:r w:rsidR="009448F9" w:rsidRPr="007F0941">
        <w:rPr>
          <w:szCs w:val="24"/>
        </w:rPr>
        <w:t xml:space="preserve"> instruments were personified, they were the heterogeneous results of widely distributed labour and sociability, they prompted and frustrated the hard work of maintenance, exchange and collaboration. Their work entirely relied on their place within very intense socially negotiated networks.</w:t>
      </w:r>
      <w:r w:rsidR="009448F9" w:rsidRPr="007F0941">
        <w:rPr>
          <w:rStyle w:val="FootnoteReference"/>
          <w:szCs w:val="24"/>
        </w:rPr>
        <w:footnoteReference w:id="22"/>
      </w:r>
      <w:r w:rsidR="009448F9" w:rsidRPr="007F0941">
        <w:rPr>
          <w:szCs w:val="24"/>
        </w:rPr>
        <w:t xml:space="preserve"> In 1772, charged with proving Kendall’s watch in the Pacific, the </w:t>
      </w:r>
      <w:r w:rsidR="00DA259E" w:rsidRPr="007F0941">
        <w:rPr>
          <w:szCs w:val="24"/>
        </w:rPr>
        <w:t xml:space="preserve">British </w:t>
      </w:r>
      <w:r w:rsidR="009448F9" w:rsidRPr="007F0941">
        <w:rPr>
          <w:szCs w:val="24"/>
        </w:rPr>
        <w:t xml:space="preserve">Board of Longitude instructed </w:t>
      </w:r>
      <w:r w:rsidR="00DA259E" w:rsidRPr="007F0941">
        <w:rPr>
          <w:szCs w:val="24"/>
        </w:rPr>
        <w:t xml:space="preserve">the astronomers William </w:t>
      </w:r>
      <w:r w:rsidR="009448F9" w:rsidRPr="007F0941">
        <w:rPr>
          <w:szCs w:val="24"/>
        </w:rPr>
        <w:t xml:space="preserve">Wales and </w:t>
      </w:r>
      <w:r w:rsidR="00DA259E" w:rsidRPr="007F0941">
        <w:rPr>
          <w:szCs w:val="24"/>
        </w:rPr>
        <w:t xml:space="preserve">William </w:t>
      </w:r>
      <w:r w:rsidR="009448F9" w:rsidRPr="007F0941">
        <w:rPr>
          <w:szCs w:val="24"/>
        </w:rPr>
        <w:t xml:space="preserve">Bayly that the ‘watch machines’ be held in a box secured by three separate locks. This was a measure otherwise typical of rituals for storing coins at the Royal Mint or sacred wafers for the eucharist. On board Cook’s </w:t>
      </w:r>
      <w:r w:rsidR="009448F9" w:rsidRPr="007F0941">
        <w:rPr>
          <w:i/>
          <w:szCs w:val="24"/>
        </w:rPr>
        <w:t>Resolution</w:t>
      </w:r>
      <w:r w:rsidR="009448F9" w:rsidRPr="007F0941">
        <w:rPr>
          <w:szCs w:val="24"/>
        </w:rPr>
        <w:t>, keys were held by the commander, by the first lieutenant Charles Clerke and by Wales, who would thus act as witnesses of how the watch was wound up and its rate calibrated against a regulator or astronomical clock when on land. These rules and catalogues were ideals if not realities. In late January 1774, so Wales recorded, a midshipman had entered his cabin, mishandled the astronomer’s stopwatch, dropped it and broke the ruby cylinder. In April 1779, on the Siberian coast at Petropvalovsk, where the British had arrived in the wake of Cook’s death on Hawai’i, a watchmaker’s apprentice drawn from the crew was commissioned to try to fix K1 which ‘in its present state was totally useless’. For these devices to work at all, complex social encounters had simultaneously to be organised, policed and recorded.</w:t>
      </w:r>
      <w:r w:rsidR="009448F9" w:rsidRPr="007F0941">
        <w:rPr>
          <w:rStyle w:val="FootnoteReference"/>
          <w:szCs w:val="24"/>
        </w:rPr>
        <w:footnoteReference w:id="23"/>
      </w:r>
      <w:r w:rsidR="009448F9" w:rsidRPr="007F0941">
        <w:rPr>
          <w:szCs w:val="24"/>
        </w:rPr>
        <w:t xml:space="preserve"> </w:t>
      </w:r>
    </w:p>
    <w:p w14:paraId="3FCEA90E" w14:textId="77777777" w:rsidR="009448F9" w:rsidRPr="007F0941" w:rsidRDefault="009448F9" w:rsidP="009448F9">
      <w:pPr>
        <w:pStyle w:val="BodyText"/>
        <w:spacing w:line="240" w:lineRule="auto"/>
        <w:ind w:firstLine="720"/>
        <w:rPr>
          <w:szCs w:val="24"/>
        </w:rPr>
      </w:pPr>
    </w:p>
    <w:p w14:paraId="7638664F" w14:textId="7DB775C1" w:rsidR="009448F9" w:rsidRPr="007F0941" w:rsidRDefault="009448F9" w:rsidP="009448F9">
      <w:pPr>
        <w:pStyle w:val="BodyText"/>
        <w:spacing w:line="240" w:lineRule="auto"/>
        <w:ind w:firstLine="720"/>
        <w:rPr>
          <w:szCs w:val="24"/>
        </w:rPr>
      </w:pPr>
      <w:r w:rsidRPr="007F0941">
        <w:rPr>
          <w:szCs w:val="24"/>
        </w:rPr>
        <w:t xml:space="preserve">The significance of these encounters and the management of the instruments was exemplified during the arrival of the </w:t>
      </w:r>
      <w:r w:rsidRPr="007F0941">
        <w:rPr>
          <w:i/>
          <w:szCs w:val="24"/>
        </w:rPr>
        <w:t>Resolution</w:t>
      </w:r>
      <w:r w:rsidRPr="007F0941">
        <w:rPr>
          <w:szCs w:val="24"/>
        </w:rPr>
        <w:t xml:space="preserve"> at Tanna in Vanuatu in August 1772, a fraught period of desultory trade and constant threats of violence that culminated in the killing of a Tannaese inhabitant by one of the crew.</w:t>
      </w:r>
      <w:r w:rsidRPr="007F0941">
        <w:rPr>
          <w:rStyle w:val="FootnoteReference"/>
          <w:szCs w:val="24"/>
        </w:rPr>
        <w:footnoteReference w:id="24"/>
      </w:r>
      <w:r w:rsidRPr="007F0941">
        <w:rPr>
          <w:szCs w:val="24"/>
        </w:rPr>
        <w:t xml:space="preserve"> Wales’ orders implied he should bring the watch to shore and check its rate of going against an astronomical clock and by making observations of the Sun at equal altitudes before and after noon. He made prudent calculations about the safety of carrying the Kendall through the surf, staying under guard and avoiding an overnight vigil on land. ‘There was no way but by signals and those must go through three hands beside my own…I resolved to venture the watch on shore the first &amp; last day and be as carefull as possible in the others, being certain of one steady hand to assist me always in it’. Within a day or two Wales had ventured up the beach with the Kendall and his one foot radius astronomical quadrant, a carefully miniaturised version made by John Bird of the large devices with which Wales had been trained by </w:t>
      </w:r>
      <w:r w:rsidR="00DA259E" w:rsidRPr="007F0941">
        <w:rPr>
          <w:szCs w:val="24"/>
        </w:rPr>
        <w:t xml:space="preserve">the Astronomer Royal Nevil </w:t>
      </w:r>
      <w:r w:rsidRPr="007F0941">
        <w:rPr>
          <w:szCs w:val="24"/>
        </w:rPr>
        <w:t>Maskelyne at Greenwich. On successive days much work was lost. It was painful labour moving the hardware, trusting to clear skies and establishing prudent relations with the islanders: ‘this way of going to work is very inconvenient…I have no way of spending my time but in sauntering to &amp; from the Beach’. Wales decided to organise expeditions into the interior: ‘as I could neither leave the beach where my instruments were nor get on board I got some natives to throw their spears at two stakes which had been driven down to fasten the boats.’ More intense exchanges and somewhat better measures followed.</w:t>
      </w:r>
      <w:r w:rsidRPr="007F0941">
        <w:rPr>
          <w:rStyle w:val="FootnoteReference"/>
          <w:szCs w:val="24"/>
        </w:rPr>
        <w:footnoteReference w:id="25"/>
      </w:r>
      <w:r w:rsidRPr="007F0941">
        <w:rPr>
          <w:szCs w:val="24"/>
        </w:rPr>
        <w:t xml:space="preserve"> Wales would later vaunt his expertise in such encounters, instructing the young William Gooch in 1791 on the value of iron axes in establishing profitable trade across the Pacific. The instruments these men managed both relied on, and enabled, the ways these encounters developed.</w:t>
      </w:r>
      <w:r w:rsidRPr="007F0941">
        <w:rPr>
          <w:rStyle w:val="FootnoteReference"/>
          <w:szCs w:val="24"/>
        </w:rPr>
        <w:footnoteReference w:id="26"/>
      </w:r>
      <w:r w:rsidRPr="007F0941">
        <w:rPr>
          <w:szCs w:val="24"/>
        </w:rPr>
        <w:t xml:space="preserve"> Just as Cook would later go back over the events at Tanna carefully to reorder the events around the islander’s death there in the name of a literary image of humanity, while debates about apparent Tannaese indifference to European artefacts would much concern the men who made these accounts, so the accounts of the voyage would afterwards be reconstructed in the name of a technical efficacy so that it would decisively seem that the Kendall sea watch could be trusted and celebrated as an utterly reliable and autonomous wayfinder: ‘Mr Kendall’s Watch has been our faithful guide’. This was the widely trumpeted result rather than the necessary precondition of the accounts and encounters with agents and instruments on the voyage.</w:t>
      </w:r>
      <w:r w:rsidRPr="007F0941">
        <w:rPr>
          <w:rStyle w:val="FootnoteReference"/>
          <w:szCs w:val="24"/>
        </w:rPr>
        <w:footnoteReference w:id="27"/>
      </w:r>
    </w:p>
    <w:p w14:paraId="3E609544" w14:textId="77777777" w:rsidR="009448F9" w:rsidRPr="007F0941" w:rsidRDefault="009448F9" w:rsidP="00185057">
      <w:pPr>
        <w:jc w:val="both"/>
        <w:rPr>
          <w:rFonts w:ascii="Times New Roman" w:hAnsi="Times New Roman" w:cs="Times New Roman"/>
        </w:rPr>
      </w:pPr>
    </w:p>
    <w:p w14:paraId="1A4B24E0" w14:textId="77777777" w:rsidR="009448F9" w:rsidRPr="007F0941" w:rsidRDefault="009448F9" w:rsidP="009448F9">
      <w:pPr>
        <w:ind w:firstLine="720"/>
        <w:jc w:val="both"/>
        <w:rPr>
          <w:rFonts w:ascii="Times New Roman" w:hAnsi="Times New Roman" w:cs="Times New Roman"/>
        </w:rPr>
      </w:pPr>
      <w:r w:rsidRPr="007F0941">
        <w:rPr>
          <w:rFonts w:ascii="Times New Roman" w:hAnsi="Times New Roman" w:cs="Times New Roman"/>
        </w:rPr>
        <w:t>An over-literal reading of the immense paperwork of charts, logbooks and catalogues accumulated during and in the wake of these voyages, now stored in well-curated libraries and museums, has reinforced the notion that European projects in the later eighteenth century involved something like an impersonal and decontextualised form of knowledge and practice, intent on elimination more than encounter. According to this version of events, it has seemed as if the disturbingly messy materialities of the instruments and techniques used on board and on the beach were to be denied or suppressed in the name of an objective and mathematical survey. The longitude schemes first adopted in the Pacific during Cook’s voyages from 1768, dependent on high-class chronometers like K1, precisely graduated sextants and mass-produced printed almanacs of the position of Moon and stars, have therefore been read as though they imposed an abstract net on a navigable and thus controllable world. Anne Salmond evokes the power exercised by the European navigators off Tahiti, ‘charting the islands and surrounding ocean, transmuting them into a space gridded by lines of latitude and longitude, stripped of substance and emptied of people’. In a compelling analysis of the introduction of the formalised logbook on these eighteenth century voyages, Phillipe Despoix remarks that the regimentation of instrumental procedures and the maintenance of journals in standard form had as its goal the forging of ‘an exact geography’. As a result of this enterprise, he claims, such lists, charts and journals ‘in the end constituted the ever more depersonalised medium of an exploration defined as an observational procedure guided and instructed in every one of its details’.</w:t>
      </w:r>
      <w:r w:rsidRPr="007F0941">
        <w:rPr>
          <w:rStyle w:val="FootnoteReference"/>
          <w:rFonts w:ascii="Times New Roman" w:hAnsi="Times New Roman" w:cs="Times New Roman"/>
        </w:rPr>
        <w:footnoteReference w:id="28"/>
      </w:r>
      <w:r w:rsidRPr="007F0941">
        <w:rPr>
          <w:rFonts w:ascii="Times New Roman" w:hAnsi="Times New Roman" w:cs="Times New Roman"/>
        </w:rPr>
        <w:t xml:space="preserve"> </w:t>
      </w:r>
    </w:p>
    <w:p w14:paraId="4FD270AD" w14:textId="77777777" w:rsidR="009448F9" w:rsidRPr="007F0941" w:rsidRDefault="009448F9" w:rsidP="009448F9">
      <w:pPr>
        <w:ind w:firstLine="720"/>
        <w:jc w:val="both"/>
        <w:rPr>
          <w:rFonts w:ascii="Times New Roman" w:hAnsi="Times New Roman" w:cs="Times New Roman"/>
        </w:rPr>
      </w:pPr>
    </w:p>
    <w:p w14:paraId="57398BBE" w14:textId="73AA53A1" w:rsidR="009448F9" w:rsidRPr="007F0941" w:rsidRDefault="009448F9" w:rsidP="009448F9">
      <w:pPr>
        <w:ind w:firstLine="720"/>
        <w:jc w:val="both"/>
        <w:rPr>
          <w:rFonts w:ascii="Times New Roman" w:hAnsi="Times New Roman" w:cs="Times New Roman"/>
        </w:rPr>
      </w:pPr>
      <w:r w:rsidRPr="007F0941">
        <w:rPr>
          <w:rFonts w:ascii="Times New Roman" w:hAnsi="Times New Roman" w:cs="Times New Roman"/>
        </w:rPr>
        <w:t xml:space="preserve">This was an important part of an enlightened utopia: </w:t>
      </w:r>
      <w:r w:rsidR="00DA259E" w:rsidRPr="007F0941">
        <w:rPr>
          <w:rFonts w:ascii="Times New Roman" w:hAnsi="Times New Roman" w:cs="Times New Roman"/>
        </w:rPr>
        <w:t>but</w:t>
      </w:r>
      <w:r w:rsidRPr="007F0941">
        <w:rPr>
          <w:rFonts w:ascii="Times New Roman" w:hAnsi="Times New Roman" w:cs="Times New Roman"/>
        </w:rPr>
        <w:t xml:space="preserve"> it therefore happened absolutely nowhere. Such devices were always on trial, never self-evidently reliable unless and until they were in regular use and integrated into the heirarchical social networks that governed them. So when the marine officer William Dawes was commissioned as astronomical observer for the first convict fleet sent to Australia in 1787, his Portsmouth colleagues Bayly and Wales at once began trying his indispensable sextant, the key device for determining altitudes of Sun, Moon and stars on shipboard. There was a fault in the instrument that the pre-eminent London maker Jesse Ramsden had provided: ‘Mr Ramsden will allow a defect in the instrument whatever his opinion may be now’. The troublesome instrument was sent back to London, travelling to and fro until the marine was somewhat mollified. Yet ‘it is impossible to foresee what imperfections may be discovered in the present construction or what improvements may be made in it in the course of several years’, Dawes sagely observed.</w:t>
      </w:r>
      <w:r w:rsidRPr="007F0941">
        <w:rPr>
          <w:rStyle w:val="FootnoteReference"/>
          <w:rFonts w:ascii="Times New Roman" w:hAnsi="Times New Roman" w:cs="Times New Roman"/>
        </w:rPr>
        <w:footnoteReference w:id="29"/>
      </w:r>
      <w:r w:rsidRPr="007F0941">
        <w:rPr>
          <w:rFonts w:ascii="Times New Roman" w:hAnsi="Times New Roman" w:cs="Times New Roman"/>
        </w:rPr>
        <w:t xml:space="preserve"> </w:t>
      </w:r>
    </w:p>
    <w:p w14:paraId="55B2CB45" w14:textId="77777777" w:rsidR="009448F9" w:rsidRPr="007F0941" w:rsidRDefault="009448F9" w:rsidP="009448F9">
      <w:pPr>
        <w:pStyle w:val="BodyText"/>
        <w:spacing w:line="240" w:lineRule="auto"/>
        <w:ind w:firstLine="720"/>
        <w:rPr>
          <w:szCs w:val="24"/>
        </w:rPr>
      </w:pPr>
    </w:p>
    <w:p w14:paraId="472CE856" w14:textId="77777777" w:rsidR="009448F9" w:rsidRPr="007F0941" w:rsidRDefault="009448F9" w:rsidP="009448F9">
      <w:pPr>
        <w:pStyle w:val="BodyText"/>
        <w:spacing w:line="240" w:lineRule="auto"/>
        <w:ind w:firstLine="720"/>
        <w:rPr>
          <w:szCs w:val="24"/>
        </w:rPr>
      </w:pPr>
      <w:r w:rsidRPr="007F0941">
        <w:rPr>
          <w:szCs w:val="24"/>
        </w:rPr>
        <w:t>Such instruments travelled very widely, often much further than any of their users. In these travels, devices were treated as so many active agents, in need of coaxing, care and appeasement. Encounters thus involved makers, practitioners and instruments in complex negotiations. At Unalaska in the Aleutians in October 1778, for example, Cook presented the influential Russian trader Gerasim Izmaylov with a precious Hadley’s octant, a version of a sextant with two mirrors that could determine celestial altitudes up to ninety degrees. Izmaylov had studied navigation at Okhotsk: Cook reported on his astronomical competence and that ‘altho’ it was the first he had perhaps ever seen, yet he made himself acquainted with most of the uses that Instrument is capable of in a very short time’. The instrument proved helpful in the encounter. Cook got hold of Russian charts of the northern Pacific and aid with his project. No doubt the status attributed to such devices, and the roles they played in newfangled repertoires of practice and measurement, was of considerable significance.</w:t>
      </w:r>
      <w:r w:rsidRPr="007F0941">
        <w:rPr>
          <w:rStyle w:val="FootnoteReference"/>
          <w:szCs w:val="24"/>
        </w:rPr>
        <w:footnoteReference w:id="30"/>
      </w:r>
      <w:r w:rsidRPr="007F0941">
        <w:rPr>
          <w:szCs w:val="24"/>
        </w:rPr>
        <w:t xml:space="preserve"> </w:t>
      </w:r>
    </w:p>
    <w:p w14:paraId="20DA1604" w14:textId="77777777" w:rsidR="009448F9" w:rsidRPr="007F0941" w:rsidRDefault="009448F9" w:rsidP="009448F9">
      <w:pPr>
        <w:pStyle w:val="BodyText"/>
        <w:spacing w:line="240" w:lineRule="auto"/>
        <w:ind w:firstLine="720"/>
        <w:rPr>
          <w:szCs w:val="24"/>
        </w:rPr>
      </w:pPr>
    </w:p>
    <w:p w14:paraId="698B6B12" w14:textId="3C3AAA62" w:rsidR="009448F9" w:rsidRPr="007F0941" w:rsidRDefault="009448F9" w:rsidP="009448F9">
      <w:pPr>
        <w:pStyle w:val="BodyText"/>
        <w:spacing w:line="240" w:lineRule="auto"/>
        <w:ind w:firstLine="720"/>
        <w:rPr>
          <w:szCs w:val="24"/>
        </w:rPr>
      </w:pPr>
      <w:r w:rsidRPr="007F0941">
        <w:rPr>
          <w:szCs w:val="24"/>
        </w:rPr>
        <w:t>One of the central components of these repertoires was the set of astronomical regulator clocks that were supposed to be landed whenever astronomers needed reliable timekeepers to rate their sea watches and record positions of planets, stars and satellites. Across the decades these pendulum-driven and rigidly engineered regulators, made by John Shelton, moved around the world in company with the mariners: across Britain and the north Atlantic, to the Cape, Australasia and the Pacific. They survive in metropolitan collections as eloquent relics of these displacements and their troubles. They were carefully engraved with the original length marked on the pendulum at Greenwich, a mobile sign of their accuracy to which their users were supposed to attend with exquisite precision. Wales recorded that such marks could aid the painful work of getting the clock back to its proper rate. The ordered accounts demanded these regulators be set in unusually firm bases on the beach.</w:t>
      </w:r>
      <w:r w:rsidRPr="007F0941">
        <w:rPr>
          <w:rStyle w:val="FootnoteReference"/>
          <w:szCs w:val="24"/>
        </w:rPr>
        <w:footnoteReference w:id="31"/>
      </w:r>
      <w:r w:rsidRPr="007F0941">
        <w:rPr>
          <w:szCs w:val="24"/>
        </w:rPr>
        <w:t xml:space="preserve"> At Sydney in 1790, so Dawes reported back to Maskelyne, his clock was ‘wedged into a niche in the solid rock which has never been moved since the foundation of the world’. Dawes’ regulator had already travelled with Bayly on Cook’s second and third voyages, while the regulator that went with Wales in 1772-75 then travelled on the </w:t>
      </w:r>
      <w:r w:rsidRPr="007F0941">
        <w:rPr>
          <w:i/>
          <w:szCs w:val="24"/>
        </w:rPr>
        <w:t>Resolution</w:t>
      </w:r>
      <w:r w:rsidRPr="007F0941">
        <w:rPr>
          <w:szCs w:val="24"/>
        </w:rPr>
        <w:t xml:space="preserve"> in 1776-80. The fundamental act performed with these clocks was the eye-and-ear method, as it was baptised, to track the motion of a star or planet across the cross wires of a telescope’s eyepiece while simultaneously listening to the beats of the regulator’s pendulum. This was not simple even in the seclusion of Greenwich, and there generated very controversial results, but as Wales complained was even harder ‘to us whose Observatories stood generally on the sea shore, where the roraing of the surf seldome permitted us to hear the Astronomical Clock all the time it was going’.</w:t>
      </w:r>
      <w:r w:rsidRPr="007F0941">
        <w:rPr>
          <w:rStyle w:val="FootnoteReference"/>
          <w:szCs w:val="24"/>
        </w:rPr>
        <w:footnoteReference w:id="32"/>
      </w:r>
      <w:r w:rsidRPr="007F0941">
        <w:rPr>
          <w:szCs w:val="24"/>
        </w:rPr>
        <w:t xml:space="preserve"> To make such mobile and fragile devices into temporary fixtures was, precisely, to turn a remote, transient and vulnerable site into the equivalent of a valid astronomical observatory and socially authoritative site. ‘If you could see it you would say it could not be better fixt’. At his Sydney base, built by convict labour, Dawes then pursued not only astronomical observations but encounters with Eora informants as part of his work to record both celestial observations and indigenous vocabulary.</w:t>
      </w:r>
      <w:r w:rsidR="005039D6" w:rsidRPr="007F0941">
        <w:rPr>
          <w:szCs w:val="24"/>
        </w:rPr>
        <w:t xml:space="preserve"> If this was indeed an instantiation of some kind of ‘European time spirit’, then it is crucial to recognise the labour, the engineering and the cosmologies on which that vision locally depended.</w:t>
      </w:r>
      <w:r w:rsidRPr="007F0941">
        <w:rPr>
          <w:rStyle w:val="FootnoteReference"/>
          <w:szCs w:val="24"/>
        </w:rPr>
        <w:footnoteReference w:id="33"/>
      </w:r>
      <w:r w:rsidRPr="007F0941">
        <w:rPr>
          <w:szCs w:val="24"/>
        </w:rPr>
        <w:t xml:space="preserve"> </w:t>
      </w:r>
    </w:p>
    <w:p w14:paraId="249786A7" w14:textId="77777777" w:rsidR="009448F9" w:rsidRPr="007F0941" w:rsidRDefault="009448F9" w:rsidP="009448F9">
      <w:pPr>
        <w:pStyle w:val="BodyText"/>
        <w:spacing w:line="240" w:lineRule="auto"/>
        <w:ind w:firstLine="720"/>
        <w:rPr>
          <w:szCs w:val="24"/>
        </w:rPr>
      </w:pPr>
    </w:p>
    <w:p w14:paraId="64158AD5" w14:textId="77777777" w:rsidR="009448F9" w:rsidRPr="007F0941" w:rsidRDefault="009448F9" w:rsidP="009448F9">
      <w:pPr>
        <w:pStyle w:val="BodyText"/>
        <w:spacing w:line="240" w:lineRule="auto"/>
        <w:ind w:firstLine="720"/>
        <w:rPr>
          <w:szCs w:val="24"/>
        </w:rPr>
      </w:pPr>
      <w:r w:rsidRPr="007F0941">
        <w:rPr>
          <w:szCs w:val="24"/>
        </w:rPr>
        <w:t>Puzzles of maintenance and reliability were pervasive. Wales’ inventories and accounts helped alerted his colleagues to the immense labour required to preserve and discriminate their devices’ behaviour during such encounters. He developed ingeniously improvised means to secure the regulators on a cast iron block set on wooden piles, so as to accelerate the work of fixing them on the beach.</w:t>
      </w:r>
      <w:r w:rsidRPr="007F0941">
        <w:rPr>
          <w:rStyle w:val="FootnoteReference"/>
          <w:szCs w:val="24"/>
        </w:rPr>
        <w:footnoteReference w:id="34"/>
      </w:r>
      <w:r w:rsidRPr="007F0941">
        <w:rPr>
          <w:szCs w:val="24"/>
        </w:rPr>
        <w:t xml:space="preserve"> What mattered most was the recognition that these instruments had lives. To make them function it was essential to go back over those careers, write their biographies, and thus turn them through a kind of redemptive archaeology into ideal machines. Regulators were exquisitely sensitive to position, since pendulum rates depended on local gravity and on climatic conditions. Wales was exceptionally disturbed that his Shelton ran much faster at the Cape of Good Hope in November 1772 than in April 1775. He went back through his records of encounters with other mariners, with officers, with the instruments. He first supposed that the pendulum spring must have deformed. Then he decided he’d erred when setting up the regulator either at the Cape or at Dusky Bay in Aotearoa-New Zealand. He combed records and inventories for signs of disturbance or interference. He recorded the appalling fact that at Tahiti in late April 1774 ‘some witty gentleman or other found means to open it, and put the clock a minute back, I suppose, to try whether or no the Astronomer could find it out’. Compensating by appeal to these parasites and misfortunes, it could then be claimed that ‘this clock will have agreed with itself as near, perhaps as must ever be expected for any clock to do’. Decisive, so Wales urged, was storage, his precious stock ‘put away in damp and improper places as will ever be the case on board ships’.</w:t>
      </w:r>
      <w:r w:rsidRPr="007F0941">
        <w:rPr>
          <w:rStyle w:val="FootnoteReference"/>
          <w:szCs w:val="24"/>
        </w:rPr>
        <w:footnoteReference w:id="35"/>
      </w:r>
      <w:r w:rsidRPr="007F0941">
        <w:rPr>
          <w:szCs w:val="24"/>
        </w:rPr>
        <w:t xml:space="preserve"> </w:t>
      </w:r>
    </w:p>
    <w:p w14:paraId="297C093D" w14:textId="77777777" w:rsidR="009448F9" w:rsidRPr="007F0941" w:rsidRDefault="009448F9" w:rsidP="009448F9">
      <w:pPr>
        <w:pStyle w:val="BodyText"/>
        <w:spacing w:line="240" w:lineRule="auto"/>
        <w:ind w:firstLine="720"/>
        <w:rPr>
          <w:szCs w:val="24"/>
        </w:rPr>
      </w:pPr>
    </w:p>
    <w:p w14:paraId="167B264E" w14:textId="77777777" w:rsidR="009448F9" w:rsidRPr="007F0941" w:rsidRDefault="009448F9" w:rsidP="009448F9">
      <w:pPr>
        <w:pStyle w:val="BodyText"/>
        <w:spacing w:line="240" w:lineRule="auto"/>
        <w:ind w:firstLine="720"/>
        <w:rPr>
          <w:szCs w:val="24"/>
        </w:rPr>
      </w:pPr>
      <w:r w:rsidRPr="007F0941">
        <w:rPr>
          <w:szCs w:val="24"/>
        </w:rPr>
        <w:t>Storage stayed a major difficulty. With Bayly’s backing, Dawes grumbled that since his cabin was so far from that of the First Fleet’s commander, Arthur Phillip, it was wrong that the senior officer should control access to all his equipment. At the Cape, the expedition’s commander refused to let Dawes land any of the instruments. Dawes told Maskelyne that his precious sea watch, K1, the instrument that had travelled with Cook in the 1770s, had stopped because the Captain had not been able to ‘to get down at noon to wind it up’.</w:t>
      </w:r>
      <w:r w:rsidRPr="007F0941">
        <w:rPr>
          <w:rStyle w:val="FootnoteReference"/>
          <w:szCs w:val="24"/>
        </w:rPr>
        <w:footnoteReference w:id="36"/>
      </w:r>
      <w:r w:rsidRPr="007F0941">
        <w:rPr>
          <w:szCs w:val="24"/>
        </w:rPr>
        <w:t xml:space="preserve"> Encounters with such travelling instruments, catalogued and documented, coaxed and corrected, need therefore also to be understood through their somewhat complicated role as cargo. They often functioned as desirable objects of trade and appropriation. Notorious was the taking of the John Bird astronomical quadrant used to check the rate of the Shelton regulator on the beach during the observations of the Venus transit at Tahiti in May 1769. The entire transit programme there was dependent on intricate relations involving British and Polynesian protagonists and their devices. While on Irioa the </w:t>
      </w:r>
      <w:r w:rsidRPr="007F0941">
        <w:rPr>
          <w:i/>
          <w:szCs w:val="24"/>
        </w:rPr>
        <w:t>ari’i rahi</w:t>
      </w:r>
      <w:r w:rsidRPr="007F0941">
        <w:rPr>
          <w:szCs w:val="24"/>
        </w:rPr>
        <w:t xml:space="preserve"> Te Pau (nicknamed ‘Lycurgus’ by Banks) observed the transit with Banks and the clockmaker Spöring, the principal observatory at Fort Venus, manned by Cook and his astronomer Charles Green, became a stoutly defended exclusion zone. It is significant that when the Bird quadrant stored there nevertheless disappeared, compromising the astronomical enterprise, Banks first guessed that it might have been stolen not by Tahitians but by British mariners, being ‘supposed to contain nails or some kind of traffick’. Significant, too was the rapidity with which Green, Banks and Spöring improvised stopgap repairs when the quadrant was recovered with Te Pau’s aid.</w:t>
      </w:r>
      <w:r w:rsidRPr="007F0941">
        <w:rPr>
          <w:rStyle w:val="FootnoteReference"/>
          <w:szCs w:val="24"/>
        </w:rPr>
        <w:footnoteReference w:id="37"/>
      </w:r>
      <w:r w:rsidRPr="007F0941">
        <w:rPr>
          <w:szCs w:val="24"/>
        </w:rPr>
        <w:t xml:space="preserve"> Crucial here was the broad range of meanings and stories embodied in such devices. Fraught relations with the fighting chief Tutaha, militant rival of Te Pau’s lineage and humiliatingly held hostage by Cook against the quadrant’s return, were tentatively re-established with exchange of pigs and axes. Bird’s instrument played a central role in these encounters and exchanges, a function and status inseparable from its role in astronomy and time keeping.</w:t>
      </w:r>
      <w:r w:rsidRPr="007F0941">
        <w:rPr>
          <w:rStyle w:val="FootnoteReference"/>
          <w:szCs w:val="24"/>
        </w:rPr>
        <w:footnoteReference w:id="38"/>
      </w:r>
      <w:r w:rsidRPr="007F0941">
        <w:rPr>
          <w:szCs w:val="24"/>
        </w:rPr>
        <w:t xml:space="preserve"> Just as it was necessary to go back over and fix the challenging social relations on the island, so it proved crucial to go back over and explain the errant data from the quadrant. In defence against Maskelyne’s fierce criticism of his astronomical observations, Cook riposted that the Astronomer well knew that the Bird had been ‘pulled to pieces and many of the parts broke which we had to mend in the best manner we could before it could be made use of’.</w:t>
      </w:r>
      <w:r w:rsidRPr="007F0941">
        <w:rPr>
          <w:rStyle w:val="FootnoteReference"/>
          <w:szCs w:val="24"/>
        </w:rPr>
        <w:footnoteReference w:id="39"/>
      </w:r>
    </w:p>
    <w:p w14:paraId="0D793A35" w14:textId="77777777" w:rsidR="009448F9" w:rsidRPr="007F0941" w:rsidRDefault="009448F9" w:rsidP="009448F9">
      <w:pPr>
        <w:pStyle w:val="BodyText"/>
        <w:spacing w:line="240" w:lineRule="auto"/>
        <w:ind w:firstLine="720"/>
        <w:rPr>
          <w:szCs w:val="24"/>
        </w:rPr>
      </w:pPr>
    </w:p>
    <w:p w14:paraId="7EBABBBF" w14:textId="22B9501C"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7F0941">
        <w:rPr>
          <w:rFonts w:ascii="Times New Roman" w:hAnsi="Times New Roman" w:cs="Times New Roman"/>
        </w:rPr>
        <w:tab/>
        <w:t xml:space="preserve">Such tales became notorious in the retrospective accounts of </w:t>
      </w:r>
      <w:r w:rsidR="005039D6" w:rsidRPr="007F0941">
        <w:rPr>
          <w:rFonts w:ascii="Times New Roman" w:hAnsi="Times New Roman" w:cs="Times New Roman"/>
        </w:rPr>
        <w:t>chronometers</w:t>
      </w:r>
      <w:r w:rsidRPr="007F0941">
        <w:rPr>
          <w:rFonts w:ascii="Times New Roman" w:hAnsi="Times New Roman" w:cs="Times New Roman"/>
        </w:rPr>
        <w:t xml:space="preserve"> in the Pacific partly because they reinforced notions of a fundamental contrast between the legitimate propertied culture of the European mariners and the defects of Polynesian sociality. Such appropriations of precious and precise devices were used to dramatise this crucial contrast. But it is important to recognise the topography in which these devices found their place. If, as has been influentially suggested, ‘in the Pacific Cook had to play at being as best he could Adam Smith’s god’, imposing laws of market commodities where their writ did not run, then it becomes important to understand how his instruments might occupy a role in this theodicy.</w:t>
      </w:r>
      <w:r w:rsidRPr="007F0941">
        <w:rPr>
          <w:rStyle w:val="FootnoteReference"/>
          <w:rFonts w:ascii="Times New Roman" w:hAnsi="Times New Roman" w:cs="Times New Roman"/>
        </w:rPr>
        <w:footnoteReference w:id="40"/>
      </w:r>
      <w:r w:rsidRPr="007F0941">
        <w:rPr>
          <w:rFonts w:ascii="Times New Roman" w:hAnsi="Times New Roman" w:cs="Times New Roman"/>
        </w:rPr>
        <w:t xml:space="preserve"> Polynesians avidly collected European materials while European mariners sought indigenous artefacts: this was exactly why Banks supposed the </w:t>
      </w:r>
      <w:r w:rsidRPr="007F0941">
        <w:rPr>
          <w:rFonts w:ascii="Times New Roman" w:hAnsi="Times New Roman" w:cs="Times New Roman"/>
          <w:i/>
        </w:rPr>
        <w:t>Endeavour</w:t>
      </w:r>
      <w:r w:rsidRPr="007F0941">
        <w:rPr>
          <w:rFonts w:ascii="Times New Roman" w:hAnsi="Times New Roman" w:cs="Times New Roman"/>
        </w:rPr>
        <w:t>’s</w:t>
      </w:r>
      <w:r w:rsidRPr="007F0941">
        <w:rPr>
          <w:rFonts w:ascii="Times New Roman" w:hAnsi="Times New Roman" w:cs="Times New Roman"/>
          <w:i/>
        </w:rPr>
        <w:t xml:space="preserve"> </w:t>
      </w:r>
      <w:r w:rsidRPr="007F0941">
        <w:rPr>
          <w:rFonts w:ascii="Times New Roman" w:hAnsi="Times New Roman" w:cs="Times New Roman"/>
        </w:rPr>
        <w:t xml:space="preserve">crewmen had taken the Bird quadrant and how exchanges functioned in Polynesian encounter. </w:t>
      </w:r>
      <w:r w:rsidR="005039D6" w:rsidRPr="007F0941">
        <w:rPr>
          <w:rFonts w:ascii="Times New Roman" w:hAnsi="Times New Roman" w:cs="Times New Roman"/>
        </w:rPr>
        <w:t>The</w:t>
      </w:r>
      <w:r w:rsidRPr="007F0941">
        <w:rPr>
          <w:rFonts w:ascii="Times New Roman" w:hAnsi="Times New Roman" w:cs="Times New Roman"/>
        </w:rPr>
        <w:t xml:space="preserve"> high status objects offered to Cook and his fellows in Polynesia may have been designed better to integrate the British into carefully woven </w:t>
      </w:r>
      <w:r w:rsidR="005039D6" w:rsidRPr="007F0941">
        <w:rPr>
          <w:rFonts w:ascii="Times New Roman" w:hAnsi="Times New Roman" w:cs="Times New Roman"/>
        </w:rPr>
        <w:t xml:space="preserve">Polynesian </w:t>
      </w:r>
      <w:r w:rsidRPr="007F0941">
        <w:rPr>
          <w:rFonts w:ascii="Times New Roman" w:hAnsi="Times New Roman" w:cs="Times New Roman"/>
        </w:rPr>
        <w:t xml:space="preserve">networks of </w:t>
      </w:r>
      <w:r w:rsidR="005039D6" w:rsidRPr="007F0941">
        <w:rPr>
          <w:rFonts w:ascii="Times New Roman" w:hAnsi="Times New Roman" w:cs="Times New Roman"/>
        </w:rPr>
        <w:t xml:space="preserve">temporality and </w:t>
      </w:r>
      <w:r w:rsidRPr="007F0941">
        <w:rPr>
          <w:rFonts w:ascii="Times New Roman" w:hAnsi="Times New Roman" w:cs="Times New Roman"/>
        </w:rPr>
        <w:t xml:space="preserve">sociability. As a voyager with Cook in the South Seas in the 1770s, the radical philosopher Georg Forster straightforwardly assumed that Polynesian taste for certain goods was but a version of occidental consumerism, rather than a key aspect of different islanders’ cosmologies. </w:t>
      </w:r>
      <w:r w:rsidR="005039D6" w:rsidRPr="007F0941">
        <w:rPr>
          <w:rFonts w:ascii="Times New Roman" w:hAnsi="Times New Roman" w:cs="Times New Roman"/>
        </w:rPr>
        <w:t xml:space="preserve">This was clearly a conflict about devices to produce beliefs. </w:t>
      </w:r>
      <w:r w:rsidRPr="007F0941">
        <w:rPr>
          <w:rFonts w:ascii="Times New Roman" w:hAnsi="Times New Roman" w:cs="Times New Roman"/>
        </w:rPr>
        <w:t>Forster earned a living across Europe by marketing these Pacific goods to wealthy patrons. The Tuscan Grand Duke was offered Tahitian tapa cloth from which to make garments, alongside herbaria, weapons, carvings, and tools.</w:t>
      </w:r>
      <w:r w:rsidRPr="007F0941">
        <w:rPr>
          <w:rStyle w:val="FootnoteReference"/>
          <w:rFonts w:ascii="Times New Roman" w:hAnsi="Times New Roman" w:cs="Times New Roman"/>
        </w:rPr>
        <w:footnoteReference w:id="41"/>
      </w:r>
      <w:r w:rsidRPr="007F0941">
        <w:rPr>
          <w:rFonts w:ascii="Times New Roman" w:hAnsi="Times New Roman" w:cs="Times New Roman"/>
        </w:rPr>
        <w:t xml:space="preserve"> With Cook’s </w:t>
      </w:r>
      <w:r w:rsidRPr="007F0941">
        <w:rPr>
          <w:rFonts w:ascii="Times New Roman" w:hAnsi="Times New Roman" w:cs="Times New Roman"/>
          <w:i/>
        </w:rPr>
        <w:t xml:space="preserve">Resolution </w:t>
      </w:r>
      <w:r w:rsidRPr="007F0941">
        <w:rPr>
          <w:rFonts w:ascii="Times New Roman" w:hAnsi="Times New Roman" w:cs="Times New Roman"/>
        </w:rPr>
        <w:t>at Queen Charlotte Sound in February 1777, the surgeon David Samwell reckoned the vessel ‘might be called a second Noah’s Ark’, its variegated cargo astonishing the Maori while ‘familiaris[ing] the Savage Scene’. Samwell added that the price of Maori artefacts had risen remarkably: ‘every one was so flush of Trade that they sold their Instruments of War &amp; every thing they brought to Market at a very high price’.</w:t>
      </w:r>
      <w:r w:rsidRPr="007F0941">
        <w:rPr>
          <w:rStyle w:val="FootnoteReference"/>
          <w:rFonts w:ascii="Times New Roman" w:hAnsi="Times New Roman" w:cs="Times New Roman"/>
        </w:rPr>
        <w:footnoteReference w:id="42"/>
      </w:r>
      <w:r w:rsidRPr="007F0941">
        <w:rPr>
          <w:rFonts w:ascii="Times New Roman" w:hAnsi="Times New Roman" w:cs="Times New Roman"/>
        </w:rPr>
        <w:t xml:space="preserve"> Back in London, Samwell was courted by enthusiastic naturalists and entrepreneurs, sold much of his own collection at auction in 1781, while claiming that it was Banks who’d monopolised most of the materials gathered on the voyage.</w:t>
      </w:r>
      <w:r w:rsidRPr="007F0941">
        <w:rPr>
          <w:rStyle w:val="FootnoteReference"/>
          <w:rFonts w:ascii="Times New Roman" w:hAnsi="Times New Roman" w:cs="Times New Roman"/>
        </w:rPr>
        <w:footnoteReference w:id="43"/>
      </w:r>
      <w:r w:rsidRPr="007F0941">
        <w:rPr>
          <w:rFonts w:ascii="Times New Roman" w:hAnsi="Times New Roman" w:cs="Times New Roman"/>
        </w:rPr>
        <w:t xml:space="preserve"> In such collections, the challenges of scope, of order and of meaning were closely entwined: too many things, too hard to classify, with different senses in different cultures. </w:t>
      </w:r>
    </w:p>
    <w:p w14:paraId="5CC18CF0" w14:textId="77777777"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p>
    <w:p w14:paraId="0848CB73" w14:textId="7E03B9B3"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7F0941">
        <w:rPr>
          <w:rFonts w:ascii="Times New Roman" w:hAnsi="Times New Roman" w:cs="Times New Roman"/>
        </w:rPr>
        <w:tab/>
        <w:t xml:space="preserve">It’s worth reflecting, finally, on the ways in which European and Oceanic </w:t>
      </w:r>
      <w:r w:rsidR="005039D6" w:rsidRPr="007F0941">
        <w:rPr>
          <w:rFonts w:ascii="Times New Roman" w:hAnsi="Times New Roman" w:cs="Times New Roman"/>
        </w:rPr>
        <w:t>temporal artefact</w:t>
      </w:r>
      <w:r w:rsidRPr="007F0941">
        <w:rPr>
          <w:rFonts w:ascii="Times New Roman" w:hAnsi="Times New Roman" w:cs="Times New Roman"/>
        </w:rPr>
        <w:t>s found themselves juxtaposed and, by implication, connected in the metropolitan showrooms</w:t>
      </w:r>
      <w:r w:rsidR="005039D6" w:rsidRPr="007F0941">
        <w:rPr>
          <w:rFonts w:ascii="Times New Roman" w:hAnsi="Times New Roman" w:cs="Times New Roman"/>
        </w:rPr>
        <w:t>: these were precisely the sites where questions whether different cultures were coeval, or developmental, were worked out and defined.</w:t>
      </w:r>
      <w:r w:rsidRPr="007F0941">
        <w:rPr>
          <w:rFonts w:ascii="Times New Roman" w:hAnsi="Times New Roman" w:cs="Times New Roman"/>
        </w:rPr>
        <w:t xml:space="preserve"> Many of the voyaging astronomers were active collectors and entrepreneurs</w:t>
      </w:r>
      <w:r w:rsidR="005039D6" w:rsidRPr="007F0941">
        <w:rPr>
          <w:rFonts w:ascii="Times New Roman" w:hAnsi="Times New Roman" w:cs="Times New Roman"/>
        </w:rPr>
        <w:t xml:space="preserve"> of an entire range of time machines</w:t>
      </w:r>
      <w:r w:rsidRPr="007F0941">
        <w:rPr>
          <w:rFonts w:ascii="Times New Roman" w:hAnsi="Times New Roman" w:cs="Times New Roman"/>
        </w:rPr>
        <w:t>. In September 1775, for example, Maskelyne’s assistant the mathematics teacher and almanac maker Reuben Burrow spent many days talking with Bayly and Wales in London in the wake of their Pacific voyages, not entirely amiably. But despite his inveterate loathing of Wales as rival and critic, Burrow proved himself fascinated by the curious artifacts the astronomer brought back from Tahiti and Aotearoa-New Zealand.</w:t>
      </w:r>
      <w:r w:rsidRPr="007F0941">
        <w:rPr>
          <w:rStyle w:val="FootnoteReference"/>
          <w:rFonts w:ascii="Times New Roman" w:hAnsi="Times New Roman" w:cs="Times New Roman"/>
        </w:rPr>
        <w:footnoteReference w:id="44"/>
      </w:r>
      <w:r w:rsidRPr="007F0941">
        <w:rPr>
          <w:rFonts w:ascii="Times New Roman" w:hAnsi="Times New Roman" w:cs="Times New Roman"/>
        </w:rPr>
        <w:t xml:space="preserve"> This was a moment when the metropolis was especially possessed by interest in the </w:t>
      </w:r>
      <w:r w:rsidR="005039D6" w:rsidRPr="007F0941">
        <w:rPr>
          <w:rFonts w:ascii="Times New Roman" w:hAnsi="Times New Roman" w:cs="Times New Roman"/>
        </w:rPr>
        <w:t xml:space="preserve">temporal </w:t>
      </w:r>
      <w:r w:rsidRPr="007F0941">
        <w:rPr>
          <w:rFonts w:ascii="Times New Roman" w:hAnsi="Times New Roman" w:cs="Times New Roman"/>
        </w:rPr>
        <w:t xml:space="preserve">significance of material culture </w:t>
      </w:r>
      <w:r w:rsidR="005039D6" w:rsidRPr="007F0941">
        <w:rPr>
          <w:rFonts w:ascii="Times New Roman" w:hAnsi="Times New Roman" w:cs="Times New Roman"/>
        </w:rPr>
        <w:t>for judg</w:t>
      </w:r>
      <w:r w:rsidRPr="007F0941">
        <w:rPr>
          <w:rFonts w:ascii="Times New Roman" w:hAnsi="Times New Roman" w:cs="Times New Roman"/>
        </w:rPr>
        <w:t xml:space="preserve">ment of the worth of European and Polynesian societies, not least because the voyage brought with it the dispossessed Raiatean landowner Mai, who reached London in July 1774. It was reported that Mai had sought resources from British armaments and instruments to reclaim Raiatea from its Borabora conquerors. Banks provided him with an electrical machine, a cynosure of </w:t>
      </w:r>
      <w:r w:rsidR="005039D6" w:rsidRPr="007F0941">
        <w:rPr>
          <w:rFonts w:ascii="Times New Roman" w:hAnsi="Times New Roman" w:cs="Times New Roman"/>
        </w:rPr>
        <w:t xml:space="preserve">up-to-date </w:t>
      </w:r>
      <w:r w:rsidRPr="007F0941">
        <w:rPr>
          <w:rFonts w:ascii="Times New Roman" w:hAnsi="Times New Roman" w:cs="Times New Roman"/>
        </w:rPr>
        <w:t xml:space="preserve">enlightened and showy instrumentation designed to impress </w:t>
      </w:r>
      <w:r w:rsidR="005039D6" w:rsidRPr="007F0941">
        <w:rPr>
          <w:rFonts w:ascii="Times New Roman" w:hAnsi="Times New Roman" w:cs="Times New Roman"/>
        </w:rPr>
        <w:t>primitive</w:t>
      </w:r>
      <w:r w:rsidRPr="007F0941">
        <w:rPr>
          <w:rFonts w:ascii="Times New Roman" w:hAnsi="Times New Roman" w:cs="Times New Roman"/>
        </w:rPr>
        <w:t xml:space="preserve"> audiences. Mai’s accumulation of London goods and their fate when he returned with Cook to Polynesia in 1777 was much discussed by analysts of </w:t>
      </w:r>
      <w:r w:rsidR="005039D6" w:rsidRPr="007F0941">
        <w:rPr>
          <w:rFonts w:ascii="Times New Roman" w:hAnsi="Times New Roman" w:cs="Times New Roman"/>
        </w:rPr>
        <w:t>social progress</w:t>
      </w:r>
      <w:r w:rsidRPr="007F0941">
        <w:rPr>
          <w:rFonts w:ascii="Times New Roman" w:hAnsi="Times New Roman" w:cs="Times New Roman"/>
        </w:rPr>
        <w:t xml:space="preserve"> and its vagaries, such as Forster. Several waspishly remarked on the inutility and triviality of these European artifacts.</w:t>
      </w:r>
      <w:r w:rsidRPr="007F0941">
        <w:rPr>
          <w:rStyle w:val="FootnoteReference"/>
          <w:rFonts w:ascii="Times New Roman" w:hAnsi="Times New Roman" w:cs="Times New Roman"/>
        </w:rPr>
        <w:footnoteReference w:id="45"/>
      </w:r>
      <w:r w:rsidRPr="007F0941">
        <w:rPr>
          <w:rFonts w:ascii="Times New Roman" w:hAnsi="Times New Roman" w:cs="Times New Roman"/>
        </w:rPr>
        <w:t xml:space="preserve"> According to Bayly, present as astronomer on Cook’s third voyage during the return to Huahine in October 1777, Mai ‘entertained the Chiefs and principal women with his organ and electrical machine, which worked tolerable well’. At the same time, however, a Borabora man took a sextant from Bayly’s observatory, while Mai acted to recover the instrument.  Cook, Smith’s god, decided to shave the man’s head and cut off his ears as ‘a publick and severe example’.</w:t>
      </w:r>
      <w:r w:rsidRPr="007F0941">
        <w:rPr>
          <w:rStyle w:val="FootnoteReference"/>
          <w:rFonts w:ascii="Times New Roman" w:hAnsi="Times New Roman" w:cs="Times New Roman"/>
        </w:rPr>
        <w:footnoteReference w:id="46"/>
      </w:r>
    </w:p>
    <w:p w14:paraId="6BB1C2B5" w14:textId="77777777"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p>
    <w:p w14:paraId="1D8781FB" w14:textId="7E523D04"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7F0941">
        <w:rPr>
          <w:rFonts w:ascii="Times New Roman" w:hAnsi="Times New Roman" w:cs="Times New Roman"/>
        </w:rPr>
        <w:tab/>
        <w:t xml:space="preserve">This was by no means the only telling </w:t>
      </w:r>
      <w:r w:rsidR="005039D6" w:rsidRPr="007F0941">
        <w:rPr>
          <w:rFonts w:ascii="Times New Roman" w:hAnsi="Times New Roman" w:cs="Times New Roman"/>
        </w:rPr>
        <w:t xml:space="preserve">chronological </w:t>
      </w:r>
      <w:r w:rsidRPr="007F0941">
        <w:rPr>
          <w:rFonts w:ascii="Times New Roman" w:hAnsi="Times New Roman" w:cs="Times New Roman"/>
        </w:rPr>
        <w:t xml:space="preserve">juxtaposition of Polynesian material culture with scientific and philosophical hardware. In London, ‘natural and artificial curiosities lately brought home with Omia [Mai]’, including Maori </w:t>
      </w:r>
      <w:r w:rsidRPr="007F0941">
        <w:rPr>
          <w:rFonts w:ascii="Times New Roman" w:hAnsi="Times New Roman" w:cs="Times New Roman"/>
          <w:i/>
        </w:rPr>
        <w:t>patu</w:t>
      </w:r>
      <w:r w:rsidRPr="007F0941">
        <w:rPr>
          <w:rFonts w:ascii="Times New Roman" w:hAnsi="Times New Roman" w:cs="Times New Roman"/>
        </w:rPr>
        <w:t xml:space="preserve">, Tongan wooden pillows, Tahitian bark cloth and ‘a curious dress of Omia as represented in his print’, were all put on show at Christopher Pinchbeck’s Repository. These objects are not now identifiably extant, but some might tentatively be linked with ‘Omai relics’ held at the </w:t>
      </w:r>
      <w:r w:rsidR="005039D6" w:rsidRPr="007F0941">
        <w:rPr>
          <w:rFonts w:ascii="Times New Roman" w:hAnsi="Times New Roman" w:cs="Times New Roman"/>
        </w:rPr>
        <w:t>Maritime Museum</w:t>
      </w:r>
      <w:r w:rsidRPr="007F0941">
        <w:rPr>
          <w:rFonts w:ascii="Times New Roman" w:hAnsi="Times New Roman" w:cs="Times New Roman"/>
        </w:rPr>
        <w:t xml:space="preserve"> in Sydney.</w:t>
      </w:r>
      <w:r w:rsidRPr="007F0941">
        <w:rPr>
          <w:rStyle w:val="FootnoteReference"/>
          <w:rFonts w:ascii="Times New Roman" w:hAnsi="Times New Roman" w:cs="Times New Roman"/>
        </w:rPr>
        <w:footnoteReference w:id="47"/>
      </w:r>
      <w:r w:rsidRPr="007F0941">
        <w:rPr>
          <w:rFonts w:ascii="Times New Roman" w:hAnsi="Times New Roman" w:cs="Times New Roman"/>
        </w:rPr>
        <w:t xml:space="preserve"> </w:t>
      </w:r>
      <w:r w:rsidR="005039D6" w:rsidRPr="007F0941">
        <w:rPr>
          <w:rFonts w:ascii="Times New Roman" w:hAnsi="Times New Roman" w:cs="Times New Roman"/>
        </w:rPr>
        <w:t>Exceptionally telling is that</w:t>
      </w:r>
      <w:r w:rsidRPr="007F0941">
        <w:rPr>
          <w:rFonts w:ascii="Times New Roman" w:hAnsi="Times New Roman" w:cs="Times New Roman"/>
        </w:rPr>
        <w:t xml:space="preserve"> Pinchbeck was a celebrated London clock</w:t>
      </w:r>
      <w:r w:rsidR="005039D6" w:rsidRPr="007F0941">
        <w:rPr>
          <w:rFonts w:ascii="Times New Roman" w:hAnsi="Times New Roman" w:cs="Times New Roman"/>
        </w:rPr>
        <w:t xml:space="preserve"> </w:t>
      </w:r>
      <w:r w:rsidRPr="007F0941">
        <w:rPr>
          <w:rFonts w:ascii="Times New Roman" w:hAnsi="Times New Roman" w:cs="Times New Roman"/>
        </w:rPr>
        <w:t xml:space="preserve">maker, </w:t>
      </w:r>
      <w:r w:rsidR="005039D6" w:rsidRPr="007F0941">
        <w:rPr>
          <w:rFonts w:ascii="Times New Roman" w:hAnsi="Times New Roman" w:cs="Times New Roman"/>
        </w:rPr>
        <w:t xml:space="preserve">a master of time machines </w:t>
      </w:r>
      <w:r w:rsidRPr="007F0941">
        <w:rPr>
          <w:rFonts w:ascii="Times New Roman" w:hAnsi="Times New Roman" w:cs="Times New Roman"/>
        </w:rPr>
        <w:t xml:space="preserve">famed for his manufacture of a </w:t>
      </w:r>
      <w:r w:rsidRPr="007F0941">
        <w:rPr>
          <w:rFonts w:ascii="Times New Roman" w:hAnsi="Times New Roman" w:cs="Times New Roman"/>
          <w:i/>
        </w:rPr>
        <w:t>Panopticon musical clock</w:t>
      </w:r>
      <w:r w:rsidRPr="007F0941">
        <w:rPr>
          <w:rFonts w:ascii="Times New Roman" w:hAnsi="Times New Roman" w:cs="Times New Roman"/>
        </w:rPr>
        <w:t xml:space="preserve"> displaying half a dozen scenes of vividly automated mundane labour in shipyards and foundries, masons’ yards and smithies. He presided over London’s Society of Engineers and chaired a mechanics committee for the Society of Arts. </w:t>
      </w:r>
      <w:r w:rsidR="005039D6" w:rsidRPr="007F0941">
        <w:rPr>
          <w:rFonts w:ascii="Times New Roman" w:hAnsi="Times New Roman" w:cs="Times New Roman"/>
        </w:rPr>
        <w:t xml:space="preserve">It made sense to put side by side an exemplary metropolitan clock that embodied </w:t>
      </w:r>
      <w:r w:rsidR="002D4BAD" w:rsidRPr="007F0941">
        <w:rPr>
          <w:rFonts w:ascii="Times New Roman" w:hAnsi="Times New Roman" w:cs="Times New Roman"/>
        </w:rPr>
        <w:t xml:space="preserve">the entire range of social technologies pursued in the capital with the temporally defined devices brought from Polynesia. </w:t>
      </w:r>
      <w:r w:rsidRPr="007F0941">
        <w:rPr>
          <w:rFonts w:ascii="Times New Roman" w:hAnsi="Times New Roman" w:cs="Times New Roman"/>
        </w:rPr>
        <w:t>It is of considerable significance, therefore, that Pinchbeck’s show artfully juxtaposed and combined a range of machines, balances, clocks, and mechanical models, alongside his own Musical Panopticon, with the range of ‘artificial curiosities’ from the Polynesian voyage, ‘the whole form’d without the use of instruments made of Iron or any Metal whatsoever by the ingenious Natives of that part of the world’.</w:t>
      </w:r>
      <w:r w:rsidRPr="007F0941">
        <w:rPr>
          <w:rStyle w:val="FootnoteReference"/>
          <w:rFonts w:ascii="Times New Roman" w:hAnsi="Times New Roman" w:cs="Times New Roman"/>
        </w:rPr>
        <w:footnoteReference w:id="48"/>
      </w:r>
      <w:r w:rsidRPr="007F0941">
        <w:rPr>
          <w:rFonts w:ascii="Times New Roman" w:hAnsi="Times New Roman" w:cs="Times New Roman"/>
        </w:rPr>
        <w:t xml:space="preserve"> Pinchbeck’s publicity linked these artificial curiosities with Tobias Furneaux, commander of the </w:t>
      </w:r>
      <w:r w:rsidRPr="007F0941">
        <w:rPr>
          <w:rFonts w:ascii="Times New Roman" w:hAnsi="Times New Roman" w:cs="Times New Roman"/>
          <w:i/>
        </w:rPr>
        <w:t>Adventure</w:t>
      </w:r>
      <w:r w:rsidRPr="007F0941">
        <w:rPr>
          <w:rFonts w:ascii="Times New Roman" w:hAnsi="Times New Roman" w:cs="Times New Roman"/>
        </w:rPr>
        <w:t xml:space="preserve">, and with Mai quite directly. It also made sure to link them with his curious and pleasant ‘Mechanical exhibition’, and thus to invite explicit comparison of the </w:t>
      </w:r>
      <w:r w:rsidR="002D4BAD" w:rsidRPr="007F0941">
        <w:rPr>
          <w:rFonts w:ascii="Times New Roman" w:hAnsi="Times New Roman" w:cs="Times New Roman"/>
          <w:i/>
        </w:rPr>
        <w:t>contemporary</w:t>
      </w:r>
      <w:r w:rsidR="002D4BAD" w:rsidRPr="007F0941">
        <w:rPr>
          <w:rFonts w:ascii="Times New Roman" w:hAnsi="Times New Roman" w:cs="Times New Roman"/>
        </w:rPr>
        <w:t xml:space="preserve"> </w:t>
      </w:r>
      <w:r w:rsidRPr="007F0941">
        <w:rPr>
          <w:rFonts w:ascii="Times New Roman" w:hAnsi="Times New Roman" w:cs="Times New Roman"/>
        </w:rPr>
        <w:t xml:space="preserve">arts of Polynesia with the engines and mobile instruments of London. This was by no means a straightforward nor an innocent coupling, but it is eloquent about the various places occupied by the materials of navigation, technique and artifice at this conjuncture. </w:t>
      </w:r>
    </w:p>
    <w:p w14:paraId="72924722" w14:textId="77777777" w:rsidR="009448F9" w:rsidRPr="007F0941" w:rsidRDefault="009448F9" w:rsidP="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p>
    <w:p w14:paraId="32B84350" w14:textId="77777777" w:rsidR="00010CE1" w:rsidRPr="007F0941" w:rsidRDefault="009448F9" w:rsidP="002D4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7F0941">
        <w:rPr>
          <w:rFonts w:ascii="Times New Roman" w:hAnsi="Times New Roman" w:cs="Times New Roman"/>
        </w:rPr>
        <w:tab/>
        <w:t>Pinchbeck’s catalogue presupposed the worth of intimate encounter between an entire range of ingenuities, tools and mechanics. In the wake of Adam Smith, whose writings on commercial expansion and the passions of consumption attended closely to this encounter, it was held by the authors of the range of inventories and catalogues that flooded the market for curios and instruments in late eighteenth century London that the elegance and ingenuity of the means by which an artefact had been made and secured mattered more than its immediate use.</w:t>
      </w:r>
      <w:r w:rsidR="00010CE1" w:rsidRPr="007F0941">
        <w:rPr>
          <w:rFonts w:ascii="Times New Roman" w:hAnsi="Times New Roman" w:cs="Times New Roman"/>
        </w:rPr>
        <w:t xml:space="preserve"> These virtues were exactly how the place of any culture on the developmental time scale would be defined.</w:t>
      </w:r>
      <w:r w:rsidRPr="007F0941">
        <w:rPr>
          <w:rFonts w:ascii="Times New Roman" w:hAnsi="Times New Roman" w:cs="Times New Roman"/>
        </w:rPr>
        <w:t xml:space="preserve"> One was to admire the fitness of design of such curious devices and the extraordinary ingenuity and energy required to fetch them from remote islands, rather than treat them as mere utilities. </w:t>
      </w:r>
      <w:r w:rsidR="002D4BAD" w:rsidRPr="007F0941">
        <w:rPr>
          <w:rFonts w:ascii="Times New Roman" w:hAnsi="Times New Roman" w:cs="Times New Roman"/>
        </w:rPr>
        <w:t xml:space="preserve">The economist made the point by reflecting on how the European time sense was embodied in a taste for exquisite time machines. </w:t>
      </w:r>
      <w:r w:rsidRPr="007F0941">
        <w:rPr>
          <w:rFonts w:ascii="Times New Roman" w:hAnsi="Times New Roman" w:cs="Times New Roman"/>
        </w:rPr>
        <w:t>Smith explained that ‘a watch that falls behind above two minutes a day is despised by one curious in watches’. But, according to the Scottish professor, even though the ‘sole use of watches is to tell us what o’clock it is’, users and owners of fine watches ‘will not always be found more scrupulously punctual than other men’. Rather, he concluded, ‘what interests him is not so much the attainment of this piece of knowledge as the perfection of the machine which serves to attain it’.</w:t>
      </w:r>
      <w:r w:rsidRPr="007F0941">
        <w:rPr>
          <w:rStyle w:val="FootnoteReference"/>
          <w:rFonts w:ascii="Times New Roman" w:hAnsi="Times New Roman" w:cs="Times New Roman"/>
        </w:rPr>
        <w:footnoteReference w:id="49"/>
      </w:r>
      <w:r w:rsidRPr="007F0941">
        <w:rPr>
          <w:rFonts w:ascii="Times New Roman" w:hAnsi="Times New Roman" w:cs="Times New Roman"/>
        </w:rPr>
        <w:t xml:space="preserve"> </w:t>
      </w:r>
    </w:p>
    <w:p w14:paraId="7ACF5797" w14:textId="77777777" w:rsidR="00010CE1" w:rsidRPr="007F0941" w:rsidRDefault="00010CE1" w:rsidP="002D4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p>
    <w:p w14:paraId="365F6CA9" w14:textId="6BD4DBFA" w:rsidR="009448F9" w:rsidRPr="007F0941" w:rsidRDefault="00010CE1" w:rsidP="002D4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7F0941">
        <w:rPr>
          <w:rFonts w:ascii="Times New Roman" w:hAnsi="Times New Roman" w:cs="Times New Roman"/>
        </w:rPr>
        <w:tab/>
      </w:r>
      <w:r w:rsidR="009448F9" w:rsidRPr="007F0941">
        <w:rPr>
          <w:rFonts w:ascii="Times New Roman" w:hAnsi="Times New Roman" w:cs="Times New Roman"/>
        </w:rPr>
        <w:t>This throws a somewhat different light on the supposedly Smithian agency of the commodity culture through which travelling instruments and artificial curiosities moved around and between the Pacific and Europe in the later eighteenth century</w:t>
      </w:r>
      <w:r w:rsidR="002D4BAD" w:rsidRPr="007F0941">
        <w:rPr>
          <w:rFonts w:ascii="Times New Roman" w:hAnsi="Times New Roman" w:cs="Times New Roman"/>
        </w:rPr>
        <w:t xml:space="preserve">, and then </w:t>
      </w:r>
      <w:r w:rsidRPr="007F0941">
        <w:rPr>
          <w:rFonts w:ascii="Times New Roman" w:hAnsi="Times New Roman" w:cs="Times New Roman"/>
        </w:rPr>
        <w:t xml:space="preserve">allegedly </w:t>
      </w:r>
      <w:r w:rsidR="002D4BAD" w:rsidRPr="007F0941">
        <w:rPr>
          <w:rFonts w:ascii="Times New Roman" w:hAnsi="Times New Roman" w:cs="Times New Roman"/>
        </w:rPr>
        <w:t>allowed field scientists to move back in time when they moved out from Europe</w:t>
      </w:r>
      <w:r w:rsidR="009448F9" w:rsidRPr="007F0941">
        <w:rPr>
          <w:rFonts w:ascii="Times New Roman" w:hAnsi="Times New Roman" w:cs="Times New Roman"/>
        </w:rPr>
        <w:t>. What was juxtaposed at Pinchbeck’s show</w:t>
      </w:r>
      <w:r w:rsidR="00657313" w:rsidRPr="007F0941">
        <w:rPr>
          <w:rFonts w:ascii="Times New Roman" w:hAnsi="Times New Roman" w:cs="Times New Roman"/>
        </w:rPr>
        <w:t xml:space="preserve"> or De Gérando’s study</w:t>
      </w:r>
      <w:r w:rsidR="009448F9" w:rsidRPr="007F0941">
        <w:rPr>
          <w:rFonts w:ascii="Times New Roman" w:hAnsi="Times New Roman" w:cs="Times New Roman"/>
        </w:rPr>
        <w:t xml:space="preserve">, or encountered together at Greenwich, </w:t>
      </w:r>
      <w:r w:rsidR="00657313" w:rsidRPr="007F0941">
        <w:rPr>
          <w:rFonts w:ascii="Times New Roman" w:hAnsi="Times New Roman" w:cs="Times New Roman"/>
        </w:rPr>
        <w:t xml:space="preserve">Gizeh, </w:t>
      </w:r>
      <w:r w:rsidR="009448F9" w:rsidRPr="007F0941">
        <w:rPr>
          <w:rFonts w:ascii="Times New Roman" w:hAnsi="Times New Roman" w:cs="Times New Roman"/>
        </w:rPr>
        <w:t>Sydney, Tanna or Tahiti, was a set of complicated judgements of what counted as perfection of means and desi</w:t>
      </w:r>
      <w:r w:rsidR="002D4BAD" w:rsidRPr="007F0941">
        <w:rPr>
          <w:rFonts w:ascii="Times New Roman" w:hAnsi="Times New Roman" w:cs="Times New Roman"/>
        </w:rPr>
        <w:t xml:space="preserve">gn, and thus of a moral purpose and a degree of social and historical development. The devices of time travel were never so weak that their meanings changed </w:t>
      </w:r>
      <w:r w:rsidR="00657313" w:rsidRPr="007F0941">
        <w:rPr>
          <w:rFonts w:ascii="Times New Roman" w:hAnsi="Times New Roman" w:cs="Times New Roman"/>
        </w:rPr>
        <w:t>entir</w:t>
      </w:r>
      <w:r w:rsidR="002D4BAD" w:rsidRPr="007F0941">
        <w:rPr>
          <w:rFonts w:ascii="Times New Roman" w:hAnsi="Times New Roman" w:cs="Times New Roman"/>
        </w:rPr>
        <w:t xml:space="preserve">ely as they moved across the globe; nor were they ever so potent that they imposed a singular time spirit everywhere they went. </w:t>
      </w:r>
      <w:r w:rsidR="00657313" w:rsidRPr="007F0941">
        <w:rPr>
          <w:rFonts w:ascii="Times New Roman" w:hAnsi="Times New Roman" w:cs="Times New Roman"/>
        </w:rPr>
        <w:t xml:space="preserve">Such machines did embody robust </w:t>
      </w:r>
      <w:r w:rsidRPr="007F0941">
        <w:rPr>
          <w:rFonts w:ascii="Times New Roman" w:hAnsi="Times New Roman" w:cs="Times New Roman"/>
        </w:rPr>
        <w:t xml:space="preserve">and specific </w:t>
      </w:r>
      <w:r w:rsidR="00657313" w:rsidRPr="007F0941">
        <w:rPr>
          <w:rFonts w:ascii="Times New Roman" w:hAnsi="Times New Roman" w:cs="Times New Roman"/>
        </w:rPr>
        <w:t>beliefs about temporality</w:t>
      </w:r>
      <w:r w:rsidRPr="007F0941">
        <w:rPr>
          <w:rFonts w:ascii="Times New Roman" w:hAnsi="Times New Roman" w:cs="Times New Roman"/>
        </w:rPr>
        <w:t xml:space="preserve"> yet</w:t>
      </w:r>
      <w:r w:rsidR="00657313" w:rsidRPr="007F0941">
        <w:rPr>
          <w:rFonts w:ascii="Times New Roman" w:hAnsi="Times New Roman" w:cs="Times New Roman"/>
        </w:rPr>
        <w:t xml:space="preserve"> such machines only worked because of their circulation in and between heterogeneous networks. </w:t>
      </w:r>
      <w:r w:rsidR="007D234E" w:rsidRPr="007F0941">
        <w:rPr>
          <w:rFonts w:ascii="Times New Roman" w:hAnsi="Times New Roman" w:cs="Times New Roman"/>
        </w:rPr>
        <w:t xml:space="preserve">The aim of this essay has been to explore the consequences of that </w:t>
      </w:r>
      <w:r w:rsidR="00657313" w:rsidRPr="007F0941">
        <w:rPr>
          <w:rFonts w:ascii="Times New Roman" w:hAnsi="Times New Roman" w:cs="Times New Roman"/>
        </w:rPr>
        <w:t>fascinating balancing act</w:t>
      </w:r>
      <w:r w:rsidR="007D234E" w:rsidRPr="007F0941">
        <w:rPr>
          <w:rFonts w:ascii="Times New Roman" w:hAnsi="Times New Roman" w:cs="Times New Roman"/>
        </w:rPr>
        <w:t xml:space="preserve">: </w:t>
      </w:r>
      <w:r w:rsidR="00657313" w:rsidRPr="007F0941">
        <w:rPr>
          <w:rFonts w:ascii="Times New Roman" w:hAnsi="Times New Roman" w:cs="Times New Roman"/>
        </w:rPr>
        <w:t>thus</w:t>
      </w:r>
      <w:r w:rsidR="007D234E" w:rsidRPr="007F0941">
        <w:rPr>
          <w:rFonts w:ascii="Times New Roman" w:hAnsi="Times New Roman" w:cs="Times New Roman"/>
        </w:rPr>
        <w:t xml:space="preserve"> to work out what was literal and what if anything was metaphorical about Henry Maine’s celebrated </w:t>
      </w:r>
      <w:r w:rsidR="00657313" w:rsidRPr="007F0941">
        <w:rPr>
          <w:rFonts w:ascii="Times New Roman" w:hAnsi="Times New Roman" w:cs="Times New Roman"/>
        </w:rPr>
        <w:t xml:space="preserve">and ghastly </w:t>
      </w:r>
      <w:r w:rsidR="007D234E" w:rsidRPr="007F0941">
        <w:rPr>
          <w:rFonts w:ascii="Times New Roman" w:hAnsi="Times New Roman" w:cs="Times New Roman"/>
        </w:rPr>
        <w:t xml:space="preserve">image, cited </w:t>
      </w:r>
      <w:r w:rsidR="00657313" w:rsidRPr="007F0941">
        <w:rPr>
          <w:rFonts w:ascii="Times New Roman" w:hAnsi="Times New Roman" w:cs="Times New Roman"/>
        </w:rPr>
        <w:t>as the epigraph</w:t>
      </w:r>
      <w:r w:rsidR="007D234E" w:rsidRPr="007F0941">
        <w:rPr>
          <w:rFonts w:ascii="Times New Roman" w:hAnsi="Times New Roman" w:cs="Times New Roman"/>
        </w:rPr>
        <w:t xml:space="preserve"> of th</w:t>
      </w:r>
      <w:r w:rsidR="00657313" w:rsidRPr="007F0941">
        <w:rPr>
          <w:rFonts w:ascii="Times New Roman" w:hAnsi="Times New Roman" w:cs="Times New Roman"/>
        </w:rPr>
        <w:t>is</w:t>
      </w:r>
      <w:r w:rsidR="007D234E" w:rsidRPr="007F0941">
        <w:rPr>
          <w:rFonts w:ascii="Times New Roman" w:hAnsi="Times New Roman" w:cs="Times New Roman"/>
        </w:rPr>
        <w:t xml:space="preserve"> paper, of colonial power and the variability of time.</w:t>
      </w:r>
      <w:r w:rsidR="007D234E" w:rsidRPr="007F0941">
        <w:rPr>
          <w:rStyle w:val="FootnoteReference"/>
          <w:rFonts w:ascii="Times New Roman" w:hAnsi="Times New Roman" w:cs="Times New Roman"/>
        </w:rPr>
        <w:footnoteReference w:id="50"/>
      </w:r>
      <w:r w:rsidR="007D234E" w:rsidRPr="007F0941">
        <w:rPr>
          <w:rFonts w:ascii="Times New Roman" w:hAnsi="Times New Roman" w:cs="Times New Roman"/>
        </w:rPr>
        <w:t xml:space="preserve"> </w:t>
      </w:r>
    </w:p>
    <w:p w14:paraId="05D851C9" w14:textId="77777777" w:rsidR="009448F9" w:rsidRPr="007F0941" w:rsidRDefault="009448F9" w:rsidP="009448F9">
      <w:pPr>
        <w:pStyle w:val="BodyText"/>
        <w:spacing w:line="240" w:lineRule="auto"/>
        <w:ind w:firstLine="720"/>
        <w:rPr>
          <w:szCs w:val="24"/>
        </w:rPr>
      </w:pPr>
    </w:p>
    <w:p w14:paraId="56C63CF2" w14:textId="77777777" w:rsidR="009448F9" w:rsidRPr="007F0941" w:rsidRDefault="009448F9" w:rsidP="009448F9">
      <w:pPr>
        <w:pStyle w:val="BodyText"/>
        <w:spacing w:line="240" w:lineRule="auto"/>
        <w:ind w:firstLine="720"/>
        <w:rPr>
          <w:szCs w:val="24"/>
        </w:rPr>
      </w:pPr>
    </w:p>
    <w:p w14:paraId="0E1D0136" w14:textId="77777777" w:rsidR="009448F9" w:rsidRPr="007F0941" w:rsidRDefault="009448F9" w:rsidP="009448F9">
      <w:pPr>
        <w:pStyle w:val="BodyText"/>
        <w:spacing w:line="240" w:lineRule="auto"/>
        <w:ind w:firstLine="720"/>
        <w:rPr>
          <w:szCs w:val="24"/>
        </w:rPr>
      </w:pPr>
    </w:p>
    <w:p w14:paraId="09C41A4F" w14:textId="77777777" w:rsidR="009448F9" w:rsidRPr="007F0941" w:rsidRDefault="009448F9" w:rsidP="009448F9">
      <w:pPr>
        <w:pStyle w:val="BodyText"/>
        <w:spacing w:line="240" w:lineRule="auto"/>
        <w:ind w:firstLine="720"/>
        <w:rPr>
          <w:szCs w:val="24"/>
        </w:rPr>
      </w:pPr>
    </w:p>
    <w:p w14:paraId="43320A30" w14:textId="77777777" w:rsidR="009448F9" w:rsidRPr="007F0941" w:rsidRDefault="009448F9" w:rsidP="009448F9">
      <w:pPr>
        <w:jc w:val="both"/>
        <w:rPr>
          <w:rFonts w:ascii="Times New Roman" w:hAnsi="Times New Roman" w:cs="Times New Roman"/>
          <w:b/>
        </w:rPr>
      </w:pPr>
    </w:p>
    <w:p w14:paraId="71BDA3D5" w14:textId="77777777" w:rsidR="009448F9" w:rsidRPr="007F0941" w:rsidRDefault="009448F9" w:rsidP="009448F9">
      <w:pPr>
        <w:jc w:val="both"/>
        <w:rPr>
          <w:rFonts w:ascii="Times New Roman" w:hAnsi="Times New Roman" w:cs="Times New Roman"/>
          <w:b/>
        </w:rPr>
      </w:pPr>
    </w:p>
    <w:p w14:paraId="13431EC3" w14:textId="77777777" w:rsidR="009448F9" w:rsidRPr="007F0941" w:rsidRDefault="009448F9" w:rsidP="009448F9">
      <w:pPr>
        <w:jc w:val="both"/>
        <w:rPr>
          <w:rFonts w:ascii="Times New Roman" w:hAnsi="Times New Roman" w:cs="Times New Roman"/>
          <w:b/>
        </w:rPr>
      </w:pPr>
    </w:p>
    <w:p w14:paraId="38AB8E01" w14:textId="77777777" w:rsidR="009448F9" w:rsidRPr="007F0941" w:rsidRDefault="009448F9" w:rsidP="009448F9">
      <w:pPr>
        <w:jc w:val="both"/>
        <w:rPr>
          <w:rFonts w:ascii="Times New Roman" w:hAnsi="Times New Roman" w:cs="Times New Roman"/>
          <w:b/>
        </w:rPr>
      </w:pPr>
    </w:p>
    <w:sectPr w:rsidR="009448F9" w:rsidRPr="007F0941" w:rsidSect="007A3B7E">
      <w:headerReference w:type="even" r:id="rId7"/>
      <w:headerReference w:type="default" r:id="rId8"/>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499CC3" w14:textId="77777777" w:rsidR="005039D6" w:rsidRDefault="005039D6" w:rsidP="00C947FA">
      <w:r>
        <w:separator/>
      </w:r>
    </w:p>
  </w:endnote>
  <w:endnote w:type="continuationSeparator" w:id="0">
    <w:p w14:paraId="46856354" w14:textId="77777777" w:rsidR="005039D6" w:rsidRDefault="005039D6" w:rsidP="00C947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4D"/>
    <w:family w:val="roman"/>
    <w:notTrueType/>
    <w:pitch w:val="variable"/>
    <w:sig w:usb0="00000003" w:usb1="00000000" w:usb2="00000000" w:usb3="00000000" w:csb0="00000001" w:csb1="00000000"/>
  </w:font>
  <w:font w:name="Courier">
    <w:panose1 w:val="02000500000000000000"/>
    <w:charset w:val="4D"/>
    <w:family w:val="modern"/>
    <w:notTrueType/>
    <w:pitch w:val="fixed"/>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D03115" w14:textId="77777777" w:rsidR="005039D6" w:rsidRDefault="005039D6" w:rsidP="00C947FA">
      <w:r>
        <w:separator/>
      </w:r>
    </w:p>
  </w:footnote>
  <w:footnote w:type="continuationSeparator" w:id="0">
    <w:p w14:paraId="16B111AD" w14:textId="77777777" w:rsidR="005039D6" w:rsidRDefault="005039D6" w:rsidP="00C947FA">
      <w:r>
        <w:continuationSeparator/>
      </w:r>
    </w:p>
  </w:footnote>
  <w:footnote w:id="1">
    <w:p w14:paraId="7521E370"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Bruno Latour, </w:t>
      </w:r>
      <w:r w:rsidRPr="00185057">
        <w:rPr>
          <w:rFonts w:ascii="Times New Roman" w:hAnsi="Times New Roman" w:cs="Times New Roman"/>
          <w:i/>
          <w:sz w:val="20"/>
          <w:szCs w:val="20"/>
        </w:rPr>
        <w:t xml:space="preserve">Nous n’avons jamais été modernes </w:t>
      </w:r>
      <w:r w:rsidRPr="00185057">
        <w:rPr>
          <w:rFonts w:ascii="Times New Roman" w:hAnsi="Times New Roman" w:cs="Times New Roman"/>
          <w:sz w:val="20"/>
          <w:szCs w:val="20"/>
        </w:rPr>
        <w:t xml:space="preserve"> (Paris: La Découverte, 1991), 97.</w:t>
      </w:r>
    </w:p>
  </w:footnote>
  <w:footnote w:id="2">
    <w:p w14:paraId="365ED581" w14:textId="5238330B"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Giordano Nanni, </w:t>
      </w:r>
      <w:r w:rsidRPr="00185057">
        <w:rPr>
          <w:rFonts w:ascii="Times New Roman" w:hAnsi="Times New Roman" w:cs="Times New Roman"/>
          <w:i/>
          <w:sz w:val="20"/>
          <w:szCs w:val="20"/>
        </w:rPr>
        <w:t>The colonisation of time: ritual, routine and resistance in the British empire</w:t>
      </w:r>
      <w:r w:rsidRPr="00185057">
        <w:rPr>
          <w:rFonts w:ascii="Times New Roman" w:hAnsi="Times New Roman" w:cs="Times New Roman"/>
          <w:sz w:val="20"/>
          <w:szCs w:val="20"/>
        </w:rPr>
        <w:t xml:space="preserve"> (Manchester: Manchester University Press, 2012), 29, 122; David Livingstone, </w:t>
      </w:r>
      <w:r w:rsidRPr="00185057">
        <w:rPr>
          <w:rFonts w:ascii="Times New Roman" w:hAnsi="Times New Roman" w:cs="Times New Roman"/>
          <w:i/>
          <w:sz w:val="20"/>
          <w:szCs w:val="20"/>
        </w:rPr>
        <w:t>Missionary travels and researches in south Africa</w:t>
      </w:r>
      <w:r w:rsidRPr="00185057">
        <w:rPr>
          <w:rFonts w:ascii="Times New Roman" w:hAnsi="Times New Roman" w:cs="Times New Roman"/>
          <w:sz w:val="20"/>
          <w:szCs w:val="20"/>
        </w:rPr>
        <w:t xml:space="preserve"> (London: John Murray, 1857), 230-1.</w:t>
      </w:r>
    </w:p>
  </w:footnote>
  <w:footnote w:id="3">
    <w:p w14:paraId="301F2F1B" w14:textId="6A123EC8"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Maureen Perkins, </w:t>
      </w:r>
      <w:r w:rsidRPr="00185057">
        <w:rPr>
          <w:rFonts w:ascii="Times New Roman" w:hAnsi="Times New Roman" w:cs="Times New Roman"/>
          <w:i/>
          <w:sz w:val="20"/>
          <w:szCs w:val="20"/>
        </w:rPr>
        <w:t>The reform of time: magic and modernity</w:t>
      </w:r>
      <w:r w:rsidRPr="00185057">
        <w:rPr>
          <w:rFonts w:ascii="Times New Roman" w:hAnsi="Times New Roman" w:cs="Times New Roman"/>
          <w:sz w:val="20"/>
          <w:szCs w:val="20"/>
        </w:rPr>
        <w:t xml:space="preserve"> (London: Pluto Press, 2001). </w:t>
      </w:r>
    </w:p>
  </w:footnote>
  <w:footnote w:id="4">
    <w:p w14:paraId="0441D770" w14:textId="17860A7F"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Serge Gruzinski, </w:t>
      </w:r>
      <w:r w:rsidRPr="00185057">
        <w:rPr>
          <w:rFonts w:ascii="Times New Roman" w:hAnsi="Times New Roman" w:cs="Times New Roman"/>
          <w:i/>
          <w:sz w:val="20"/>
          <w:szCs w:val="20"/>
        </w:rPr>
        <w:t>What time is it there? America and Islam at the dawn of modern times</w:t>
      </w:r>
      <w:r w:rsidRPr="00185057">
        <w:rPr>
          <w:rFonts w:ascii="Times New Roman" w:hAnsi="Times New Roman" w:cs="Times New Roman"/>
          <w:sz w:val="20"/>
          <w:szCs w:val="20"/>
        </w:rPr>
        <w:t xml:space="preserve"> (Cambridge: Polity Press, 2010), 29-30.</w:t>
      </w:r>
    </w:p>
  </w:footnote>
  <w:footnote w:id="5">
    <w:p w14:paraId="375EFC8B"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Marilyn Strathern, ‘Artifacts of history: events and the interpretation of images’, in Jukka Siikala (ed.), </w:t>
      </w:r>
      <w:r w:rsidRPr="00185057">
        <w:rPr>
          <w:rFonts w:ascii="Times New Roman" w:hAnsi="Times New Roman" w:cs="Times New Roman"/>
          <w:i/>
          <w:sz w:val="20"/>
          <w:szCs w:val="20"/>
        </w:rPr>
        <w:t>Culture and history in the Pacific</w:t>
      </w:r>
      <w:r w:rsidRPr="00185057">
        <w:rPr>
          <w:rFonts w:ascii="Times New Roman" w:hAnsi="Times New Roman" w:cs="Times New Roman"/>
          <w:sz w:val="20"/>
          <w:szCs w:val="20"/>
        </w:rPr>
        <w:t xml:space="preserve"> (Helsinki: Finnish Anthropological Society, 1990), 25-44, p.38.</w:t>
      </w:r>
    </w:p>
  </w:footnote>
  <w:footnote w:id="6">
    <w:p w14:paraId="520B4340"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Jennifer Newell, </w:t>
      </w:r>
      <w:r w:rsidRPr="00185057">
        <w:rPr>
          <w:rFonts w:ascii="Times New Roman" w:hAnsi="Times New Roman" w:cs="Times New Roman"/>
          <w:i/>
          <w:sz w:val="20"/>
          <w:szCs w:val="20"/>
        </w:rPr>
        <w:t>Trading nature: Tahitians, Europeans, and ecological exchange</w:t>
      </w:r>
      <w:r w:rsidRPr="00185057">
        <w:rPr>
          <w:rFonts w:ascii="Times New Roman" w:hAnsi="Times New Roman" w:cs="Times New Roman"/>
          <w:sz w:val="20"/>
          <w:szCs w:val="20"/>
        </w:rPr>
        <w:t xml:space="preserve"> (Honolulu: University of Hawai’I Press, 2010), 49-51; Vanessa Smith, </w:t>
      </w:r>
      <w:r w:rsidRPr="00185057">
        <w:rPr>
          <w:rFonts w:ascii="Times New Roman" w:hAnsi="Times New Roman" w:cs="Times New Roman"/>
          <w:i/>
          <w:sz w:val="20"/>
          <w:szCs w:val="20"/>
        </w:rPr>
        <w:t>Intimate strangers: friendship, exchange and Pacific encounters</w:t>
      </w:r>
      <w:r w:rsidRPr="00185057">
        <w:rPr>
          <w:rFonts w:ascii="Times New Roman" w:hAnsi="Times New Roman" w:cs="Times New Roman"/>
          <w:sz w:val="20"/>
          <w:szCs w:val="20"/>
        </w:rPr>
        <w:t xml:space="preserve"> (Cambridge: Cambridge University Press, 2010).</w:t>
      </w:r>
    </w:p>
  </w:footnote>
  <w:footnote w:id="7">
    <w:p w14:paraId="151FD787" w14:textId="77777777" w:rsidR="005039D6" w:rsidRPr="00185057" w:rsidRDefault="005039D6" w:rsidP="00185057">
      <w:pPr>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Patricia Seed, </w:t>
      </w:r>
      <w:r w:rsidRPr="00185057">
        <w:rPr>
          <w:rFonts w:ascii="Times New Roman" w:hAnsi="Times New Roman" w:cs="Times New Roman"/>
          <w:i/>
          <w:sz w:val="20"/>
          <w:szCs w:val="20"/>
        </w:rPr>
        <w:t>Ceremonies of Possession in Europe's Conquest of the New World</w:t>
      </w:r>
      <w:r w:rsidRPr="00185057">
        <w:rPr>
          <w:rFonts w:ascii="Times New Roman" w:hAnsi="Times New Roman" w:cs="Times New Roman"/>
          <w:sz w:val="20"/>
          <w:szCs w:val="20"/>
        </w:rPr>
        <w:t xml:space="preserve">, (Cambridge: Cambridge University Press, 1995), 128-148; Sanjay Subrahmanyam, </w:t>
      </w:r>
      <w:r w:rsidRPr="00185057">
        <w:rPr>
          <w:rFonts w:ascii="Times New Roman" w:hAnsi="Times New Roman" w:cs="Times New Roman"/>
          <w:i/>
          <w:sz w:val="20"/>
          <w:szCs w:val="20"/>
        </w:rPr>
        <w:t>The Portuguese Empire in Asia 1500-1700</w:t>
      </w:r>
      <w:r w:rsidRPr="00185057">
        <w:rPr>
          <w:rFonts w:ascii="Times New Roman" w:hAnsi="Times New Roman" w:cs="Times New Roman"/>
          <w:sz w:val="20"/>
          <w:szCs w:val="20"/>
        </w:rPr>
        <w:t xml:space="preserve"> (London: Longman, 1993); Steven J. Harris, ‘Long-Distance corporations, Big Sciences and the geography of knowledge’, </w:t>
      </w:r>
      <w:r w:rsidRPr="00185057">
        <w:rPr>
          <w:rFonts w:ascii="Times New Roman" w:hAnsi="Times New Roman" w:cs="Times New Roman"/>
          <w:i/>
          <w:sz w:val="20"/>
          <w:szCs w:val="20"/>
        </w:rPr>
        <w:t>Configurations</w:t>
      </w:r>
      <w:r w:rsidRPr="00185057">
        <w:rPr>
          <w:rFonts w:ascii="Times New Roman" w:hAnsi="Times New Roman" w:cs="Times New Roman"/>
          <w:sz w:val="20"/>
          <w:szCs w:val="20"/>
        </w:rPr>
        <w:t>, 6 (1998), 269-304.</w:t>
      </w:r>
    </w:p>
  </w:footnote>
  <w:footnote w:id="8">
    <w:p w14:paraId="4880B07A" w14:textId="5F6E00F6"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Paul Glennie and Nigel Thrift, </w:t>
      </w:r>
      <w:r w:rsidRPr="00185057">
        <w:rPr>
          <w:rFonts w:ascii="Times New Roman" w:hAnsi="Times New Roman" w:cs="Times New Roman"/>
          <w:i/>
          <w:sz w:val="20"/>
          <w:szCs w:val="20"/>
        </w:rPr>
        <w:t>Shaping the day: a history of timekeeping in England and Wales 1300-1800</w:t>
      </w:r>
      <w:r w:rsidRPr="00185057">
        <w:rPr>
          <w:rFonts w:ascii="Times New Roman" w:hAnsi="Times New Roman" w:cs="Times New Roman"/>
          <w:sz w:val="20"/>
          <w:szCs w:val="20"/>
        </w:rPr>
        <w:t xml:space="preserve"> (Oxford: Oxford University Press, 2009), 280-97, 336-50; Philippe Despoix, </w:t>
      </w:r>
      <w:r w:rsidRPr="00185057">
        <w:rPr>
          <w:rFonts w:ascii="Times New Roman" w:hAnsi="Times New Roman" w:cs="Times New Roman"/>
          <w:i/>
          <w:sz w:val="20"/>
          <w:szCs w:val="20"/>
        </w:rPr>
        <w:t>Le monde mesuré: dispositifs de l’exploration à l’âge des Lumières</w:t>
      </w:r>
      <w:r w:rsidRPr="00185057">
        <w:rPr>
          <w:rFonts w:ascii="Times New Roman" w:hAnsi="Times New Roman" w:cs="Times New Roman"/>
          <w:sz w:val="20"/>
          <w:szCs w:val="20"/>
        </w:rPr>
        <w:t xml:space="preserve"> (Geneva: Droz, 2005), 46-65.</w:t>
      </w:r>
    </w:p>
  </w:footnote>
  <w:footnote w:id="9">
    <w:p w14:paraId="019C1164" w14:textId="3B5A2994"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Bernard Smith, </w:t>
      </w:r>
      <w:r w:rsidRPr="00185057">
        <w:rPr>
          <w:rFonts w:ascii="Times New Roman" w:hAnsi="Times New Roman" w:cs="Times New Roman"/>
          <w:i/>
          <w:sz w:val="20"/>
          <w:szCs w:val="20"/>
        </w:rPr>
        <w:t>European vision and the South Pacific</w:t>
      </w:r>
      <w:r w:rsidRPr="00185057">
        <w:rPr>
          <w:rFonts w:ascii="Times New Roman" w:hAnsi="Times New Roman" w:cs="Times New Roman"/>
          <w:sz w:val="20"/>
          <w:szCs w:val="20"/>
        </w:rPr>
        <w:t>, 2</w:t>
      </w:r>
      <w:r w:rsidRPr="00185057">
        <w:rPr>
          <w:rFonts w:ascii="Times New Roman" w:hAnsi="Times New Roman" w:cs="Times New Roman"/>
          <w:sz w:val="20"/>
          <w:szCs w:val="20"/>
          <w:vertAlign w:val="superscript"/>
        </w:rPr>
        <w:t>nd</w:t>
      </w:r>
      <w:r w:rsidRPr="00185057">
        <w:rPr>
          <w:rFonts w:ascii="Times New Roman" w:hAnsi="Times New Roman" w:cs="Times New Roman"/>
          <w:sz w:val="20"/>
          <w:szCs w:val="20"/>
        </w:rPr>
        <w:t xml:space="preserve"> ed. (New Haven: Yale University Press, 1985), 2. Compare Kapil Raj, ‘18</w:t>
      </w:r>
      <w:r w:rsidRPr="00185057">
        <w:rPr>
          <w:rFonts w:ascii="Times New Roman" w:hAnsi="Times New Roman" w:cs="Times New Roman"/>
          <w:sz w:val="20"/>
          <w:szCs w:val="20"/>
          <w:vertAlign w:val="superscript"/>
        </w:rPr>
        <w:t>th</w:t>
      </w:r>
      <w:r w:rsidRPr="00185057">
        <w:rPr>
          <w:rFonts w:ascii="Times New Roman" w:hAnsi="Times New Roman" w:cs="Times New Roman"/>
          <w:sz w:val="20"/>
          <w:szCs w:val="20"/>
        </w:rPr>
        <w:t xml:space="preserve"> century Pacific voyages of discovery, “big science”, and the shaping of a European scientific and technological culture’, </w:t>
      </w:r>
      <w:r w:rsidRPr="00185057">
        <w:rPr>
          <w:rFonts w:ascii="Times New Roman" w:hAnsi="Times New Roman" w:cs="Times New Roman"/>
          <w:i/>
          <w:sz w:val="20"/>
          <w:szCs w:val="20"/>
        </w:rPr>
        <w:t xml:space="preserve">History and technology </w:t>
      </w:r>
      <w:r w:rsidRPr="00185057">
        <w:rPr>
          <w:rFonts w:ascii="Times New Roman" w:hAnsi="Times New Roman" w:cs="Times New Roman"/>
          <w:sz w:val="20"/>
          <w:szCs w:val="20"/>
        </w:rPr>
        <w:t>17 (2000), 79-98.</w:t>
      </w:r>
    </w:p>
  </w:footnote>
  <w:footnote w:id="10">
    <w:p w14:paraId="5B53D768"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Anne Salmond, ‘Their body is different, our body is different: European and Tahitian navigators in the 18</w:t>
      </w:r>
      <w:r w:rsidRPr="00185057">
        <w:rPr>
          <w:rFonts w:ascii="Times New Roman" w:hAnsi="Times New Roman" w:cs="Times New Roman"/>
          <w:sz w:val="20"/>
          <w:szCs w:val="20"/>
          <w:vertAlign w:val="superscript"/>
        </w:rPr>
        <w:t>th</w:t>
      </w:r>
      <w:r w:rsidRPr="00185057">
        <w:rPr>
          <w:rFonts w:ascii="Times New Roman" w:hAnsi="Times New Roman" w:cs="Times New Roman"/>
          <w:sz w:val="20"/>
          <w:szCs w:val="20"/>
        </w:rPr>
        <w:t xml:space="preserve"> century’, </w:t>
      </w:r>
      <w:r w:rsidRPr="00185057">
        <w:rPr>
          <w:rFonts w:ascii="Times New Roman" w:hAnsi="Times New Roman" w:cs="Times New Roman"/>
          <w:i/>
          <w:sz w:val="20"/>
          <w:szCs w:val="20"/>
        </w:rPr>
        <w:t>History and Anthropology</w:t>
      </w:r>
      <w:r w:rsidRPr="00185057">
        <w:rPr>
          <w:rFonts w:ascii="Times New Roman" w:hAnsi="Times New Roman" w:cs="Times New Roman"/>
          <w:sz w:val="20"/>
          <w:szCs w:val="20"/>
        </w:rPr>
        <w:t>, 16 (2005), 167-86, p.182.</w:t>
      </w:r>
    </w:p>
  </w:footnote>
  <w:footnote w:id="11">
    <w:p w14:paraId="37144B32" w14:textId="0CDC7FF8"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George Stocking, ‘French anthropology in 1800’, </w:t>
      </w:r>
      <w:r w:rsidRPr="00185057">
        <w:rPr>
          <w:rFonts w:ascii="Times New Roman" w:hAnsi="Times New Roman" w:cs="Times New Roman"/>
          <w:i/>
          <w:sz w:val="20"/>
          <w:szCs w:val="20"/>
        </w:rPr>
        <w:t>Isis</w:t>
      </w:r>
      <w:r w:rsidRPr="00185057">
        <w:rPr>
          <w:rFonts w:ascii="Times New Roman" w:hAnsi="Times New Roman" w:cs="Times New Roman"/>
          <w:sz w:val="20"/>
          <w:szCs w:val="20"/>
        </w:rPr>
        <w:t xml:space="preserve"> 55 (1964), 134-50; Sergio Moravia, ‘Philosophie et géographie à la fin du 18e siècle’, </w:t>
      </w:r>
      <w:r w:rsidRPr="00185057">
        <w:rPr>
          <w:rFonts w:ascii="Times New Roman" w:hAnsi="Times New Roman" w:cs="Times New Roman"/>
          <w:i/>
          <w:sz w:val="20"/>
          <w:szCs w:val="20"/>
        </w:rPr>
        <w:t>Studies in Voltaire and the eighteenth century</w:t>
      </w:r>
      <w:r w:rsidRPr="00185057">
        <w:rPr>
          <w:rFonts w:ascii="Times New Roman" w:hAnsi="Times New Roman" w:cs="Times New Roman"/>
          <w:sz w:val="20"/>
          <w:szCs w:val="20"/>
        </w:rPr>
        <w:t xml:space="preserve"> 57 (1967), 937-1011, p.964; Bronwen Douglas, </w:t>
      </w:r>
      <w:r w:rsidRPr="00185057">
        <w:rPr>
          <w:rFonts w:ascii="Times New Roman" w:hAnsi="Times New Roman" w:cs="Times New Roman"/>
          <w:i/>
          <w:sz w:val="20"/>
          <w:szCs w:val="20"/>
        </w:rPr>
        <w:t xml:space="preserve">Science, voyages and encounters in Oceania </w:t>
      </w:r>
      <w:r w:rsidRPr="00185057">
        <w:rPr>
          <w:rFonts w:ascii="Times New Roman" w:hAnsi="Times New Roman" w:cs="Times New Roman"/>
          <w:sz w:val="20"/>
          <w:szCs w:val="20"/>
        </w:rPr>
        <w:t>(London: Palgrave, 2014), 132-45.</w:t>
      </w:r>
    </w:p>
  </w:footnote>
  <w:footnote w:id="12">
    <w:p w14:paraId="63C75BAC" w14:textId="6B90CB31"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Alexander von Humboldt and Aimé Bonpland, </w:t>
      </w:r>
      <w:r w:rsidRPr="00185057">
        <w:rPr>
          <w:rFonts w:ascii="Times New Roman" w:hAnsi="Times New Roman" w:cs="Times New Roman"/>
          <w:i/>
          <w:sz w:val="20"/>
          <w:szCs w:val="20"/>
        </w:rPr>
        <w:t>Personal narrative of travels to the equinoctial regions</w:t>
      </w:r>
      <w:r w:rsidRPr="00185057">
        <w:rPr>
          <w:rFonts w:ascii="Times New Roman" w:hAnsi="Times New Roman" w:cs="Times New Roman"/>
          <w:sz w:val="20"/>
          <w:szCs w:val="20"/>
        </w:rPr>
        <w:t xml:space="preserve"> </w:t>
      </w:r>
      <w:r w:rsidRPr="00185057">
        <w:rPr>
          <w:rFonts w:ascii="Times New Roman" w:hAnsi="Times New Roman" w:cs="Times New Roman"/>
          <w:i/>
          <w:sz w:val="20"/>
          <w:szCs w:val="20"/>
        </w:rPr>
        <w:t xml:space="preserve"> </w:t>
      </w:r>
      <w:r w:rsidRPr="00185057">
        <w:rPr>
          <w:rFonts w:ascii="Times New Roman" w:hAnsi="Times New Roman" w:cs="Times New Roman"/>
          <w:sz w:val="20"/>
          <w:szCs w:val="20"/>
        </w:rPr>
        <w:t xml:space="preserve">(London: Longman, 1814), 1: 6-8; Rainer Buschmann, </w:t>
      </w:r>
      <w:r w:rsidRPr="00185057">
        <w:rPr>
          <w:rFonts w:ascii="Times New Roman" w:hAnsi="Times New Roman" w:cs="Times New Roman"/>
          <w:i/>
          <w:sz w:val="20"/>
          <w:szCs w:val="20"/>
        </w:rPr>
        <w:t xml:space="preserve">Iberian visions of the Pacific Ocean </w:t>
      </w:r>
      <w:r w:rsidRPr="00185057">
        <w:rPr>
          <w:rFonts w:ascii="Times New Roman" w:hAnsi="Times New Roman" w:cs="Times New Roman"/>
          <w:sz w:val="20"/>
          <w:szCs w:val="20"/>
        </w:rPr>
        <w:t>(London: Palgrave, 2014), 188-92.</w:t>
      </w:r>
    </w:p>
  </w:footnote>
  <w:footnote w:id="13">
    <w:p w14:paraId="3ADF9DE3" w14:textId="7FB8DC14"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François Péron, ‘Expériences sur la force physique des peoples sauvages’, in Jean Copains and Jean Jamin (ed.), </w:t>
      </w:r>
      <w:r w:rsidRPr="00185057">
        <w:rPr>
          <w:rFonts w:ascii="Times New Roman" w:hAnsi="Times New Roman" w:cs="Times New Roman"/>
          <w:i/>
          <w:sz w:val="20"/>
          <w:szCs w:val="20"/>
        </w:rPr>
        <w:t>Aux origines de l’anthropologie française</w:t>
      </w:r>
      <w:r w:rsidRPr="00185057">
        <w:rPr>
          <w:rFonts w:ascii="Times New Roman" w:hAnsi="Times New Roman" w:cs="Times New Roman"/>
          <w:sz w:val="20"/>
          <w:szCs w:val="20"/>
        </w:rPr>
        <w:t xml:space="preserve"> (Paris: Jean-Michel Place, 1994), 179-200; Miranda Hughes, ‘The dynamometer and the Diemenese’, in Homer Le Grand (ed.), </w:t>
      </w:r>
      <w:r w:rsidRPr="00185057">
        <w:rPr>
          <w:rFonts w:ascii="Times New Roman" w:hAnsi="Times New Roman" w:cs="Times New Roman"/>
          <w:i/>
          <w:sz w:val="20"/>
          <w:szCs w:val="20"/>
        </w:rPr>
        <w:t>Experimental enquiries</w:t>
      </w:r>
      <w:r w:rsidRPr="00185057">
        <w:rPr>
          <w:rFonts w:ascii="Times New Roman" w:hAnsi="Times New Roman" w:cs="Times New Roman"/>
          <w:sz w:val="20"/>
          <w:szCs w:val="20"/>
        </w:rPr>
        <w:t xml:space="preserve"> (Dordecht: Kluwer, 1990), 81-98. </w:t>
      </w:r>
    </w:p>
  </w:footnote>
  <w:footnote w:id="14">
    <w:p w14:paraId="4ADCD163" w14:textId="259CAFB5"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Joseph-Marie de Gérando, ‘Considérations sur les diverses méthodes à suivre dans l’observation des peuples sauvages’, in Copains and Jamin, </w:t>
      </w:r>
      <w:r w:rsidRPr="00185057">
        <w:rPr>
          <w:rFonts w:ascii="Times New Roman" w:hAnsi="Times New Roman" w:cs="Times New Roman"/>
          <w:i/>
          <w:sz w:val="20"/>
          <w:szCs w:val="20"/>
        </w:rPr>
        <w:t>Aux origines de l’anthropologie française</w:t>
      </w:r>
      <w:r w:rsidRPr="00185057">
        <w:rPr>
          <w:rFonts w:ascii="Times New Roman" w:hAnsi="Times New Roman" w:cs="Times New Roman"/>
          <w:sz w:val="20"/>
          <w:szCs w:val="20"/>
        </w:rPr>
        <w:t xml:space="preserve">, 73-109, p. 76. For characteristic citations, see Johannes Fabian, </w:t>
      </w:r>
      <w:r w:rsidRPr="00185057">
        <w:rPr>
          <w:rFonts w:ascii="Times New Roman" w:hAnsi="Times New Roman" w:cs="Times New Roman"/>
          <w:i/>
          <w:sz w:val="20"/>
          <w:szCs w:val="20"/>
        </w:rPr>
        <w:t>Time and the other: how anthropology makes its object</w:t>
      </w:r>
      <w:r w:rsidRPr="00185057">
        <w:rPr>
          <w:rFonts w:ascii="Times New Roman" w:hAnsi="Times New Roman" w:cs="Times New Roman"/>
          <w:sz w:val="20"/>
          <w:szCs w:val="20"/>
        </w:rPr>
        <w:t xml:space="preserve"> (New York: Columbia University Press, [1983] 2002), 6-7; Jean Fornasiero, Peter Monteath and John West-Sooby, </w:t>
      </w:r>
      <w:r w:rsidRPr="00185057">
        <w:rPr>
          <w:rFonts w:ascii="Times New Roman" w:hAnsi="Times New Roman" w:cs="Times New Roman"/>
          <w:i/>
          <w:sz w:val="20"/>
          <w:szCs w:val="20"/>
        </w:rPr>
        <w:t>Encountering Terra Australis: the Australian voyages of Nicolas Baudin and Matthew Flinders</w:t>
      </w:r>
      <w:r w:rsidRPr="00185057">
        <w:rPr>
          <w:rFonts w:ascii="Times New Roman" w:hAnsi="Times New Roman" w:cs="Times New Roman"/>
          <w:sz w:val="20"/>
          <w:szCs w:val="20"/>
        </w:rPr>
        <w:t xml:space="preserve"> (Kent Town, SA: Wakefield Press, 2004), 354-5.</w:t>
      </w:r>
    </w:p>
  </w:footnote>
  <w:footnote w:id="15">
    <w:p w14:paraId="15F56D7B" w14:textId="711D62FD"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Claude Lévi-Strauss, ‘Anthropology: its achievements and future’, </w:t>
      </w:r>
      <w:r w:rsidRPr="00185057">
        <w:rPr>
          <w:rFonts w:ascii="Times New Roman" w:hAnsi="Times New Roman" w:cs="Times New Roman"/>
          <w:i/>
          <w:sz w:val="20"/>
          <w:szCs w:val="20"/>
        </w:rPr>
        <w:t>Current anthropology</w:t>
      </w:r>
      <w:r w:rsidRPr="00185057">
        <w:rPr>
          <w:rFonts w:ascii="Times New Roman" w:hAnsi="Times New Roman" w:cs="Times New Roman"/>
          <w:sz w:val="20"/>
          <w:szCs w:val="20"/>
        </w:rPr>
        <w:t xml:space="preserve"> 7 (1966), 124-7, p. 125.</w:t>
      </w:r>
    </w:p>
  </w:footnote>
  <w:footnote w:id="16">
    <w:p w14:paraId="2F7C3428" w14:textId="6E7B611B"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Levi-Strauss, ‘Anthropology’, 127. </w:t>
      </w:r>
    </w:p>
  </w:footnote>
  <w:footnote w:id="17">
    <w:p w14:paraId="28F988CB" w14:textId="38493A39"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Ernest Gellner, </w:t>
      </w:r>
      <w:r w:rsidRPr="00185057">
        <w:rPr>
          <w:rFonts w:ascii="Times New Roman" w:hAnsi="Times New Roman" w:cs="Times New Roman"/>
          <w:i/>
          <w:sz w:val="20"/>
          <w:szCs w:val="20"/>
        </w:rPr>
        <w:t>Thought and change</w:t>
      </w:r>
      <w:r w:rsidRPr="00185057">
        <w:rPr>
          <w:rFonts w:ascii="Times New Roman" w:hAnsi="Times New Roman" w:cs="Times New Roman"/>
          <w:sz w:val="20"/>
          <w:szCs w:val="20"/>
        </w:rPr>
        <w:t xml:space="preserve"> (Chicago: Chicago University Press, 1964), 18, cited in Fabian, </w:t>
      </w:r>
      <w:r w:rsidRPr="00185057">
        <w:rPr>
          <w:rFonts w:ascii="Times New Roman" w:hAnsi="Times New Roman" w:cs="Times New Roman"/>
          <w:i/>
          <w:sz w:val="20"/>
          <w:szCs w:val="20"/>
        </w:rPr>
        <w:t>Time and the other</w:t>
      </w:r>
      <w:r w:rsidRPr="00185057">
        <w:rPr>
          <w:rFonts w:ascii="Times New Roman" w:hAnsi="Times New Roman" w:cs="Times New Roman"/>
          <w:sz w:val="20"/>
          <w:szCs w:val="20"/>
        </w:rPr>
        <w:t>, 39.</w:t>
      </w:r>
    </w:p>
  </w:footnote>
  <w:footnote w:id="18">
    <w:p w14:paraId="4BCFEF16" w14:textId="4812226F"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Ernest Gellner, </w:t>
      </w:r>
      <w:r w:rsidRPr="00185057">
        <w:rPr>
          <w:rFonts w:ascii="Times New Roman" w:hAnsi="Times New Roman" w:cs="Times New Roman"/>
          <w:i/>
          <w:sz w:val="20"/>
          <w:szCs w:val="20"/>
        </w:rPr>
        <w:t>Language and solitude</w:t>
      </w:r>
      <w:r w:rsidRPr="00185057">
        <w:rPr>
          <w:rFonts w:ascii="Times New Roman" w:hAnsi="Times New Roman" w:cs="Times New Roman"/>
          <w:sz w:val="20"/>
          <w:szCs w:val="20"/>
        </w:rPr>
        <w:t xml:space="preserve"> (Cambridge: Cambridge University Press, 1998), 115. </w:t>
      </w:r>
    </w:p>
  </w:footnote>
  <w:footnote w:id="19">
    <w:p w14:paraId="4E6C032C" w14:textId="03C13374"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Fabian, </w:t>
      </w:r>
      <w:r w:rsidRPr="00185057">
        <w:rPr>
          <w:rFonts w:ascii="Times New Roman" w:hAnsi="Times New Roman" w:cs="Times New Roman"/>
          <w:i/>
          <w:sz w:val="20"/>
          <w:szCs w:val="20"/>
        </w:rPr>
        <w:t>Time and the other</w:t>
      </w:r>
      <w:r w:rsidRPr="00185057">
        <w:rPr>
          <w:rFonts w:ascii="Times New Roman" w:hAnsi="Times New Roman" w:cs="Times New Roman"/>
          <w:sz w:val="20"/>
          <w:szCs w:val="20"/>
        </w:rPr>
        <w:t xml:space="preserve">, 153-4; Nanni, </w:t>
      </w:r>
      <w:r w:rsidRPr="00185057">
        <w:rPr>
          <w:rFonts w:ascii="Times New Roman" w:hAnsi="Times New Roman" w:cs="Times New Roman"/>
          <w:i/>
          <w:sz w:val="20"/>
          <w:szCs w:val="20"/>
        </w:rPr>
        <w:t xml:space="preserve">Colonisation of time, </w:t>
      </w:r>
      <w:r w:rsidRPr="00185057">
        <w:rPr>
          <w:rFonts w:ascii="Times New Roman" w:hAnsi="Times New Roman" w:cs="Times New Roman"/>
          <w:sz w:val="20"/>
          <w:szCs w:val="20"/>
        </w:rPr>
        <w:t>10.</w:t>
      </w:r>
    </w:p>
  </w:footnote>
  <w:footnote w:id="20">
    <w:p w14:paraId="34E53A12" w14:textId="40891C51"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Graeme Davison, </w:t>
      </w:r>
      <w:r w:rsidRPr="00185057">
        <w:rPr>
          <w:rFonts w:ascii="Times New Roman" w:hAnsi="Times New Roman" w:cs="Times New Roman"/>
          <w:i/>
          <w:sz w:val="20"/>
          <w:szCs w:val="20"/>
        </w:rPr>
        <w:t>The unforgiving minute: how Australia learned to tell the time</w:t>
      </w:r>
      <w:r w:rsidRPr="00185057">
        <w:rPr>
          <w:rFonts w:ascii="Times New Roman" w:hAnsi="Times New Roman" w:cs="Times New Roman"/>
          <w:sz w:val="20"/>
          <w:szCs w:val="20"/>
        </w:rPr>
        <w:t xml:space="preserve"> (Melbourne: Oxford University Press, 1993), 12, 16.</w:t>
      </w:r>
    </w:p>
  </w:footnote>
  <w:footnote w:id="21">
    <w:p w14:paraId="64B62911" w14:textId="09ACBD0D" w:rsidR="005039D6" w:rsidRPr="00185057" w:rsidRDefault="005039D6" w:rsidP="00185057">
      <w:pPr>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Nanni, </w:t>
      </w:r>
      <w:r w:rsidRPr="00185057">
        <w:rPr>
          <w:rFonts w:ascii="Times New Roman" w:hAnsi="Times New Roman" w:cs="Times New Roman"/>
          <w:i/>
          <w:sz w:val="20"/>
          <w:szCs w:val="20"/>
        </w:rPr>
        <w:t>Colonisation of time</w:t>
      </w:r>
      <w:r w:rsidRPr="00185057">
        <w:rPr>
          <w:rFonts w:ascii="Times New Roman" w:hAnsi="Times New Roman" w:cs="Times New Roman"/>
          <w:sz w:val="20"/>
          <w:szCs w:val="20"/>
        </w:rPr>
        <w:t xml:space="preserve">, 3-4, 29; Perkins, </w:t>
      </w:r>
      <w:r w:rsidRPr="00185057">
        <w:rPr>
          <w:rFonts w:ascii="Times New Roman" w:hAnsi="Times New Roman" w:cs="Times New Roman"/>
          <w:i/>
          <w:sz w:val="20"/>
          <w:szCs w:val="20"/>
        </w:rPr>
        <w:t xml:space="preserve">Reform of time, </w:t>
      </w:r>
      <w:r w:rsidRPr="00185057">
        <w:rPr>
          <w:rFonts w:ascii="Times New Roman" w:hAnsi="Times New Roman" w:cs="Times New Roman"/>
          <w:sz w:val="20"/>
          <w:szCs w:val="20"/>
        </w:rPr>
        <w:t xml:space="preserve">94-97; Rod McNeil, ‘Time after time: temporal frontiers and boundaries in colonial images of the Australian landscape’, in Lynette Russell (ed.), </w:t>
      </w:r>
      <w:r w:rsidRPr="00185057">
        <w:rPr>
          <w:rFonts w:ascii="Times New Roman" w:hAnsi="Times New Roman" w:cs="Times New Roman"/>
          <w:i/>
          <w:sz w:val="20"/>
          <w:szCs w:val="20"/>
        </w:rPr>
        <w:t>Colonial frontiers</w:t>
      </w:r>
      <w:r w:rsidRPr="00185057">
        <w:rPr>
          <w:rFonts w:ascii="Times New Roman" w:hAnsi="Times New Roman" w:cs="Times New Roman"/>
          <w:sz w:val="20"/>
          <w:szCs w:val="20"/>
        </w:rPr>
        <w:t xml:space="preserve"> (Manchester: Manchester University Press, 2001), 47-65</w:t>
      </w:r>
      <w:r>
        <w:rPr>
          <w:rFonts w:ascii="Times New Roman" w:hAnsi="Times New Roman" w:cs="Times New Roman"/>
          <w:sz w:val="20"/>
          <w:szCs w:val="20"/>
        </w:rPr>
        <w:t>.</w:t>
      </w:r>
    </w:p>
  </w:footnote>
  <w:footnote w:id="22">
    <w:p w14:paraId="69CF10B7"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Richard Dunn and Rebekah Higgitt, </w:t>
      </w:r>
      <w:r w:rsidRPr="00185057">
        <w:rPr>
          <w:rFonts w:ascii="Times New Roman" w:hAnsi="Times New Roman" w:cs="Times New Roman"/>
          <w:i/>
          <w:sz w:val="20"/>
          <w:szCs w:val="20"/>
        </w:rPr>
        <w:t>Ships, clock and stars: the quest for longitude</w:t>
      </w:r>
      <w:r w:rsidRPr="00185057">
        <w:rPr>
          <w:rFonts w:ascii="Times New Roman" w:hAnsi="Times New Roman" w:cs="Times New Roman"/>
          <w:sz w:val="20"/>
          <w:szCs w:val="20"/>
        </w:rPr>
        <w:t xml:space="preserve"> (London: Collins, 2014), 131-33.</w:t>
      </w:r>
    </w:p>
  </w:footnote>
  <w:footnote w:id="23">
    <w:p w14:paraId="47C130EB"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J.C.Beaglehole (ed.), </w:t>
      </w:r>
      <w:r w:rsidRPr="00185057">
        <w:rPr>
          <w:rFonts w:ascii="Times New Roman" w:hAnsi="Times New Roman" w:cs="Times New Roman"/>
          <w:i/>
          <w:sz w:val="20"/>
          <w:szCs w:val="20"/>
        </w:rPr>
        <w:t xml:space="preserve">The voyage of the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Adventure, </w:t>
      </w:r>
      <w:r w:rsidRPr="00185057">
        <w:rPr>
          <w:rFonts w:ascii="Times New Roman" w:hAnsi="Times New Roman" w:cs="Times New Roman"/>
          <w:i/>
          <w:sz w:val="20"/>
          <w:szCs w:val="20"/>
        </w:rPr>
        <w:t>1772-1775</w:t>
      </w:r>
      <w:r w:rsidRPr="00185057">
        <w:rPr>
          <w:rFonts w:ascii="Times New Roman" w:hAnsi="Times New Roman" w:cs="Times New Roman"/>
          <w:sz w:val="20"/>
          <w:szCs w:val="20"/>
        </w:rPr>
        <w:t xml:space="preserve"> (Cambridge: Cambridge University Press, 1961), 723-4 for the triple locks; University Library Cambridge MS RGO 14/58, fol. 84v (27 January 1774) for the damaged stopwatch; J.C.Beaglehole (ed.), </w:t>
      </w:r>
      <w:r w:rsidRPr="00185057">
        <w:rPr>
          <w:rFonts w:ascii="Times New Roman" w:hAnsi="Times New Roman" w:cs="Times New Roman"/>
          <w:i/>
          <w:sz w:val="20"/>
          <w:szCs w:val="20"/>
        </w:rPr>
        <w:t xml:space="preserve">The Voyage of the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Discovery </w:t>
      </w:r>
      <w:r w:rsidRPr="00185057">
        <w:rPr>
          <w:rFonts w:ascii="Times New Roman" w:hAnsi="Times New Roman" w:cs="Times New Roman"/>
          <w:i/>
          <w:sz w:val="20"/>
          <w:szCs w:val="20"/>
        </w:rPr>
        <w:t xml:space="preserve">1776-1780 </w:t>
      </w:r>
      <w:r w:rsidRPr="00185057">
        <w:rPr>
          <w:rFonts w:ascii="Times New Roman" w:hAnsi="Times New Roman" w:cs="Times New Roman"/>
          <w:sz w:val="20"/>
          <w:szCs w:val="20"/>
        </w:rPr>
        <w:t xml:space="preserve"> (Cambridge: Cambridge University Press, 1967), 678 n.1 for Petropavlovsk.</w:t>
      </w:r>
    </w:p>
  </w:footnote>
  <w:footnote w:id="24">
    <w:p w14:paraId="597E8B8D"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Nicholas Thomas, </w:t>
      </w:r>
      <w:r w:rsidRPr="00185057">
        <w:rPr>
          <w:rFonts w:ascii="Times New Roman" w:hAnsi="Times New Roman" w:cs="Times New Roman"/>
          <w:i/>
          <w:sz w:val="20"/>
          <w:szCs w:val="20"/>
        </w:rPr>
        <w:t>Discoveries: the voyages of Captain Cook</w:t>
      </w:r>
      <w:r w:rsidRPr="00185057">
        <w:rPr>
          <w:rFonts w:ascii="Times New Roman" w:hAnsi="Times New Roman" w:cs="Times New Roman"/>
          <w:sz w:val="20"/>
          <w:szCs w:val="20"/>
        </w:rPr>
        <w:t xml:space="preserve"> (London: Allen Lane, 2003), 240-43. </w:t>
      </w:r>
    </w:p>
  </w:footnote>
  <w:footnote w:id="25">
    <w:p w14:paraId="66BC7471"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Beaglehole, </w:t>
      </w:r>
      <w:r w:rsidRPr="00185057">
        <w:rPr>
          <w:rFonts w:ascii="Times New Roman" w:hAnsi="Times New Roman" w:cs="Times New Roman"/>
          <w:i/>
          <w:sz w:val="20"/>
          <w:szCs w:val="20"/>
        </w:rPr>
        <w:t xml:space="preserve">Voyage of the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Adventure, </w:t>
      </w:r>
      <w:r w:rsidRPr="00185057">
        <w:rPr>
          <w:rFonts w:ascii="Times New Roman" w:hAnsi="Times New Roman" w:cs="Times New Roman"/>
          <w:i/>
          <w:sz w:val="20"/>
          <w:szCs w:val="20"/>
        </w:rPr>
        <w:t>1772-1775</w:t>
      </w:r>
      <w:r w:rsidRPr="00185057">
        <w:rPr>
          <w:rFonts w:ascii="Times New Roman" w:hAnsi="Times New Roman" w:cs="Times New Roman"/>
          <w:sz w:val="20"/>
          <w:szCs w:val="20"/>
        </w:rPr>
        <w:t>, 855-57.</w:t>
      </w:r>
    </w:p>
  </w:footnote>
  <w:footnote w:id="26">
    <w:p w14:paraId="66CBF32F"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Gooch to his parents, 17 June 1791, University Library Cambridge MS Add Mm.6.48, fol.40v.</w:t>
      </w:r>
    </w:p>
  </w:footnote>
  <w:footnote w:id="27">
    <w:p w14:paraId="393D2DA3"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Thomas, </w:t>
      </w:r>
      <w:r w:rsidRPr="00185057">
        <w:rPr>
          <w:rFonts w:ascii="Times New Roman" w:hAnsi="Times New Roman" w:cs="Times New Roman"/>
          <w:i/>
          <w:sz w:val="20"/>
          <w:szCs w:val="20"/>
        </w:rPr>
        <w:t>Discoveries</w:t>
      </w:r>
      <w:r w:rsidRPr="00185057">
        <w:rPr>
          <w:rFonts w:ascii="Times New Roman" w:hAnsi="Times New Roman" w:cs="Times New Roman"/>
          <w:sz w:val="20"/>
          <w:szCs w:val="20"/>
        </w:rPr>
        <w:t xml:space="preserve">, 257-58; Harriet Guest, </w:t>
      </w:r>
      <w:r w:rsidRPr="00185057">
        <w:rPr>
          <w:rFonts w:ascii="Times New Roman" w:hAnsi="Times New Roman" w:cs="Times New Roman"/>
          <w:i/>
          <w:sz w:val="20"/>
          <w:szCs w:val="20"/>
        </w:rPr>
        <w:t>Empire, Barbarism and Civilisation: Captain Cook, William Hodges and the return to the Pacific</w:t>
      </w:r>
      <w:r w:rsidRPr="00185057">
        <w:rPr>
          <w:rFonts w:ascii="Times New Roman" w:hAnsi="Times New Roman" w:cs="Times New Roman"/>
          <w:sz w:val="20"/>
          <w:szCs w:val="20"/>
        </w:rPr>
        <w:t xml:space="preserve"> (Cambridge: Cambridge University Press, 2007), 116-17; Cook to Admiralty, 1775, in Derek Howse, ‘Captain Cook’s marine timekeepers – the Kendall watches’, </w:t>
      </w:r>
      <w:r w:rsidRPr="00185057">
        <w:rPr>
          <w:rFonts w:ascii="Times New Roman" w:hAnsi="Times New Roman" w:cs="Times New Roman"/>
          <w:i/>
          <w:sz w:val="20"/>
          <w:szCs w:val="20"/>
        </w:rPr>
        <w:t>Antiquarian Horology</w:t>
      </w:r>
      <w:r w:rsidRPr="00185057">
        <w:rPr>
          <w:rFonts w:ascii="Times New Roman" w:hAnsi="Times New Roman" w:cs="Times New Roman"/>
          <w:sz w:val="20"/>
          <w:szCs w:val="20"/>
        </w:rPr>
        <w:t xml:space="preserve"> 6 (1969), 190-205, p.194.</w:t>
      </w:r>
    </w:p>
  </w:footnote>
  <w:footnote w:id="28">
    <w:p w14:paraId="4389E1D4" w14:textId="408682AF"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Salmond, ‘Their body is different’, 169; Despoix, </w:t>
      </w:r>
      <w:r w:rsidRPr="00185057">
        <w:rPr>
          <w:rFonts w:ascii="Times New Roman" w:hAnsi="Times New Roman" w:cs="Times New Roman"/>
          <w:i/>
          <w:sz w:val="20"/>
          <w:szCs w:val="20"/>
        </w:rPr>
        <w:t>Le monde mesuré</w:t>
      </w:r>
      <w:r w:rsidRPr="00185057">
        <w:rPr>
          <w:rFonts w:ascii="Times New Roman" w:hAnsi="Times New Roman" w:cs="Times New Roman"/>
          <w:sz w:val="20"/>
          <w:szCs w:val="20"/>
        </w:rPr>
        <w:t xml:space="preserve">, 77-79. Compare Thomas, </w:t>
      </w:r>
      <w:r w:rsidRPr="00185057">
        <w:rPr>
          <w:rFonts w:ascii="Times New Roman" w:hAnsi="Times New Roman" w:cs="Times New Roman"/>
          <w:i/>
          <w:sz w:val="20"/>
          <w:szCs w:val="20"/>
        </w:rPr>
        <w:t>Discoveries</w:t>
      </w:r>
      <w:r w:rsidRPr="00185057">
        <w:rPr>
          <w:rFonts w:ascii="Times New Roman" w:hAnsi="Times New Roman" w:cs="Times New Roman"/>
          <w:sz w:val="20"/>
          <w:szCs w:val="20"/>
        </w:rPr>
        <w:t>, 7.</w:t>
      </w:r>
    </w:p>
  </w:footnote>
  <w:footnote w:id="29">
    <w:p w14:paraId="4C974253"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Dawes to Maskelyne, 16 January, 25 January and 8 February 1787, Cambridge University Library MS RGO 14/48 fols. 242r, 249r and 252; Philip S. Laurie, ‘William Dawes and Australia’s first observatory’, </w:t>
      </w:r>
      <w:r w:rsidRPr="00185057">
        <w:rPr>
          <w:rFonts w:ascii="Times New Roman" w:hAnsi="Times New Roman" w:cs="Times New Roman"/>
          <w:i/>
          <w:sz w:val="20"/>
          <w:szCs w:val="20"/>
        </w:rPr>
        <w:t>Quarterly Journal of the Royal Astronomical Society</w:t>
      </w:r>
      <w:r w:rsidRPr="00185057">
        <w:rPr>
          <w:rFonts w:ascii="Times New Roman" w:hAnsi="Times New Roman" w:cs="Times New Roman"/>
          <w:sz w:val="20"/>
          <w:szCs w:val="20"/>
        </w:rPr>
        <w:t>, 29 (1988), 469-82, p.471.</w:t>
      </w:r>
    </w:p>
  </w:footnote>
  <w:footnote w:id="30">
    <w:p w14:paraId="3F6AA7D1"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Beaglehole, </w:t>
      </w:r>
      <w:r w:rsidRPr="00185057">
        <w:rPr>
          <w:rFonts w:ascii="Times New Roman" w:hAnsi="Times New Roman" w:cs="Times New Roman"/>
          <w:i/>
          <w:sz w:val="20"/>
          <w:szCs w:val="20"/>
        </w:rPr>
        <w:t xml:space="preserve">Voyage of the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Discovery, 457; Yakov Svet and Svetlana Fedorova, ‘Captain Cook and the Russians’, </w:t>
      </w:r>
      <w:r w:rsidRPr="00185057">
        <w:rPr>
          <w:rFonts w:ascii="Times New Roman" w:hAnsi="Times New Roman" w:cs="Times New Roman"/>
          <w:i/>
          <w:sz w:val="20"/>
          <w:szCs w:val="20"/>
        </w:rPr>
        <w:t xml:space="preserve">Pacific studies </w:t>
      </w:r>
      <w:r w:rsidRPr="00185057">
        <w:rPr>
          <w:rFonts w:ascii="Times New Roman" w:hAnsi="Times New Roman" w:cs="Times New Roman"/>
          <w:sz w:val="20"/>
          <w:szCs w:val="20"/>
        </w:rPr>
        <w:t xml:space="preserve">2 (1978), 1-19, pp. 7-8; Simon Werrett, ‘Russian responses to Cook’, in Glyndwr Williams (ed.), </w:t>
      </w:r>
      <w:r w:rsidRPr="00185057">
        <w:rPr>
          <w:rFonts w:ascii="Times New Roman" w:hAnsi="Times New Roman" w:cs="Times New Roman"/>
          <w:i/>
          <w:sz w:val="20"/>
          <w:szCs w:val="20"/>
        </w:rPr>
        <w:t xml:space="preserve">Captain Cook: explorations and reassessments </w:t>
      </w:r>
      <w:r w:rsidRPr="00185057">
        <w:rPr>
          <w:rFonts w:ascii="Times New Roman" w:hAnsi="Times New Roman" w:cs="Times New Roman"/>
          <w:sz w:val="20"/>
          <w:szCs w:val="20"/>
        </w:rPr>
        <w:t xml:space="preserve"> (Woodbridge: Boydell, 2004), 179-97, pp. 181-83.</w:t>
      </w:r>
    </w:p>
  </w:footnote>
  <w:footnote w:id="31">
    <w:p w14:paraId="79B4E3E0" w14:textId="652E2439" w:rsidR="005039D6" w:rsidRPr="005039D6"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Beaglehole, </w:t>
      </w:r>
      <w:r w:rsidRPr="00185057">
        <w:rPr>
          <w:rFonts w:ascii="Times New Roman" w:hAnsi="Times New Roman" w:cs="Times New Roman"/>
          <w:i/>
          <w:sz w:val="20"/>
          <w:szCs w:val="20"/>
        </w:rPr>
        <w:t xml:space="preserve">Voyage of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Adventure </w:t>
      </w:r>
      <w:r w:rsidRPr="00185057">
        <w:rPr>
          <w:rFonts w:ascii="Times New Roman" w:hAnsi="Times New Roman" w:cs="Times New Roman"/>
          <w:i/>
          <w:sz w:val="20"/>
          <w:szCs w:val="20"/>
        </w:rPr>
        <w:t>1772-1775</w:t>
      </w:r>
      <w:r w:rsidRPr="00185057">
        <w:rPr>
          <w:rFonts w:ascii="Times New Roman" w:hAnsi="Times New Roman" w:cs="Times New Roman"/>
          <w:sz w:val="20"/>
          <w:szCs w:val="20"/>
        </w:rPr>
        <w:t xml:space="preserve">, 726; Derek Howse and Beresford Hutchinson, ‘The saga of the Shelton clocks’, </w:t>
      </w:r>
      <w:r w:rsidRPr="00185057">
        <w:rPr>
          <w:rFonts w:ascii="Times New Roman" w:hAnsi="Times New Roman" w:cs="Times New Roman"/>
          <w:i/>
          <w:sz w:val="20"/>
          <w:szCs w:val="20"/>
        </w:rPr>
        <w:t>Antiquarian Horology</w:t>
      </w:r>
      <w:r w:rsidRPr="00185057">
        <w:rPr>
          <w:rFonts w:ascii="Times New Roman" w:hAnsi="Times New Roman" w:cs="Times New Roman"/>
          <w:sz w:val="20"/>
          <w:szCs w:val="20"/>
        </w:rPr>
        <w:t xml:space="preserve"> 6 (1969), 281-98; </w:t>
      </w:r>
      <w:r w:rsidRPr="005039D6">
        <w:rPr>
          <w:rFonts w:ascii="Times New Roman" w:hAnsi="Times New Roman" w:cs="Times New Roman"/>
          <w:sz w:val="20"/>
          <w:szCs w:val="20"/>
        </w:rPr>
        <w:t xml:space="preserve">William Wales and William Bayly, </w:t>
      </w:r>
      <w:r w:rsidRPr="005039D6">
        <w:rPr>
          <w:rFonts w:ascii="Times New Roman" w:hAnsi="Times New Roman" w:cs="Times New Roman"/>
          <w:i/>
          <w:sz w:val="20"/>
          <w:szCs w:val="20"/>
        </w:rPr>
        <w:t>The original astronomical observations made in the course of a Voyage towards the Souh Pole and round the World</w:t>
      </w:r>
      <w:r w:rsidRPr="005039D6">
        <w:rPr>
          <w:rFonts w:ascii="Times New Roman" w:hAnsi="Times New Roman" w:cs="Times New Roman"/>
          <w:sz w:val="20"/>
          <w:szCs w:val="20"/>
        </w:rPr>
        <w:t xml:space="preserve"> (London: Strahan, 1777), xi-xii.</w:t>
      </w:r>
    </w:p>
  </w:footnote>
  <w:footnote w:id="32">
    <w:p w14:paraId="2B96F83F"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Dawes to Maskelyne, 16 April 1790, Cambridge University Library, MS RGO 14/48, fol. 300v; Howse and Hutchinson, ‘Saga of the Shelton clocks’, 285; Wales and Bayly, </w:t>
      </w:r>
      <w:r w:rsidRPr="00185057">
        <w:rPr>
          <w:rFonts w:ascii="Times New Roman" w:hAnsi="Times New Roman" w:cs="Times New Roman"/>
          <w:i/>
          <w:sz w:val="20"/>
          <w:szCs w:val="20"/>
        </w:rPr>
        <w:t>Original astronomical observations</w:t>
      </w:r>
      <w:r w:rsidRPr="00185057">
        <w:rPr>
          <w:rFonts w:ascii="Times New Roman" w:hAnsi="Times New Roman" w:cs="Times New Roman"/>
          <w:sz w:val="20"/>
          <w:szCs w:val="20"/>
        </w:rPr>
        <w:t>, xix.</w:t>
      </w:r>
    </w:p>
  </w:footnote>
  <w:footnote w:id="33">
    <w:p w14:paraId="59BE43B4"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Philip S. Laurie, ‘William Dawes and Australia’s first observatory’, </w:t>
      </w:r>
      <w:r w:rsidRPr="00185057">
        <w:rPr>
          <w:rFonts w:ascii="Times New Roman" w:hAnsi="Times New Roman" w:cs="Times New Roman"/>
          <w:i/>
          <w:sz w:val="20"/>
          <w:szCs w:val="20"/>
        </w:rPr>
        <w:t>Quarterly Journal of the Royal Astronomical Society</w:t>
      </w:r>
      <w:r w:rsidRPr="00185057">
        <w:rPr>
          <w:rFonts w:ascii="Times New Roman" w:hAnsi="Times New Roman" w:cs="Times New Roman"/>
          <w:sz w:val="20"/>
          <w:szCs w:val="20"/>
        </w:rPr>
        <w:t xml:space="preserve">, 29 (1988), 469-82, p.476; David Nathan (ed.), </w:t>
      </w:r>
      <w:r w:rsidRPr="00185057">
        <w:rPr>
          <w:rFonts w:ascii="Times New Roman" w:hAnsi="Times New Roman" w:cs="Times New Roman"/>
          <w:i/>
          <w:sz w:val="20"/>
          <w:szCs w:val="20"/>
        </w:rPr>
        <w:t>William Dawes’ notebooks on the aboriginal languages of Sydney 1790-1791</w:t>
      </w:r>
      <w:r w:rsidRPr="00185057">
        <w:rPr>
          <w:rFonts w:ascii="Times New Roman" w:hAnsi="Times New Roman" w:cs="Times New Roman"/>
          <w:sz w:val="20"/>
          <w:szCs w:val="20"/>
        </w:rPr>
        <w:t xml:space="preserve"> (London: SOAS, 2009), vi-vii.</w:t>
      </w:r>
    </w:p>
  </w:footnote>
  <w:footnote w:id="34">
    <w:p w14:paraId="733840C8"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Wales and Bayly, </w:t>
      </w:r>
      <w:r w:rsidRPr="00185057">
        <w:rPr>
          <w:rFonts w:ascii="Times New Roman" w:hAnsi="Times New Roman" w:cs="Times New Roman"/>
          <w:i/>
          <w:sz w:val="20"/>
          <w:szCs w:val="20"/>
        </w:rPr>
        <w:t>Original astronomical observations</w:t>
      </w:r>
      <w:r w:rsidRPr="00185057">
        <w:rPr>
          <w:rFonts w:ascii="Times New Roman" w:hAnsi="Times New Roman" w:cs="Times New Roman"/>
          <w:sz w:val="20"/>
          <w:szCs w:val="20"/>
        </w:rPr>
        <w:t>, xi-xii.</w:t>
      </w:r>
    </w:p>
  </w:footnote>
  <w:footnote w:id="35">
    <w:p w14:paraId="501A242D" w14:textId="77B01A9F"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Wales and Bayly, </w:t>
      </w:r>
      <w:r>
        <w:rPr>
          <w:rFonts w:ascii="Times New Roman" w:hAnsi="Times New Roman" w:cs="Times New Roman"/>
          <w:i/>
          <w:sz w:val="20"/>
          <w:szCs w:val="20"/>
        </w:rPr>
        <w:t>O</w:t>
      </w:r>
      <w:r w:rsidRPr="00185057">
        <w:rPr>
          <w:rFonts w:ascii="Times New Roman" w:hAnsi="Times New Roman" w:cs="Times New Roman"/>
          <w:i/>
          <w:sz w:val="20"/>
          <w:szCs w:val="20"/>
        </w:rPr>
        <w:t>riginal astronomical observations</w:t>
      </w:r>
      <w:r w:rsidRPr="00185057">
        <w:rPr>
          <w:rFonts w:ascii="Times New Roman" w:hAnsi="Times New Roman" w:cs="Times New Roman"/>
          <w:sz w:val="20"/>
          <w:szCs w:val="20"/>
        </w:rPr>
        <w:t>, xv-xvi.</w:t>
      </w:r>
    </w:p>
  </w:footnote>
  <w:footnote w:id="36">
    <w:p w14:paraId="15EAC55E"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Dawes to Maskelyne, 28 December 1786 and 10 July 1788, Cambridge University Library MS RGO 14 fols. 239v, 283v.</w:t>
      </w:r>
    </w:p>
  </w:footnote>
  <w:footnote w:id="37">
    <w:p w14:paraId="6AA253A7"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J.C.Beaglehole (ed.), </w:t>
      </w:r>
      <w:r w:rsidRPr="00185057">
        <w:rPr>
          <w:rFonts w:ascii="Times New Roman" w:hAnsi="Times New Roman" w:cs="Times New Roman"/>
          <w:i/>
          <w:sz w:val="20"/>
          <w:szCs w:val="20"/>
        </w:rPr>
        <w:t xml:space="preserve">The </w:t>
      </w:r>
      <w:r w:rsidRPr="00185057">
        <w:rPr>
          <w:rFonts w:ascii="Times New Roman" w:hAnsi="Times New Roman" w:cs="Times New Roman"/>
          <w:sz w:val="20"/>
          <w:szCs w:val="20"/>
        </w:rPr>
        <w:t>Endeavour</w:t>
      </w:r>
      <w:r w:rsidRPr="00185057">
        <w:rPr>
          <w:rFonts w:ascii="Times New Roman" w:hAnsi="Times New Roman" w:cs="Times New Roman"/>
          <w:i/>
          <w:sz w:val="20"/>
          <w:szCs w:val="20"/>
        </w:rPr>
        <w:t xml:space="preserve"> Journal of Joseph Banks 1768-1771</w:t>
      </w:r>
      <w:r w:rsidRPr="00185057">
        <w:rPr>
          <w:rFonts w:ascii="Times New Roman" w:hAnsi="Times New Roman" w:cs="Times New Roman"/>
          <w:sz w:val="20"/>
          <w:szCs w:val="20"/>
        </w:rPr>
        <w:t>, 2</w:t>
      </w:r>
      <w:r w:rsidRPr="00185057">
        <w:rPr>
          <w:rFonts w:ascii="Times New Roman" w:hAnsi="Times New Roman" w:cs="Times New Roman"/>
          <w:sz w:val="20"/>
          <w:szCs w:val="20"/>
          <w:vertAlign w:val="superscript"/>
        </w:rPr>
        <w:t>nd</w:t>
      </w:r>
      <w:r w:rsidRPr="00185057">
        <w:rPr>
          <w:rFonts w:ascii="Times New Roman" w:hAnsi="Times New Roman" w:cs="Times New Roman"/>
          <w:sz w:val="20"/>
          <w:szCs w:val="20"/>
        </w:rPr>
        <w:t xml:space="preserve"> ed.</w:t>
      </w:r>
      <w:r w:rsidRPr="00185057">
        <w:rPr>
          <w:rFonts w:ascii="Times New Roman" w:hAnsi="Times New Roman" w:cs="Times New Roman"/>
          <w:i/>
          <w:sz w:val="20"/>
          <w:szCs w:val="20"/>
        </w:rPr>
        <w:t xml:space="preserve"> </w:t>
      </w:r>
      <w:r w:rsidRPr="00185057">
        <w:rPr>
          <w:rFonts w:ascii="Times New Roman" w:hAnsi="Times New Roman" w:cs="Times New Roman"/>
          <w:sz w:val="20"/>
          <w:szCs w:val="20"/>
        </w:rPr>
        <w:t xml:space="preserve">(Sydney: Angus and Robertson, 1963), 268-70, 309; Charles Green and James Cook, ‘Observations made by appointment of the Royal Society at King George’s Island in the South Sea’, </w:t>
      </w:r>
      <w:r w:rsidRPr="00185057">
        <w:rPr>
          <w:rFonts w:ascii="Times New Roman" w:hAnsi="Times New Roman" w:cs="Times New Roman"/>
          <w:i/>
          <w:sz w:val="20"/>
          <w:szCs w:val="20"/>
        </w:rPr>
        <w:t>Philosophical Transactions</w:t>
      </w:r>
      <w:r w:rsidRPr="00185057">
        <w:rPr>
          <w:rFonts w:ascii="Times New Roman" w:hAnsi="Times New Roman" w:cs="Times New Roman"/>
          <w:sz w:val="20"/>
          <w:szCs w:val="20"/>
        </w:rPr>
        <w:t xml:space="preserve"> 61 (1771), 397-421, pp. 397-8.</w:t>
      </w:r>
    </w:p>
  </w:footnote>
  <w:footnote w:id="38">
    <w:p w14:paraId="707029D2"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Thomas, </w:t>
      </w:r>
      <w:r w:rsidRPr="00185057">
        <w:rPr>
          <w:rFonts w:ascii="Times New Roman" w:hAnsi="Times New Roman" w:cs="Times New Roman"/>
          <w:i/>
          <w:sz w:val="20"/>
          <w:szCs w:val="20"/>
        </w:rPr>
        <w:t>Discoveries</w:t>
      </w:r>
      <w:r w:rsidRPr="00185057">
        <w:rPr>
          <w:rFonts w:ascii="Times New Roman" w:hAnsi="Times New Roman" w:cs="Times New Roman"/>
          <w:sz w:val="20"/>
          <w:szCs w:val="20"/>
        </w:rPr>
        <w:t>, 66-67.</w:t>
      </w:r>
    </w:p>
  </w:footnote>
  <w:footnote w:id="39">
    <w:p w14:paraId="1A015CAB"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Beaglehole, </w:t>
      </w:r>
      <w:r w:rsidRPr="00185057">
        <w:rPr>
          <w:rFonts w:ascii="Times New Roman" w:hAnsi="Times New Roman" w:cs="Times New Roman"/>
          <w:i/>
          <w:sz w:val="20"/>
          <w:szCs w:val="20"/>
        </w:rPr>
        <w:t xml:space="preserve">Voyage of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Adventure </w:t>
      </w:r>
      <w:r w:rsidRPr="00185057">
        <w:rPr>
          <w:rFonts w:ascii="Times New Roman" w:hAnsi="Times New Roman" w:cs="Times New Roman"/>
          <w:i/>
          <w:sz w:val="20"/>
          <w:szCs w:val="20"/>
        </w:rPr>
        <w:t>1772-1775</w:t>
      </w:r>
      <w:r w:rsidRPr="00185057">
        <w:rPr>
          <w:rFonts w:ascii="Times New Roman" w:hAnsi="Times New Roman" w:cs="Times New Roman"/>
          <w:sz w:val="20"/>
          <w:szCs w:val="20"/>
        </w:rPr>
        <w:t xml:space="preserve">, cxliv-v; David Turnbull, ‘Cook and Tupaia: a tale of cartographic méconnaissance?’, in Margarette Lincoln (ed.), </w:t>
      </w:r>
      <w:r w:rsidRPr="00185057">
        <w:rPr>
          <w:rFonts w:ascii="Times New Roman" w:hAnsi="Times New Roman" w:cs="Times New Roman"/>
          <w:i/>
          <w:sz w:val="20"/>
          <w:szCs w:val="20"/>
        </w:rPr>
        <w:t>Science and Exploration in the Pacific</w:t>
      </w:r>
      <w:r w:rsidRPr="00185057">
        <w:rPr>
          <w:rFonts w:ascii="Times New Roman" w:hAnsi="Times New Roman" w:cs="Times New Roman"/>
          <w:sz w:val="20"/>
          <w:szCs w:val="20"/>
        </w:rPr>
        <w:t xml:space="preserve"> (Woodbridge: Boydell, 1998), 117-32, p.124.</w:t>
      </w:r>
    </w:p>
  </w:footnote>
  <w:footnote w:id="40">
    <w:p w14:paraId="414CDDDE"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Bernard Smith, </w:t>
      </w:r>
      <w:r w:rsidRPr="00185057">
        <w:rPr>
          <w:rFonts w:ascii="Times New Roman" w:hAnsi="Times New Roman" w:cs="Times New Roman"/>
          <w:i/>
          <w:sz w:val="20"/>
          <w:szCs w:val="20"/>
        </w:rPr>
        <w:t>Imagining the Pacific: in the Wake of the Cook Voyages</w:t>
      </w:r>
      <w:r w:rsidRPr="00185057">
        <w:rPr>
          <w:rFonts w:ascii="Times New Roman" w:hAnsi="Times New Roman" w:cs="Times New Roman"/>
          <w:sz w:val="20"/>
          <w:szCs w:val="20"/>
        </w:rPr>
        <w:t xml:space="preserve"> (New Haven: Yale, 1992), 208-9.</w:t>
      </w:r>
    </w:p>
  </w:footnote>
  <w:footnote w:id="41">
    <w:p w14:paraId="3CE86E02"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Ruth Dawson, ‘Collecting with Cook: the Forsters and their artifact sales’, </w:t>
      </w:r>
      <w:r w:rsidRPr="00185057">
        <w:rPr>
          <w:rFonts w:ascii="Times New Roman" w:hAnsi="Times New Roman" w:cs="Times New Roman"/>
          <w:i/>
          <w:sz w:val="20"/>
          <w:szCs w:val="20"/>
        </w:rPr>
        <w:t>Hawaiian Journal of History</w:t>
      </w:r>
      <w:r w:rsidRPr="00185057">
        <w:rPr>
          <w:rFonts w:ascii="Times New Roman" w:hAnsi="Times New Roman" w:cs="Times New Roman"/>
          <w:sz w:val="20"/>
          <w:szCs w:val="20"/>
        </w:rPr>
        <w:t xml:space="preserve"> 13 (1979), 5-16, pp.13-14; Thomas, </w:t>
      </w:r>
      <w:r w:rsidRPr="00185057">
        <w:rPr>
          <w:rFonts w:ascii="Times New Roman" w:hAnsi="Times New Roman" w:cs="Times New Roman"/>
          <w:i/>
          <w:sz w:val="20"/>
          <w:szCs w:val="20"/>
        </w:rPr>
        <w:t>Discoveries</w:t>
      </w:r>
      <w:r w:rsidRPr="00185057">
        <w:rPr>
          <w:rFonts w:ascii="Times New Roman" w:hAnsi="Times New Roman" w:cs="Times New Roman"/>
          <w:sz w:val="20"/>
          <w:szCs w:val="20"/>
        </w:rPr>
        <w:t xml:space="preserve">, 231-2; Marshall Sahlins, ‘Cosmologies of capitalism: the trans-Pacific sector of the ‘world-system’’, </w:t>
      </w:r>
      <w:r w:rsidRPr="00185057">
        <w:rPr>
          <w:rFonts w:ascii="Times New Roman" w:hAnsi="Times New Roman" w:cs="Times New Roman"/>
          <w:i/>
          <w:sz w:val="20"/>
          <w:szCs w:val="20"/>
        </w:rPr>
        <w:t>Proceedings of the British Academy</w:t>
      </w:r>
      <w:r w:rsidRPr="00185057">
        <w:rPr>
          <w:rFonts w:ascii="Times New Roman" w:hAnsi="Times New Roman" w:cs="Times New Roman"/>
          <w:sz w:val="20"/>
          <w:szCs w:val="20"/>
        </w:rPr>
        <w:t xml:space="preserve"> 74 (1988), 1-51, p. 5.</w:t>
      </w:r>
    </w:p>
  </w:footnote>
  <w:footnote w:id="42">
    <w:p w14:paraId="3BD10CD5"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Jennifer Newell, ‘Irresistible objects: collecting in the Pacific and Australia in the reign of George III’, in Kim Sloan (ed.), </w:t>
      </w:r>
      <w:r w:rsidRPr="00185057">
        <w:rPr>
          <w:rFonts w:ascii="Times New Roman" w:hAnsi="Times New Roman" w:cs="Times New Roman"/>
          <w:i/>
          <w:sz w:val="20"/>
          <w:szCs w:val="20"/>
        </w:rPr>
        <w:t>Enlightenment: discovering the world in the eighteenth century</w:t>
      </w:r>
      <w:r w:rsidRPr="00185057">
        <w:rPr>
          <w:rFonts w:ascii="Times New Roman" w:hAnsi="Times New Roman" w:cs="Times New Roman"/>
          <w:sz w:val="20"/>
          <w:szCs w:val="20"/>
        </w:rPr>
        <w:t xml:space="preserve"> (London: British Museum, 2003), 246-57, p.248; Samwell’s journal, 13 February 1777, in Beaglehole (ed.), </w:t>
      </w:r>
      <w:r w:rsidRPr="00185057">
        <w:rPr>
          <w:rFonts w:ascii="Times New Roman" w:hAnsi="Times New Roman" w:cs="Times New Roman"/>
          <w:i/>
          <w:sz w:val="20"/>
          <w:szCs w:val="20"/>
        </w:rPr>
        <w:t xml:space="preserve">Voyage of the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Discovery, 995.</w:t>
      </w:r>
    </w:p>
  </w:footnote>
  <w:footnote w:id="43">
    <w:p w14:paraId="5DE61381"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Adrienne Kaeppler, </w:t>
      </w:r>
      <w:r w:rsidRPr="00185057">
        <w:rPr>
          <w:rFonts w:ascii="Times New Roman" w:hAnsi="Times New Roman" w:cs="Times New Roman"/>
          <w:i/>
          <w:sz w:val="20"/>
          <w:szCs w:val="20"/>
        </w:rPr>
        <w:t>Artificial curiosities</w:t>
      </w:r>
      <w:r w:rsidRPr="00185057">
        <w:rPr>
          <w:rFonts w:ascii="Times New Roman" w:hAnsi="Times New Roman" w:cs="Times New Roman"/>
          <w:sz w:val="20"/>
          <w:szCs w:val="20"/>
        </w:rPr>
        <w:t xml:space="preserve"> (Honolulu: Bishop Museum, 1978), 38, 40; Nicholas Thomas, ‘David Samwell, Pacific ethnographer and historian’, in David Samwell, </w:t>
      </w:r>
      <w:r w:rsidRPr="00185057">
        <w:rPr>
          <w:rFonts w:ascii="Times New Roman" w:hAnsi="Times New Roman" w:cs="Times New Roman"/>
          <w:i/>
          <w:sz w:val="20"/>
          <w:szCs w:val="20"/>
        </w:rPr>
        <w:t>The death of Captain Cook and other writings</w:t>
      </w:r>
      <w:r w:rsidRPr="00185057">
        <w:rPr>
          <w:rFonts w:ascii="Times New Roman" w:hAnsi="Times New Roman" w:cs="Times New Roman"/>
          <w:sz w:val="20"/>
          <w:szCs w:val="20"/>
        </w:rPr>
        <w:t>, ed. Martin Fitzpatrick, Nicholas Thomas and Jennifer Newell (Cardiff: University of Wales Press, 2007), 41-57.</w:t>
      </w:r>
    </w:p>
  </w:footnote>
  <w:footnote w:id="44">
    <w:p w14:paraId="5E872AAE"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T.T.Wilkinson, ‘The journals of the late Reuben Burrow’, </w:t>
      </w:r>
      <w:r w:rsidRPr="00185057">
        <w:rPr>
          <w:rFonts w:ascii="Times New Roman" w:hAnsi="Times New Roman" w:cs="Times New Roman"/>
          <w:i/>
          <w:sz w:val="20"/>
          <w:szCs w:val="20"/>
        </w:rPr>
        <w:t>Philosophical magazine</w:t>
      </w:r>
      <w:r w:rsidRPr="00185057">
        <w:rPr>
          <w:rFonts w:ascii="Times New Roman" w:hAnsi="Times New Roman" w:cs="Times New Roman"/>
          <w:sz w:val="20"/>
          <w:szCs w:val="20"/>
        </w:rPr>
        <w:t>, 4</w:t>
      </w:r>
      <w:r w:rsidRPr="00185057">
        <w:rPr>
          <w:rFonts w:ascii="Times New Roman" w:hAnsi="Times New Roman" w:cs="Times New Roman"/>
          <w:sz w:val="20"/>
          <w:szCs w:val="20"/>
          <w:vertAlign w:val="superscript"/>
        </w:rPr>
        <w:t>th</w:t>
      </w:r>
      <w:r w:rsidRPr="00185057">
        <w:rPr>
          <w:rFonts w:ascii="Times New Roman" w:hAnsi="Times New Roman" w:cs="Times New Roman"/>
          <w:sz w:val="20"/>
          <w:szCs w:val="20"/>
        </w:rPr>
        <w:t xml:space="preserve"> series, 5 (March 1853), 185-93, p.192.</w:t>
      </w:r>
    </w:p>
  </w:footnote>
  <w:footnote w:id="45">
    <w:p w14:paraId="027D47DB"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Michelle Hetherington, ‘The cult of the South Seas’, in Hetherington (ed.), </w:t>
      </w:r>
      <w:r w:rsidRPr="00185057">
        <w:rPr>
          <w:rFonts w:ascii="Times New Roman" w:hAnsi="Times New Roman" w:cs="Times New Roman"/>
          <w:i/>
          <w:sz w:val="20"/>
          <w:szCs w:val="20"/>
        </w:rPr>
        <w:t>Cook and Omai: the cult of the South Seas</w:t>
      </w:r>
      <w:r w:rsidRPr="00185057">
        <w:rPr>
          <w:rFonts w:ascii="Times New Roman" w:hAnsi="Times New Roman" w:cs="Times New Roman"/>
          <w:sz w:val="20"/>
          <w:szCs w:val="20"/>
        </w:rPr>
        <w:t xml:space="preserve"> (Canberra: National Library of Australia, 2001), 1-7, p.3; Thomas, </w:t>
      </w:r>
      <w:r w:rsidRPr="00185057">
        <w:rPr>
          <w:rFonts w:ascii="Times New Roman" w:hAnsi="Times New Roman" w:cs="Times New Roman"/>
          <w:i/>
          <w:sz w:val="20"/>
          <w:szCs w:val="20"/>
        </w:rPr>
        <w:t>Discoveries</w:t>
      </w:r>
      <w:r w:rsidRPr="00185057">
        <w:rPr>
          <w:rFonts w:ascii="Times New Roman" w:hAnsi="Times New Roman" w:cs="Times New Roman"/>
          <w:sz w:val="20"/>
          <w:szCs w:val="20"/>
        </w:rPr>
        <w:t xml:space="preserve">, 347-8; Guest, </w:t>
      </w:r>
      <w:r w:rsidRPr="00185057">
        <w:rPr>
          <w:rFonts w:ascii="Times New Roman" w:hAnsi="Times New Roman" w:cs="Times New Roman"/>
          <w:i/>
          <w:sz w:val="20"/>
          <w:szCs w:val="20"/>
        </w:rPr>
        <w:t>Empire, Barbarism and Civilisation</w:t>
      </w:r>
      <w:r w:rsidRPr="00185057">
        <w:rPr>
          <w:rFonts w:ascii="Times New Roman" w:hAnsi="Times New Roman" w:cs="Times New Roman"/>
          <w:sz w:val="20"/>
          <w:szCs w:val="20"/>
        </w:rPr>
        <w:t xml:space="preserve">, 149-52, 157-9; Jocelyn Hackforth-Jones, ‘Mai/Omai in London and the South Pacific’, in Joanna Sofaer (ed.), </w:t>
      </w:r>
      <w:r w:rsidRPr="00185057">
        <w:rPr>
          <w:rFonts w:ascii="Times New Roman" w:hAnsi="Times New Roman" w:cs="Times New Roman"/>
          <w:i/>
          <w:sz w:val="20"/>
          <w:szCs w:val="20"/>
        </w:rPr>
        <w:t xml:space="preserve">Material Identities </w:t>
      </w:r>
      <w:r w:rsidRPr="00185057">
        <w:rPr>
          <w:rFonts w:ascii="Times New Roman" w:hAnsi="Times New Roman" w:cs="Times New Roman"/>
          <w:sz w:val="20"/>
          <w:szCs w:val="20"/>
        </w:rPr>
        <w:t xml:space="preserve"> (Oxford: Blackwell, 2007), 14-30, p.20; Kate Fullagar, </w:t>
      </w:r>
      <w:r w:rsidRPr="00185057">
        <w:rPr>
          <w:rFonts w:ascii="Times New Roman" w:hAnsi="Times New Roman" w:cs="Times New Roman"/>
          <w:i/>
          <w:sz w:val="20"/>
          <w:szCs w:val="20"/>
        </w:rPr>
        <w:t>The savage visit: new world people and popular imperial culture in Britain, 1710-1795</w:t>
      </w:r>
      <w:r w:rsidRPr="00185057">
        <w:rPr>
          <w:rFonts w:ascii="Times New Roman" w:hAnsi="Times New Roman" w:cs="Times New Roman"/>
          <w:sz w:val="20"/>
          <w:szCs w:val="20"/>
        </w:rPr>
        <w:t xml:space="preserve"> (Berkeley: University of California Press, 2012), 127.</w:t>
      </w:r>
    </w:p>
  </w:footnote>
  <w:footnote w:id="46">
    <w:p w14:paraId="1B3A4C97"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Beaglehole, </w:t>
      </w:r>
      <w:r w:rsidRPr="00185057">
        <w:rPr>
          <w:rFonts w:ascii="Times New Roman" w:hAnsi="Times New Roman" w:cs="Times New Roman"/>
          <w:i/>
          <w:sz w:val="20"/>
          <w:szCs w:val="20"/>
        </w:rPr>
        <w:t xml:space="preserve">Voyage of </w:t>
      </w:r>
      <w:r w:rsidRPr="00185057">
        <w:rPr>
          <w:rFonts w:ascii="Times New Roman" w:hAnsi="Times New Roman" w:cs="Times New Roman"/>
          <w:sz w:val="20"/>
          <w:szCs w:val="20"/>
        </w:rPr>
        <w:t xml:space="preserve">Resolution </w:t>
      </w:r>
      <w:r w:rsidRPr="00185057">
        <w:rPr>
          <w:rFonts w:ascii="Times New Roman" w:hAnsi="Times New Roman" w:cs="Times New Roman"/>
          <w:i/>
          <w:sz w:val="20"/>
          <w:szCs w:val="20"/>
        </w:rPr>
        <w:t xml:space="preserve">and </w:t>
      </w:r>
      <w:r w:rsidRPr="00185057">
        <w:rPr>
          <w:rFonts w:ascii="Times New Roman" w:hAnsi="Times New Roman" w:cs="Times New Roman"/>
          <w:sz w:val="20"/>
          <w:szCs w:val="20"/>
        </w:rPr>
        <w:t xml:space="preserve">Discovery, 236-7. </w:t>
      </w:r>
    </w:p>
  </w:footnote>
  <w:footnote w:id="47">
    <w:p w14:paraId="269900E5"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w:t>
      </w:r>
      <w:r w:rsidRPr="00185057">
        <w:rPr>
          <w:rFonts w:ascii="Times New Roman" w:hAnsi="Times New Roman" w:cs="Times New Roman"/>
          <w:i/>
          <w:sz w:val="20"/>
          <w:szCs w:val="20"/>
        </w:rPr>
        <w:t>A catalogue and description of a great variety of natural and artificial curiosities…lately brought home with Omia</w:t>
      </w:r>
      <w:r w:rsidRPr="00185057">
        <w:rPr>
          <w:rFonts w:ascii="Times New Roman" w:hAnsi="Times New Roman" w:cs="Times New Roman"/>
          <w:sz w:val="20"/>
          <w:szCs w:val="20"/>
        </w:rPr>
        <w:t xml:space="preserve"> (London, ?1774), KRO 0002 in Kroepelien Collection, Kon Tiki Museum, Oslo. Compare Stephen Gapps, ‘Omai relics from the Furneaux collection’, </w:t>
      </w:r>
      <w:r w:rsidRPr="00185057">
        <w:rPr>
          <w:rFonts w:ascii="Times New Roman" w:hAnsi="Times New Roman" w:cs="Times New Roman"/>
          <w:i/>
          <w:sz w:val="20"/>
          <w:szCs w:val="20"/>
        </w:rPr>
        <w:t>Signals</w:t>
      </w:r>
      <w:r w:rsidRPr="00185057">
        <w:rPr>
          <w:rFonts w:ascii="Times New Roman" w:hAnsi="Times New Roman" w:cs="Times New Roman"/>
          <w:sz w:val="20"/>
          <w:szCs w:val="20"/>
        </w:rPr>
        <w:t xml:space="preserve"> 89 (2009-10), 10-15; Kaeppler, </w:t>
      </w:r>
      <w:r w:rsidRPr="00185057">
        <w:rPr>
          <w:rFonts w:ascii="Times New Roman" w:hAnsi="Times New Roman" w:cs="Times New Roman"/>
          <w:i/>
          <w:sz w:val="20"/>
          <w:szCs w:val="20"/>
        </w:rPr>
        <w:t>Artifical curiosities</w:t>
      </w:r>
      <w:r w:rsidRPr="00185057">
        <w:rPr>
          <w:rFonts w:ascii="Times New Roman" w:hAnsi="Times New Roman" w:cs="Times New Roman"/>
          <w:sz w:val="20"/>
          <w:szCs w:val="20"/>
        </w:rPr>
        <w:t xml:space="preserve">, 44. </w:t>
      </w:r>
    </w:p>
  </w:footnote>
  <w:footnote w:id="48">
    <w:p w14:paraId="56C418F9"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Rita Shenton, </w:t>
      </w:r>
      <w:r w:rsidRPr="00185057">
        <w:rPr>
          <w:rFonts w:ascii="Times New Roman" w:hAnsi="Times New Roman" w:cs="Times New Roman"/>
          <w:i/>
          <w:sz w:val="20"/>
          <w:szCs w:val="20"/>
        </w:rPr>
        <w:t>Christopher Pinchbeck and his family</w:t>
      </w:r>
      <w:r w:rsidRPr="00185057">
        <w:rPr>
          <w:rFonts w:ascii="Times New Roman" w:hAnsi="Times New Roman" w:cs="Times New Roman"/>
          <w:sz w:val="20"/>
          <w:szCs w:val="20"/>
        </w:rPr>
        <w:t xml:space="preserve"> (Asford: Brant Wright, 1976); Richard Altick, </w:t>
      </w:r>
      <w:r w:rsidRPr="00185057">
        <w:rPr>
          <w:rFonts w:ascii="Times New Roman" w:hAnsi="Times New Roman" w:cs="Times New Roman"/>
          <w:i/>
          <w:sz w:val="20"/>
          <w:szCs w:val="20"/>
        </w:rPr>
        <w:t>The Shows of London</w:t>
      </w:r>
      <w:r w:rsidRPr="00185057">
        <w:rPr>
          <w:rFonts w:ascii="Times New Roman" w:hAnsi="Times New Roman" w:cs="Times New Roman"/>
          <w:sz w:val="20"/>
          <w:szCs w:val="20"/>
        </w:rPr>
        <w:t xml:space="preserve"> (Cambridge, MA.: Harvard, 1978), 60, 86, 429; Liliane Pérez, ‘Technology, curiosity and utility in England and France in the eighteenth century’, in Bernadette Bensaude-Vincent and Christine Blondel (ed.), </w:t>
      </w:r>
      <w:r w:rsidRPr="00185057">
        <w:rPr>
          <w:rFonts w:ascii="Times New Roman" w:hAnsi="Times New Roman" w:cs="Times New Roman"/>
          <w:i/>
          <w:sz w:val="20"/>
          <w:szCs w:val="20"/>
        </w:rPr>
        <w:t>Science and Spectacle in the European Enlightenment</w:t>
      </w:r>
      <w:r w:rsidRPr="00185057">
        <w:rPr>
          <w:rFonts w:ascii="Times New Roman" w:hAnsi="Times New Roman" w:cs="Times New Roman"/>
          <w:sz w:val="20"/>
          <w:szCs w:val="20"/>
        </w:rPr>
        <w:t xml:space="preserve"> (Aldershot: Ashgate, 2008), 25-42, pp. 31-34.</w:t>
      </w:r>
    </w:p>
  </w:footnote>
  <w:footnote w:id="49">
    <w:p w14:paraId="3BFEE2BF" w14:textId="77777777" w:rsidR="005039D6" w:rsidRPr="00185057" w:rsidRDefault="005039D6" w:rsidP="00185057">
      <w:pPr>
        <w:pStyle w:val="FootnoteText"/>
        <w:rPr>
          <w:rFonts w:ascii="Times New Roman" w:hAnsi="Times New Roman" w:cs="Times New Roman"/>
          <w:sz w:val="20"/>
          <w:szCs w:val="20"/>
        </w:rPr>
      </w:pPr>
      <w:r w:rsidRPr="00185057">
        <w:rPr>
          <w:rStyle w:val="FootnoteReference"/>
          <w:rFonts w:ascii="Times New Roman" w:hAnsi="Times New Roman" w:cs="Times New Roman"/>
          <w:sz w:val="20"/>
          <w:szCs w:val="20"/>
        </w:rPr>
        <w:footnoteRef/>
      </w:r>
      <w:r w:rsidRPr="00185057">
        <w:rPr>
          <w:rFonts w:ascii="Times New Roman" w:hAnsi="Times New Roman" w:cs="Times New Roman"/>
          <w:sz w:val="20"/>
          <w:szCs w:val="20"/>
        </w:rPr>
        <w:t xml:space="preserve"> Adam Smith, </w:t>
      </w:r>
      <w:r w:rsidRPr="00185057">
        <w:rPr>
          <w:rFonts w:ascii="Times New Roman" w:hAnsi="Times New Roman" w:cs="Times New Roman"/>
          <w:i/>
          <w:sz w:val="20"/>
          <w:szCs w:val="20"/>
        </w:rPr>
        <w:t>Theory of moral sentiments</w:t>
      </w:r>
      <w:r w:rsidRPr="00185057">
        <w:rPr>
          <w:rFonts w:ascii="Times New Roman" w:hAnsi="Times New Roman" w:cs="Times New Roman"/>
          <w:sz w:val="20"/>
          <w:szCs w:val="20"/>
        </w:rPr>
        <w:t xml:space="preserve"> (London: Millar, 1759), 340-1; see Pérez, ‘Technology, curiosity and utility’, 27-28 and Guest, </w:t>
      </w:r>
      <w:r w:rsidRPr="00185057">
        <w:rPr>
          <w:rFonts w:ascii="Times New Roman" w:hAnsi="Times New Roman" w:cs="Times New Roman"/>
          <w:i/>
          <w:sz w:val="20"/>
          <w:szCs w:val="20"/>
        </w:rPr>
        <w:t>Empire, Barbarism and Civilisation</w:t>
      </w:r>
      <w:r w:rsidRPr="00185057">
        <w:rPr>
          <w:rFonts w:ascii="Times New Roman" w:hAnsi="Times New Roman" w:cs="Times New Roman"/>
          <w:sz w:val="20"/>
          <w:szCs w:val="20"/>
        </w:rPr>
        <w:t>, 152-3, who both cite these pages from Smith.</w:t>
      </w:r>
    </w:p>
  </w:footnote>
  <w:footnote w:id="50">
    <w:p w14:paraId="5E988106" w14:textId="40039362" w:rsidR="007D234E" w:rsidRPr="007D234E" w:rsidRDefault="007D234E">
      <w:pPr>
        <w:pStyle w:val="FootnoteText"/>
        <w:rPr>
          <w:rFonts w:ascii="Times New Roman" w:hAnsi="Times New Roman" w:cs="Times New Roman"/>
          <w:sz w:val="20"/>
          <w:szCs w:val="20"/>
        </w:rPr>
      </w:pPr>
      <w:r w:rsidRPr="007D234E">
        <w:rPr>
          <w:rStyle w:val="FootnoteReference"/>
          <w:rFonts w:ascii="Times New Roman" w:hAnsi="Times New Roman" w:cs="Times New Roman"/>
          <w:sz w:val="20"/>
          <w:szCs w:val="20"/>
        </w:rPr>
        <w:footnoteRef/>
      </w:r>
      <w:r w:rsidRPr="007D234E">
        <w:rPr>
          <w:rFonts w:ascii="Times New Roman" w:hAnsi="Times New Roman" w:cs="Times New Roman"/>
          <w:sz w:val="20"/>
          <w:szCs w:val="20"/>
        </w:rPr>
        <w:t xml:space="preserve"> Gordon Johnson, ‘India and Henry Maine’, in Alan Diamond (ed.), </w:t>
      </w:r>
      <w:r w:rsidRPr="007D234E">
        <w:rPr>
          <w:rFonts w:ascii="Times New Roman" w:hAnsi="Times New Roman" w:cs="Times New Roman"/>
          <w:i/>
          <w:sz w:val="20"/>
          <w:szCs w:val="20"/>
        </w:rPr>
        <w:t>The Victorian achievement of Sir Henry Maine</w:t>
      </w:r>
      <w:r w:rsidRPr="007D234E">
        <w:rPr>
          <w:rFonts w:ascii="Times New Roman" w:hAnsi="Times New Roman" w:cs="Times New Roman"/>
          <w:sz w:val="20"/>
          <w:szCs w:val="20"/>
        </w:rPr>
        <w:t xml:space="preserve"> (Cambridge: Cambridge University Press, 1991), 376-88, p.387.</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4DDEE7" w14:textId="77777777" w:rsidR="005039D6" w:rsidRDefault="005039D6" w:rsidP="00A90B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6E3BE40" w14:textId="77777777" w:rsidR="005039D6" w:rsidRDefault="005039D6" w:rsidP="00A90B00">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6D2E77" w14:textId="77777777" w:rsidR="005039D6" w:rsidRDefault="005039D6" w:rsidP="00A90B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B5DFB">
      <w:rPr>
        <w:rStyle w:val="PageNumber"/>
        <w:noProof/>
      </w:rPr>
      <w:t>1</w:t>
    </w:r>
    <w:r>
      <w:rPr>
        <w:rStyle w:val="PageNumber"/>
      </w:rPr>
      <w:fldChar w:fldCharType="end"/>
    </w:r>
  </w:p>
  <w:p w14:paraId="55CE569F" w14:textId="77777777" w:rsidR="005039D6" w:rsidRDefault="005039D6" w:rsidP="00A90B00">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7FA"/>
    <w:rsid w:val="00010CE1"/>
    <w:rsid w:val="00017B85"/>
    <w:rsid w:val="00081AD0"/>
    <w:rsid w:val="001329C8"/>
    <w:rsid w:val="00153A3B"/>
    <w:rsid w:val="00185057"/>
    <w:rsid w:val="001915CA"/>
    <w:rsid w:val="001952DA"/>
    <w:rsid w:val="002D4BAD"/>
    <w:rsid w:val="00380295"/>
    <w:rsid w:val="00381352"/>
    <w:rsid w:val="004510CD"/>
    <w:rsid w:val="004B56F6"/>
    <w:rsid w:val="004B5DFB"/>
    <w:rsid w:val="004D1009"/>
    <w:rsid w:val="005039D6"/>
    <w:rsid w:val="005249E7"/>
    <w:rsid w:val="0052508D"/>
    <w:rsid w:val="00657313"/>
    <w:rsid w:val="00666A49"/>
    <w:rsid w:val="007A3B7E"/>
    <w:rsid w:val="007B708B"/>
    <w:rsid w:val="007D234E"/>
    <w:rsid w:val="007D5F0F"/>
    <w:rsid w:val="007D6645"/>
    <w:rsid w:val="007F0941"/>
    <w:rsid w:val="0080160E"/>
    <w:rsid w:val="00845217"/>
    <w:rsid w:val="008A1BF2"/>
    <w:rsid w:val="008A41C6"/>
    <w:rsid w:val="009448F9"/>
    <w:rsid w:val="009B1F77"/>
    <w:rsid w:val="00A07700"/>
    <w:rsid w:val="00A31846"/>
    <w:rsid w:val="00A34D62"/>
    <w:rsid w:val="00A5473C"/>
    <w:rsid w:val="00A7546F"/>
    <w:rsid w:val="00A90B00"/>
    <w:rsid w:val="00A95DA7"/>
    <w:rsid w:val="00AF754C"/>
    <w:rsid w:val="00B568A7"/>
    <w:rsid w:val="00C25053"/>
    <w:rsid w:val="00C947FA"/>
    <w:rsid w:val="00C970D6"/>
    <w:rsid w:val="00D710B1"/>
    <w:rsid w:val="00D9567A"/>
    <w:rsid w:val="00DA259E"/>
    <w:rsid w:val="00DA26D1"/>
    <w:rsid w:val="00E10F42"/>
    <w:rsid w:val="00F041F3"/>
    <w:rsid w:val="00FC747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93B2B9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7F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947FA"/>
  </w:style>
  <w:style w:type="character" w:customStyle="1" w:styleId="FootnoteTextChar">
    <w:name w:val="Footnote Text Char"/>
    <w:basedOn w:val="DefaultParagraphFont"/>
    <w:link w:val="FootnoteText"/>
    <w:uiPriority w:val="99"/>
    <w:rsid w:val="00C947FA"/>
  </w:style>
  <w:style w:type="character" w:styleId="FootnoteReference">
    <w:name w:val="footnote reference"/>
    <w:basedOn w:val="DefaultParagraphFont"/>
    <w:uiPriority w:val="99"/>
    <w:unhideWhenUsed/>
    <w:rsid w:val="00C947FA"/>
    <w:rPr>
      <w:vertAlign w:val="superscript"/>
    </w:rPr>
  </w:style>
  <w:style w:type="paragraph" w:styleId="EndnoteText">
    <w:name w:val="endnote text"/>
    <w:basedOn w:val="Normal"/>
    <w:link w:val="EndnoteTextChar"/>
    <w:uiPriority w:val="99"/>
    <w:unhideWhenUsed/>
    <w:rsid w:val="00381352"/>
  </w:style>
  <w:style w:type="character" w:customStyle="1" w:styleId="EndnoteTextChar">
    <w:name w:val="Endnote Text Char"/>
    <w:basedOn w:val="DefaultParagraphFont"/>
    <w:link w:val="EndnoteText"/>
    <w:uiPriority w:val="99"/>
    <w:rsid w:val="00381352"/>
  </w:style>
  <w:style w:type="character" w:styleId="EndnoteReference">
    <w:name w:val="endnote reference"/>
    <w:basedOn w:val="DefaultParagraphFont"/>
    <w:uiPriority w:val="99"/>
    <w:unhideWhenUsed/>
    <w:rsid w:val="00381352"/>
    <w:rPr>
      <w:vertAlign w:val="superscript"/>
    </w:rPr>
  </w:style>
  <w:style w:type="paragraph" w:styleId="Header">
    <w:name w:val="header"/>
    <w:basedOn w:val="Normal"/>
    <w:link w:val="HeaderChar"/>
    <w:uiPriority w:val="99"/>
    <w:unhideWhenUsed/>
    <w:rsid w:val="00A90B00"/>
    <w:pPr>
      <w:tabs>
        <w:tab w:val="center" w:pos="4320"/>
        <w:tab w:val="right" w:pos="8640"/>
      </w:tabs>
    </w:pPr>
  </w:style>
  <w:style w:type="character" w:customStyle="1" w:styleId="HeaderChar">
    <w:name w:val="Header Char"/>
    <w:basedOn w:val="DefaultParagraphFont"/>
    <w:link w:val="Header"/>
    <w:uiPriority w:val="99"/>
    <w:rsid w:val="00A90B00"/>
  </w:style>
  <w:style w:type="paragraph" w:styleId="Footer">
    <w:name w:val="footer"/>
    <w:basedOn w:val="Normal"/>
    <w:link w:val="FooterChar"/>
    <w:uiPriority w:val="99"/>
    <w:unhideWhenUsed/>
    <w:rsid w:val="00A90B00"/>
    <w:pPr>
      <w:tabs>
        <w:tab w:val="center" w:pos="4320"/>
        <w:tab w:val="right" w:pos="8640"/>
      </w:tabs>
    </w:pPr>
  </w:style>
  <w:style w:type="character" w:customStyle="1" w:styleId="FooterChar">
    <w:name w:val="Footer Char"/>
    <w:basedOn w:val="DefaultParagraphFont"/>
    <w:link w:val="Footer"/>
    <w:uiPriority w:val="99"/>
    <w:rsid w:val="00A90B00"/>
  </w:style>
  <w:style w:type="character" w:styleId="PageNumber">
    <w:name w:val="page number"/>
    <w:basedOn w:val="DefaultParagraphFont"/>
    <w:uiPriority w:val="99"/>
    <w:semiHidden/>
    <w:unhideWhenUsed/>
    <w:rsid w:val="00A90B00"/>
  </w:style>
  <w:style w:type="paragraph" w:styleId="BodyText">
    <w:name w:val="Body Text"/>
    <w:basedOn w:val="Normal"/>
    <w:link w:val="BodyTextChar"/>
    <w:rsid w:val="009448F9"/>
    <w:pPr>
      <w:spacing w:line="360" w:lineRule="auto"/>
      <w:jc w:val="both"/>
    </w:pPr>
    <w:rPr>
      <w:rFonts w:ascii="Times New Roman" w:eastAsia="Times" w:hAnsi="Times New Roman" w:cs="Times New Roman"/>
      <w:noProof/>
      <w:szCs w:val="20"/>
      <w:lang w:val="en-GB"/>
    </w:rPr>
  </w:style>
  <w:style w:type="character" w:customStyle="1" w:styleId="BodyTextChar">
    <w:name w:val="Body Text Char"/>
    <w:basedOn w:val="DefaultParagraphFont"/>
    <w:link w:val="BodyText"/>
    <w:rsid w:val="009448F9"/>
    <w:rPr>
      <w:rFonts w:ascii="Times New Roman" w:eastAsia="Times" w:hAnsi="Times New Roman" w:cs="Times New Roman"/>
      <w:noProof/>
      <w:szCs w:val="20"/>
      <w:lang w:val="en-GB"/>
    </w:rPr>
  </w:style>
  <w:style w:type="paragraph" w:styleId="HTMLPreformatted">
    <w:name w:val="HTML Preformatted"/>
    <w:basedOn w:val="Normal"/>
    <w:link w:val="HTMLPreformattedChar"/>
    <w:uiPriority w:val="99"/>
    <w:unhideWhenUsed/>
    <w:rsid w:val="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val="en-GB"/>
    </w:rPr>
  </w:style>
  <w:style w:type="character" w:customStyle="1" w:styleId="HTMLPreformattedChar">
    <w:name w:val="HTML Preformatted Char"/>
    <w:basedOn w:val="DefaultParagraphFont"/>
    <w:link w:val="HTMLPreformatted"/>
    <w:uiPriority w:val="99"/>
    <w:rsid w:val="009448F9"/>
    <w:rPr>
      <w:rFonts w:ascii="Courier" w:hAnsi="Courier" w:cs="Courier"/>
      <w:sz w:val="20"/>
      <w:szCs w:val="20"/>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7F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947FA"/>
  </w:style>
  <w:style w:type="character" w:customStyle="1" w:styleId="FootnoteTextChar">
    <w:name w:val="Footnote Text Char"/>
    <w:basedOn w:val="DefaultParagraphFont"/>
    <w:link w:val="FootnoteText"/>
    <w:uiPriority w:val="99"/>
    <w:rsid w:val="00C947FA"/>
  </w:style>
  <w:style w:type="character" w:styleId="FootnoteReference">
    <w:name w:val="footnote reference"/>
    <w:basedOn w:val="DefaultParagraphFont"/>
    <w:uiPriority w:val="99"/>
    <w:unhideWhenUsed/>
    <w:rsid w:val="00C947FA"/>
    <w:rPr>
      <w:vertAlign w:val="superscript"/>
    </w:rPr>
  </w:style>
  <w:style w:type="paragraph" w:styleId="EndnoteText">
    <w:name w:val="endnote text"/>
    <w:basedOn w:val="Normal"/>
    <w:link w:val="EndnoteTextChar"/>
    <w:uiPriority w:val="99"/>
    <w:unhideWhenUsed/>
    <w:rsid w:val="00381352"/>
  </w:style>
  <w:style w:type="character" w:customStyle="1" w:styleId="EndnoteTextChar">
    <w:name w:val="Endnote Text Char"/>
    <w:basedOn w:val="DefaultParagraphFont"/>
    <w:link w:val="EndnoteText"/>
    <w:uiPriority w:val="99"/>
    <w:rsid w:val="00381352"/>
  </w:style>
  <w:style w:type="character" w:styleId="EndnoteReference">
    <w:name w:val="endnote reference"/>
    <w:basedOn w:val="DefaultParagraphFont"/>
    <w:uiPriority w:val="99"/>
    <w:unhideWhenUsed/>
    <w:rsid w:val="00381352"/>
    <w:rPr>
      <w:vertAlign w:val="superscript"/>
    </w:rPr>
  </w:style>
  <w:style w:type="paragraph" w:styleId="Header">
    <w:name w:val="header"/>
    <w:basedOn w:val="Normal"/>
    <w:link w:val="HeaderChar"/>
    <w:uiPriority w:val="99"/>
    <w:unhideWhenUsed/>
    <w:rsid w:val="00A90B00"/>
    <w:pPr>
      <w:tabs>
        <w:tab w:val="center" w:pos="4320"/>
        <w:tab w:val="right" w:pos="8640"/>
      </w:tabs>
    </w:pPr>
  </w:style>
  <w:style w:type="character" w:customStyle="1" w:styleId="HeaderChar">
    <w:name w:val="Header Char"/>
    <w:basedOn w:val="DefaultParagraphFont"/>
    <w:link w:val="Header"/>
    <w:uiPriority w:val="99"/>
    <w:rsid w:val="00A90B00"/>
  </w:style>
  <w:style w:type="paragraph" w:styleId="Footer">
    <w:name w:val="footer"/>
    <w:basedOn w:val="Normal"/>
    <w:link w:val="FooterChar"/>
    <w:uiPriority w:val="99"/>
    <w:unhideWhenUsed/>
    <w:rsid w:val="00A90B00"/>
    <w:pPr>
      <w:tabs>
        <w:tab w:val="center" w:pos="4320"/>
        <w:tab w:val="right" w:pos="8640"/>
      </w:tabs>
    </w:pPr>
  </w:style>
  <w:style w:type="character" w:customStyle="1" w:styleId="FooterChar">
    <w:name w:val="Footer Char"/>
    <w:basedOn w:val="DefaultParagraphFont"/>
    <w:link w:val="Footer"/>
    <w:uiPriority w:val="99"/>
    <w:rsid w:val="00A90B00"/>
  </w:style>
  <w:style w:type="character" w:styleId="PageNumber">
    <w:name w:val="page number"/>
    <w:basedOn w:val="DefaultParagraphFont"/>
    <w:uiPriority w:val="99"/>
    <w:semiHidden/>
    <w:unhideWhenUsed/>
    <w:rsid w:val="00A90B00"/>
  </w:style>
  <w:style w:type="paragraph" w:styleId="BodyText">
    <w:name w:val="Body Text"/>
    <w:basedOn w:val="Normal"/>
    <w:link w:val="BodyTextChar"/>
    <w:rsid w:val="009448F9"/>
    <w:pPr>
      <w:spacing w:line="360" w:lineRule="auto"/>
      <w:jc w:val="both"/>
    </w:pPr>
    <w:rPr>
      <w:rFonts w:ascii="Times New Roman" w:eastAsia="Times" w:hAnsi="Times New Roman" w:cs="Times New Roman"/>
      <w:noProof/>
      <w:szCs w:val="20"/>
      <w:lang w:val="en-GB"/>
    </w:rPr>
  </w:style>
  <w:style w:type="character" w:customStyle="1" w:styleId="BodyTextChar">
    <w:name w:val="Body Text Char"/>
    <w:basedOn w:val="DefaultParagraphFont"/>
    <w:link w:val="BodyText"/>
    <w:rsid w:val="009448F9"/>
    <w:rPr>
      <w:rFonts w:ascii="Times New Roman" w:eastAsia="Times" w:hAnsi="Times New Roman" w:cs="Times New Roman"/>
      <w:noProof/>
      <w:szCs w:val="20"/>
      <w:lang w:val="en-GB"/>
    </w:rPr>
  </w:style>
  <w:style w:type="paragraph" w:styleId="HTMLPreformatted">
    <w:name w:val="HTML Preformatted"/>
    <w:basedOn w:val="Normal"/>
    <w:link w:val="HTMLPreformattedChar"/>
    <w:uiPriority w:val="99"/>
    <w:unhideWhenUsed/>
    <w:rsid w:val="009448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val="en-GB"/>
    </w:rPr>
  </w:style>
  <w:style w:type="character" w:customStyle="1" w:styleId="HTMLPreformattedChar">
    <w:name w:val="HTML Preformatted Char"/>
    <w:basedOn w:val="DefaultParagraphFont"/>
    <w:link w:val="HTMLPreformatted"/>
    <w:uiPriority w:val="99"/>
    <w:rsid w:val="009448F9"/>
    <w:rPr>
      <w:rFonts w:ascii="Courier" w:hAnsi="Courier" w:cs="Courier"/>
      <w:sz w:val="20"/>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390313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TotalTime>
  <Pages>14</Pages>
  <Words>6698</Words>
  <Characters>36107</Characters>
  <Application>Microsoft Macintosh Word</Application>
  <DocSecurity>0</DocSecurity>
  <Lines>573</Lines>
  <Paragraphs>33</Paragraphs>
  <ScaleCrop>false</ScaleCrop>
  <Company/>
  <LinksUpToDate>false</LinksUpToDate>
  <CharactersWithSpaces>42772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Schaffer</dc:creator>
  <cp:keywords/>
  <dc:description/>
  <cp:lastModifiedBy>Simon Schaffer</cp:lastModifiedBy>
  <cp:revision>30</cp:revision>
  <dcterms:created xsi:type="dcterms:W3CDTF">2015-05-16T15:15:00Z</dcterms:created>
  <dcterms:modified xsi:type="dcterms:W3CDTF">2016-01-23T11:39:00Z</dcterms:modified>
</cp:coreProperties>
</file>