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4783F0" w14:textId="77777777" w:rsidR="00D73FDD" w:rsidRDefault="00D73FDD" w:rsidP="00D73FDD">
      <w:pPr>
        <w:spacing w:line="480" w:lineRule="auto"/>
        <w:jc w:val="both"/>
        <w:rPr>
          <w:rFonts w:ascii="Arial" w:hAnsi="Arial" w:cs="Arial"/>
          <w:b/>
          <w:sz w:val="24"/>
          <w:szCs w:val="24"/>
          <w:lang w:val="en-GB"/>
        </w:rPr>
      </w:pPr>
      <w:bookmarkStart w:id="0" w:name="_GoBack"/>
      <w:bookmarkEnd w:id="0"/>
      <w:r>
        <w:rPr>
          <w:rFonts w:ascii="Arial" w:hAnsi="Arial" w:cs="Arial"/>
          <w:b/>
          <w:sz w:val="24"/>
          <w:szCs w:val="24"/>
          <w:lang w:val="en-GB"/>
        </w:rPr>
        <w:t>Endoscopic</w:t>
      </w:r>
      <w:r w:rsidRPr="00A460D9">
        <w:rPr>
          <w:rFonts w:ascii="Arial" w:hAnsi="Arial" w:cs="Arial"/>
          <w:b/>
          <w:sz w:val="24"/>
          <w:szCs w:val="24"/>
          <w:lang w:val="en-GB"/>
        </w:rPr>
        <w:t xml:space="preserve"> measure</w:t>
      </w:r>
      <w:r>
        <w:rPr>
          <w:rFonts w:ascii="Arial" w:hAnsi="Arial" w:cs="Arial"/>
          <w:b/>
          <w:sz w:val="24"/>
          <w:szCs w:val="24"/>
          <w:lang w:val="en-GB"/>
        </w:rPr>
        <w:t>ment</w:t>
      </w:r>
      <w:r w:rsidRPr="00A460D9">
        <w:rPr>
          <w:rFonts w:ascii="Arial" w:hAnsi="Arial" w:cs="Arial"/>
          <w:b/>
          <w:sz w:val="24"/>
          <w:szCs w:val="24"/>
          <w:lang w:val="en-GB"/>
        </w:rPr>
        <w:t xml:space="preserve"> of gastric pH </w:t>
      </w:r>
      <w:r>
        <w:rPr>
          <w:rFonts w:ascii="Arial" w:hAnsi="Arial" w:cs="Arial"/>
          <w:b/>
          <w:sz w:val="24"/>
          <w:szCs w:val="24"/>
          <w:lang w:val="en-GB"/>
        </w:rPr>
        <w:t xml:space="preserve">associates with persistent acid reflux </w:t>
      </w:r>
      <w:r w:rsidRPr="00A460D9">
        <w:rPr>
          <w:rFonts w:ascii="Arial" w:hAnsi="Arial" w:cs="Arial"/>
          <w:b/>
          <w:sz w:val="24"/>
          <w:szCs w:val="24"/>
          <w:lang w:val="en-GB"/>
        </w:rPr>
        <w:t>in patient</w:t>
      </w:r>
      <w:r>
        <w:rPr>
          <w:rFonts w:ascii="Arial" w:hAnsi="Arial" w:cs="Arial"/>
          <w:b/>
          <w:sz w:val="24"/>
          <w:szCs w:val="24"/>
          <w:lang w:val="en-GB"/>
        </w:rPr>
        <w:t>s</w:t>
      </w:r>
      <w:r w:rsidRPr="00A460D9">
        <w:rPr>
          <w:rFonts w:ascii="Arial" w:hAnsi="Arial" w:cs="Arial"/>
          <w:b/>
          <w:sz w:val="24"/>
          <w:szCs w:val="24"/>
          <w:lang w:val="en-GB"/>
        </w:rPr>
        <w:t xml:space="preserve"> treated with proton-pump inhibitors for gastroesophageal reflux disease</w:t>
      </w:r>
    </w:p>
    <w:p w14:paraId="59183AB3" w14:textId="22C443CE" w:rsidR="00AB378F" w:rsidRPr="004B4B2E" w:rsidRDefault="00AB378F" w:rsidP="001B3D49">
      <w:pPr>
        <w:spacing w:line="480" w:lineRule="auto"/>
        <w:jc w:val="both"/>
        <w:rPr>
          <w:rFonts w:ascii="Arial" w:hAnsi="Arial" w:cs="Arial"/>
          <w:sz w:val="24"/>
          <w:szCs w:val="24"/>
          <w:vertAlign w:val="superscript"/>
          <w:lang w:val="en-GB"/>
        </w:rPr>
      </w:pPr>
      <w:r w:rsidRPr="004B4B2E">
        <w:rPr>
          <w:rFonts w:ascii="Arial" w:hAnsi="Arial" w:cs="Arial"/>
          <w:sz w:val="24"/>
          <w:szCs w:val="24"/>
          <w:lang w:val="en-GB"/>
        </w:rPr>
        <w:t>W</w:t>
      </w:r>
      <w:r w:rsidR="00993D02" w:rsidRPr="004B4B2E">
        <w:rPr>
          <w:rFonts w:ascii="Arial" w:hAnsi="Arial" w:cs="Arial"/>
          <w:sz w:val="24"/>
          <w:szCs w:val="24"/>
          <w:lang w:val="en-GB"/>
        </w:rPr>
        <w:t>ladyslaw</w:t>
      </w:r>
      <w:r w:rsidRPr="004B4B2E">
        <w:rPr>
          <w:rFonts w:ascii="Arial" w:hAnsi="Arial" w:cs="Arial"/>
          <w:sz w:val="24"/>
          <w:szCs w:val="24"/>
          <w:lang w:val="en-GB"/>
        </w:rPr>
        <w:t xml:space="preserve"> Januszewicz</w:t>
      </w:r>
      <w:r w:rsidR="006E6A1A" w:rsidRPr="004B4B2E">
        <w:rPr>
          <w:rFonts w:ascii="Arial" w:hAnsi="Arial" w:cs="Arial"/>
          <w:sz w:val="24"/>
          <w:szCs w:val="24"/>
          <w:vertAlign w:val="superscript"/>
          <w:lang w:val="en-GB"/>
        </w:rPr>
        <w:t>1,2</w:t>
      </w:r>
      <w:r w:rsidRPr="004B4B2E">
        <w:rPr>
          <w:rFonts w:ascii="Arial" w:hAnsi="Arial" w:cs="Arial"/>
          <w:sz w:val="24"/>
          <w:szCs w:val="24"/>
          <w:lang w:val="en-GB"/>
        </w:rPr>
        <w:t>, James Hartley</w:t>
      </w:r>
      <w:r w:rsidR="00EC6C91" w:rsidRPr="004B4B2E">
        <w:rPr>
          <w:rFonts w:ascii="Arial" w:hAnsi="Arial" w:cs="Arial"/>
          <w:sz w:val="24"/>
          <w:szCs w:val="24"/>
          <w:vertAlign w:val="superscript"/>
          <w:lang w:val="en-GB"/>
        </w:rPr>
        <w:t>1</w:t>
      </w:r>
      <w:r w:rsidR="00993D02" w:rsidRPr="004B4B2E">
        <w:rPr>
          <w:rFonts w:ascii="Arial" w:hAnsi="Arial" w:cs="Arial"/>
          <w:sz w:val="24"/>
          <w:szCs w:val="24"/>
          <w:lang w:val="en-GB"/>
        </w:rPr>
        <w:t>,</w:t>
      </w:r>
      <w:r w:rsidRPr="004B4B2E">
        <w:rPr>
          <w:rFonts w:ascii="Arial" w:hAnsi="Arial" w:cs="Arial"/>
          <w:sz w:val="24"/>
          <w:szCs w:val="24"/>
          <w:lang w:val="en-GB"/>
        </w:rPr>
        <w:t xml:space="preserve"> </w:t>
      </w:r>
      <w:r w:rsidR="00993D02" w:rsidRPr="004B4B2E">
        <w:rPr>
          <w:rFonts w:ascii="Arial" w:hAnsi="Arial" w:cs="Arial"/>
          <w:sz w:val="24"/>
          <w:szCs w:val="24"/>
          <w:lang w:val="en-GB"/>
        </w:rPr>
        <w:t>William Waldock</w:t>
      </w:r>
      <w:r w:rsidR="00EC6C91" w:rsidRPr="004B4B2E">
        <w:rPr>
          <w:rFonts w:ascii="Arial" w:hAnsi="Arial" w:cs="Arial"/>
          <w:sz w:val="24"/>
          <w:szCs w:val="24"/>
          <w:vertAlign w:val="superscript"/>
          <w:lang w:val="en-GB"/>
        </w:rPr>
        <w:t>1</w:t>
      </w:r>
      <w:r w:rsidR="00993D02" w:rsidRPr="004B4B2E">
        <w:rPr>
          <w:rFonts w:ascii="Arial" w:hAnsi="Arial" w:cs="Arial"/>
          <w:sz w:val="24"/>
          <w:szCs w:val="24"/>
          <w:lang w:val="en-GB"/>
        </w:rPr>
        <w:t xml:space="preserve">, </w:t>
      </w:r>
      <w:r w:rsidR="00D06845" w:rsidRPr="004B4B2E">
        <w:rPr>
          <w:rFonts w:ascii="Arial" w:hAnsi="Arial" w:cs="Arial"/>
          <w:sz w:val="24"/>
          <w:szCs w:val="24"/>
          <w:lang w:val="en-GB"/>
        </w:rPr>
        <w:t>Geoffrey Roberts</w:t>
      </w:r>
      <w:r w:rsidR="0058557C" w:rsidRPr="004B4B2E">
        <w:rPr>
          <w:rFonts w:ascii="Arial" w:hAnsi="Arial" w:cs="Arial"/>
          <w:sz w:val="24"/>
          <w:szCs w:val="24"/>
          <w:vertAlign w:val="superscript"/>
          <w:lang w:val="en-GB"/>
        </w:rPr>
        <w:t>1</w:t>
      </w:r>
      <w:r w:rsidR="00D06845" w:rsidRPr="004B4B2E">
        <w:rPr>
          <w:rFonts w:ascii="Arial" w:hAnsi="Arial" w:cs="Arial"/>
          <w:sz w:val="24"/>
          <w:szCs w:val="24"/>
          <w:lang w:val="en-GB"/>
        </w:rPr>
        <w:t xml:space="preserve">, </w:t>
      </w:r>
      <w:r w:rsidRPr="004B4B2E">
        <w:rPr>
          <w:rFonts w:ascii="Arial" w:hAnsi="Arial" w:cs="Arial"/>
          <w:sz w:val="24"/>
          <w:szCs w:val="24"/>
          <w:lang w:val="en-GB"/>
        </w:rPr>
        <w:t>Bincy Alias</w:t>
      </w:r>
      <w:r w:rsidR="0064150E" w:rsidRPr="004B4B2E">
        <w:rPr>
          <w:rFonts w:ascii="Arial" w:hAnsi="Arial" w:cs="Arial"/>
          <w:sz w:val="24"/>
          <w:szCs w:val="24"/>
          <w:vertAlign w:val="superscript"/>
          <w:lang w:val="en-GB"/>
        </w:rPr>
        <w:t>1</w:t>
      </w:r>
      <w:r w:rsidRPr="004B4B2E">
        <w:rPr>
          <w:rFonts w:ascii="Arial" w:hAnsi="Arial" w:cs="Arial"/>
          <w:sz w:val="24"/>
          <w:szCs w:val="24"/>
          <w:lang w:val="en-GB"/>
        </w:rPr>
        <w:t>, Anthony Hobson</w:t>
      </w:r>
      <w:r w:rsidR="00EC6C91" w:rsidRPr="004B4B2E">
        <w:rPr>
          <w:rFonts w:ascii="Arial" w:hAnsi="Arial" w:cs="Arial"/>
          <w:sz w:val="24"/>
          <w:szCs w:val="24"/>
          <w:vertAlign w:val="superscript"/>
          <w:lang w:val="en-GB"/>
        </w:rPr>
        <w:t>3</w:t>
      </w:r>
      <w:r w:rsidRPr="004B4B2E">
        <w:rPr>
          <w:rFonts w:ascii="Arial" w:hAnsi="Arial" w:cs="Arial"/>
          <w:sz w:val="24"/>
          <w:szCs w:val="24"/>
          <w:lang w:val="en-GB"/>
        </w:rPr>
        <w:t>, L</w:t>
      </w:r>
      <w:r w:rsidR="00993D02" w:rsidRPr="004B4B2E">
        <w:rPr>
          <w:rFonts w:ascii="Arial" w:hAnsi="Arial" w:cs="Arial"/>
          <w:sz w:val="24"/>
          <w:szCs w:val="24"/>
          <w:lang w:val="en-GB"/>
        </w:rPr>
        <w:t>orenz</w:t>
      </w:r>
      <w:r w:rsidRPr="004B4B2E">
        <w:rPr>
          <w:rFonts w:ascii="Arial" w:hAnsi="Arial" w:cs="Arial"/>
          <w:sz w:val="24"/>
          <w:szCs w:val="24"/>
          <w:lang w:val="en-GB"/>
        </w:rPr>
        <w:t xml:space="preserve"> Wernisch</w:t>
      </w:r>
      <w:r w:rsidR="00EC6C91" w:rsidRPr="004B4B2E">
        <w:rPr>
          <w:rFonts w:ascii="Arial" w:hAnsi="Arial" w:cs="Arial"/>
          <w:sz w:val="24"/>
          <w:szCs w:val="24"/>
          <w:vertAlign w:val="superscript"/>
          <w:lang w:val="en-GB"/>
        </w:rPr>
        <w:t>4</w:t>
      </w:r>
      <w:r w:rsidRPr="004B4B2E">
        <w:rPr>
          <w:rFonts w:ascii="Arial" w:hAnsi="Arial" w:cs="Arial"/>
          <w:sz w:val="24"/>
          <w:szCs w:val="24"/>
          <w:lang w:val="en-GB"/>
        </w:rPr>
        <w:t>, M</w:t>
      </w:r>
      <w:r w:rsidR="00993D02" w:rsidRPr="004B4B2E">
        <w:rPr>
          <w:rFonts w:ascii="Arial" w:hAnsi="Arial" w:cs="Arial"/>
          <w:sz w:val="24"/>
          <w:szCs w:val="24"/>
          <w:lang w:val="en-GB"/>
        </w:rPr>
        <w:t>assimiliano</w:t>
      </w:r>
      <w:r w:rsidRPr="004B4B2E">
        <w:rPr>
          <w:rFonts w:ascii="Arial" w:hAnsi="Arial" w:cs="Arial"/>
          <w:sz w:val="24"/>
          <w:szCs w:val="24"/>
          <w:lang w:val="en-GB"/>
        </w:rPr>
        <w:t xml:space="preserve"> di Pietro</w:t>
      </w:r>
      <w:r w:rsidR="0064150E" w:rsidRPr="004B4B2E">
        <w:rPr>
          <w:rFonts w:ascii="Arial" w:hAnsi="Arial" w:cs="Arial"/>
          <w:sz w:val="24"/>
          <w:szCs w:val="24"/>
          <w:vertAlign w:val="superscript"/>
          <w:lang w:val="en-GB"/>
        </w:rPr>
        <w:t>1</w:t>
      </w:r>
    </w:p>
    <w:p w14:paraId="73DF2FF9" w14:textId="3FCCD6F9" w:rsidR="00A00D51" w:rsidRPr="004B4B2E" w:rsidRDefault="00A00D51" w:rsidP="001B3D49">
      <w:pPr>
        <w:spacing w:line="480" w:lineRule="auto"/>
        <w:rPr>
          <w:rFonts w:ascii="Arial" w:hAnsi="Arial" w:cs="Arial"/>
          <w:sz w:val="24"/>
          <w:szCs w:val="24"/>
          <w:lang w:val="en-GB" w:eastAsia="pl-PL"/>
        </w:rPr>
      </w:pPr>
      <w:r w:rsidRPr="004B4B2E">
        <w:rPr>
          <w:rFonts w:ascii="Arial" w:hAnsi="Arial" w:cs="Arial"/>
          <w:sz w:val="24"/>
          <w:szCs w:val="24"/>
          <w:lang w:val="en-GB" w:eastAsia="pl-PL"/>
        </w:rPr>
        <w:t>1. MRC Cancer Unit, Uni</w:t>
      </w:r>
      <w:r w:rsidR="00EC6C91" w:rsidRPr="004B4B2E">
        <w:rPr>
          <w:rFonts w:ascii="Arial" w:hAnsi="Arial" w:cs="Arial"/>
          <w:sz w:val="24"/>
          <w:szCs w:val="24"/>
          <w:lang w:val="en-GB" w:eastAsia="pl-PL"/>
        </w:rPr>
        <w:t>versity of Cambridge, Cambridge, United Kingdom</w:t>
      </w:r>
    </w:p>
    <w:p w14:paraId="56795185" w14:textId="77777777" w:rsidR="00EC6C91" w:rsidRPr="004B4B2E" w:rsidRDefault="00A00D51" w:rsidP="001B3D49">
      <w:pPr>
        <w:spacing w:line="480" w:lineRule="auto"/>
        <w:rPr>
          <w:rFonts w:ascii="Arial" w:hAnsi="Arial" w:cs="Arial"/>
          <w:bCs/>
          <w:sz w:val="24"/>
          <w:szCs w:val="24"/>
          <w:lang w:val="en-GB" w:eastAsia="pl-PL"/>
        </w:rPr>
      </w:pPr>
      <w:r w:rsidRPr="004B4B2E">
        <w:rPr>
          <w:rFonts w:ascii="Arial" w:hAnsi="Arial" w:cs="Arial"/>
          <w:sz w:val="24"/>
          <w:szCs w:val="24"/>
          <w:lang w:val="en-GB" w:eastAsia="pl-PL"/>
        </w:rPr>
        <w:t xml:space="preserve">2. </w:t>
      </w:r>
      <w:r w:rsidRPr="004B4B2E">
        <w:rPr>
          <w:rFonts w:ascii="Arial" w:hAnsi="Arial" w:cs="Arial"/>
          <w:bCs/>
          <w:sz w:val="24"/>
          <w:szCs w:val="24"/>
          <w:lang w:val="en-GB" w:eastAsia="pl-PL"/>
        </w:rPr>
        <w:t>Department of Gastroenterology, Hepatology and Clinical Oncology, Medical Centre for Postgraduate Education, Warsaw, Poland</w:t>
      </w:r>
    </w:p>
    <w:p w14:paraId="3A18E064" w14:textId="2029078B" w:rsidR="00A00D51" w:rsidRPr="00A030EB" w:rsidRDefault="00EC6C91" w:rsidP="001B3D49">
      <w:pPr>
        <w:spacing w:line="480" w:lineRule="auto"/>
        <w:rPr>
          <w:rFonts w:ascii="Arial" w:hAnsi="Arial" w:cs="Arial"/>
          <w:sz w:val="24"/>
          <w:szCs w:val="24"/>
          <w:lang w:val="en-GB" w:eastAsia="pl-PL"/>
        </w:rPr>
      </w:pPr>
      <w:r w:rsidRPr="004B4B2E">
        <w:rPr>
          <w:rFonts w:ascii="Arial" w:hAnsi="Arial" w:cs="Arial"/>
          <w:bCs/>
          <w:sz w:val="24"/>
          <w:szCs w:val="24"/>
          <w:lang w:val="en-GB" w:eastAsia="pl-PL"/>
        </w:rPr>
        <w:t xml:space="preserve">3. </w:t>
      </w:r>
      <w:r w:rsidRPr="00A030EB">
        <w:rPr>
          <w:rFonts w:ascii="Arial" w:hAnsi="Arial" w:cs="Arial"/>
          <w:sz w:val="24"/>
          <w:szCs w:val="24"/>
          <w:lang w:val="en-GB" w:eastAsia="pl-PL"/>
        </w:rPr>
        <w:t>The Functional Gut Clinic, London, United Kingdom</w:t>
      </w:r>
    </w:p>
    <w:p w14:paraId="3FD43998" w14:textId="4DB9C9EB" w:rsidR="00EC6C91" w:rsidRPr="004B4B2E" w:rsidRDefault="00EC6C91" w:rsidP="001B3D49">
      <w:pPr>
        <w:spacing w:line="480" w:lineRule="auto"/>
        <w:rPr>
          <w:rFonts w:ascii="Arial" w:hAnsi="Arial" w:cs="Arial"/>
          <w:sz w:val="24"/>
          <w:szCs w:val="24"/>
          <w:lang w:val="en-GB" w:eastAsia="pl-PL"/>
        </w:rPr>
      </w:pPr>
      <w:r w:rsidRPr="00A030EB">
        <w:rPr>
          <w:rFonts w:ascii="Arial" w:hAnsi="Arial" w:cs="Arial"/>
          <w:sz w:val="24"/>
          <w:szCs w:val="24"/>
          <w:lang w:val="en-GB" w:eastAsia="pl-PL"/>
        </w:rPr>
        <w:t>4. MRC Biostatistics Unit, Cambridge University, Cambridge, United Kingdom</w:t>
      </w:r>
    </w:p>
    <w:p w14:paraId="07190EF5" w14:textId="026CC4BC" w:rsidR="006E6A1A" w:rsidRPr="00A030EB" w:rsidRDefault="006E6A1A" w:rsidP="001B3D49">
      <w:pPr>
        <w:spacing w:line="480" w:lineRule="auto"/>
        <w:rPr>
          <w:rFonts w:ascii="Arial" w:hAnsi="Arial" w:cs="Arial"/>
          <w:iCs/>
          <w:sz w:val="24"/>
          <w:lang w:val="en-GB"/>
        </w:rPr>
      </w:pPr>
      <w:r w:rsidRPr="00A030EB">
        <w:rPr>
          <w:rFonts w:ascii="Arial" w:hAnsi="Arial" w:cs="Arial"/>
          <w:b/>
          <w:iCs/>
          <w:sz w:val="24"/>
          <w:lang w:val="en-GB"/>
        </w:rPr>
        <w:t xml:space="preserve">Running title: </w:t>
      </w:r>
      <w:r w:rsidR="00406ECF" w:rsidRPr="00A030EB">
        <w:rPr>
          <w:rFonts w:ascii="Arial" w:hAnsi="Arial" w:cs="Arial"/>
          <w:iCs/>
          <w:sz w:val="24"/>
          <w:lang w:val="en-GB"/>
        </w:rPr>
        <w:t>P</w:t>
      </w:r>
      <w:r w:rsidRPr="00A030EB">
        <w:rPr>
          <w:rFonts w:ascii="Arial" w:hAnsi="Arial" w:cs="Arial"/>
          <w:iCs/>
          <w:sz w:val="24"/>
          <w:lang w:val="en-GB"/>
        </w:rPr>
        <w:t>redicting persistent acid reflux</w:t>
      </w:r>
      <w:r w:rsidR="00D170A8" w:rsidRPr="00A030EB">
        <w:rPr>
          <w:rFonts w:ascii="Arial" w:hAnsi="Arial" w:cs="Arial"/>
          <w:iCs/>
          <w:sz w:val="24"/>
          <w:lang w:val="en-GB"/>
        </w:rPr>
        <w:t xml:space="preserve"> on PPIs</w:t>
      </w:r>
    </w:p>
    <w:p w14:paraId="6CA2C0E4" w14:textId="77777777" w:rsidR="00A00D51" w:rsidRPr="00522A5C" w:rsidRDefault="00A00D51" w:rsidP="001B3D49">
      <w:pPr>
        <w:spacing w:line="480" w:lineRule="auto"/>
        <w:rPr>
          <w:rFonts w:ascii="Arial" w:hAnsi="Arial" w:cs="Arial"/>
          <w:sz w:val="24"/>
          <w:szCs w:val="24"/>
          <w:lang w:val="it-IT" w:eastAsia="pl-PL"/>
        </w:rPr>
      </w:pPr>
      <w:r w:rsidRPr="00522A5C">
        <w:rPr>
          <w:rFonts w:ascii="Arial" w:hAnsi="Arial" w:cs="Arial"/>
          <w:b/>
          <w:sz w:val="24"/>
          <w:szCs w:val="24"/>
          <w:lang w:val="it-IT" w:eastAsia="pl-PL"/>
        </w:rPr>
        <w:t>Corresponding author</w:t>
      </w:r>
      <w:r w:rsidRPr="00522A5C">
        <w:rPr>
          <w:rFonts w:ascii="Arial" w:hAnsi="Arial" w:cs="Arial"/>
          <w:sz w:val="24"/>
          <w:szCs w:val="24"/>
          <w:lang w:val="it-IT" w:eastAsia="pl-PL"/>
        </w:rPr>
        <w:t>:</w:t>
      </w:r>
    </w:p>
    <w:p w14:paraId="3ACEE064" w14:textId="008DBF05" w:rsidR="00A00D51" w:rsidRPr="00522A5C" w:rsidRDefault="00A00D51" w:rsidP="001B3D49">
      <w:pPr>
        <w:spacing w:line="480" w:lineRule="auto"/>
        <w:rPr>
          <w:rFonts w:ascii="Arial" w:hAnsi="Arial" w:cs="Arial"/>
          <w:sz w:val="24"/>
          <w:szCs w:val="24"/>
          <w:lang w:val="it-IT" w:eastAsia="pl-PL"/>
        </w:rPr>
      </w:pPr>
      <w:r w:rsidRPr="00522A5C">
        <w:rPr>
          <w:rFonts w:ascii="Arial" w:hAnsi="Arial" w:cs="Arial"/>
          <w:sz w:val="24"/>
          <w:szCs w:val="24"/>
          <w:lang w:val="it-IT" w:eastAsia="pl-PL"/>
        </w:rPr>
        <w:t>Massimiliano di Pietro</w:t>
      </w:r>
    </w:p>
    <w:p w14:paraId="2D833605" w14:textId="77777777" w:rsidR="00A00D51" w:rsidRPr="00522A5C" w:rsidRDefault="00A00D51" w:rsidP="001B3D49">
      <w:pPr>
        <w:spacing w:line="480" w:lineRule="auto"/>
        <w:rPr>
          <w:rFonts w:ascii="Arial" w:hAnsi="Arial" w:cs="Arial"/>
          <w:sz w:val="24"/>
          <w:szCs w:val="24"/>
          <w:lang w:val="it-IT" w:eastAsia="pl-PL"/>
        </w:rPr>
      </w:pPr>
      <w:r w:rsidRPr="00522A5C">
        <w:rPr>
          <w:rFonts w:ascii="Arial" w:hAnsi="Arial" w:cs="Arial"/>
          <w:sz w:val="24"/>
          <w:szCs w:val="24"/>
          <w:lang w:val="it-IT" w:eastAsia="pl-PL"/>
        </w:rPr>
        <w:t>MRC Cancer Unit</w:t>
      </w:r>
    </w:p>
    <w:p w14:paraId="1DBC218E" w14:textId="77777777" w:rsidR="00A00D51" w:rsidRPr="00745AEB" w:rsidRDefault="00A00D51" w:rsidP="001B3D49">
      <w:pPr>
        <w:spacing w:line="480" w:lineRule="auto"/>
        <w:rPr>
          <w:rFonts w:ascii="Arial" w:hAnsi="Arial" w:cs="Arial"/>
          <w:sz w:val="24"/>
          <w:szCs w:val="24"/>
          <w:lang w:val="en-GB" w:eastAsia="pl-PL"/>
        </w:rPr>
      </w:pPr>
      <w:r w:rsidRPr="004B4B2E">
        <w:rPr>
          <w:rFonts w:ascii="Arial" w:hAnsi="Arial" w:cs="Arial"/>
          <w:sz w:val="24"/>
          <w:szCs w:val="24"/>
          <w:lang w:val="en-GB" w:eastAsia="pl-PL"/>
        </w:rPr>
        <w:t>University of Cambridge,</w:t>
      </w:r>
    </w:p>
    <w:p w14:paraId="555FFFDA" w14:textId="77777777" w:rsidR="00A00D51" w:rsidRPr="004B4B2E" w:rsidRDefault="00A00D51" w:rsidP="001B3D49">
      <w:pPr>
        <w:spacing w:line="480" w:lineRule="auto"/>
        <w:rPr>
          <w:rFonts w:ascii="Arial" w:hAnsi="Arial" w:cs="Arial"/>
          <w:sz w:val="24"/>
          <w:szCs w:val="24"/>
          <w:lang w:val="en-GB" w:eastAsia="pl-PL"/>
        </w:rPr>
      </w:pPr>
      <w:r w:rsidRPr="004B4B2E">
        <w:rPr>
          <w:rFonts w:ascii="Arial" w:hAnsi="Arial" w:cs="Arial"/>
          <w:sz w:val="24"/>
          <w:szCs w:val="24"/>
          <w:lang w:val="en-GB" w:eastAsia="pl-PL"/>
        </w:rPr>
        <w:t>CB2 0XZ, Cambridge, UK</w:t>
      </w:r>
    </w:p>
    <w:p w14:paraId="5EE74208" w14:textId="73775E19" w:rsidR="00A00D51" w:rsidRPr="004B4B2E" w:rsidRDefault="00A00D51" w:rsidP="001B3D49">
      <w:pPr>
        <w:spacing w:line="480" w:lineRule="auto"/>
        <w:rPr>
          <w:rFonts w:ascii="Arial" w:hAnsi="Arial" w:cs="Arial"/>
          <w:sz w:val="24"/>
          <w:szCs w:val="24"/>
          <w:lang w:val="en-GB" w:eastAsia="pl-PL"/>
        </w:rPr>
      </w:pPr>
      <w:r w:rsidRPr="004B4B2E">
        <w:rPr>
          <w:rFonts w:ascii="Arial" w:hAnsi="Arial" w:cs="Arial"/>
          <w:sz w:val="24"/>
          <w:szCs w:val="24"/>
          <w:lang w:val="en-GB" w:eastAsia="pl-PL"/>
        </w:rPr>
        <w:t>Phone: +44</w:t>
      </w:r>
      <w:r w:rsidR="006E6A1A" w:rsidRPr="004B4B2E">
        <w:rPr>
          <w:rFonts w:ascii="Arial" w:hAnsi="Arial" w:cs="Arial"/>
          <w:sz w:val="24"/>
          <w:szCs w:val="24"/>
          <w:lang w:val="en-GB" w:eastAsia="pl-PL"/>
        </w:rPr>
        <w:t xml:space="preserve"> </w:t>
      </w:r>
      <w:r w:rsidR="0057642F" w:rsidRPr="004B4B2E">
        <w:rPr>
          <w:rFonts w:ascii="Arial" w:hAnsi="Arial" w:cs="Arial"/>
          <w:sz w:val="24"/>
          <w:szCs w:val="24"/>
          <w:lang w:val="en-GB" w:eastAsia="pl-PL"/>
        </w:rPr>
        <w:t xml:space="preserve">1223 </w:t>
      </w:r>
      <w:r w:rsidR="006E6A1A" w:rsidRPr="004B4B2E">
        <w:rPr>
          <w:rFonts w:ascii="Arial" w:hAnsi="Arial" w:cs="Arial"/>
          <w:sz w:val="24"/>
          <w:szCs w:val="24"/>
          <w:lang w:val="en-GB" w:eastAsia="pl-PL"/>
        </w:rPr>
        <w:t>763241</w:t>
      </w:r>
    </w:p>
    <w:p w14:paraId="4A616659" w14:textId="4AB9B058" w:rsidR="0057642F" w:rsidRPr="004B4B2E" w:rsidRDefault="00A00D51" w:rsidP="001B3D49">
      <w:pPr>
        <w:spacing w:line="480" w:lineRule="auto"/>
        <w:rPr>
          <w:rFonts w:ascii="Arial" w:hAnsi="Arial" w:cs="Arial"/>
          <w:sz w:val="24"/>
          <w:szCs w:val="24"/>
          <w:lang w:val="en-GB" w:eastAsia="pl-PL"/>
        </w:rPr>
      </w:pPr>
      <w:r w:rsidRPr="004B4B2E">
        <w:rPr>
          <w:rFonts w:ascii="Arial" w:hAnsi="Arial" w:cs="Arial"/>
          <w:sz w:val="24"/>
          <w:szCs w:val="24"/>
          <w:lang w:val="en-GB" w:eastAsia="pl-PL"/>
        </w:rPr>
        <w:t xml:space="preserve">e-mail: </w:t>
      </w:r>
      <w:r w:rsidR="0057642F" w:rsidRPr="004B4B2E">
        <w:rPr>
          <w:rStyle w:val="Hyperlink"/>
          <w:rFonts w:ascii="Arial" w:hAnsi="Arial" w:cs="Arial"/>
          <w:color w:val="000000" w:themeColor="text1"/>
          <w:sz w:val="24"/>
          <w:szCs w:val="24"/>
          <w:u w:val="none"/>
          <w:lang w:val="en-GB" w:eastAsia="pl-PL"/>
        </w:rPr>
        <w:t>md460@mrc-cu.cam.ac.uk</w:t>
      </w:r>
    </w:p>
    <w:p w14:paraId="070A2901" w14:textId="3F2AC630" w:rsidR="00A00D51" w:rsidRPr="004B4B2E" w:rsidRDefault="00A00D51" w:rsidP="001B3D49">
      <w:pPr>
        <w:spacing w:line="480" w:lineRule="auto"/>
        <w:rPr>
          <w:rFonts w:ascii="Arial" w:hAnsi="Arial" w:cs="Arial"/>
          <w:sz w:val="24"/>
          <w:szCs w:val="24"/>
          <w:lang w:val="en-GB" w:eastAsia="pl-PL"/>
        </w:rPr>
      </w:pPr>
      <w:r w:rsidRPr="004B4B2E">
        <w:rPr>
          <w:rFonts w:ascii="Arial" w:hAnsi="Arial" w:cs="Arial"/>
          <w:b/>
          <w:sz w:val="24"/>
          <w:szCs w:val="24"/>
          <w:lang w:val="en-GB" w:eastAsia="pl-PL"/>
        </w:rPr>
        <w:t>Conflict of Interest</w:t>
      </w:r>
      <w:r w:rsidRPr="004B4B2E">
        <w:rPr>
          <w:rFonts w:ascii="Arial" w:hAnsi="Arial" w:cs="Arial"/>
          <w:sz w:val="24"/>
          <w:szCs w:val="24"/>
          <w:lang w:val="en-GB" w:eastAsia="pl-PL"/>
        </w:rPr>
        <w:t xml:space="preserve">: </w:t>
      </w:r>
      <w:proofErr w:type="gramStart"/>
      <w:r w:rsidRPr="004B4B2E">
        <w:rPr>
          <w:rFonts w:ascii="Arial" w:hAnsi="Arial" w:cs="Arial"/>
          <w:sz w:val="24"/>
          <w:szCs w:val="24"/>
          <w:lang w:val="en-GB" w:eastAsia="pl-PL"/>
        </w:rPr>
        <w:t>All of</w:t>
      </w:r>
      <w:proofErr w:type="gramEnd"/>
      <w:r w:rsidRPr="004B4B2E">
        <w:rPr>
          <w:rFonts w:ascii="Arial" w:hAnsi="Arial" w:cs="Arial"/>
          <w:sz w:val="24"/>
          <w:szCs w:val="24"/>
          <w:lang w:val="en-GB" w:eastAsia="pl-PL"/>
        </w:rPr>
        <w:t xml:space="preserve"> the authors disclose no conflict of interest.</w:t>
      </w:r>
    </w:p>
    <w:p w14:paraId="4E7EB2BC" w14:textId="77777777" w:rsidR="001674C0" w:rsidRPr="00522A5C" w:rsidRDefault="001674C0" w:rsidP="001674C0">
      <w:pPr>
        <w:spacing w:line="480" w:lineRule="auto"/>
        <w:rPr>
          <w:rFonts w:ascii="Arial" w:hAnsi="Arial" w:cs="Arial"/>
          <w:sz w:val="24"/>
          <w:szCs w:val="24"/>
          <w:lang w:val="it-IT" w:eastAsia="pl-PL"/>
        </w:rPr>
      </w:pPr>
      <w:r w:rsidRPr="00522A5C">
        <w:rPr>
          <w:rFonts w:ascii="Arial" w:hAnsi="Arial" w:cs="Arial"/>
          <w:b/>
          <w:sz w:val="24"/>
          <w:szCs w:val="24"/>
          <w:lang w:val="it-IT" w:eastAsia="pl-PL"/>
        </w:rPr>
        <w:t xml:space="preserve">Guarantor of article: </w:t>
      </w:r>
      <w:r w:rsidRPr="00522A5C">
        <w:rPr>
          <w:rFonts w:ascii="Arial" w:hAnsi="Arial" w:cs="Arial"/>
          <w:sz w:val="24"/>
          <w:szCs w:val="24"/>
          <w:lang w:val="it-IT" w:eastAsia="pl-PL"/>
        </w:rPr>
        <w:t>Massimiliano di Pietro</w:t>
      </w:r>
    </w:p>
    <w:p w14:paraId="01D139FA" w14:textId="0DF89871" w:rsidR="001674C0" w:rsidRDefault="00A00D51" w:rsidP="001674C0">
      <w:pPr>
        <w:spacing w:line="480" w:lineRule="auto"/>
        <w:rPr>
          <w:rFonts w:ascii="Arial" w:hAnsi="Arial" w:cs="Arial"/>
          <w:b/>
          <w:sz w:val="24"/>
          <w:szCs w:val="24"/>
          <w:lang w:val="en-GB" w:eastAsia="pl-PL"/>
        </w:rPr>
      </w:pPr>
      <w:r w:rsidRPr="004B4B2E">
        <w:rPr>
          <w:rFonts w:ascii="Arial" w:hAnsi="Arial" w:cs="Arial"/>
          <w:b/>
          <w:sz w:val="24"/>
          <w:szCs w:val="24"/>
          <w:lang w:val="en-GB" w:eastAsia="pl-PL"/>
        </w:rPr>
        <w:lastRenderedPageBreak/>
        <w:t xml:space="preserve">Authors contribution: </w:t>
      </w:r>
      <w:r w:rsidRPr="004B4B2E">
        <w:rPr>
          <w:rFonts w:ascii="Arial" w:hAnsi="Arial" w:cs="Arial"/>
          <w:sz w:val="24"/>
          <w:szCs w:val="24"/>
          <w:lang w:val="en-GB" w:eastAsia="pl-PL"/>
        </w:rPr>
        <w:t>Study concept and design (</w:t>
      </w:r>
      <w:r w:rsidR="006E6A1A" w:rsidRPr="004B4B2E">
        <w:rPr>
          <w:rFonts w:ascii="Arial" w:hAnsi="Arial" w:cs="Arial"/>
          <w:sz w:val="24"/>
          <w:szCs w:val="24"/>
          <w:lang w:val="en-GB" w:eastAsia="pl-PL"/>
        </w:rPr>
        <w:t>MDP</w:t>
      </w:r>
      <w:r w:rsidR="00B91DED" w:rsidRPr="004B4B2E">
        <w:rPr>
          <w:rFonts w:ascii="Arial" w:hAnsi="Arial" w:cs="Arial"/>
          <w:sz w:val="24"/>
          <w:szCs w:val="24"/>
          <w:lang w:val="en-GB" w:eastAsia="pl-PL"/>
        </w:rPr>
        <w:t>, LW</w:t>
      </w:r>
      <w:r w:rsidRPr="004B4B2E">
        <w:rPr>
          <w:rFonts w:ascii="Arial" w:hAnsi="Arial" w:cs="Arial"/>
          <w:sz w:val="24"/>
          <w:szCs w:val="24"/>
          <w:lang w:val="en-GB" w:eastAsia="pl-PL"/>
        </w:rPr>
        <w:t>), Data collection (</w:t>
      </w:r>
      <w:r w:rsidR="006E6A1A" w:rsidRPr="004B4B2E">
        <w:rPr>
          <w:rFonts w:ascii="Arial" w:hAnsi="Arial" w:cs="Arial"/>
          <w:sz w:val="24"/>
          <w:szCs w:val="24"/>
          <w:lang w:val="en-GB" w:eastAsia="pl-PL"/>
        </w:rPr>
        <w:t xml:space="preserve">MDP, WJ, </w:t>
      </w:r>
      <w:r w:rsidR="00B91DED" w:rsidRPr="004B4B2E">
        <w:rPr>
          <w:rFonts w:ascii="Arial" w:hAnsi="Arial" w:cs="Arial"/>
          <w:sz w:val="24"/>
          <w:szCs w:val="24"/>
          <w:lang w:val="en-GB" w:eastAsia="pl-PL"/>
        </w:rPr>
        <w:t xml:space="preserve">AH, </w:t>
      </w:r>
      <w:r w:rsidR="00D06845" w:rsidRPr="004B4B2E">
        <w:rPr>
          <w:rFonts w:ascii="Arial" w:hAnsi="Arial" w:cs="Arial"/>
          <w:sz w:val="24"/>
          <w:szCs w:val="24"/>
          <w:lang w:val="en-GB" w:eastAsia="pl-PL"/>
        </w:rPr>
        <w:t xml:space="preserve">GR, </w:t>
      </w:r>
      <w:r w:rsidR="006E6A1A" w:rsidRPr="004B4B2E">
        <w:rPr>
          <w:rFonts w:ascii="Arial" w:hAnsi="Arial" w:cs="Arial"/>
          <w:sz w:val="24"/>
          <w:szCs w:val="24"/>
          <w:lang w:val="en-GB" w:eastAsia="pl-PL"/>
        </w:rPr>
        <w:t>BA, JH, WW</w:t>
      </w:r>
      <w:r w:rsidRPr="004B4B2E">
        <w:rPr>
          <w:rFonts w:ascii="Arial" w:hAnsi="Arial" w:cs="Arial"/>
          <w:sz w:val="24"/>
          <w:szCs w:val="24"/>
          <w:lang w:val="en-GB" w:eastAsia="pl-PL"/>
        </w:rPr>
        <w:t>), Statistical analysis (</w:t>
      </w:r>
      <w:r w:rsidR="006E6A1A" w:rsidRPr="004B4B2E">
        <w:rPr>
          <w:rFonts w:ascii="Arial" w:hAnsi="Arial" w:cs="Arial"/>
          <w:sz w:val="24"/>
          <w:szCs w:val="24"/>
          <w:lang w:val="en-GB" w:eastAsia="pl-PL"/>
        </w:rPr>
        <w:t>LW, WJ</w:t>
      </w:r>
      <w:r w:rsidRPr="004B4B2E">
        <w:rPr>
          <w:rFonts w:ascii="Arial" w:hAnsi="Arial" w:cs="Arial"/>
          <w:sz w:val="24"/>
          <w:szCs w:val="24"/>
          <w:lang w:val="en-GB" w:eastAsia="pl-PL"/>
        </w:rPr>
        <w:t>), Data analysis and interpretation (</w:t>
      </w:r>
      <w:r w:rsidR="006E6A1A" w:rsidRPr="004B4B2E">
        <w:rPr>
          <w:rFonts w:ascii="Arial" w:hAnsi="Arial" w:cs="Arial"/>
          <w:sz w:val="24"/>
          <w:szCs w:val="24"/>
          <w:lang w:val="en-GB" w:eastAsia="pl-PL"/>
        </w:rPr>
        <w:t>LW, MDP, JH, WJ</w:t>
      </w:r>
      <w:r w:rsidRPr="004B4B2E">
        <w:rPr>
          <w:rFonts w:ascii="Arial" w:hAnsi="Arial" w:cs="Arial"/>
          <w:sz w:val="24"/>
          <w:szCs w:val="24"/>
          <w:lang w:val="en-GB" w:eastAsia="pl-PL"/>
        </w:rPr>
        <w:t xml:space="preserve">), drafting of manuscript (WJ, </w:t>
      </w:r>
      <w:r w:rsidR="006E6A1A" w:rsidRPr="004B4B2E">
        <w:rPr>
          <w:rFonts w:ascii="Arial" w:hAnsi="Arial" w:cs="Arial"/>
          <w:sz w:val="24"/>
          <w:szCs w:val="24"/>
          <w:lang w:val="en-GB" w:eastAsia="pl-PL"/>
        </w:rPr>
        <w:t>MDP</w:t>
      </w:r>
      <w:r w:rsidRPr="004B4B2E">
        <w:rPr>
          <w:rFonts w:ascii="Arial" w:hAnsi="Arial" w:cs="Arial"/>
          <w:sz w:val="24"/>
          <w:szCs w:val="24"/>
          <w:lang w:val="en-GB" w:eastAsia="pl-PL"/>
        </w:rPr>
        <w:t>), Critical revision of manuscript (</w:t>
      </w:r>
      <w:r w:rsidR="006E6A1A" w:rsidRPr="004B4B2E">
        <w:rPr>
          <w:rFonts w:ascii="Arial" w:hAnsi="Arial" w:cs="Arial"/>
          <w:sz w:val="24"/>
          <w:szCs w:val="24"/>
          <w:lang w:val="en-GB" w:eastAsia="pl-PL"/>
        </w:rPr>
        <w:t>WJ, JH, WW, BA, AH, LW, MDP</w:t>
      </w:r>
      <w:r w:rsidRPr="004B4B2E">
        <w:rPr>
          <w:rFonts w:ascii="Arial" w:hAnsi="Arial" w:cs="Arial"/>
          <w:sz w:val="24"/>
          <w:szCs w:val="24"/>
          <w:lang w:val="en-GB" w:eastAsia="pl-PL"/>
        </w:rPr>
        <w:t>).</w:t>
      </w:r>
      <w:r w:rsidR="001674C0" w:rsidRPr="001674C0">
        <w:rPr>
          <w:rFonts w:ascii="Arial" w:hAnsi="Arial" w:cs="Arial"/>
          <w:sz w:val="24"/>
          <w:szCs w:val="24"/>
          <w:lang w:val="en-GB" w:eastAsia="pl-PL"/>
        </w:rPr>
        <w:t xml:space="preserve"> </w:t>
      </w:r>
      <w:r w:rsidR="001674C0" w:rsidRPr="00522A5C">
        <w:rPr>
          <w:rFonts w:ascii="Arial" w:hAnsi="Arial" w:cs="Arial"/>
          <w:sz w:val="24"/>
          <w:szCs w:val="24"/>
          <w:lang w:val="en-GB" w:eastAsia="pl-PL"/>
        </w:rPr>
        <w:t>All authors approved the final version of the article, including the authorship list.</w:t>
      </w:r>
    </w:p>
    <w:p w14:paraId="75CB8A16" w14:textId="4B45DBC0" w:rsidR="00A00D51" w:rsidRPr="00A030EB" w:rsidRDefault="00A00D51" w:rsidP="001B3D49">
      <w:pPr>
        <w:numPr>
          <w:ilvl w:val="0"/>
          <w:numId w:val="2"/>
        </w:numPr>
        <w:spacing w:line="480" w:lineRule="auto"/>
        <w:jc w:val="both"/>
        <w:rPr>
          <w:rFonts w:ascii="Arial" w:hAnsi="Arial" w:cs="Arial"/>
          <w:bCs/>
          <w:sz w:val="24"/>
          <w:szCs w:val="24"/>
          <w:lang w:val="en-GB"/>
        </w:rPr>
      </w:pPr>
      <w:r w:rsidRPr="00A030EB">
        <w:rPr>
          <w:rFonts w:ascii="Arial" w:hAnsi="Arial" w:cs="Arial"/>
          <w:bCs/>
          <w:sz w:val="24"/>
          <w:szCs w:val="24"/>
          <w:lang w:val="en-GB"/>
        </w:rPr>
        <w:t xml:space="preserve">Abstract word count: </w:t>
      </w:r>
      <w:r w:rsidR="00B42BFF">
        <w:rPr>
          <w:rFonts w:ascii="Arial" w:hAnsi="Arial" w:cs="Arial"/>
          <w:bCs/>
          <w:sz w:val="24"/>
          <w:szCs w:val="24"/>
          <w:lang w:val="en-GB"/>
        </w:rPr>
        <w:t>29</w:t>
      </w:r>
      <w:r w:rsidR="007A763C">
        <w:rPr>
          <w:rFonts w:ascii="Arial" w:hAnsi="Arial" w:cs="Arial"/>
          <w:bCs/>
          <w:sz w:val="24"/>
          <w:szCs w:val="24"/>
          <w:lang w:val="en-GB"/>
        </w:rPr>
        <w:t>8</w:t>
      </w:r>
      <w:r w:rsidR="008028A9" w:rsidRPr="00A030EB">
        <w:rPr>
          <w:rFonts w:ascii="Arial" w:hAnsi="Arial" w:cs="Arial"/>
          <w:bCs/>
          <w:sz w:val="24"/>
          <w:szCs w:val="24"/>
          <w:lang w:val="en-GB"/>
        </w:rPr>
        <w:t xml:space="preserve"> </w:t>
      </w:r>
      <w:r w:rsidRPr="00A030EB">
        <w:rPr>
          <w:rFonts w:ascii="Arial" w:hAnsi="Arial" w:cs="Arial"/>
          <w:bCs/>
          <w:sz w:val="24"/>
          <w:szCs w:val="24"/>
          <w:lang w:val="en-GB"/>
        </w:rPr>
        <w:t>(key words</w:t>
      </w:r>
      <w:r w:rsidR="006E6A1A" w:rsidRPr="00A030EB">
        <w:rPr>
          <w:rFonts w:ascii="Arial" w:hAnsi="Arial" w:cs="Arial"/>
          <w:bCs/>
          <w:sz w:val="24"/>
          <w:szCs w:val="24"/>
          <w:lang w:val="en-GB"/>
        </w:rPr>
        <w:t xml:space="preserve"> not included</w:t>
      </w:r>
      <w:r w:rsidRPr="00A030EB">
        <w:rPr>
          <w:rFonts w:ascii="Arial" w:hAnsi="Arial" w:cs="Arial"/>
          <w:bCs/>
          <w:sz w:val="24"/>
          <w:szCs w:val="24"/>
          <w:lang w:val="en-GB"/>
        </w:rPr>
        <w:t>)</w:t>
      </w:r>
    </w:p>
    <w:p w14:paraId="1C7D51E0" w14:textId="018C658B" w:rsidR="00A00D51" w:rsidRPr="00A030EB" w:rsidRDefault="00A00D51" w:rsidP="001B3D49">
      <w:pPr>
        <w:numPr>
          <w:ilvl w:val="0"/>
          <w:numId w:val="2"/>
        </w:numPr>
        <w:spacing w:line="480" w:lineRule="auto"/>
        <w:jc w:val="both"/>
        <w:rPr>
          <w:rFonts w:ascii="Arial" w:hAnsi="Arial" w:cs="Arial"/>
          <w:bCs/>
          <w:sz w:val="24"/>
          <w:szCs w:val="24"/>
          <w:lang w:val="en-GB"/>
        </w:rPr>
      </w:pPr>
      <w:r w:rsidRPr="00A030EB">
        <w:rPr>
          <w:rFonts w:ascii="Arial" w:hAnsi="Arial" w:cs="Arial"/>
          <w:bCs/>
          <w:sz w:val="24"/>
          <w:szCs w:val="24"/>
          <w:lang w:val="en-GB"/>
        </w:rPr>
        <w:t>Manuscript word count:</w:t>
      </w:r>
      <w:r w:rsidR="00C2659A" w:rsidRPr="00A030EB">
        <w:rPr>
          <w:rFonts w:ascii="Arial" w:hAnsi="Arial" w:cs="Arial"/>
          <w:bCs/>
          <w:sz w:val="24"/>
          <w:szCs w:val="24"/>
          <w:lang w:val="en-GB"/>
        </w:rPr>
        <w:t xml:space="preserve"> </w:t>
      </w:r>
      <w:r w:rsidR="00B42BFF">
        <w:rPr>
          <w:rFonts w:ascii="Arial" w:hAnsi="Arial" w:cs="Arial"/>
          <w:bCs/>
          <w:sz w:val="24"/>
          <w:szCs w:val="24"/>
          <w:lang w:val="en-GB"/>
        </w:rPr>
        <w:t>2,999</w:t>
      </w:r>
      <w:r w:rsidR="00443893" w:rsidRPr="00A030EB">
        <w:rPr>
          <w:rFonts w:ascii="Arial" w:hAnsi="Arial" w:cs="Arial"/>
          <w:bCs/>
          <w:sz w:val="24"/>
          <w:szCs w:val="24"/>
          <w:lang w:val="en-GB"/>
        </w:rPr>
        <w:t xml:space="preserve"> </w:t>
      </w:r>
      <w:r w:rsidRPr="00A030EB">
        <w:rPr>
          <w:rFonts w:ascii="Arial" w:hAnsi="Arial" w:cs="Arial"/>
          <w:bCs/>
          <w:sz w:val="24"/>
          <w:szCs w:val="24"/>
          <w:lang w:val="en-GB"/>
        </w:rPr>
        <w:t>(</w:t>
      </w:r>
      <w:r w:rsidR="00443893" w:rsidRPr="00A030EB">
        <w:rPr>
          <w:rFonts w:ascii="Arial" w:hAnsi="Arial" w:cs="Arial"/>
          <w:bCs/>
          <w:sz w:val="24"/>
          <w:szCs w:val="24"/>
          <w:lang w:val="en-GB"/>
        </w:rPr>
        <w:t>excluding</w:t>
      </w:r>
      <w:r w:rsidR="00B42BFF">
        <w:rPr>
          <w:rFonts w:ascii="Arial" w:hAnsi="Arial" w:cs="Arial"/>
          <w:bCs/>
          <w:sz w:val="24"/>
          <w:szCs w:val="24"/>
          <w:lang w:val="en-GB"/>
        </w:rPr>
        <w:t xml:space="preserve"> funding, </w:t>
      </w:r>
      <w:r w:rsidRPr="00A030EB">
        <w:rPr>
          <w:rFonts w:ascii="Arial" w:hAnsi="Arial" w:cs="Arial"/>
          <w:bCs/>
          <w:sz w:val="24"/>
          <w:szCs w:val="24"/>
          <w:lang w:val="en-GB"/>
        </w:rPr>
        <w:t>figure legends and references)</w:t>
      </w:r>
    </w:p>
    <w:p w14:paraId="0EBAB6CD" w14:textId="1E330EB8" w:rsidR="00A00D51" w:rsidRPr="00A030EB" w:rsidRDefault="00A00D51" w:rsidP="001B3D49">
      <w:pPr>
        <w:numPr>
          <w:ilvl w:val="0"/>
          <w:numId w:val="2"/>
        </w:numPr>
        <w:spacing w:line="480" w:lineRule="auto"/>
        <w:jc w:val="both"/>
        <w:rPr>
          <w:rFonts w:ascii="Arial" w:hAnsi="Arial" w:cs="Arial"/>
          <w:bCs/>
          <w:sz w:val="24"/>
          <w:szCs w:val="24"/>
          <w:lang w:val="en-GB"/>
        </w:rPr>
      </w:pPr>
      <w:r w:rsidRPr="00A030EB">
        <w:rPr>
          <w:rFonts w:ascii="Arial" w:hAnsi="Arial" w:cs="Arial"/>
          <w:bCs/>
          <w:sz w:val="24"/>
          <w:szCs w:val="24"/>
          <w:lang w:val="en-GB"/>
        </w:rPr>
        <w:t xml:space="preserve">Number of tables: </w:t>
      </w:r>
      <w:r w:rsidR="00963013">
        <w:rPr>
          <w:rFonts w:ascii="Arial" w:hAnsi="Arial" w:cs="Arial"/>
          <w:bCs/>
          <w:sz w:val="24"/>
          <w:szCs w:val="24"/>
          <w:lang w:val="en-GB"/>
        </w:rPr>
        <w:t>1</w:t>
      </w:r>
    </w:p>
    <w:p w14:paraId="2C038155" w14:textId="793B63AE" w:rsidR="00A00D51" w:rsidRPr="00A030EB" w:rsidRDefault="00A00D51" w:rsidP="001B3D49">
      <w:pPr>
        <w:numPr>
          <w:ilvl w:val="0"/>
          <w:numId w:val="2"/>
        </w:numPr>
        <w:spacing w:line="480" w:lineRule="auto"/>
        <w:jc w:val="both"/>
        <w:rPr>
          <w:rFonts w:ascii="Arial" w:hAnsi="Arial" w:cs="Arial"/>
          <w:bCs/>
          <w:sz w:val="24"/>
          <w:szCs w:val="24"/>
          <w:lang w:val="en-GB"/>
        </w:rPr>
      </w:pPr>
      <w:r w:rsidRPr="00A030EB">
        <w:rPr>
          <w:rFonts w:ascii="Arial" w:hAnsi="Arial" w:cs="Arial"/>
          <w:bCs/>
          <w:sz w:val="24"/>
          <w:szCs w:val="24"/>
          <w:lang w:val="en-GB"/>
        </w:rPr>
        <w:t xml:space="preserve">Number of figures: </w:t>
      </w:r>
      <w:r w:rsidR="00765042">
        <w:rPr>
          <w:rFonts w:ascii="Arial" w:hAnsi="Arial" w:cs="Arial"/>
          <w:bCs/>
          <w:sz w:val="24"/>
          <w:szCs w:val="24"/>
          <w:lang w:val="en-GB"/>
        </w:rPr>
        <w:t>5</w:t>
      </w:r>
    </w:p>
    <w:p w14:paraId="1D856FD3" w14:textId="2D809144" w:rsidR="00A00D51" w:rsidRPr="00A030EB" w:rsidRDefault="00A00D51" w:rsidP="001B3D49">
      <w:pPr>
        <w:numPr>
          <w:ilvl w:val="0"/>
          <w:numId w:val="2"/>
        </w:numPr>
        <w:spacing w:line="480" w:lineRule="auto"/>
        <w:jc w:val="both"/>
        <w:rPr>
          <w:rFonts w:ascii="Arial" w:hAnsi="Arial" w:cs="Arial"/>
          <w:bCs/>
          <w:sz w:val="24"/>
          <w:szCs w:val="24"/>
          <w:lang w:val="en-GB"/>
        </w:rPr>
      </w:pPr>
      <w:r w:rsidRPr="00A030EB">
        <w:rPr>
          <w:rFonts w:ascii="Arial" w:hAnsi="Arial" w:cs="Arial"/>
          <w:bCs/>
          <w:sz w:val="24"/>
          <w:szCs w:val="24"/>
          <w:lang w:val="en-GB"/>
        </w:rPr>
        <w:t xml:space="preserve">Number of supplementary tables: </w:t>
      </w:r>
      <w:r w:rsidR="00765042">
        <w:rPr>
          <w:rFonts w:ascii="Arial" w:hAnsi="Arial" w:cs="Arial"/>
          <w:bCs/>
          <w:sz w:val="24"/>
          <w:szCs w:val="24"/>
          <w:lang w:val="en-GB"/>
        </w:rPr>
        <w:t>2</w:t>
      </w:r>
    </w:p>
    <w:p w14:paraId="2519DC84" w14:textId="77777777" w:rsidR="00406ECF" w:rsidRPr="00A030EB" w:rsidRDefault="00406ECF" w:rsidP="001B3D49">
      <w:pPr>
        <w:spacing w:line="480" w:lineRule="auto"/>
        <w:rPr>
          <w:rFonts w:ascii="Arial" w:hAnsi="Arial" w:cs="Arial"/>
          <w:iCs/>
          <w:sz w:val="24"/>
          <w:lang w:val="en-GB"/>
        </w:rPr>
      </w:pPr>
      <w:r w:rsidRPr="00A030EB">
        <w:rPr>
          <w:rFonts w:ascii="Arial" w:hAnsi="Arial" w:cs="Arial"/>
          <w:b/>
          <w:iCs/>
          <w:sz w:val="24"/>
          <w:lang w:val="en-GB"/>
        </w:rPr>
        <w:t>Abbreviations:</w:t>
      </w:r>
    </w:p>
    <w:p w14:paraId="2D1DF12E" w14:textId="4BC2373D" w:rsidR="00BA21D7" w:rsidRPr="00A030EB" w:rsidRDefault="00BA21D7" w:rsidP="001B3D49">
      <w:pPr>
        <w:spacing w:line="480" w:lineRule="auto"/>
        <w:rPr>
          <w:rFonts w:ascii="Arial" w:hAnsi="Arial" w:cs="Arial"/>
          <w:iCs/>
          <w:sz w:val="24"/>
          <w:lang w:val="en-GB"/>
        </w:rPr>
      </w:pPr>
      <w:r w:rsidRPr="00A030EB">
        <w:rPr>
          <w:rFonts w:ascii="Arial" w:hAnsi="Arial" w:cs="Arial"/>
          <w:iCs/>
          <w:sz w:val="24"/>
          <w:lang w:val="en-GB"/>
        </w:rPr>
        <w:t>AET; acid exposure time</w:t>
      </w:r>
    </w:p>
    <w:p w14:paraId="11AE19DF" w14:textId="0E863411" w:rsidR="00941796" w:rsidRPr="00A030EB" w:rsidRDefault="00941796" w:rsidP="001B3D49">
      <w:pPr>
        <w:spacing w:line="480" w:lineRule="auto"/>
        <w:rPr>
          <w:rFonts w:ascii="Arial" w:hAnsi="Arial" w:cs="Arial"/>
          <w:iCs/>
          <w:sz w:val="24"/>
          <w:lang w:val="en-GB"/>
        </w:rPr>
      </w:pPr>
      <w:r w:rsidRPr="00A030EB">
        <w:rPr>
          <w:rFonts w:ascii="Arial" w:hAnsi="Arial" w:cs="Arial"/>
          <w:iCs/>
          <w:sz w:val="24"/>
          <w:lang w:val="en-GB"/>
        </w:rPr>
        <w:t>AUC; area under the ROC curve</w:t>
      </w:r>
    </w:p>
    <w:p w14:paraId="7076A117" w14:textId="3DCD8D2F" w:rsidR="00BA21D7" w:rsidRPr="00A030EB" w:rsidRDefault="00BA21D7" w:rsidP="001B3D49">
      <w:pPr>
        <w:spacing w:line="480" w:lineRule="auto"/>
        <w:rPr>
          <w:rFonts w:ascii="Arial" w:hAnsi="Arial" w:cs="Arial"/>
          <w:iCs/>
          <w:sz w:val="24"/>
          <w:lang w:val="en-GB"/>
        </w:rPr>
      </w:pPr>
      <w:r w:rsidRPr="00A030EB">
        <w:rPr>
          <w:rFonts w:ascii="Arial" w:hAnsi="Arial" w:cs="Arial"/>
          <w:iCs/>
          <w:sz w:val="24"/>
          <w:lang w:val="en-GB"/>
        </w:rPr>
        <w:t>BE; Barrett’s esophagus</w:t>
      </w:r>
    </w:p>
    <w:p w14:paraId="6B67DBD2" w14:textId="490D3B91" w:rsidR="00BA21D7" w:rsidRPr="00A030EB" w:rsidRDefault="00BA21D7" w:rsidP="001B3D49">
      <w:pPr>
        <w:spacing w:line="480" w:lineRule="auto"/>
        <w:rPr>
          <w:rFonts w:ascii="Arial" w:hAnsi="Arial" w:cs="Arial"/>
          <w:iCs/>
          <w:sz w:val="24"/>
          <w:lang w:val="en-GB"/>
        </w:rPr>
      </w:pPr>
      <w:r w:rsidRPr="00A030EB">
        <w:rPr>
          <w:rFonts w:ascii="Arial" w:hAnsi="Arial" w:cs="Arial"/>
          <w:iCs/>
          <w:sz w:val="24"/>
          <w:lang w:val="en-GB"/>
        </w:rPr>
        <w:t>BMI; body mass index</w:t>
      </w:r>
    </w:p>
    <w:p w14:paraId="044D9B6F" w14:textId="2B33AD68" w:rsidR="00EA4CA4" w:rsidRPr="00A030EB" w:rsidRDefault="00EA4CA4" w:rsidP="001B3D49">
      <w:pPr>
        <w:spacing w:line="480" w:lineRule="auto"/>
        <w:rPr>
          <w:rFonts w:ascii="Arial" w:hAnsi="Arial" w:cs="Arial"/>
          <w:iCs/>
          <w:sz w:val="24"/>
          <w:lang w:val="en-GB"/>
        </w:rPr>
      </w:pPr>
      <w:r w:rsidRPr="004B4B2E">
        <w:rPr>
          <w:rFonts w:ascii="Arial" w:hAnsi="Arial" w:cs="Arial"/>
          <w:sz w:val="24"/>
          <w:szCs w:val="24"/>
          <w:lang w:val="en-GB"/>
        </w:rPr>
        <w:t>GEJ; gastroesophageal junction</w:t>
      </w:r>
    </w:p>
    <w:p w14:paraId="13A53CE0" w14:textId="1269EA49" w:rsidR="00406ECF" w:rsidRPr="00A030EB" w:rsidRDefault="00406ECF" w:rsidP="001B3D49">
      <w:pPr>
        <w:spacing w:line="480" w:lineRule="auto"/>
        <w:rPr>
          <w:rFonts w:ascii="Arial" w:hAnsi="Arial" w:cs="Arial"/>
          <w:iCs/>
          <w:sz w:val="24"/>
          <w:lang w:val="en-GB"/>
        </w:rPr>
      </w:pPr>
      <w:r w:rsidRPr="00A030EB">
        <w:rPr>
          <w:rFonts w:ascii="Arial" w:hAnsi="Arial" w:cs="Arial"/>
          <w:iCs/>
          <w:sz w:val="24"/>
          <w:lang w:val="en-GB"/>
        </w:rPr>
        <w:t>GERD; gastroesophageal reflux disease</w:t>
      </w:r>
    </w:p>
    <w:p w14:paraId="73829B5A" w14:textId="02FA7F63" w:rsidR="00B34B2F" w:rsidRPr="00A030EB" w:rsidRDefault="00B34B2F" w:rsidP="001B3D49">
      <w:pPr>
        <w:spacing w:line="480" w:lineRule="auto"/>
        <w:rPr>
          <w:rFonts w:ascii="Arial" w:hAnsi="Arial" w:cs="Arial"/>
          <w:iCs/>
          <w:sz w:val="24"/>
          <w:lang w:val="en-GB"/>
        </w:rPr>
      </w:pPr>
      <w:r w:rsidRPr="00A030EB">
        <w:rPr>
          <w:rFonts w:ascii="Arial" w:hAnsi="Arial" w:cs="Arial"/>
          <w:iCs/>
          <w:sz w:val="24"/>
          <w:lang w:val="en-GB"/>
        </w:rPr>
        <w:t>GI; gastrointestinal</w:t>
      </w:r>
    </w:p>
    <w:p w14:paraId="6CB23073" w14:textId="617F80F2" w:rsidR="00BA21D7" w:rsidRPr="00A030EB" w:rsidRDefault="00BA21D7" w:rsidP="001B3D49">
      <w:pPr>
        <w:spacing w:line="480" w:lineRule="auto"/>
        <w:rPr>
          <w:rFonts w:ascii="Arial" w:hAnsi="Arial" w:cs="Arial"/>
          <w:iCs/>
          <w:sz w:val="24"/>
          <w:lang w:val="en-GB"/>
        </w:rPr>
      </w:pPr>
      <w:r w:rsidRPr="00A030EB">
        <w:rPr>
          <w:rFonts w:ascii="Arial" w:hAnsi="Arial" w:cs="Arial"/>
          <w:iCs/>
          <w:sz w:val="24"/>
          <w:lang w:val="en-GB"/>
        </w:rPr>
        <w:t>PPI; proton-pump inhibitor</w:t>
      </w:r>
    </w:p>
    <w:p w14:paraId="3F191A80" w14:textId="21F4ACE5" w:rsidR="00F515AA" w:rsidRPr="00A030EB" w:rsidRDefault="00F515AA" w:rsidP="001B3D49">
      <w:pPr>
        <w:spacing w:line="480" w:lineRule="auto"/>
        <w:rPr>
          <w:rFonts w:ascii="Arial" w:hAnsi="Arial" w:cs="Arial"/>
          <w:iCs/>
          <w:sz w:val="24"/>
          <w:lang w:val="en-GB"/>
        </w:rPr>
      </w:pPr>
      <w:r w:rsidRPr="00A030EB">
        <w:rPr>
          <w:rFonts w:ascii="Arial" w:hAnsi="Arial" w:cs="Arial"/>
          <w:iCs/>
          <w:sz w:val="24"/>
          <w:lang w:val="en-GB"/>
        </w:rPr>
        <w:t>RDQ; reflux disease questionnaire</w:t>
      </w:r>
    </w:p>
    <w:p w14:paraId="14B9C9B9" w14:textId="0427E0E3" w:rsidR="00406ECF" w:rsidRPr="00A030EB" w:rsidRDefault="00FC32E1" w:rsidP="001B3D49">
      <w:pPr>
        <w:spacing w:line="480" w:lineRule="auto"/>
        <w:rPr>
          <w:rFonts w:ascii="Arial" w:hAnsi="Arial" w:cs="Arial"/>
          <w:iCs/>
          <w:sz w:val="24"/>
          <w:lang w:val="en-GB"/>
        </w:rPr>
      </w:pPr>
      <w:r w:rsidRPr="00A030EB">
        <w:rPr>
          <w:rFonts w:ascii="Arial" w:hAnsi="Arial" w:cs="Arial"/>
          <w:iCs/>
          <w:sz w:val="24"/>
          <w:lang w:val="en-GB"/>
        </w:rPr>
        <w:t>ROC; Receiver Operating Characteristic</w:t>
      </w:r>
    </w:p>
    <w:p w14:paraId="01B7E327" w14:textId="1ECFB839" w:rsidR="006D2F4F" w:rsidRPr="004B4B2E" w:rsidRDefault="004F4277" w:rsidP="001B3D49">
      <w:pPr>
        <w:spacing w:line="480" w:lineRule="auto"/>
        <w:jc w:val="both"/>
        <w:rPr>
          <w:rFonts w:ascii="Arial" w:hAnsi="Arial" w:cs="Arial"/>
          <w:b/>
          <w:sz w:val="24"/>
          <w:szCs w:val="24"/>
          <w:lang w:val="en-GB"/>
        </w:rPr>
      </w:pPr>
      <w:r>
        <w:rPr>
          <w:rFonts w:ascii="Arial" w:hAnsi="Arial" w:cs="Arial"/>
          <w:b/>
          <w:sz w:val="24"/>
          <w:szCs w:val="24"/>
          <w:lang w:val="en-GB"/>
        </w:rPr>
        <w:lastRenderedPageBreak/>
        <w:t>ABSTRACT</w:t>
      </w:r>
    </w:p>
    <w:p w14:paraId="70B4EADB" w14:textId="77777777" w:rsidR="004F4277" w:rsidRDefault="0045366C" w:rsidP="001B3D49">
      <w:pPr>
        <w:spacing w:line="480" w:lineRule="auto"/>
        <w:jc w:val="both"/>
        <w:rPr>
          <w:rFonts w:ascii="Arial" w:hAnsi="Arial" w:cs="Arial"/>
          <w:b/>
          <w:sz w:val="24"/>
          <w:szCs w:val="24"/>
          <w:lang w:val="en-GB"/>
        </w:rPr>
      </w:pPr>
      <w:r w:rsidRPr="004B4B2E">
        <w:rPr>
          <w:rFonts w:ascii="Arial" w:hAnsi="Arial" w:cs="Arial"/>
          <w:b/>
          <w:sz w:val="24"/>
          <w:szCs w:val="24"/>
          <w:lang w:val="en-GB"/>
        </w:rPr>
        <w:t>Background</w:t>
      </w:r>
    </w:p>
    <w:p w14:paraId="4718A164" w14:textId="219011E2" w:rsidR="00B714B8" w:rsidRPr="00745AEB" w:rsidRDefault="006D2F4F" w:rsidP="001B3D49">
      <w:pPr>
        <w:spacing w:line="480" w:lineRule="auto"/>
        <w:jc w:val="both"/>
        <w:rPr>
          <w:rFonts w:ascii="Arial" w:hAnsi="Arial" w:cs="Arial"/>
          <w:sz w:val="24"/>
          <w:szCs w:val="24"/>
          <w:lang w:val="en-GB"/>
        </w:rPr>
      </w:pPr>
      <w:r w:rsidRPr="004B4B2E">
        <w:rPr>
          <w:rFonts w:ascii="Arial" w:hAnsi="Arial" w:cs="Arial"/>
          <w:sz w:val="24"/>
          <w:szCs w:val="24"/>
          <w:lang w:val="en-GB"/>
        </w:rPr>
        <w:t>Proton-p</w:t>
      </w:r>
      <w:r w:rsidR="00254458" w:rsidRPr="004B4B2E">
        <w:rPr>
          <w:rFonts w:ascii="Arial" w:hAnsi="Arial" w:cs="Arial"/>
          <w:sz w:val="24"/>
          <w:szCs w:val="24"/>
          <w:lang w:val="en-GB"/>
        </w:rPr>
        <w:t>u</w:t>
      </w:r>
      <w:r w:rsidRPr="004B4B2E">
        <w:rPr>
          <w:rFonts w:ascii="Arial" w:hAnsi="Arial" w:cs="Arial"/>
          <w:sz w:val="24"/>
          <w:szCs w:val="24"/>
          <w:lang w:val="en-GB"/>
        </w:rPr>
        <w:t xml:space="preserve">mp inhibitors (PPIs) are the mainstay of </w:t>
      </w:r>
      <w:r w:rsidR="001B1EDC" w:rsidRPr="004B4B2E">
        <w:rPr>
          <w:rFonts w:ascii="Arial" w:hAnsi="Arial" w:cs="Arial"/>
          <w:sz w:val="24"/>
          <w:szCs w:val="24"/>
          <w:lang w:val="en-GB"/>
        </w:rPr>
        <w:t>gastroesophageal reflux disease (</w:t>
      </w:r>
      <w:r w:rsidRPr="004B4B2E">
        <w:rPr>
          <w:rFonts w:ascii="Arial" w:hAnsi="Arial" w:cs="Arial"/>
          <w:sz w:val="24"/>
          <w:szCs w:val="24"/>
          <w:lang w:val="en-GB"/>
        </w:rPr>
        <w:t>GERD</w:t>
      </w:r>
      <w:r w:rsidR="001B1EDC" w:rsidRPr="004B4B2E">
        <w:rPr>
          <w:rFonts w:ascii="Arial" w:hAnsi="Arial" w:cs="Arial"/>
          <w:sz w:val="24"/>
          <w:szCs w:val="24"/>
          <w:lang w:val="en-GB"/>
        </w:rPr>
        <w:t>)</w:t>
      </w:r>
      <w:r w:rsidRPr="004B4B2E">
        <w:rPr>
          <w:rFonts w:ascii="Arial" w:hAnsi="Arial" w:cs="Arial"/>
          <w:sz w:val="24"/>
          <w:szCs w:val="24"/>
          <w:lang w:val="en-GB"/>
        </w:rPr>
        <w:t xml:space="preserve"> treatment</w:t>
      </w:r>
      <w:r w:rsidR="00B91DED" w:rsidRPr="004B4B2E">
        <w:rPr>
          <w:rFonts w:ascii="Arial" w:hAnsi="Arial" w:cs="Arial"/>
          <w:sz w:val="24"/>
          <w:szCs w:val="24"/>
          <w:lang w:val="en-GB"/>
        </w:rPr>
        <w:t>, however, u</w:t>
      </w:r>
      <w:r w:rsidR="002A1873" w:rsidRPr="004B4B2E">
        <w:rPr>
          <w:rFonts w:ascii="Arial" w:hAnsi="Arial" w:cs="Arial"/>
          <w:sz w:val="24"/>
          <w:szCs w:val="24"/>
          <w:lang w:val="en-GB"/>
        </w:rPr>
        <w:t xml:space="preserve">p to </w:t>
      </w:r>
      <w:r w:rsidR="005E545C" w:rsidRPr="004B4B2E">
        <w:rPr>
          <w:rFonts w:ascii="Arial" w:hAnsi="Arial" w:cs="Arial"/>
          <w:sz w:val="24"/>
          <w:szCs w:val="24"/>
          <w:lang w:val="en-GB"/>
        </w:rPr>
        <w:t>3</w:t>
      </w:r>
      <w:r w:rsidR="002A1873" w:rsidRPr="004B4B2E">
        <w:rPr>
          <w:rFonts w:ascii="Arial" w:hAnsi="Arial" w:cs="Arial"/>
          <w:sz w:val="24"/>
          <w:szCs w:val="24"/>
          <w:lang w:val="en-GB"/>
        </w:rPr>
        <w:t xml:space="preserve">0% of patients have </w:t>
      </w:r>
      <w:r w:rsidR="00277B75" w:rsidRPr="004B4B2E">
        <w:rPr>
          <w:rFonts w:ascii="Arial" w:hAnsi="Arial" w:cs="Arial"/>
          <w:sz w:val="24"/>
          <w:szCs w:val="24"/>
          <w:lang w:val="en-GB"/>
        </w:rPr>
        <w:t xml:space="preserve">a </w:t>
      </w:r>
      <w:r w:rsidR="002A1873" w:rsidRPr="004B4B2E">
        <w:rPr>
          <w:rFonts w:ascii="Arial" w:hAnsi="Arial" w:cs="Arial"/>
          <w:sz w:val="24"/>
          <w:szCs w:val="24"/>
          <w:lang w:val="en-GB"/>
        </w:rPr>
        <w:t xml:space="preserve">poor </w:t>
      </w:r>
      <w:r w:rsidR="004629FE" w:rsidRPr="004B4B2E">
        <w:rPr>
          <w:rFonts w:ascii="Arial" w:hAnsi="Arial" w:cs="Arial"/>
          <w:sz w:val="24"/>
          <w:szCs w:val="24"/>
          <w:lang w:val="en-GB"/>
        </w:rPr>
        <w:t xml:space="preserve">symptomatic </w:t>
      </w:r>
      <w:r w:rsidR="002A1873" w:rsidRPr="004B4B2E">
        <w:rPr>
          <w:rFonts w:ascii="Arial" w:hAnsi="Arial" w:cs="Arial"/>
          <w:sz w:val="24"/>
          <w:szCs w:val="24"/>
          <w:lang w:val="en-GB"/>
        </w:rPr>
        <w:t>response</w:t>
      </w:r>
      <w:r w:rsidR="00B91DED" w:rsidRPr="004B4B2E">
        <w:rPr>
          <w:rFonts w:ascii="Arial" w:hAnsi="Arial" w:cs="Arial"/>
          <w:sz w:val="24"/>
          <w:szCs w:val="24"/>
          <w:lang w:val="en-GB"/>
        </w:rPr>
        <w:t xml:space="preserve">. PH-impedance </w:t>
      </w:r>
      <w:r w:rsidR="00DD5CB4" w:rsidRPr="004B4B2E">
        <w:rPr>
          <w:rFonts w:ascii="Arial" w:hAnsi="Arial" w:cs="Arial"/>
          <w:sz w:val="24"/>
          <w:szCs w:val="24"/>
          <w:lang w:val="en-GB"/>
        </w:rPr>
        <w:t>is</w:t>
      </w:r>
      <w:r w:rsidR="00B91DED" w:rsidRPr="004B4B2E">
        <w:rPr>
          <w:rFonts w:ascii="Arial" w:hAnsi="Arial" w:cs="Arial"/>
          <w:sz w:val="24"/>
          <w:szCs w:val="24"/>
          <w:lang w:val="en-GB"/>
        </w:rPr>
        <w:t xml:space="preserve"> the gold standard to assess whether this is due </w:t>
      </w:r>
      <w:r w:rsidR="004629FE" w:rsidRPr="004B4B2E">
        <w:rPr>
          <w:rFonts w:ascii="Arial" w:hAnsi="Arial" w:cs="Arial"/>
          <w:sz w:val="24"/>
          <w:szCs w:val="24"/>
          <w:lang w:val="en-GB"/>
        </w:rPr>
        <w:t xml:space="preserve">to </w:t>
      </w:r>
      <w:r w:rsidR="00B91DED" w:rsidRPr="004B4B2E">
        <w:rPr>
          <w:rFonts w:ascii="Arial" w:hAnsi="Arial" w:cs="Arial"/>
          <w:sz w:val="24"/>
          <w:szCs w:val="24"/>
          <w:lang w:val="en-GB"/>
        </w:rPr>
        <w:t>persistent acid reflux</w:t>
      </w:r>
      <w:r w:rsidR="002A1873" w:rsidRPr="004B4B2E">
        <w:rPr>
          <w:rFonts w:ascii="Arial" w:hAnsi="Arial" w:cs="Arial"/>
          <w:sz w:val="24"/>
          <w:szCs w:val="24"/>
          <w:lang w:val="en-GB"/>
        </w:rPr>
        <w:t>. We aimed to characteri</w:t>
      </w:r>
      <w:r w:rsidR="008E7E1D" w:rsidRPr="004B4B2E">
        <w:rPr>
          <w:rFonts w:ascii="Arial" w:hAnsi="Arial" w:cs="Arial"/>
          <w:sz w:val="24"/>
          <w:szCs w:val="24"/>
          <w:lang w:val="en-GB"/>
        </w:rPr>
        <w:t>z</w:t>
      </w:r>
      <w:r w:rsidR="002A1873" w:rsidRPr="004B4B2E">
        <w:rPr>
          <w:rFonts w:ascii="Arial" w:hAnsi="Arial" w:cs="Arial"/>
          <w:sz w:val="24"/>
          <w:szCs w:val="24"/>
          <w:lang w:val="en-GB"/>
        </w:rPr>
        <w:t xml:space="preserve">e </w:t>
      </w:r>
      <w:r w:rsidR="002A1873" w:rsidRPr="004B4B2E">
        <w:rPr>
          <w:rFonts w:ascii="Arial" w:hAnsi="Arial" w:cs="Arial"/>
          <w:noProof/>
          <w:sz w:val="24"/>
          <w:szCs w:val="24"/>
          <w:lang w:val="en-GB"/>
        </w:rPr>
        <w:t>clinical</w:t>
      </w:r>
      <w:r w:rsidR="002A1873" w:rsidRPr="004B4B2E">
        <w:rPr>
          <w:rFonts w:ascii="Arial" w:hAnsi="Arial" w:cs="Arial"/>
          <w:sz w:val="24"/>
          <w:szCs w:val="24"/>
          <w:lang w:val="en-GB"/>
        </w:rPr>
        <w:t xml:space="preserve"> predictors of persistent </w:t>
      </w:r>
      <w:r w:rsidR="004629FE" w:rsidRPr="004B4B2E">
        <w:rPr>
          <w:rFonts w:ascii="Arial" w:hAnsi="Arial" w:cs="Arial"/>
          <w:sz w:val="24"/>
          <w:szCs w:val="24"/>
          <w:lang w:val="en-GB"/>
        </w:rPr>
        <w:t xml:space="preserve">esophageal </w:t>
      </w:r>
      <w:r w:rsidR="002A1873" w:rsidRPr="004B4B2E">
        <w:rPr>
          <w:rFonts w:ascii="Arial" w:hAnsi="Arial" w:cs="Arial"/>
          <w:sz w:val="24"/>
          <w:szCs w:val="24"/>
          <w:lang w:val="en-GB"/>
        </w:rPr>
        <w:t xml:space="preserve">acid </w:t>
      </w:r>
      <w:r w:rsidR="00443893" w:rsidRPr="004B4B2E">
        <w:rPr>
          <w:rFonts w:ascii="Arial" w:hAnsi="Arial" w:cs="Arial"/>
          <w:sz w:val="24"/>
          <w:szCs w:val="24"/>
          <w:lang w:val="en-GB"/>
        </w:rPr>
        <w:t>reflux</w:t>
      </w:r>
      <w:r w:rsidR="002A1873" w:rsidRPr="004B4B2E">
        <w:rPr>
          <w:rFonts w:ascii="Arial" w:hAnsi="Arial" w:cs="Arial"/>
          <w:sz w:val="24"/>
          <w:szCs w:val="24"/>
          <w:lang w:val="en-GB"/>
        </w:rPr>
        <w:t xml:space="preserve"> </w:t>
      </w:r>
      <w:r w:rsidR="0040295C">
        <w:rPr>
          <w:rFonts w:ascii="Arial" w:hAnsi="Arial" w:cs="Arial"/>
          <w:sz w:val="24"/>
          <w:szCs w:val="24"/>
          <w:lang w:val="en-GB"/>
        </w:rPr>
        <w:t>on PPIs</w:t>
      </w:r>
      <w:r w:rsidR="008C577B" w:rsidRPr="004B4B2E">
        <w:rPr>
          <w:rFonts w:ascii="Arial" w:hAnsi="Arial" w:cs="Arial"/>
          <w:sz w:val="24"/>
          <w:szCs w:val="24"/>
          <w:lang w:val="en-GB"/>
        </w:rPr>
        <w:t xml:space="preserve"> </w:t>
      </w:r>
      <w:r w:rsidR="002A1873" w:rsidRPr="004B4B2E">
        <w:rPr>
          <w:rFonts w:ascii="Arial" w:hAnsi="Arial" w:cs="Arial"/>
          <w:sz w:val="24"/>
          <w:szCs w:val="24"/>
          <w:lang w:val="en-GB"/>
        </w:rPr>
        <w:t xml:space="preserve">including </w:t>
      </w:r>
      <w:r w:rsidR="00B714B8" w:rsidRPr="004B4B2E">
        <w:rPr>
          <w:rFonts w:ascii="Arial" w:hAnsi="Arial" w:cs="Arial"/>
          <w:sz w:val="24"/>
          <w:szCs w:val="24"/>
          <w:lang w:val="en-GB"/>
        </w:rPr>
        <w:t>gastric</w:t>
      </w:r>
      <w:r w:rsidR="00A030EB">
        <w:rPr>
          <w:rFonts w:ascii="Arial" w:hAnsi="Arial" w:cs="Arial"/>
          <w:sz w:val="24"/>
          <w:szCs w:val="24"/>
          <w:lang w:val="en-GB"/>
        </w:rPr>
        <w:t xml:space="preserve"> </w:t>
      </w:r>
      <w:r w:rsidR="00B634C2" w:rsidRPr="004B4B2E">
        <w:rPr>
          <w:rFonts w:ascii="Arial" w:hAnsi="Arial" w:cs="Arial"/>
          <w:sz w:val="24"/>
          <w:szCs w:val="24"/>
          <w:lang w:val="en-GB"/>
        </w:rPr>
        <w:t>pH</w:t>
      </w:r>
      <w:r w:rsidR="00B714B8" w:rsidRPr="004B4B2E">
        <w:rPr>
          <w:rFonts w:ascii="Arial" w:hAnsi="Arial" w:cs="Arial"/>
          <w:sz w:val="24"/>
          <w:szCs w:val="24"/>
          <w:lang w:val="en-GB"/>
        </w:rPr>
        <w:t xml:space="preserve"> </w:t>
      </w:r>
      <w:r w:rsidR="00AD5073" w:rsidRPr="00745AEB">
        <w:rPr>
          <w:rFonts w:ascii="Arial" w:hAnsi="Arial" w:cs="Arial"/>
          <w:sz w:val="24"/>
          <w:szCs w:val="24"/>
          <w:lang w:val="en-GB"/>
        </w:rPr>
        <w:t>measure</w:t>
      </w:r>
      <w:r w:rsidR="002A1873" w:rsidRPr="00745AEB">
        <w:rPr>
          <w:rFonts w:ascii="Arial" w:hAnsi="Arial" w:cs="Arial"/>
          <w:sz w:val="24"/>
          <w:szCs w:val="24"/>
          <w:lang w:val="en-GB"/>
        </w:rPr>
        <w:t>d</w:t>
      </w:r>
      <w:r w:rsidR="00AD5073" w:rsidRPr="00745AEB">
        <w:rPr>
          <w:rFonts w:ascii="Arial" w:hAnsi="Arial" w:cs="Arial"/>
          <w:sz w:val="24"/>
          <w:szCs w:val="24"/>
          <w:lang w:val="en-GB"/>
        </w:rPr>
        <w:t xml:space="preserve"> </w:t>
      </w:r>
      <w:r w:rsidR="00747E14">
        <w:rPr>
          <w:rFonts w:ascii="Arial" w:hAnsi="Arial" w:cs="Arial"/>
          <w:sz w:val="24"/>
          <w:szCs w:val="24"/>
          <w:lang w:val="en-GB"/>
        </w:rPr>
        <w:t>during endoscopy</w:t>
      </w:r>
      <w:r w:rsidR="00D8081D">
        <w:rPr>
          <w:rFonts w:ascii="Arial" w:hAnsi="Arial" w:cs="Arial"/>
          <w:sz w:val="24"/>
          <w:szCs w:val="24"/>
          <w:lang w:val="en-GB"/>
        </w:rPr>
        <w:t>.</w:t>
      </w:r>
    </w:p>
    <w:p w14:paraId="77F73F7E" w14:textId="77777777" w:rsidR="004F4277" w:rsidRDefault="009E2DD3" w:rsidP="001B3D49">
      <w:pPr>
        <w:spacing w:line="480" w:lineRule="auto"/>
        <w:jc w:val="both"/>
        <w:rPr>
          <w:rFonts w:ascii="Arial" w:hAnsi="Arial" w:cs="Arial"/>
          <w:b/>
          <w:sz w:val="24"/>
          <w:szCs w:val="24"/>
          <w:lang w:val="en-GB"/>
        </w:rPr>
      </w:pPr>
      <w:r w:rsidRPr="004B4B2E">
        <w:rPr>
          <w:rFonts w:ascii="Arial" w:hAnsi="Arial" w:cs="Arial"/>
          <w:b/>
          <w:sz w:val="24"/>
          <w:szCs w:val="24"/>
          <w:lang w:val="en-GB"/>
        </w:rPr>
        <w:t>M</w:t>
      </w:r>
      <w:r w:rsidR="0045366C" w:rsidRPr="004B4B2E">
        <w:rPr>
          <w:rFonts w:ascii="Arial" w:hAnsi="Arial" w:cs="Arial"/>
          <w:b/>
          <w:sz w:val="24"/>
          <w:szCs w:val="24"/>
          <w:lang w:val="en-GB"/>
        </w:rPr>
        <w:t>ethods</w:t>
      </w:r>
      <w:r w:rsidR="00216370" w:rsidRPr="004B4B2E">
        <w:rPr>
          <w:rFonts w:ascii="Arial" w:hAnsi="Arial" w:cs="Arial"/>
          <w:b/>
          <w:sz w:val="24"/>
          <w:szCs w:val="24"/>
          <w:lang w:val="en-GB"/>
        </w:rPr>
        <w:t xml:space="preserve"> </w:t>
      </w:r>
    </w:p>
    <w:p w14:paraId="6D1F4F04" w14:textId="23D819D0" w:rsidR="005F7659" w:rsidRDefault="00853F0E" w:rsidP="00E8495A">
      <w:pPr>
        <w:spacing w:line="480" w:lineRule="auto"/>
        <w:jc w:val="both"/>
        <w:rPr>
          <w:rFonts w:ascii="Arial" w:hAnsi="Arial" w:cs="Arial"/>
          <w:b/>
          <w:sz w:val="24"/>
          <w:szCs w:val="24"/>
          <w:lang w:val="en-GB"/>
        </w:rPr>
      </w:pPr>
      <w:r w:rsidRPr="004B4B2E">
        <w:rPr>
          <w:rFonts w:ascii="Arial" w:hAnsi="Arial" w:cs="Arial"/>
          <w:sz w:val="24"/>
          <w:szCs w:val="24"/>
          <w:lang w:val="en-GB"/>
        </w:rPr>
        <w:t xml:space="preserve">We prospectively recruited patients </w:t>
      </w:r>
      <w:r w:rsidR="0079321A" w:rsidRPr="004B4B2E">
        <w:rPr>
          <w:rFonts w:ascii="Arial" w:hAnsi="Arial" w:cs="Arial"/>
          <w:sz w:val="24"/>
          <w:szCs w:val="24"/>
          <w:lang w:val="en-GB"/>
        </w:rPr>
        <w:t>with GERD and/or Barrett’s esophagus (BE</w:t>
      </w:r>
      <w:r w:rsidR="006241F7" w:rsidRPr="004B4B2E">
        <w:rPr>
          <w:rFonts w:ascii="Arial" w:hAnsi="Arial" w:cs="Arial"/>
          <w:sz w:val="24"/>
          <w:szCs w:val="24"/>
          <w:lang w:val="en-GB"/>
        </w:rPr>
        <w:t>) on PP</w:t>
      </w:r>
      <w:r w:rsidR="00B91DED" w:rsidRPr="004B4B2E">
        <w:rPr>
          <w:rFonts w:ascii="Arial" w:hAnsi="Arial" w:cs="Arial"/>
          <w:sz w:val="24"/>
          <w:szCs w:val="24"/>
          <w:lang w:val="en-GB"/>
        </w:rPr>
        <w:t>Is</w:t>
      </w:r>
      <w:r w:rsidR="003362AF" w:rsidRPr="004B4B2E">
        <w:rPr>
          <w:rFonts w:ascii="Arial" w:hAnsi="Arial" w:cs="Arial"/>
          <w:sz w:val="24"/>
          <w:szCs w:val="24"/>
          <w:lang w:val="en-GB"/>
        </w:rPr>
        <w:t xml:space="preserve">. </w:t>
      </w:r>
      <w:r w:rsidR="00396776" w:rsidRPr="004B4B2E">
        <w:rPr>
          <w:rFonts w:ascii="Arial" w:hAnsi="Arial" w:cs="Arial"/>
          <w:sz w:val="24"/>
          <w:szCs w:val="24"/>
          <w:lang w:val="en-GB"/>
        </w:rPr>
        <w:t xml:space="preserve">All patients </w:t>
      </w:r>
      <w:r w:rsidR="006241F7" w:rsidRPr="004B4B2E">
        <w:rPr>
          <w:rFonts w:ascii="Arial" w:hAnsi="Arial" w:cs="Arial"/>
          <w:sz w:val="24"/>
          <w:szCs w:val="24"/>
          <w:lang w:val="en-GB"/>
        </w:rPr>
        <w:t xml:space="preserve">completed </w:t>
      </w:r>
      <w:r w:rsidR="00396776" w:rsidRPr="004B4B2E">
        <w:rPr>
          <w:rFonts w:ascii="Arial" w:hAnsi="Arial" w:cs="Arial"/>
          <w:sz w:val="24"/>
          <w:szCs w:val="24"/>
          <w:lang w:val="en-GB"/>
        </w:rPr>
        <w:t>a symptom questionnaire (</w:t>
      </w:r>
      <w:r w:rsidR="000B4F14" w:rsidRPr="004B4B2E">
        <w:rPr>
          <w:rFonts w:ascii="Arial" w:hAnsi="Arial" w:cs="Arial"/>
          <w:sz w:val="24"/>
          <w:szCs w:val="24"/>
          <w:lang w:val="en-GB"/>
        </w:rPr>
        <w:t>RD</w:t>
      </w:r>
      <w:r w:rsidR="00396776" w:rsidRPr="004B4B2E">
        <w:rPr>
          <w:rFonts w:ascii="Arial" w:hAnsi="Arial" w:cs="Arial"/>
          <w:sz w:val="24"/>
          <w:szCs w:val="24"/>
          <w:lang w:val="en-GB"/>
        </w:rPr>
        <w:t>Q)</w:t>
      </w:r>
      <w:r w:rsidR="00D71D41" w:rsidRPr="004B4B2E">
        <w:rPr>
          <w:rFonts w:ascii="Arial" w:hAnsi="Arial" w:cs="Arial"/>
          <w:sz w:val="24"/>
          <w:szCs w:val="24"/>
          <w:lang w:val="en-GB"/>
        </w:rPr>
        <w:t xml:space="preserve"> </w:t>
      </w:r>
      <w:r w:rsidR="008214D9">
        <w:rPr>
          <w:rFonts w:ascii="Arial" w:hAnsi="Arial" w:cs="Arial"/>
          <w:sz w:val="24"/>
          <w:szCs w:val="24"/>
          <w:lang w:val="en-GB"/>
        </w:rPr>
        <w:t>and</w:t>
      </w:r>
      <w:r w:rsidR="00396776" w:rsidRPr="004B4B2E">
        <w:rPr>
          <w:rFonts w:ascii="Arial" w:hAnsi="Arial" w:cs="Arial"/>
          <w:sz w:val="24"/>
          <w:szCs w:val="24"/>
          <w:lang w:val="en-GB"/>
        </w:rPr>
        <w:t xml:space="preserve"> underwent gastroscopy with </w:t>
      </w:r>
      <w:r w:rsidR="00A030EB">
        <w:rPr>
          <w:rFonts w:ascii="Arial" w:hAnsi="Arial" w:cs="Arial"/>
          <w:sz w:val="24"/>
          <w:szCs w:val="24"/>
          <w:lang w:val="en-GB"/>
        </w:rPr>
        <w:t>gastric pH</w:t>
      </w:r>
      <w:r w:rsidR="00443893" w:rsidRPr="004B4B2E">
        <w:rPr>
          <w:rFonts w:ascii="Arial" w:hAnsi="Arial" w:cs="Arial"/>
          <w:sz w:val="24"/>
          <w:szCs w:val="24"/>
          <w:lang w:val="en-GB"/>
        </w:rPr>
        <w:t xml:space="preserve"> analysis</w:t>
      </w:r>
      <w:r w:rsidR="004629FE" w:rsidRPr="004B4B2E">
        <w:rPr>
          <w:rFonts w:ascii="Arial" w:hAnsi="Arial" w:cs="Arial"/>
          <w:sz w:val="24"/>
          <w:szCs w:val="24"/>
          <w:lang w:val="en-GB"/>
        </w:rPr>
        <w:t xml:space="preserve">, </w:t>
      </w:r>
      <w:r w:rsidR="00B91DED" w:rsidRPr="004B4B2E">
        <w:rPr>
          <w:rFonts w:ascii="Arial" w:hAnsi="Arial" w:cs="Arial"/>
          <w:sz w:val="24"/>
          <w:szCs w:val="24"/>
          <w:lang w:val="en-GB"/>
        </w:rPr>
        <w:t xml:space="preserve">immediately </w:t>
      </w:r>
      <w:r w:rsidR="004629FE" w:rsidRPr="004B4B2E">
        <w:rPr>
          <w:rFonts w:ascii="Arial" w:hAnsi="Arial" w:cs="Arial"/>
          <w:sz w:val="24"/>
          <w:szCs w:val="24"/>
          <w:lang w:val="en-GB"/>
        </w:rPr>
        <w:t xml:space="preserve">followed </w:t>
      </w:r>
      <w:r w:rsidR="004629FE" w:rsidRPr="004B4B2E">
        <w:rPr>
          <w:rFonts w:ascii="Arial" w:hAnsi="Arial" w:cs="Arial"/>
          <w:noProof/>
          <w:sz w:val="24"/>
          <w:szCs w:val="24"/>
          <w:lang w:val="en-GB"/>
        </w:rPr>
        <w:t>by</w:t>
      </w:r>
      <w:r w:rsidR="0071485E" w:rsidRPr="004B4B2E">
        <w:rPr>
          <w:rFonts w:ascii="Arial" w:hAnsi="Arial" w:cs="Arial"/>
          <w:noProof/>
          <w:sz w:val="24"/>
          <w:szCs w:val="24"/>
          <w:lang w:val="en-GB"/>
        </w:rPr>
        <w:t xml:space="preserve"> </w:t>
      </w:r>
      <w:r w:rsidR="00396776" w:rsidRPr="004B4B2E">
        <w:rPr>
          <w:rFonts w:ascii="Arial" w:hAnsi="Arial" w:cs="Arial"/>
          <w:noProof/>
          <w:sz w:val="24"/>
          <w:szCs w:val="24"/>
          <w:lang w:val="en-GB"/>
        </w:rPr>
        <w:t>ambulatory</w:t>
      </w:r>
      <w:r w:rsidR="00396776" w:rsidRPr="004B4B2E">
        <w:rPr>
          <w:rFonts w:ascii="Arial" w:hAnsi="Arial" w:cs="Arial"/>
          <w:sz w:val="24"/>
          <w:szCs w:val="24"/>
          <w:lang w:val="en-GB"/>
        </w:rPr>
        <w:t xml:space="preserve"> 24-hour pH-impedance</w:t>
      </w:r>
      <w:r w:rsidR="00D71D41" w:rsidRPr="004B4B2E">
        <w:rPr>
          <w:rFonts w:ascii="Arial" w:hAnsi="Arial" w:cs="Arial"/>
          <w:sz w:val="24"/>
          <w:szCs w:val="24"/>
          <w:lang w:val="en-GB"/>
        </w:rPr>
        <w:t>. We used</w:t>
      </w:r>
      <w:r w:rsidR="00396776" w:rsidRPr="004B4B2E">
        <w:rPr>
          <w:rFonts w:ascii="Arial" w:hAnsi="Arial" w:cs="Arial"/>
          <w:sz w:val="24"/>
          <w:szCs w:val="24"/>
          <w:lang w:val="en-GB"/>
        </w:rPr>
        <w:t xml:space="preserve"> a </w:t>
      </w:r>
      <w:r w:rsidR="00B91DED" w:rsidRPr="004B4B2E">
        <w:rPr>
          <w:rFonts w:ascii="Arial" w:hAnsi="Arial" w:cs="Arial"/>
          <w:sz w:val="24"/>
          <w:szCs w:val="24"/>
          <w:lang w:val="en-GB"/>
        </w:rPr>
        <w:t>modified</w:t>
      </w:r>
      <w:r w:rsidR="00396776" w:rsidRPr="004B4B2E">
        <w:rPr>
          <w:rFonts w:ascii="Arial" w:hAnsi="Arial" w:cs="Arial"/>
          <w:sz w:val="24"/>
          <w:szCs w:val="24"/>
          <w:lang w:val="en-GB"/>
        </w:rPr>
        <w:t xml:space="preserve"> cut-off of 1.3% for pathological esophageal acid exposure </w:t>
      </w:r>
      <w:r w:rsidR="002A1873" w:rsidRPr="004B4B2E">
        <w:rPr>
          <w:rFonts w:ascii="Arial" w:hAnsi="Arial" w:cs="Arial"/>
          <w:sz w:val="24"/>
          <w:szCs w:val="24"/>
          <w:lang w:val="en-GB"/>
        </w:rPr>
        <w:t xml:space="preserve">time </w:t>
      </w:r>
      <w:r w:rsidR="00396776" w:rsidRPr="004B4B2E">
        <w:rPr>
          <w:rFonts w:ascii="Arial" w:hAnsi="Arial" w:cs="Arial"/>
          <w:sz w:val="24"/>
          <w:szCs w:val="24"/>
          <w:lang w:val="en-GB"/>
        </w:rPr>
        <w:t xml:space="preserve">(AET). </w:t>
      </w:r>
      <w:r w:rsidR="00590D5C" w:rsidRPr="004B4B2E">
        <w:rPr>
          <w:rFonts w:ascii="Arial" w:hAnsi="Arial" w:cs="Arial"/>
          <w:noProof/>
          <w:sz w:val="24"/>
          <w:szCs w:val="24"/>
          <w:lang w:val="en-GB"/>
        </w:rPr>
        <w:t xml:space="preserve">Multiple linear </w:t>
      </w:r>
      <w:r w:rsidR="00AF4E24" w:rsidRPr="004B4B2E">
        <w:rPr>
          <w:rFonts w:ascii="Arial" w:hAnsi="Arial" w:cs="Arial"/>
          <w:sz w:val="24"/>
          <w:szCs w:val="24"/>
          <w:lang w:val="en-GB"/>
        </w:rPr>
        <w:t xml:space="preserve">regression model was used to </w:t>
      </w:r>
      <w:r w:rsidR="00AF4E24" w:rsidRPr="004B4B2E">
        <w:rPr>
          <w:rFonts w:ascii="Arial" w:hAnsi="Arial" w:cs="Arial"/>
          <w:noProof/>
          <w:sz w:val="24"/>
          <w:szCs w:val="24"/>
          <w:lang w:val="en-GB"/>
        </w:rPr>
        <w:t>analyze</w:t>
      </w:r>
      <w:r w:rsidR="00AF4E24" w:rsidRPr="004B4B2E">
        <w:rPr>
          <w:rFonts w:ascii="Arial" w:hAnsi="Arial" w:cs="Arial"/>
          <w:sz w:val="24"/>
          <w:szCs w:val="24"/>
          <w:lang w:val="en-GB"/>
        </w:rPr>
        <w:t xml:space="preserve"> </w:t>
      </w:r>
      <w:r w:rsidR="00443893" w:rsidRPr="004B4B2E">
        <w:rPr>
          <w:rFonts w:ascii="Arial" w:hAnsi="Arial" w:cs="Arial"/>
          <w:sz w:val="24"/>
          <w:szCs w:val="24"/>
          <w:lang w:val="en-GB"/>
        </w:rPr>
        <w:t xml:space="preserve">the </w:t>
      </w:r>
      <w:r w:rsidR="00AF4E24" w:rsidRPr="004B4B2E">
        <w:rPr>
          <w:rFonts w:ascii="Arial" w:hAnsi="Arial" w:cs="Arial"/>
          <w:noProof/>
          <w:sz w:val="24"/>
          <w:szCs w:val="24"/>
          <w:lang w:val="en-GB"/>
        </w:rPr>
        <w:t>correlation</w:t>
      </w:r>
      <w:r w:rsidR="00AF4E24" w:rsidRPr="004B4B2E">
        <w:rPr>
          <w:rFonts w:ascii="Arial" w:hAnsi="Arial" w:cs="Arial"/>
          <w:sz w:val="24"/>
          <w:szCs w:val="24"/>
          <w:lang w:val="en-GB"/>
        </w:rPr>
        <w:t xml:space="preserve"> between</w:t>
      </w:r>
      <w:r w:rsidR="00A67465" w:rsidRPr="004B4B2E">
        <w:rPr>
          <w:rFonts w:ascii="Arial" w:hAnsi="Arial" w:cs="Arial"/>
          <w:sz w:val="24"/>
          <w:szCs w:val="24"/>
          <w:lang w:val="en-GB"/>
        </w:rPr>
        <w:t xml:space="preserve"> </w:t>
      </w:r>
      <w:r w:rsidR="002F52B9" w:rsidRPr="004B4B2E">
        <w:rPr>
          <w:rFonts w:ascii="Arial" w:hAnsi="Arial" w:cs="Arial"/>
          <w:sz w:val="24"/>
          <w:szCs w:val="24"/>
          <w:lang w:val="en-GB"/>
        </w:rPr>
        <w:t>AET</w:t>
      </w:r>
      <w:r w:rsidR="00AF4E24" w:rsidRPr="004B4B2E">
        <w:rPr>
          <w:rFonts w:ascii="Arial" w:hAnsi="Arial" w:cs="Arial"/>
          <w:sz w:val="24"/>
          <w:szCs w:val="24"/>
          <w:lang w:val="en-GB"/>
        </w:rPr>
        <w:t xml:space="preserve"> and predictive variables</w:t>
      </w:r>
      <w:r w:rsidR="0071485E" w:rsidRPr="004B4B2E">
        <w:rPr>
          <w:rFonts w:ascii="Arial" w:hAnsi="Arial" w:cs="Arial"/>
          <w:sz w:val="24"/>
          <w:szCs w:val="24"/>
          <w:lang w:val="en-GB"/>
        </w:rPr>
        <w:t xml:space="preserve">. </w:t>
      </w:r>
    </w:p>
    <w:p w14:paraId="28056C7D" w14:textId="2F2FDA50" w:rsidR="004F4277" w:rsidRDefault="004F4277" w:rsidP="001B3D49">
      <w:pPr>
        <w:spacing w:line="480" w:lineRule="auto"/>
        <w:jc w:val="both"/>
        <w:rPr>
          <w:rFonts w:ascii="Arial" w:hAnsi="Arial" w:cs="Arial"/>
          <w:b/>
          <w:sz w:val="24"/>
          <w:szCs w:val="24"/>
          <w:lang w:val="en-GB"/>
        </w:rPr>
      </w:pPr>
      <w:r>
        <w:rPr>
          <w:rFonts w:ascii="Arial" w:hAnsi="Arial" w:cs="Arial"/>
          <w:b/>
          <w:sz w:val="24"/>
          <w:szCs w:val="24"/>
          <w:lang w:val="en-GB"/>
        </w:rPr>
        <w:t>Results</w:t>
      </w:r>
      <w:r w:rsidR="00216370" w:rsidRPr="004B4B2E">
        <w:rPr>
          <w:rFonts w:ascii="Arial" w:hAnsi="Arial" w:cs="Arial"/>
          <w:b/>
          <w:sz w:val="24"/>
          <w:szCs w:val="24"/>
          <w:lang w:val="en-GB"/>
        </w:rPr>
        <w:t xml:space="preserve"> </w:t>
      </w:r>
    </w:p>
    <w:p w14:paraId="7ED49720" w14:textId="28C3AEAA" w:rsidR="00C13C69" w:rsidRPr="004B4B2E" w:rsidRDefault="00B172C1" w:rsidP="001B3D49">
      <w:pPr>
        <w:spacing w:line="480" w:lineRule="auto"/>
        <w:jc w:val="both"/>
        <w:rPr>
          <w:rFonts w:ascii="Arial" w:hAnsi="Arial" w:cs="Arial"/>
          <w:sz w:val="24"/>
          <w:szCs w:val="24"/>
          <w:lang w:val="en-GB"/>
        </w:rPr>
      </w:pPr>
      <w:r w:rsidRPr="004B4B2E">
        <w:rPr>
          <w:rFonts w:ascii="Arial" w:hAnsi="Arial" w:cs="Arial"/>
          <w:sz w:val="24"/>
          <w:szCs w:val="24"/>
          <w:lang w:val="en-GB"/>
        </w:rPr>
        <w:t>We recruited</w:t>
      </w:r>
      <w:r w:rsidR="00B714B8" w:rsidRPr="004B4B2E">
        <w:rPr>
          <w:rFonts w:ascii="Arial" w:hAnsi="Arial" w:cs="Arial"/>
          <w:sz w:val="24"/>
          <w:szCs w:val="24"/>
          <w:lang w:val="en-GB"/>
        </w:rPr>
        <w:t xml:space="preserve"> </w:t>
      </w:r>
      <w:r w:rsidR="00182414" w:rsidRPr="004B4B2E">
        <w:rPr>
          <w:rFonts w:ascii="Arial" w:hAnsi="Arial" w:cs="Arial"/>
          <w:sz w:val="24"/>
          <w:szCs w:val="24"/>
          <w:lang w:val="en-GB"/>
        </w:rPr>
        <w:t>122</w:t>
      </w:r>
      <w:r w:rsidR="00B714B8" w:rsidRPr="004B4B2E">
        <w:rPr>
          <w:rFonts w:ascii="Arial" w:hAnsi="Arial" w:cs="Arial"/>
          <w:sz w:val="24"/>
          <w:szCs w:val="24"/>
          <w:lang w:val="en-GB"/>
        </w:rPr>
        <w:t xml:space="preserve"> </w:t>
      </w:r>
      <w:r w:rsidR="00D33BDC" w:rsidRPr="004B4B2E">
        <w:rPr>
          <w:rFonts w:ascii="Arial" w:hAnsi="Arial" w:cs="Arial"/>
          <w:sz w:val="24"/>
          <w:szCs w:val="24"/>
          <w:lang w:val="en-GB"/>
        </w:rPr>
        <w:t>patients</w:t>
      </w:r>
      <w:r w:rsidR="00B714B8" w:rsidRPr="004B4B2E">
        <w:rPr>
          <w:rFonts w:ascii="Arial" w:hAnsi="Arial" w:cs="Arial"/>
          <w:sz w:val="24"/>
          <w:szCs w:val="24"/>
          <w:lang w:val="en-GB"/>
        </w:rPr>
        <w:t xml:space="preserve">, </w:t>
      </w:r>
      <w:r w:rsidRPr="004B4B2E">
        <w:rPr>
          <w:rFonts w:ascii="Arial" w:hAnsi="Arial" w:cs="Arial"/>
          <w:sz w:val="24"/>
          <w:szCs w:val="24"/>
          <w:lang w:val="en-GB"/>
        </w:rPr>
        <w:t xml:space="preserve">of which </w:t>
      </w:r>
      <w:r w:rsidR="00D572D0" w:rsidRPr="004B4B2E">
        <w:rPr>
          <w:rFonts w:ascii="Arial" w:hAnsi="Arial" w:cs="Arial"/>
          <w:sz w:val="24"/>
          <w:szCs w:val="24"/>
          <w:lang w:val="en-GB"/>
        </w:rPr>
        <w:t>9</w:t>
      </w:r>
      <w:r w:rsidR="00745FA8">
        <w:rPr>
          <w:rFonts w:ascii="Arial" w:hAnsi="Arial" w:cs="Arial"/>
          <w:sz w:val="24"/>
          <w:szCs w:val="24"/>
          <w:lang w:val="en-GB"/>
        </w:rPr>
        <w:t>2</w:t>
      </w:r>
      <w:r w:rsidR="009E2DD3" w:rsidRPr="004B4B2E">
        <w:rPr>
          <w:rFonts w:ascii="Arial" w:hAnsi="Arial" w:cs="Arial"/>
          <w:sz w:val="24"/>
          <w:szCs w:val="24"/>
          <w:lang w:val="en-GB"/>
        </w:rPr>
        <w:t xml:space="preserve"> (</w:t>
      </w:r>
      <w:r w:rsidR="00745FA8">
        <w:rPr>
          <w:rFonts w:ascii="Arial" w:hAnsi="Arial" w:cs="Arial"/>
          <w:sz w:val="24"/>
          <w:szCs w:val="24"/>
          <w:lang w:val="en-GB"/>
        </w:rPr>
        <w:t>75.4</w:t>
      </w:r>
      <w:r w:rsidR="009E2DD3" w:rsidRPr="004B4B2E">
        <w:rPr>
          <w:rFonts w:ascii="Arial" w:hAnsi="Arial" w:cs="Arial"/>
          <w:sz w:val="24"/>
          <w:szCs w:val="24"/>
          <w:lang w:val="en-GB"/>
        </w:rPr>
        <w:t>%)</w:t>
      </w:r>
      <w:r w:rsidR="00D572D0" w:rsidRPr="004B4B2E">
        <w:rPr>
          <w:rFonts w:ascii="Arial" w:hAnsi="Arial" w:cs="Arial"/>
          <w:sz w:val="24"/>
          <w:szCs w:val="24"/>
          <w:lang w:val="en-GB"/>
        </w:rPr>
        <w:t xml:space="preserve"> </w:t>
      </w:r>
      <w:r w:rsidR="007F59DB" w:rsidRPr="004B4B2E">
        <w:rPr>
          <w:rFonts w:ascii="Arial" w:hAnsi="Arial" w:cs="Arial"/>
          <w:sz w:val="24"/>
          <w:szCs w:val="24"/>
          <w:lang w:val="en-GB"/>
        </w:rPr>
        <w:t xml:space="preserve">were </w:t>
      </w:r>
      <w:r w:rsidR="004629FE" w:rsidRPr="004B4B2E">
        <w:rPr>
          <w:rFonts w:ascii="Arial" w:hAnsi="Arial" w:cs="Arial"/>
          <w:sz w:val="24"/>
          <w:szCs w:val="24"/>
          <w:lang w:val="en-GB"/>
        </w:rPr>
        <w:t xml:space="preserve">included in the final analysis </w:t>
      </w:r>
      <w:r w:rsidR="00D572D0" w:rsidRPr="004B4B2E">
        <w:rPr>
          <w:rFonts w:ascii="Arial" w:hAnsi="Arial" w:cs="Arial"/>
          <w:sz w:val="24"/>
          <w:szCs w:val="24"/>
          <w:lang w:val="en-GB"/>
        </w:rPr>
        <w:t>[4</w:t>
      </w:r>
      <w:r w:rsidR="00745FA8">
        <w:rPr>
          <w:rFonts w:ascii="Arial" w:hAnsi="Arial" w:cs="Arial"/>
          <w:sz w:val="24"/>
          <w:szCs w:val="24"/>
          <w:lang w:val="en-GB"/>
        </w:rPr>
        <w:t>4</w:t>
      </w:r>
      <w:r w:rsidR="00D572D0" w:rsidRPr="004B4B2E">
        <w:rPr>
          <w:rFonts w:ascii="Arial" w:hAnsi="Arial" w:cs="Arial"/>
          <w:sz w:val="24"/>
          <w:szCs w:val="24"/>
          <w:lang w:val="en-GB"/>
        </w:rPr>
        <w:t xml:space="preserve"> male (</w:t>
      </w:r>
      <w:r w:rsidR="00745FA8">
        <w:rPr>
          <w:rFonts w:ascii="Arial" w:hAnsi="Arial" w:cs="Arial"/>
          <w:sz w:val="24"/>
          <w:szCs w:val="24"/>
          <w:lang w:val="en-GB"/>
        </w:rPr>
        <w:t>47.8</w:t>
      </w:r>
      <w:r w:rsidR="00D572D0" w:rsidRPr="004B4B2E">
        <w:rPr>
          <w:rFonts w:ascii="Arial" w:hAnsi="Arial" w:cs="Arial"/>
          <w:sz w:val="24"/>
          <w:szCs w:val="24"/>
          <w:lang w:val="en-GB"/>
        </w:rPr>
        <w:t xml:space="preserve">%), </w:t>
      </w:r>
      <w:r w:rsidR="00D33BDC" w:rsidRPr="004B4B2E">
        <w:rPr>
          <w:rFonts w:ascii="Arial" w:hAnsi="Arial" w:cs="Arial"/>
          <w:sz w:val="24"/>
          <w:szCs w:val="24"/>
          <w:lang w:val="en-GB"/>
        </w:rPr>
        <w:t xml:space="preserve">median </w:t>
      </w:r>
      <w:r w:rsidR="00D572D0" w:rsidRPr="004B4B2E">
        <w:rPr>
          <w:rFonts w:ascii="Arial" w:hAnsi="Arial" w:cs="Arial"/>
          <w:sz w:val="24"/>
          <w:szCs w:val="24"/>
          <w:lang w:val="en-GB"/>
        </w:rPr>
        <w:t xml:space="preserve">age </w:t>
      </w:r>
      <w:r w:rsidR="003D28F9">
        <w:rPr>
          <w:rFonts w:ascii="Arial" w:hAnsi="Arial" w:cs="Arial"/>
          <w:sz w:val="24"/>
          <w:szCs w:val="24"/>
          <w:lang w:val="en-GB"/>
        </w:rPr>
        <w:t xml:space="preserve">53 </w:t>
      </w:r>
      <w:r w:rsidR="00AB143D" w:rsidRPr="004B4B2E">
        <w:rPr>
          <w:rFonts w:ascii="Arial" w:hAnsi="Arial" w:cs="Arial"/>
          <w:sz w:val="24"/>
          <w:szCs w:val="24"/>
          <w:lang w:val="en-GB"/>
        </w:rPr>
        <w:t xml:space="preserve">years </w:t>
      </w:r>
      <w:r w:rsidR="00D572D0" w:rsidRPr="004B4B2E">
        <w:rPr>
          <w:rFonts w:ascii="Arial" w:hAnsi="Arial" w:cs="Arial"/>
          <w:sz w:val="24"/>
          <w:szCs w:val="24"/>
          <w:lang w:val="en-GB"/>
        </w:rPr>
        <w:t>(</w:t>
      </w:r>
      <w:r w:rsidR="00D33BDC" w:rsidRPr="004B4B2E">
        <w:rPr>
          <w:rFonts w:ascii="Arial" w:hAnsi="Arial" w:cs="Arial"/>
          <w:sz w:val="24"/>
          <w:szCs w:val="24"/>
          <w:lang w:val="en-GB"/>
        </w:rPr>
        <w:t xml:space="preserve">IQR: </w:t>
      </w:r>
      <w:r w:rsidR="003D28F9">
        <w:rPr>
          <w:rFonts w:ascii="Arial" w:hAnsi="Arial" w:cs="Arial"/>
          <w:sz w:val="24"/>
          <w:szCs w:val="24"/>
          <w:lang w:val="en-GB"/>
        </w:rPr>
        <w:t>4</w:t>
      </w:r>
      <w:r w:rsidR="005F7659">
        <w:rPr>
          <w:rFonts w:ascii="Arial" w:hAnsi="Arial" w:cs="Arial"/>
          <w:sz w:val="24"/>
          <w:szCs w:val="24"/>
          <w:lang w:val="en-GB"/>
        </w:rPr>
        <w:t>3</w:t>
      </w:r>
      <w:r w:rsidR="003D28F9">
        <w:rPr>
          <w:rFonts w:ascii="Arial" w:hAnsi="Arial" w:cs="Arial"/>
          <w:sz w:val="24"/>
          <w:szCs w:val="24"/>
          <w:lang w:val="en-GB"/>
        </w:rPr>
        <w:t>–66</w:t>
      </w:r>
      <w:r w:rsidR="00D572D0" w:rsidRPr="004B4B2E">
        <w:rPr>
          <w:rFonts w:ascii="Arial" w:hAnsi="Arial" w:cs="Arial"/>
          <w:sz w:val="24"/>
          <w:szCs w:val="24"/>
          <w:lang w:val="en-GB"/>
        </w:rPr>
        <w:t>)</w:t>
      </w:r>
      <w:r w:rsidR="00AB143D" w:rsidRPr="004B4B2E">
        <w:rPr>
          <w:rFonts w:ascii="Arial" w:hAnsi="Arial" w:cs="Arial"/>
          <w:sz w:val="24"/>
          <w:szCs w:val="24"/>
          <w:lang w:val="en-GB"/>
        </w:rPr>
        <w:t xml:space="preserve">]. </w:t>
      </w:r>
      <w:r w:rsidR="005F7659">
        <w:rPr>
          <w:rFonts w:ascii="Arial" w:hAnsi="Arial" w:cs="Arial"/>
          <w:sz w:val="24"/>
          <w:szCs w:val="24"/>
          <w:lang w:val="en-GB"/>
        </w:rPr>
        <w:t>Forty-four patients</w:t>
      </w:r>
      <w:r w:rsidR="00AB143D" w:rsidRPr="004B4B2E">
        <w:rPr>
          <w:rFonts w:ascii="Arial" w:hAnsi="Arial" w:cs="Arial"/>
          <w:sz w:val="24"/>
          <w:szCs w:val="24"/>
          <w:lang w:val="en-GB"/>
        </w:rPr>
        <w:t xml:space="preserve"> </w:t>
      </w:r>
      <w:r w:rsidR="00581CA8" w:rsidRPr="004B4B2E">
        <w:rPr>
          <w:rFonts w:ascii="Arial" w:hAnsi="Arial" w:cs="Arial"/>
          <w:sz w:val="24"/>
          <w:szCs w:val="24"/>
          <w:lang w:val="en-GB"/>
        </w:rPr>
        <w:t>(</w:t>
      </w:r>
      <w:r w:rsidR="005F7659">
        <w:rPr>
          <w:rFonts w:ascii="Arial" w:hAnsi="Arial" w:cs="Arial"/>
          <w:sz w:val="24"/>
          <w:szCs w:val="24"/>
          <w:lang w:val="en-GB"/>
        </w:rPr>
        <w:t>47.8</w:t>
      </w:r>
      <w:r w:rsidR="00581CA8" w:rsidRPr="004B4B2E">
        <w:rPr>
          <w:rFonts w:ascii="Arial" w:hAnsi="Arial" w:cs="Arial"/>
          <w:sz w:val="24"/>
          <w:szCs w:val="24"/>
          <w:lang w:val="en-GB"/>
        </w:rPr>
        <w:t xml:space="preserve">%) </w:t>
      </w:r>
      <w:r w:rsidR="009E2DD3" w:rsidRPr="004B4B2E">
        <w:rPr>
          <w:rFonts w:ascii="Arial" w:hAnsi="Arial" w:cs="Arial"/>
          <w:sz w:val="24"/>
          <w:szCs w:val="24"/>
          <w:lang w:val="en-GB"/>
        </w:rPr>
        <w:t xml:space="preserve">had persistent acid reflux </w:t>
      </w:r>
      <w:r w:rsidR="005D5F55">
        <w:rPr>
          <w:rFonts w:ascii="Arial" w:hAnsi="Arial" w:cs="Arial"/>
          <w:sz w:val="24"/>
          <w:szCs w:val="24"/>
          <w:lang w:val="en-GB"/>
        </w:rPr>
        <w:t xml:space="preserve">with </w:t>
      </w:r>
      <w:r w:rsidR="0040295C">
        <w:rPr>
          <w:rFonts w:ascii="Arial" w:hAnsi="Arial" w:cs="Arial"/>
          <w:sz w:val="24"/>
          <w:szCs w:val="24"/>
          <w:lang w:val="en-GB"/>
        </w:rPr>
        <w:t xml:space="preserve">a </w:t>
      </w:r>
      <w:r w:rsidR="005D5F55">
        <w:rPr>
          <w:rFonts w:ascii="Arial" w:hAnsi="Arial" w:cs="Arial"/>
          <w:sz w:val="24"/>
          <w:szCs w:val="24"/>
          <w:lang w:val="en-GB"/>
        </w:rPr>
        <w:t>median total AET of 2.2 (IQR1.2-5.0</w:t>
      </w:r>
      <w:r w:rsidR="0040295C">
        <w:rPr>
          <w:rFonts w:ascii="Arial" w:hAnsi="Arial" w:cs="Arial"/>
          <w:sz w:val="24"/>
          <w:szCs w:val="24"/>
          <w:lang w:val="en-GB"/>
        </w:rPr>
        <w:t>)</w:t>
      </w:r>
      <w:r w:rsidR="001C03A6">
        <w:rPr>
          <w:rFonts w:ascii="Arial" w:hAnsi="Arial" w:cs="Arial"/>
          <w:sz w:val="24"/>
          <w:szCs w:val="24"/>
          <w:lang w:val="en-GB"/>
        </w:rPr>
        <w:t xml:space="preserve">, </w:t>
      </w:r>
      <w:r w:rsidR="005D5F55">
        <w:rPr>
          <w:rFonts w:ascii="Arial" w:hAnsi="Arial" w:cs="Arial"/>
          <w:sz w:val="24"/>
          <w:szCs w:val="24"/>
          <w:lang w:val="en-GB"/>
        </w:rPr>
        <w:t>as compared to 0.1 (IQR 0.0-0.2) in patients without persistent reflux (n=</w:t>
      </w:r>
      <w:r w:rsidR="003F45F5">
        <w:rPr>
          <w:rFonts w:ascii="Arial" w:hAnsi="Arial" w:cs="Arial"/>
          <w:sz w:val="24"/>
          <w:szCs w:val="24"/>
          <w:lang w:val="en-GB"/>
        </w:rPr>
        <w:t>48</w:t>
      </w:r>
      <w:r w:rsidR="00E8495A">
        <w:rPr>
          <w:rFonts w:ascii="Arial" w:hAnsi="Arial" w:cs="Arial"/>
          <w:sz w:val="24"/>
          <w:szCs w:val="24"/>
          <w:lang w:val="en-GB"/>
        </w:rPr>
        <w:t xml:space="preserve">; </w:t>
      </w:r>
      <w:r w:rsidR="00E8495A" w:rsidRPr="00522A5C">
        <w:rPr>
          <w:rFonts w:ascii="Arial" w:hAnsi="Arial" w:cs="Arial"/>
          <w:i/>
          <w:sz w:val="24"/>
          <w:szCs w:val="24"/>
          <w:lang w:val="en-GB"/>
        </w:rPr>
        <w:t>P</w:t>
      </w:r>
      <w:r w:rsidR="00E8495A" w:rsidRPr="00522A5C">
        <w:rPr>
          <w:rFonts w:ascii="Arial" w:hAnsi="Arial" w:cs="Arial"/>
          <w:sz w:val="24"/>
          <w:szCs w:val="24"/>
          <w:lang w:val="en-GB"/>
        </w:rPr>
        <w:t>&lt;</w:t>
      </w:r>
      <w:r w:rsidR="00E8495A">
        <w:rPr>
          <w:rFonts w:ascii="Arial" w:hAnsi="Arial" w:cs="Arial"/>
          <w:sz w:val="24"/>
          <w:szCs w:val="24"/>
          <w:lang w:val="en-GB"/>
        </w:rPr>
        <w:t>.001</w:t>
      </w:r>
      <w:r w:rsidR="005D5F55">
        <w:rPr>
          <w:rFonts w:ascii="Arial" w:hAnsi="Arial" w:cs="Arial"/>
          <w:sz w:val="24"/>
          <w:szCs w:val="24"/>
          <w:lang w:val="en-GB"/>
        </w:rPr>
        <w:t xml:space="preserve">). </w:t>
      </w:r>
      <w:r w:rsidR="00581CA8" w:rsidRPr="004B4B2E">
        <w:rPr>
          <w:rFonts w:ascii="Arial" w:hAnsi="Arial" w:cs="Arial"/>
          <w:sz w:val="24"/>
          <w:szCs w:val="24"/>
          <w:lang w:val="en-GB"/>
        </w:rPr>
        <w:t xml:space="preserve">There </w:t>
      </w:r>
      <w:r w:rsidR="00581CA8" w:rsidRPr="004B4B2E">
        <w:rPr>
          <w:rFonts w:ascii="Arial" w:hAnsi="Arial" w:cs="Arial"/>
          <w:noProof/>
          <w:sz w:val="24"/>
          <w:szCs w:val="24"/>
          <w:lang w:val="en-GB"/>
        </w:rPr>
        <w:t>w</w:t>
      </w:r>
      <w:r w:rsidR="008A7A92" w:rsidRPr="004B4B2E">
        <w:rPr>
          <w:rFonts w:ascii="Arial" w:hAnsi="Arial" w:cs="Arial"/>
          <w:noProof/>
          <w:sz w:val="24"/>
          <w:szCs w:val="24"/>
          <w:lang w:val="en-GB"/>
        </w:rPr>
        <w:t>as</w:t>
      </w:r>
      <w:r w:rsidR="00581CA8" w:rsidRPr="004B4B2E">
        <w:rPr>
          <w:rFonts w:ascii="Arial" w:hAnsi="Arial" w:cs="Arial"/>
          <w:sz w:val="24"/>
          <w:szCs w:val="24"/>
          <w:lang w:val="en-GB"/>
        </w:rPr>
        <w:t xml:space="preserve"> no difference in age, gender, BMI, </w:t>
      </w:r>
      <w:r w:rsidR="00254458" w:rsidRPr="004B4B2E">
        <w:rPr>
          <w:rFonts w:ascii="Arial" w:hAnsi="Arial" w:cs="Arial"/>
          <w:sz w:val="24"/>
          <w:szCs w:val="24"/>
          <w:lang w:val="en-GB"/>
        </w:rPr>
        <w:t>PPI-</w:t>
      </w:r>
      <w:r w:rsidR="00E66F12" w:rsidRPr="004B4B2E">
        <w:rPr>
          <w:rFonts w:ascii="Arial" w:hAnsi="Arial" w:cs="Arial"/>
          <w:sz w:val="24"/>
          <w:szCs w:val="24"/>
          <w:lang w:val="en-GB"/>
        </w:rPr>
        <w:t>regimen</w:t>
      </w:r>
      <w:r w:rsidR="004A48CF" w:rsidRPr="004B4B2E">
        <w:rPr>
          <w:rFonts w:ascii="Arial" w:hAnsi="Arial" w:cs="Arial"/>
          <w:sz w:val="24"/>
          <w:szCs w:val="24"/>
          <w:lang w:val="en-GB"/>
        </w:rPr>
        <w:t xml:space="preserve">, </w:t>
      </w:r>
      <w:r w:rsidR="00522A5C">
        <w:rPr>
          <w:rFonts w:ascii="Arial" w:hAnsi="Arial" w:cs="Arial"/>
          <w:sz w:val="24"/>
          <w:szCs w:val="24"/>
          <w:lang w:val="en-GB"/>
        </w:rPr>
        <w:t xml:space="preserve">diagnosis of </w:t>
      </w:r>
      <w:r w:rsidR="00581CA8" w:rsidRPr="004B4B2E">
        <w:rPr>
          <w:rFonts w:ascii="Arial" w:hAnsi="Arial" w:cs="Arial"/>
          <w:noProof/>
          <w:sz w:val="24"/>
          <w:szCs w:val="24"/>
          <w:lang w:val="en-GB"/>
        </w:rPr>
        <w:t>hiatus</w:t>
      </w:r>
      <w:r w:rsidR="00581CA8" w:rsidRPr="004B4B2E">
        <w:rPr>
          <w:rFonts w:ascii="Arial" w:hAnsi="Arial" w:cs="Arial"/>
          <w:sz w:val="24"/>
          <w:szCs w:val="24"/>
          <w:lang w:val="en-GB"/>
        </w:rPr>
        <w:t xml:space="preserve"> hernia</w:t>
      </w:r>
      <w:r w:rsidR="00E66F12" w:rsidRPr="004B4B2E">
        <w:rPr>
          <w:rFonts w:ascii="Arial" w:hAnsi="Arial" w:cs="Arial"/>
          <w:sz w:val="24"/>
          <w:szCs w:val="24"/>
          <w:lang w:val="en-GB"/>
        </w:rPr>
        <w:t xml:space="preserve"> </w:t>
      </w:r>
      <w:r w:rsidR="00522A5C">
        <w:rPr>
          <w:rFonts w:ascii="Arial" w:hAnsi="Arial" w:cs="Arial"/>
          <w:sz w:val="24"/>
          <w:szCs w:val="24"/>
          <w:lang w:val="en-GB"/>
        </w:rPr>
        <w:t>or</w:t>
      </w:r>
      <w:r w:rsidR="00E8495A" w:rsidRPr="004B4B2E">
        <w:rPr>
          <w:rFonts w:ascii="Arial" w:hAnsi="Arial" w:cs="Arial"/>
          <w:sz w:val="24"/>
          <w:szCs w:val="24"/>
          <w:lang w:val="en-GB"/>
        </w:rPr>
        <w:t xml:space="preserve"> </w:t>
      </w:r>
      <w:r w:rsidR="00C13C69" w:rsidRPr="004B4B2E">
        <w:rPr>
          <w:rFonts w:ascii="Arial" w:hAnsi="Arial" w:cs="Arial"/>
          <w:sz w:val="24"/>
          <w:szCs w:val="24"/>
          <w:lang w:val="en-GB"/>
        </w:rPr>
        <w:t>BE</w:t>
      </w:r>
      <w:r w:rsidR="00E2040A" w:rsidRPr="004B4B2E">
        <w:rPr>
          <w:rFonts w:ascii="Arial" w:hAnsi="Arial" w:cs="Arial"/>
          <w:sz w:val="24"/>
          <w:szCs w:val="24"/>
          <w:lang w:val="en-GB"/>
        </w:rPr>
        <w:t xml:space="preserve">, </w:t>
      </w:r>
      <w:r w:rsidRPr="004B4B2E">
        <w:rPr>
          <w:rFonts w:ascii="Arial" w:hAnsi="Arial" w:cs="Arial"/>
          <w:sz w:val="24"/>
          <w:szCs w:val="24"/>
          <w:lang w:val="en-GB"/>
        </w:rPr>
        <w:t xml:space="preserve">and </w:t>
      </w:r>
      <w:r w:rsidR="00E2040A" w:rsidRPr="004B4B2E">
        <w:rPr>
          <w:rFonts w:ascii="Arial" w:hAnsi="Arial" w:cs="Arial"/>
          <w:sz w:val="24"/>
          <w:szCs w:val="24"/>
          <w:lang w:val="en-GB"/>
        </w:rPr>
        <w:t>severity of symptoms</w:t>
      </w:r>
      <w:r w:rsidR="001B1EDC" w:rsidRPr="004B4B2E">
        <w:rPr>
          <w:rFonts w:ascii="Arial" w:hAnsi="Arial" w:cs="Arial"/>
          <w:sz w:val="24"/>
          <w:szCs w:val="24"/>
          <w:lang w:val="en-GB"/>
        </w:rPr>
        <w:t xml:space="preserve"> between </w:t>
      </w:r>
      <w:r w:rsidR="00162BF6">
        <w:rPr>
          <w:rFonts w:ascii="Arial" w:hAnsi="Arial" w:cs="Arial"/>
          <w:sz w:val="24"/>
          <w:szCs w:val="24"/>
          <w:lang w:val="en-GB"/>
        </w:rPr>
        <w:t>patients with normal and abnormal AET</w:t>
      </w:r>
      <w:r w:rsidR="005539D4" w:rsidRPr="004B4B2E">
        <w:rPr>
          <w:rFonts w:ascii="Arial" w:hAnsi="Arial" w:cs="Arial"/>
          <w:sz w:val="24"/>
          <w:szCs w:val="24"/>
          <w:lang w:val="en-GB"/>
        </w:rPr>
        <w:t>.</w:t>
      </w:r>
      <w:r w:rsidR="00B714B8" w:rsidRPr="004B4B2E">
        <w:rPr>
          <w:rFonts w:ascii="Arial" w:hAnsi="Arial" w:cs="Arial"/>
          <w:sz w:val="24"/>
          <w:szCs w:val="24"/>
          <w:lang w:val="en-GB"/>
        </w:rPr>
        <w:t xml:space="preserve"> </w:t>
      </w:r>
      <w:r w:rsidR="00D8081D">
        <w:rPr>
          <w:rFonts w:ascii="Arial" w:hAnsi="Arial" w:cs="Arial"/>
          <w:sz w:val="24"/>
          <w:szCs w:val="24"/>
          <w:lang w:val="en-GB"/>
        </w:rPr>
        <w:t>Median g</w:t>
      </w:r>
      <w:r w:rsidR="00A030EB">
        <w:rPr>
          <w:rFonts w:ascii="Arial" w:hAnsi="Arial" w:cs="Arial"/>
          <w:sz w:val="24"/>
          <w:szCs w:val="24"/>
          <w:lang w:val="en-GB"/>
        </w:rPr>
        <w:t>astric pH</w:t>
      </w:r>
      <w:r w:rsidR="001B1EDC" w:rsidRPr="004B4B2E">
        <w:rPr>
          <w:rFonts w:ascii="Arial" w:hAnsi="Arial" w:cs="Arial"/>
          <w:sz w:val="24"/>
          <w:szCs w:val="24"/>
          <w:lang w:val="en-GB"/>
        </w:rPr>
        <w:t xml:space="preserve"> </w:t>
      </w:r>
      <w:r w:rsidR="00DD5CB4" w:rsidRPr="004B4B2E">
        <w:rPr>
          <w:rFonts w:ascii="Arial" w:hAnsi="Arial" w:cs="Arial"/>
          <w:sz w:val="24"/>
          <w:szCs w:val="24"/>
          <w:lang w:val="en-GB"/>
        </w:rPr>
        <w:t xml:space="preserve">was significantly lower in </w:t>
      </w:r>
      <w:r w:rsidR="000B14CA">
        <w:rPr>
          <w:rFonts w:ascii="Arial" w:hAnsi="Arial" w:cs="Arial"/>
          <w:sz w:val="24"/>
          <w:szCs w:val="24"/>
          <w:lang w:val="en-GB"/>
        </w:rPr>
        <w:t xml:space="preserve">patients with abnormal AET </w:t>
      </w:r>
      <w:r w:rsidR="00DD5CB4" w:rsidRPr="004B4B2E">
        <w:rPr>
          <w:rFonts w:ascii="Arial" w:hAnsi="Arial" w:cs="Arial"/>
          <w:sz w:val="24"/>
          <w:szCs w:val="24"/>
          <w:lang w:val="en-GB"/>
        </w:rPr>
        <w:t>(</w:t>
      </w:r>
      <w:r w:rsidR="00D8081D">
        <w:rPr>
          <w:rFonts w:ascii="Arial" w:hAnsi="Arial" w:cs="Arial"/>
          <w:sz w:val="24"/>
          <w:szCs w:val="24"/>
          <w:lang w:val="en-GB"/>
        </w:rPr>
        <w:t>5.8</w:t>
      </w:r>
      <w:r w:rsidR="00C2613F">
        <w:rPr>
          <w:rFonts w:ascii="Arial" w:hAnsi="Arial" w:cs="Arial"/>
          <w:sz w:val="24"/>
          <w:szCs w:val="24"/>
          <w:lang w:val="en-GB"/>
        </w:rPr>
        <w:t xml:space="preserve"> vs </w:t>
      </w:r>
      <w:r w:rsidR="00D8081D">
        <w:rPr>
          <w:rFonts w:ascii="Arial" w:hAnsi="Arial" w:cs="Arial"/>
          <w:sz w:val="24"/>
          <w:szCs w:val="24"/>
          <w:lang w:val="en-GB"/>
        </w:rPr>
        <w:t>6.6</w:t>
      </w:r>
      <w:r w:rsidR="00C2613F">
        <w:rPr>
          <w:rFonts w:ascii="Arial" w:hAnsi="Arial" w:cs="Arial"/>
          <w:sz w:val="24"/>
          <w:szCs w:val="24"/>
          <w:lang w:val="en-GB"/>
        </w:rPr>
        <w:t xml:space="preserve">, </w:t>
      </w:r>
      <w:r w:rsidR="00DD5CB4" w:rsidRPr="004B4B2E">
        <w:rPr>
          <w:rFonts w:ascii="Arial" w:hAnsi="Arial" w:cs="Arial"/>
          <w:i/>
          <w:sz w:val="24"/>
          <w:szCs w:val="24"/>
          <w:lang w:val="en-GB"/>
        </w:rPr>
        <w:t>P</w:t>
      </w:r>
      <w:r w:rsidR="00D8081D">
        <w:rPr>
          <w:rFonts w:ascii="Arial" w:hAnsi="Arial" w:cs="Arial"/>
          <w:sz w:val="24"/>
          <w:szCs w:val="24"/>
          <w:lang w:val="en-GB"/>
        </w:rPr>
        <w:t>=0.032</w:t>
      </w:r>
      <w:r w:rsidR="00DD5CB4" w:rsidRPr="004B4B2E">
        <w:rPr>
          <w:rFonts w:ascii="Arial" w:hAnsi="Arial" w:cs="Arial"/>
          <w:sz w:val="24"/>
          <w:szCs w:val="24"/>
          <w:lang w:val="en-GB"/>
        </w:rPr>
        <w:t>) and</w:t>
      </w:r>
      <w:r w:rsidR="001B1EDC" w:rsidRPr="004B4B2E">
        <w:rPr>
          <w:rFonts w:ascii="Arial" w:hAnsi="Arial" w:cs="Arial"/>
          <w:sz w:val="24"/>
          <w:szCs w:val="24"/>
          <w:lang w:val="en-GB"/>
        </w:rPr>
        <w:t xml:space="preserve"> </w:t>
      </w:r>
      <w:r w:rsidR="0040295C">
        <w:rPr>
          <w:rFonts w:ascii="Arial" w:hAnsi="Arial" w:cs="Arial"/>
          <w:sz w:val="24"/>
          <w:szCs w:val="24"/>
          <w:lang w:val="en-GB"/>
        </w:rPr>
        <w:t xml:space="preserve">it </w:t>
      </w:r>
      <w:r w:rsidR="001B1EDC" w:rsidRPr="004B4B2E">
        <w:rPr>
          <w:rFonts w:ascii="Arial" w:hAnsi="Arial" w:cs="Arial"/>
          <w:sz w:val="24"/>
          <w:szCs w:val="24"/>
          <w:lang w:val="en-GB"/>
        </w:rPr>
        <w:t xml:space="preserve">correlated with </w:t>
      </w:r>
      <w:r w:rsidR="0040295C">
        <w:rPr>
          <w:rFonts w:ascii="Arial" w:hAnsi="Arial" w:cs="Arial"/>
          <w:sz w:val="24"/>
          <w:szCs w:val="24"/>
          <w:lang w:val="en-GB"/>
        </w:rPr>
        <w:t xml:space="preserve">the </w:t>
      </w:r>
      <w:r w:rsidR="00D8081D">
        <w:rPr>
          <w:rFonts w:ascii="Arial" w:hAnsi="Arial" w:cs="Arial"/>
          <w:sz w:val="24"/>
          <w:szCs w:val="24"/>
          <w:lang w:val="en-GB"/>
        </w:rPr>
        <w:t xml:space="preserve">total </w:t>
      </w:r>
      <w:r w:rsidR="001B1EDC" w:rsidRPr="004B4B2E">
        <w:rPr>
          <w:rFonts w:ascii="Arial" w:hAnsi="Arial" w:cs="Arial"/>
          <w:sz w:val="24"/>
          <w:szCs w:val="24"/>
          <w:lang w:val="en-GB"/>
        </w:rPr>
        <w:t>AET</w:t>
      </w:r>
      <w:r w:rsidR="00B91DED" w:rsidRPr="004B4B2E">
        <w:rPr>
          <w:rFonts w:ascii="Arial" w:hAnsi="Arial" w:cs="Arial"/>
          <w:sz w:val="24"/>
          <w:szCs w:val="24"/>
          <w:lang w:val="en-GB"/>
        </w:rPr>
        <w:t xml:space="preserve"> (</w:t>
      </w:r>
      <w:r w:rsidR="00B91DED" w:rsidRPr="004B4B2E">
        <w:rPr>
          <w:rFonts w:ascii="Arial" w:hAnsi="Arial" w:cs="Arial"/>
          <w:i/>
          <w:sz w:val="24"/>
          <w:szCs w:val="24"/>
          <w:lang w:val="en-GB"/>
        </w:rPr>
        <w:t>P</w:t>
      </w:r>
      <w:r w:rsidR="00B91DED" w:rsidRPr="004B4B2E">
        <w:rPr>
          <w:rFonts w:ascii="Arial" w:hAnsi="Arial" w:cs="Arial"/>
          <w:sz w:val="24"/>
          <w:szCs w:val="24"/>
          <w:lang w:val="en-GB"/>
        </w:rPr>
        <w:t>=.0</w:t>
      </w:r>
      <w:r w:rsidR="00E8495A">
        <w:rPr>
          <w:rFonts w:ascii="Arial" w:hAnsi="Arial" w:cs="Arial"/>
          <w:sz w:val="24"/>
          <w:szCs w:val="24"/>
          <w:lang w:val="en-GB"/>
        </w:rPr>
        <w:t>45</w:t>
      </w:r>
      <w:r w:rsidR="0073356B" w:rsidRPr="004B4B2E">
        <w:rPr>
          <w:rFonts w:ascii="Arial" w:hAnsi="Arial" w:cs="Arial"/>
          <w:sz w:val="24"/>
          <w:szCs w:val="24"/>
          <w:lang w:val="en-GB"/>
        </w:rPr>
        <w:t>;</w:t>
      </w:r>
      <w:r w:rsidR="00A030EB">
        <w:rPr>
          <w:rFonts w:ascii="Arial" w:hAnsi="Arial" w:cs="Arial"/>
          <w:sz w:val="24"/>
          <w:szCs w:val="24"/>
          <w:lang w:val="en-GB"/>
        </w:rPr>
        <w:t xml:space="preserve"> </w:t>
      </w:r>
      <w:r w:rsidR="00182414" w:rsidRPr="004B4B2E">
        <w:rPr>
          <w:rFonts w:ascii="Arial" w:hAnsi="Arial" w:cs="Arial"/>
          <w:sz w:val="24"/>
          <w:szCs w:val="24"/>
          <w:lang w:val="en-GB"/>
        </w:rPr>
        <w:t>R</w:t>
      </w:r>
      <w:r w:rsidR="00182414" w:rsidRPr="004B4B2E">
        <w:rPr>
          <w:rFonts w:ascii="Arial" w:hAnsi="Arial" w:cs="Arial"/>
          <w:sz w:val="24"/>
          <w:szCs w:val="24"/>
          <w:vertAlign w:val="superscript"/>
          <w:lang w:val="en-GB"/>
        </w:rPr>
        <w:t>2</w:t>
      </w:r>
      <w:r w:rsidR="00182414" w:rsidRPr="004B4B2E">
        <w:rPr>
          <w:rFonts w:ascii="Arial" w:hAnsi="Arial" w:cs="Arial"/>
          <w:sz w:val="24"/>
          <w:szCs w:val="24"/>
          <w:lang w:val="en-GB"/>
        </w:rPr>
        <w:t>=</w:t>
      </w:r>
      <w:r w:rsidR="00E8495A">
        <w:rPr>
          <w:rFonts w:ascii="Arial" w:hAnsi="Arial" w:cs="Arial"/>
          <w:sz w:val="24"/>
          <w:szCs w:val="24"/>
          <w:lang w:val="en-GB"/>
        </w:rPr>
        <w:t>12</w:t>
      </w:r>
      <w:r w:rsidR="00077620">
        <w:rPr>
          <w:rFonts w:ascii="Arial" w:hAnsi="Arial" w:cs="Arial"/>
          <w:sz w:val="24"/>
          <w:szCs w:val="24"/>
          <w:lang w:val="en-GB"/>
        </w:rPr>
        <w:t>.0%</w:t>
      </w:r>
      <w:r w:rsidR="00C13C69" w:rsidRPr="004B4B2E">
        <w:rPr>
          <w:rFonts w:ascii="Arial" w:hAnsi="Arial" w:cs="Arial"/>
          <w:sz w:val="24"/>
          <w:szCs w:val="24"/>
          <w:lang w:val="en-GB"/>
        </w:rPr>
        <w:t>)</w:t>
      </w:r>
      <w:r w:rsidR="00182414" w:rsidRPr="004B4B2E">
        <w:rPr>
          <w:rFonts w:ascii="Arial" w:hAnsi="Arial" w:cs="Arial"/>
          <w:sz w:val="24"/>
          <w:szCs w:val="24"/>
          <w:lang w:val="en-GB"/>
        </w:rPr>
        <w:t>.</w:t>
      </w:r>
      <w:r w:rsidR="00747E14">
        <w:rPr>
          <w:rFonts w:ascii="Arial" w:hAnsi="Arial" w:cs="Arial"/>
          <w:sz w:val="24"/>
          <w:szCs w:val="24"/>
          <w:lang w:val="en-GB"/>
        </w:rPr>
        <w:t xml:space="preserve"> With a </w:t>
      </w:r>
      <w:r w:rsidR="0040295C">
        <w:rPr>
          <w:rFonts w:ascii="Arial" w:hAnsi="Arial" w:cs="Arial"/>
          <w:sz w:val="24"/>
          <w:szCs w:val="24"/>
          <w:lang w:val="en-GB"/>
        </w:rPr>
        <w:t xml:space="preserve">pH </w:t>
      </w:r>
      <w:r w:rsidR="00747E14">
        <w:rPr>
          <w:rFonts w:ascii="Arial" w:hAnsi="Arial" w:cs="Arial"/>
          <w:sz w:val="24"/>
          <w:szCs w:val="24"/>
          <w:lang w:val="en-GB"/>
        </w:rPr>
        <w:t xml:space="preserve">cut-off of </w:t>
      </w:r>
      <w:r w:rsidR="00747E14" w:rsidRPr="0040610B">
        <w:rPr>
          <w:rFonts w:ascii="Arial" w:hAnsi="Arial" w:cs="Arial"/>
          <w:sz w:val="24"/>
          <w:szCs w:val="24"/>
          <w:lang w:val="en-GB"/>
        </w:rPr>
        <w:t xml:space="preserve">5.05, </w:t>
      </w:r>
      <w:r w:rsidR="00747E14">
        <w:rPr>
          <w:rFonts w:ascii="Arial" w:hAnsi="Arial" w:cs="Arial"/>
          <w:sz w:val="24"/>
          <w:szCs w:val="24"/>
          <w:lang w:val="en-GB"/>
        </w:rPr>
        <w:t xml:space="preserve">single </w:t>
      </w:r>
      <w:r w:rsidR="00747E14">
        <w:rPr>
          <w:rFonts w:ascii="Arial" w:hAnsi="Arial" w:cs="Arial"/>
          <w:sz w:val="24"/>
          <w:szCs w:val="24"/>
          <w:lang w:val="en-GB"/>
        </w:rPr>
        <w:lastRenderedPageBreak/>
        <w:t>point endoscopic gastric pH analysis had an</w:t>
      </w:r>
      <w:r w:rsidR="00747E14" w:rsidRPr="0040610B">
        <w:rPr>
          <w:rFonts w:ascii="Arial" w:hAnsi="Arial" w:cs="Arial"/>
          <w:sz w:val="24"/>
          <w:szCs w:val="24"/>
          <w:lang w:val="en-GB"/>
        </w:rPr>
        <w:t xml:space="preserve"> area under the ROC curve (AUC) </w:t>
      </w:r>
      <w:r w:rsidR="00747E14">
        <w:rPr>
          <w:rFonts w:ascii="Arial" w:hAnsi="Arial" w:cs="Arial"/>
          <w:sz w:val="24"/>
          <w:szCs w:val="24"/>
          <w:lang w:val="en-GB"/>
        </w:rPr>
        <w:t>of</w:t>
      </w:r>
      <w:r w:rsidR="00747E14" w:rsidRPr="0040610B">
        <w:rPr>
          <w:rFonts w:ascii="Arial" w:hAnsi="Arial" w:cs="Arial"/>
          <w:sz w:val="24"/>
          <w:szCs w:val="24"/>
          <w:lang w:val="en-GB"/>
        </w:rPr>
        <w:t xml:space="preserve"> </w:t>
      </w:r>
      <w:r w:rsidR="00747E14">
        <w:rPr>
          <w:rFonts w:ascii="Arial" w:hAnsi="Arial" w:cs="Arial"/>
          <w:sz w:val="24"/>
          <w:szCs w:val="24"/>
          <w:lang w:val="en-GB"/>
        </w:rPr>
        <w:t>63</w:t>
      </w:r>
      <w:r w:rsidR="00747E14" w:rsidRPr="0040610B">
        <w:rPr>
          <w:rFonts w:ascii="Arial" w:hAnsi="Arial" w:cs="Arial"/>
          <w:sz w:val="24"/>
          <w:szCs w:val="24"/>
          <w:lang w:val="en-GB"/>
        </w:rPr>
        <w:t>.</w:t>
      </w:r>
      <w:r w:rsidR="00747E14">
        <w:rPr>
          <w:rFonts w:ascii="Arial" w:hAnsi="Arial" w:cs="Arial"/>
          <w:sz w:val="24"/>
          <w:szCs w:val="24"/>
          <w:lang w:val="en-GB"/>
        </w:rPr>
        <w:t>0</w:t>
      </w:r>
      <w:r w:rsidR="00747E14" w:rsidRPr="0040610B">
        <w:rPr>
          <w:rFonts w:ascii="Arial" w:hAnsi="Arial" w:cs="Arial"/>
          <w:sz w:val="24"/>
          <w:szCs w:val="24"/>
          <w:lang w:val="en-GB"/>
        </w:rPr>
        <w:t xml:space="preserve">% (95%CI </w:t>
      </w:r>
      <w:r w:rsidR="00747E14">
        <w:rPr>
          <w:rFonts w:ascii="Arial" w:hAnsi="Arial" w:cs="Arial"/>
          <w:sz w:val="24"/>
          <w:szCs w:val="24"/>
          <w:lang w:val="en-GB"/>
        </w:rPr>
        <w:t>51</w:t>
      </w:r>
      <w:r w:rsidR="00747E14" w:rsidRPr="0040610B">
        <w:rPr>
          <w:rFonts w:ascii="Arial" w:hAnsi="Arial" w:cs="Arial"/>
          <w:sz w:val="24"/>
          <w:szCs w:val="24"/>
          <w:lang w:val="en-GB"/>
        </w:rPr>
        <w:t>.</w:t>
      </w:r>
      <w:r w:rsidR="00747E14">
        <w:rPr>
          <w:rFonts w:ascii="Arial" w:hAnsi="Arial" w:cs="Arial"/>
          <w:sz w:val="24"/>
          <w:szCs w:val="24"/>
          <w:lang w:val="en-GB"/>
        </w:rPr>
        <w:t>3</w:t>
      </w:r>
      <w:r w:rsidR="00747E14" w:rsidRPr="0040610B">
        <w:rPr>
          <w:rFonts w:ascii="Arial" w:hAnsi="Arial" w:cs="Arial"/>
          <w:sz w:val="24"/>
          <w:szCs w:val="24"/>
          <w:lang w:val="en-GB"/>
        </w:rPr>
        <w:t>-7</w:t>
      </w:r>
      <w:r w:rsidR="00747E14">
        <w:rPr>
          <w:rFonts w:ascii="Arial" w:hAnsi="Arial" w:cs="Arial"/>
          <w:sz w:val="24"/>
          <w:szCs w:val="24"/>
          <w:lang w:val="en-GB"/>
        </w:rPr>
        <w:t>4</w:t>
      </w:r>
      <w:r w:rsidR="00747E14" w:rsidRPr="0040610B">
        <w:rPr>
          <w:rFonts w:ascii="Arial" w:hAnsi="Arial" w:cs="Arial"/>
          <w:sz w:val="24"/>
          <w:szCs w:val="24"/>
          <w:lang w:val="en-GB"/>
        </w:rPr>
        <w:t>.</w:t>
      </w:r>
      <w:r w:rsidR="00747E14">
        <w:rPr>
          <w:rFonts w:ascii="Arial" w:hAnsi="Arial" w:cs="Arial"/>
          <w:sz w:val="24"/>
          <w:szCs w:val="24"/>
          <w:lang w:val="en-GB"/>
        </w:rPr>
        <w:t>7</w:t>
      </w:r>
      <w:r w:rsidR="00747E14" w:rsidRPr="0040610B">
        <w:rPr>
          <w:rFonts w:ascii="Arial" w:hAnsi="Arial" w:cs="Arial"/>
          <w:sz w:val="24"/>
          <w:szCs w:val="24"/>
          <w:lang w:val="en-GB"/>
        </w:rPr>
        <w:t xml:space="preserve">) </w:t>
      </w:r>
      <w:r w:rsidR="00747E14">
        <w:rPr>
          <w:rFonts w:ascii="Arial" w:hAnsi="Arial" w:cs="Arial"/>
          <w:sz w:val="24"/>
          <w:szCs w:val="24"/>
          <w:lang w:val="en-GB"/>
        </w:rPr>
        <w:t xml:space="preserve">for prediction of pathological esophageal AET. </w:t>
      </w:r>
    </w:p>
    <w:p w14:paraId="7BC0C462" w14:textId="41F6103C" w:rsidR="004F4277" w:rsidRDefault="0045366C" w:rsidP="001B3D49">
      <w:pPr>
        <w:spacing w:line="480" w:lineRule="auto"/>
        <w:jc w:val="both"/>
        <w:rPr>
          <w:rFonts w:ascii="Arial" w:hAnsi="Arial" w:cs="Arial"/>
          <w:b/>
          <w:sz w:val="24"/>
          <w:szCs w:val="24"/>
          <w:lang w:val="en-GB"/>
        </w:rPr>
      </w:pPr>
      <w:r w:rsidRPr="004B4B2E">
        <w:rPr>
          <w:rFonts w:ascii="Arial" w:hAnsi="Arial" w:cs="Arial"/>
          <w:b/>
          <w:sz w:val="24"/>
          <w:szCs w:val="24"/>
          <w:lang w:val="en-GB"/>
        </w:rPr>
        <w:t>Conclusions</w:t>
      </w:r>
    </w:p>
    <w:p w14:paraId="6D362EE9" w14:textId="663B00A0" w:rsidR="00254458" w:rsidRDefault="00B634C2" w:rsidP="001B3D49">
      <w:pPr>
        <w:spacing w:line="480" w:lineRule="auto"/>
        <w:jc w:val="both"/>
        <w:rPr>
          <w:rFonts w:ascii="Arial" w:hAnsi="Arial" w:cs="Arial"/>
          <w:sz w:val="24"/>
          <w:szCs w:val="24"/>
          <w:lang w:val="en-GB"/>
        </w:rPr>
      </w:pPr>
      <w:r w:rsidRPr="004B4B2E">
        <w:rPr>
          <w:rFonts w:ascii="Arial" w:hAnsi="Arial" w:cs="Arial"/>
          <w:sz w:val="24"/>
          <w:szCs w:val="24"/>
          <w:lang w:val="en-GB"/>
        </w:rPr>
        <w:t>S</w:t>
      </w:r>
      <w:r w:rsidR="00B26C17" w:rsidRPr="004B4B2E">
        <w:rPr>
          <w:rFonts w:ascii="Arial" w:hAnsi="Arial" w:cs="Arial"/>
          <w:sz w:val="24"/>
          <w:szCs w:val="24"/>
          <w:lang w:val="en-GB"/>
        </w:rPr>
        <w:t>ymptom</w:t>
      </w:r>
      <w:r w:rsidR="00396776" w:rsidRPr="004B4B2E">
        <w:rPr>
          <w:rFonts w:ascii="Arial" w:hAnsi="Arial" w:cs="Arial"/>
          <w:sz w:val="24"/>
          <w:szCs w:val="24"/>
          <w:lang w:val="en-GB"/>
        </w:rPr>
        <w:t>s</w:t>
      </w:r>
      <w:r w:rsidR="001B1EDC" w:rsidRPr="004B4B2E">
        <w:rPr>
          <w:rFonts w:ascii="Arial" w:hAnsi="Arial" w:cs="Arial"/>
          <w:sz w:val="24"/>
          <w:szCs w:val="24"/>
          <w:lang w:val="en-GB"/>
        </w:rPr>
        <w:t xml:space="preserve"> and </w:t>
      </w:r>
      <w:r w:rsidR="00396776" w:rsidRPr="004B4B2E">
        <w:rPr>
          <w:rFonts w:ascii="Arial" w:hAnsi="Arial" w:cs="Arial"/>
          <w:sz w:val="24"/>
          <w:szCs w:val="24"/>
          <w:lang w:val="en-GB"/>
        </w:rPr>
        <w:t xml:space="preserve">clinical </w:t>
      </w:r>
      <w:r w:rsidR="0062321A" w:rsidRPr="004B4B2E">
        <w:rPr>
          <w:rFonts w:ascii="Arial" w:hAnsi="Arial" w:cs="Arial"/>
          <w:sz w:val="24"/>
          <w:szCs w:val="24"/>
          <w:lang w:val="en-GB"/>
        </w:rPr>
        <w:t>characteristics</w:t>
      </w:r>
      <w:r w:rsidR="00396776" w:rsidRPr="004B4B2E">
        <w:rPr>
          <w:rFonts w:ascii="Arial" w:hAnsi="Arial" w:cs="Arial"/>
          <w:sz w:val="24"/>
          <w:szCs w:val="24"/>
          <w:lang w:val="en-GB"/>
        </w:rPr>
        <w:t xml:space="preserve"> </w:t>
      </w:r>
      <w:r w:rsidR="00B26C17" w:rsidRPr="004B4B2E">
        <w:rPr>
          <w:rFonts w:ascii="Arial" w:hAnsi="Arial" w:cs="Arial"/>
          <w:sz w:val="24"/>
          <w:szCs w:val="24"/>
          <w:lang w:val="en-GB"/>
        </w:rPr>
        <w:t xml:space="preserve">are not useful to predict </w:t>
      </w:r>
      <w:r w:rsidR="006135CF" w:rsidRPr="004B4B2E">
        <w:rPr>
          <w:rFonts w:ascii="Arial" w:hAnsi="Arial" w:cs="Arial"/>
          <w:sz w:val="24"/>
          <w:szCs w:val="24"/>
          <w:lang w:val="en-GB"/>
        </w:rPr>
        <w:t xml:space="preserve">persistent </w:t>
      </w:r>
      <w:r w:rsidR="00396776" w:rsidRPr="004B4B2E">
        <w:rPr>
          <w:rFonts w:ascii="Arial" w:hAnsi="Arial" w:cs="Arial"/>
          <w:sz w:val="24"/>
          <w:szCs w:val="24"/>
          <w:lang w:val="en-GB"/>
        </w:rPr>
        <w:t xml:space="preserve">acid reflux </w:t>
      </w:r>
      <w:r w:rsidR="001B1EDC" w:rsidRPr="004B4B2E">
        <w:rPr>
          <w:rFonts w:ascii="Arial" w:hAnsi="Arial" w:cs="Arial"/>
          <w:sz w:val="24"/>
          <w:szCs w:val="24"/>
          <w:lang w:val="en-GB"/>
        </w:rPr>
        <w:t>in patients on</w:t>
      </w:r>
      <w:r w:rsidR="00396776" w:rsidRPr="004B4B2E">
        <w:rPr>
          <w:rFonts w:ascii="Arial" w:hAnsi="Arial" w:cs="Arial"/>
          <w:sz w:val="24"/>
          <w:szCs w:val="24"/>
          <w:lang w:val="en-GB"/>
        </w:rPr>
        <w:t xml:space="preserve"> PPI</w:t>
      </w:r>
      <w:r w:rsidR="00434E8F" w:rsidRPr="004B4B2E">
        <w:rPr>
          <w:rFonts w:ascii="Arial" w:hAnsi="Arial" w:cs="Arial"/>
          <w:sz w:val="24"/>
          <w:szCs w:val="24"/>
          <w:lang w:val="en-GB"/>
        </w:rPr>
        <w:t>s</w:t>
      </w:r>
      <w:r w:rsidR="00396776" w:rsidRPr="004B4B2E">
        <w:rPr>
          <w:rFonts w:ascii="Arial" w:hAnsi="Arial" w:cs="Arial"/>
          <w:sz w:val="24"/>
          <w:szCs w:val="24"/>
          <w:lang w:val="en-GB"/>
        </w:rPr>
        <w:t xml:space="preserve">. </w:t>
      </w:r>
      <w:r w:rsidRPr="004B4B2E">
        <w:rPr>
          <w:rFonts w:ascii="Arial" w:hAnsi="Arial" w:cs="Arial"/>
          <w:sz w:val="24"/>
          <w:szCs w:val="24"/>
          <w:lang w:val="en-GB"/>
        </w:rPr>
        <w:t>One-</w:t>
      </w:r>
      <w:r w:rsidR="001B1EDC" w:rsidRPr="004B4B2E">
        <w:rPr>
          <w:rFonts w:ascii="Arial" w:hAnsi="Arial" w:cs="Arial"/>
          <w:sz w:val="24"/>
          <w:szCs w:val="24"/>
          <w:lang w:val="en-GB"/>
        </w:rPr>
        <w:t>p</w:t>
      </w:r>
      <w:r w:rsidRPr="004B4B2E">
        <w:rPr>
          <w:rFonts w:ascii="Arial" w:hAnsi="Arial" w:cs="Arial"/>
          <w:sz w:val="24"/>
          <w:szCs w:val="24"/>
          <w:lang w:val="en-GB"/>
        </w:rPr>
        <w:t>oint g</w:t>
      </w:r>
      <w:r w:rsidR="006135CF" w:rsidRPr="004B4B2E">
        <w:rPr>
          <w:rFonts w:ascii="Arial" w:hAnsi="Arial" w:cs="Arial"/>
          <w:sz w:val="24"/>
          <w:szCs w:val="24"/>
          <w:lang w:val="en-GB"/>
        </w:rPr>
        <w:t>astric</w:t>
      </w:r>
      <w:r w:rsidR="0073356B" w:rsidRPr="004B4B2E">
        <w:rPr>
          <w:rFonts w:ascii="Arial" w:hAnsi="Arial" w:cs="Arial"/>
          <w:sz w:val="24"/>
          <w:szCs w:val="24"/>
          <w:lang w:val="en-GB"/>
        </w:rPr>
        <w:t xml:space="preserve"> </w:t>
      </w:r>
      <w:r w:rsidR="006135CF" w:rsidRPr="004B4B2E">
        <w:rPr>
          <w:rFonts w:ascii="Arial" w:hAnsi="Arial" w:cs="Arial"/>
          <w:sz w:val="24"/>
          <w:szCs w:val="24"/>
          <w:lang w:val="en-GB"/>
        </w:rPr>
        <w:t>pH</w:t>
      </w:r>
      <w:r w:rsidRPr="004B4B2E">
        <w:rPr>
          <w:rFonts w:ascii="Arial" w:hAnsi="Arial" w:cs="Arial"/>
          <w:sz w:val="24"/>
          <w:szCs w:val="24"/>
          <w:lang w:val="en-GB"/>
        </w:rPr>
        <w:t xml:space="preserve"> </w:t>
      </w:r>
      <w:r w:rsidR="00B26C17" w:rsidRPr="004B4B2E">
        <w:rPr>
          <w:rFonts w:ascii="Arial" w:hAnsi="Arial" w:cs="Arial"/>
          <w:sz w:val="24"/>
          <w:szCs w:val="24"/>
          <w:lang w:val="en-GB"/>
        </w:rPr>
        <w:t xml:space="preserve">correlates with </w:t>
      </w:r>
      <w:r w:rsidR="00B172C1" w:rsidRPr="004B4B2E">
        <w:rPr>
          <w:rFonts w:ascii="Arial" w:hAnsi="Arial" w:cs="Arial"/>
          <w:sz w:val="24"/>
          <w:szCs w:val="24"/>
          <w:lang w:val="en-GB"/>
        </w:rPr>
        <w:t xml:space="preserve">24-hour esophageal </w:t>
      </w:r>
      <w:r w:rsidR="00B26C17" w:rsidRPr="004B4B2E">
        <w:rPr>
          <w:rFonts w:ascii="Arial" w:hAnsi="Arial" w:cs="Arial"/>
          <w:sz w:val="24"/>
          <w:szCs w:val="24"/>
          <w:lang w:val="en-GB"/>
        </w:rPr>
        <w:t>AET</w:t>
      </w:r>
      <w:r w:rsidR="00E8495A">
        <w:rPr>
          <w:rFonts w:ascii="Arial" w:hAnsi="Arial" w:cs="Arial"/>
          <w:sz w:val="24"/>
          <w:szCs w:val="24"/>
          <w:lang w:val="en-GB"/>
        </w:rPr>
        <w:t xml:space="preserve"> and could</w:t>
      </w:r>
      <w:r w:rsidR="00C66CDA">
        <w:rPr>
          <w:rFonts w:ascii="Arial" w:hAnsi="Arial" w:cs="Arial"/>
          <w:sz w:val="24"/>
          <w:szCs w:val="24"/>
          <w:lang w:val="en-GB"/>
        </w:rPr>
        <w:t xml:space="preserve"> guide clinicians to assess </w:t>
      </w:r>
      <w:r w:rsidR="00C66CDA" w:rsidRPr="00E8495A">
        <w:rPr>
          <w:rFonts w:ascii="Arial" w:hAnsi="Arial" w:cs="Arial"/>
          <w:sz w:val="24"/>
          <w:szCs w:val="24"/>
          <w:lang w:val="en-GB"/>
        </w:rPr>
        <w:t xml:space="preserve">response </w:t>
      </w:r>
      <w:r w:rsidR="00C66CDA">
        <w:rPr>
          <w:rFonts w:ascii="Arial" w:hAnsi="Arial" w:cs="Arial"/>
          <w:sz w:val="24"/>
          <w:szCs w:val="24"/>
          <w:lang w:val="en-GB"/>
        </w:rPr>
        <w:t xml:space="preserve">to </w:t>
      </w:r>
      <w:r w:rsidR="00E8495A" w:rsidRPr="00E8495A">
        <w:rPr>
          <w:rFonts w:ascii="Arial" w:hAnsi="Arial" w:cs="Arial"/>
          <w:sz w:val="24"/>
          <w:szCs w:val="24"/>
          <w:lang w:val="en-GB"/>
        </w:rPr>
        <w:t>PPIs</w:t>
      </w:r>
      <w:r w:rsidR="00E8495A">
        <w:rPr>
          <w:rFonts w:ascii="Arial" w:hAnsi="Arial" w:cs="Arial"/>
          <w:sz w:val="24"/>
          <w:szCs w:val="24"/>
          <w:lang w:val="en-GB"/>
        </w:rPr>
        <w:t>, however, its u</w:t>
      </w:r>
      <w:r w:rsidR="00B172C1" w:rsidRPr="004B4B2E">
        <w:rPr>
          <w:rFonts w:ascii="Arial" w:hAnsi="Arial" w:cs="Arial"/>
          <w:sz w:val="24"/>
          <w:szCs w:val="24"/>
          <w:lang w:val="en-GB"/>
        </w:rPr>
        <w:t>tility needs validation in larger studies</w:t>
      </w:r>
      <w:r w:rsidR="00254458" w:rsidRPr="004B4B2E">
        <w:rPr>
          <w:rFonts w:ascii="Arial" w:hAnsi="Arial" w:cs="Arial"/>
          <w:sz w:val="24"/>
          <w:szCs w:val="24"/>
          <w:lang w:val="en-GB"/>
        </w:rPr>
        <w:t>.</w:t>
      </w:r>
    </w:p>
    <w:p w14:paraId="65A0B946" w14:textId="3AD2D1F3" w:rsidR="00F9013F" w:rsidRDefault="00F9013F" w:rsidP="001B3D49">
      <w:pPr>
        <w:spacing w:line="480" w:lineRule="auto"/>
        <w:jc w:val="both"/>
        <w:rPr>
          <w:rFonts w:ascii="Arial" w:hAnsi="Arial" w:cs="Arial"/>
          <w:sz w:val="24"/>
          <w:szCs w:val="24"/>
          <w:lang w:val="en-GB"/>
        </w:rPr>
      </w:pPr>
      <w:r w:rsidRPr="00F9013F">
        <w:rPr>
          <w:rFonts w:ascii="Arial" w:hAnsi="Arial" w:cs="Arial"/>
          <w:b/>
          <w:sz w:val="24"/>
          <w:szCs w:val="24"/>
          <w:lang w:val="en-GB"/>
        </w:rPr>
        <w:t>Key words</w:t>
      </w:r>
      <w:r>
        <w:rPr>
          <w:rFonts w:ascii="Arial" w:hAnsi="Arial" w:cs="Arial"/>
          <w:sz w:val="24"/>
          <w:szCs w:val="24"/>
          <w:lang w:val="en-GB"/>
        </w:rPr>
        <w:t xml:space="preserve">: </w:t>
      </w:r>
      <w:r w:rsidRPr="00F9013F">
        <w:rPr>
          <w:rFonts w:ascii="Arial" w:hAnsi="Arial" w:cs="Arial"/>
          <w:sz w:val="24"/>
          <w:szCs w:val="24"/>
          <w:lang w:val="en-GB"/>
        </w:rPr>
        <w:t>Gastroesophageal Reflux; Esophagitis;</w:t>
      </w:r>
      <w:r>
        <w:rPr>
          <w:rFonts w:ascii="Arial" w:hAnsi="Arial" w:cs="Arial"/>
          <w:b/>
          <w:sz w:val="24"/>
          <w:szCs w:val="24"/>
          <w:lang w:val="en-GB"/>
        </w:rPr>
        <w:t xml:space="preserve"> </w:t>
      </w:r>
      <w:r w:rsidRPr="00F9013F">
        <w:rPr>
          <w:rFonts w:ascii="Arial" w:hAnsi="Arial" w:cs="Arial"/>
          <w:sz w:val="24"/>
          <w:szCs w:val="24"/>
          <w:lang w:val="en-GB"/>
        </w:rPr>
        <w:t>Barrett Esophagus</w:t>
      </w:r>
      <w:r>
        <w:rPr>
          <w:rFonts w:ascii="Arial" w:hAnsi="Arial" w:cs="Arial"/>
          <w:sz w:val="24"/>
          <w:szCs w:val="24"/>
          <w:lang w:val="en-GB"/>
        </w:rPr>
        <w:t xml:space="preserve">; </w:t>
      </w:r>
      <w:r w:rsidRPr="00F9013F">
        <w:rPr>
          <w:rFonts w:ascii="Arial" w:hAnsi="Arial" w:cs="Arial"/>
          <w:sz w:val="24"/>
          <w:szCs w:val="24"/>
          <w:lang w:val="en-GB"/>
        </w:rPr>
        <w:t>Esophagus</w:t>
      </w:r>
    </w:p>
    <w:p w14:paraId="6A018D02" w14:textId="35C197C9" w:rsidR="008028A9" w:rsidRPr="004F4277" w:rsidRDefault="008028A9" w:rsidP="001B3D49">
      <w:pPr>
        <w:spacing w:line="480" w:lineRule="auto"/>
        <w:jc w:val="both"/>
        <w:rPr>
          <w:rFonts w:ascii="Arial" w:hAnsi="Arial" w:cs="Arial"/>
          <w:b/>
          <w:sz w:val="24"/>
          <w:szCs w:val="24"/>
          <w:lang w:val="en-GB"/>
        </w:rPr>
      </w:pPr>
      <w:r w:rsidRPr="008028A9">
        <w:rPr>
          <w:rFonts w:ascii="Arial" w:hAnsi="Arial" w:cs="Arial"/>
          <w:b/>
          <w:sz w:val="24"/>
          <w:szCs w:val="24"/>
          <w:lang w:val="en-GB"/>
        </w:rPr>
        <w:t xml:space="preserve">Key Summary </w:t>
      </w:r>
    </w:p>
    <w:p w14:paraId="12C6EE49" w14:textId="77777777" w:rsidR="0040295C" w:rsidRDefault="00C008E8" w:rsidP="0040295C">
      <w:pPr>
        <w:pStyle w:val="ListParagraph"/>
        <w:numPr>
          <w:ilvl w:val="0"/>
          <w:numId w:val="5"/>
        </w:numPr>
        <w:spacing w:line="480" w:lineRule="auto"/>
        <w:jc w:val="both"/>
        <w:rPr>
          <w:rFonts w:ascii="Arial" w:hAnsi="Arial" w:cs="Arial"/>
          <w:sz w:val="24"/>
          <w:szCs w:val="24"/>
          <w:lang w:val="en-GB"/>
        </w:rPr>
      </w:pPr>
      <w:r w:rsidRPr="0040295C">
        <w:rPr>
          <w:rFonts w:ascii="Arial" w:hAnsi="Arial" w:cs="Arial"/>
          <w:sz w:val="24"/>
          <w:szCs w:val="24"/>
          <w:lang w:val="en-GB"/>
        </w:rPr>
        <w:t xml:space="preserve">Up to one-third of patients with gastroesophageal reflux </w:t>
      </w:r>
      <w:r w:rsidR="007977C2" w:rsidRPr="0040295C">
        <w:rPr>
          <w:rFonts w:ascii="Arial" w:hAnsi="Arial" w:cs="Arial"/>
          <w:sz w:val="24"/>
          <w:szCs w:val="24"/>
          <w:lang w:val="en-GB"/>
        </w:rPr>
        <w:t xml:space="preserve">disease </w:t>
      </w:r>
      <w:r w:rsidRPr="0040295C">
        <w:rPr>
          <w:rFonts w:ascii="Arial" w:hAnsi="Arial" w:cs="Arial"/>
          <w:sz w:val="24"/>
          <w:szCs w:val="24"/>
          <w:lang w:val="en-GB"/>
        </w:rPr>
        <w:t xml:space="preserve">treated with PPIs have </w:t>
      </w:r>
      <w:r w:rsidR="0040295C" w:rsidRPr="0040295C">
        <w:rPr>
          <w:rFonts w:ascii="Arial" w:hAnsi="Arial" w:cs="Arial"/>
          <w:sz w:val="24"/>
          <w:szCs w:val="24"/>
          <w:lang w:val="en-GB"/>
        </w:rPr>
        <w:t xml:space="preserve">a </w:t>
      </w:r>
      <w:r w:rsidRPr="0040295C">
        <w:rPr>
          <w:rFonts w:ascii="Arial" w:hAnsi="Arial" w:cs="Arial"/>
          <w:sz w:val="24"/>
          <w:szCs w:val="24"/>
          <w:lang w:val="en-GB"/>
        </w:rPr>
        <w:t>poor symptomatic control, which could be due to persistent acid reflux</w:t>
      </w:r>
      <w:r w:rsidR="004F59BB" w:rsidRPr="0040295C">
        <w:rPr>
          <w:rFonts w:ascii="Arial" w:hAnsi="Arial" w:cs="Arial"/>
          <w:sz w:val="24"/>
          <w:szCs w:val="24"/>
          <w:lang w:val="en-GB"/>
        </w:rPr>
        <w:t xml:space="preserve"> or organ hypersensitivity to non-acid reflux.</w:t>
      </w:r>
      <w:r w:rsidR="0040295C">
        <w:rPr>
          <w:rFonts w:ascii="Arial" w:hAnsi="Arial" w:cs="Arial"/>
          <w:sz w:val="24"/>
          <w:szCs w:val="24"/>
          <w:lang w:val="en-GB"/>
        </w:rPr>
        <w:t xml:space="preserve"> </w:t>
      </w:r>
    </w:p>
    <w:p w14:paraId="3B80DB19" w14:textId="74B01F16" w:rsidR="004F59BB" w:rsidRPr="0040295C" w:rsidRDefault="004F59BB" w:rsidP="0040295C">
      <w:pPr>
        <w:pStyle w:val="ListParagraph"/>
        <w:numPr>
          <w:ilvl w:val="0"/>
          <w:numId w:val="5"/>
        </w:numPr>
        <w:spacing w:line="480" w:lineRule="auto"/>
        <w:jc w:val="both"/>
        <w:rPr>
          <w:rFonts w:ascii="Arial" w:hAnsi="Arial" w:cs="Arial"/>
          <w:sz w:val="24"/>
          <w:szCs w:val="24"/>
          <w:lang w:val="en-GB"/>
        </w:rPr>
      </w:pPr>
      <w:r w:rsidRPr="0040295C">
        <w:rPr>
          <w:rFonts w:ascii="Arial" w:hAnsi="Arial" w:cs="Arial"/>
          <w:sz w:val="24"/>
          <w:szCs w:val="24"/>
          <w:lang w:val="en-GB"/>
        </w:rPr>
        <w:t xml:space="preserve">It is unclear whether clinical parameters at the time of the diagnostic endoscopy can guide in the diagnostic pathway. </w:t>
      </w:r>
    </w:p>
    <w:p w14:paraId="01B542EB" w14:textId="20189BE9" w:rsidR="004F4277" w:rsidRDefault="004F59BB" w:rsidP="008028A9">
      <w:pPr>
        <w:pStyle w:val="ListParagraph"/>
        <w:numPr>
          <w:ilvl w:val="0"/>
          <w:numId w:val="5"/>
        </w:numPr>
        <w:spacing w:line="480" w:lineRule="auto"/>
        <w:jc w:val="both"/>
        <w:rPr>
          <w:rFonts w:ascii="Arial" w:hAnsi="Arial" w:cs="Arial"/>
          <w:sz w:val="24"/>
          <w:szCs w:val="24"/>
          <w:lang w:val="en-GB"/>
        </w:rPr>
      </w:pPr>
      <w:r>
        <w:rPr>
          <w:rFonts w:ascii="Arial" w:hAnsi="Arial" w:cs="Arial"/>
          <w:sz w:val="24"/>
          <w:szCs w:val="24"/>
          <w:lang w:val="en-GB"/>
        </w:rPr>
        <w:t xml:space="preserve">Ambulatory pH-impedance test is useful to distinguish between persistent acid reflux and esophageal hypersensitivity. </w:t>
      </w:r>
    </w:p>
    <w:p w14:paraId="5DDCCF03" w14:textId="11449C69" w:rsidR="009A0808" w:rsidRDefault="004F59BB" w:rsidP="008028A9">
      <w:pPr>
        <w:pStyle w:val="ListParagraph"/>
        <w:numPr>
          <w:ilvl w:val="0"/>
          <w:numId w:val="5"/>
        </w:numPr>
        <w:spacing w:line="480" w:lineRule="auto"/>
        <w:jc w:val="both"/>
        <w:rPr>
          <w:rFonts w:ascii="Arial" w:hAnsi="Arial" w:cs="Arial"/>
          <w:sz w:val="24"/>
          <w:szCs w:val="24"/>
          <w:lang w:val="en-GB"/>
        </w:rPr>
      </w:pPr>
      <w:r>
        <w:rPr>
          <w:rFonts w:ascii="Arial" w:hAnsi="Arial" w:cs="Arial"/>
          <w:sz w:val="24"/>
          <w:szCs w:val="24"/>
          <w:lang w:val="en-GB"/>
        </w:rPr>
        <w:t>We found that c</w:t>
      </w:r>
      <w:r w:rsidR="00C008E8" w:rsidRPr="004F59BB">
        <w:rPr>
          <w:rFonts w:ascii="Arial" w:hAnsi="Arial" w:cs="Arial"/>
          <w:sz w:val="24"/>
          <w:szCs w:val="24"/>
          <w:lang w:val="en-GB"/>
        </w:rPr>
        <w:t xml:space="preserve">onventional clinical characteristics, including </w:t>
      </w:r>
      <w:r w:rsidR="0077796F">
        <w:rPr>
          <w:rFonts w:ascii="Arial" w:hAnsi="Arial" w:cs="Arial"/>
          <w:sz w:val="24"/>
          <w:szCs w:val="24"/>
          <w:lang w:val="en-GB"/>
        </w:rPr>
        <w:t>the</w:t>
      </w:r>
      <w:r w:rsidR="00C008E8" w:rsidRPr="004F59BB">
        <w:rPr>
          <w:rFonts w:ascii="Arial" w:hAnsi="Arial" w:cs="Arial"/>
          <w:sz w:val="24"/>
          <w:szCs w:val="24"/>
          <w:lang w:val="en-GB"/>
        </w:rPr>
        <w:t xml:space="preserve"> severity of symptoms, are not useful to predict persistent acid reflux in patients on PPIs. </w:t>
      </w:r>
    </w:p>
    <w:p w14:paraId="08BF01E2" w14:textId="103112C8" w:rsidR="004F4277" w:rsidRPr="008028A9" w:rsidRDefault="00C008E8" w:rsidP="008028A9">
      <w:pPr>
        <w:pStyle w:val="ListParagraph"/>
        <w:numPr>
          <w:ilvl w:val="0"/>
          <w:numId w:val="5"/>
        </w:numPr>
        <w:spacing w:line="480" w:lineRule="auto"/>
        <w:jc w:val="both"/>
        <w:rPr>
          <w:rFonts w:ascii="Arial" w:hAnsi="Arial" w:cs="Arial"/>
          <w:sz w:val="24"/>
          <w:szCs w:val="24"/>
          <w:lang w:val="en-GB"/>
        </w:rPr>
      </w:pPr>
      <w:r w:rsidRPr="004F59BB">
        <w:rPr>
          <w:rFonts w:ascii="Arial" w:hAnsi="Arial" w:cs="Arial"/>
          <w:sz w:val="24"/>
          <w:szCs w:val="24"/>
          <w:lang w:val="en-GB"/>
        </w:rPr>
        <w:t xml:space="preserve">One-point gastric pH </w:t>
      </w:r>
      <w:r w:rsidR="009A0808">
        <w:rPr>
          <w:rFonts w:ascii="Arial" w:hAnsi="Arial" w:cs="Arial"/>
          <w:sz w:val="24"/>
          <w:szCs w:val="24"/>
          <w:lang w:val="en-GB"/>
        </w:rPr>
        <w:t xml:space="preserve">measured </w:t>
      </w:r>
      <w:r w:rsidR="00D83C61">
        <w:rPr>
          <w:rFonts w:ascii="Arial" w:hAnsi="Arial" w:cs="Arial"/>
          <w:sz w:val="24"/>
          <w:szCs w:val="24"/>
          <w:lang w:val="en-GB"/>
        </w:rPr>
        <w:t xml:space="preserve">during endoscopy </w:t>
      </w:r>
      <w:r w:rsidR="009A0808">
        <w:rPr>
          <w:rFonts w:ascii="Arial" w:hAnsi="Arial" w:cs="Arial"/>
          <w:sz w:val="24"/>
          <w:szCs w:val="24"/>
          <w:lang w:val="en-GB"/>
        </w:rPr>
        <w:t xml:space="preserve">by </w:t>
      </w:r>
      <w:proofErr w:type="spellStart"/>
      <w:r w:rsidR="009A0808">
        <w:rPr>
          <w:rFonts w:ascii="Arial" w:hAnsi="Arial" w:cs="Arial"/>
          <w:sz w:val="24"/>
          <w:szCs w:val="24"/>
          <w:lang w:val="en-GB"/>
        </w:rPr>
        <w:t>Endofaster</w:t>
      </w:r>
      <w:proofErr w:type="spellEnd"/>
      <w:r w:rsidR="009A0808">
        <w:rPr>
          <w:rFonts w:ascii="Arial" w:hAnsi="Arial" w:cs="Arial"/>
          <w:sz w:val="24"/>
          <w:szCs w:val="24"/>
          <w:lang w:val="en-GB"/>
        </w:rPr>
        <w:t xml:space="preserve"> </w:t>
      </w:r>
      <w:r w:rsidRPr="004F59BB">
        <w:rPr>
          <w:rFonts w:ascii="Arial" w:hAnsi="Arial" w:cs="Arial"/>
          <w:sz w:val="24"/>
          <w:szCs w:val="24"/>
          <w:lang w:val="en-GB"/>
        </w:rPr>
        <w:t xml:space="preserve">correlates with </w:t>
      </w:r>
      <w:r w:rsidR="00007D37">
        <w:rPr>
          <w:rFonts w:ascii="Arial" w:hAnsi="Arial" w:cs="Arial"/>
          <w:sz w:val="24"/>
          <w:szCs w:val="24"/>
          <w:lang w:val="en-GB"/>
        </w:rPr>
        <w:t xml:space="preserve">total </w:t>
      </w:r>
      <w:r w:rsidRPr="004F59BB">
        <w:rPr>
          <w:rFonts w:ascii="Arial" w:hAnsi="Arial" w:cs="Arial"/>
          <w:sz w:val="24"/>
          <w:szCs w:val="24"/>
          <w:lang w:val="en-GB"/>
        </w:rPr>
        <w:t>esophageal acid exposure time in 24-h</w:t>
      </w:r>
      <w:r w:rsidR="007977C2" w:rsidRPr="008028A9">
        <w:rPr>
          <w:rFonts w:ascii="Arial" w:hAnsi="Arial" w:cs="Arial"/>
          <w:sz w:val="24"/>
          <w:szCs w:val="24"/>
          <w:lang w:val="en-GB"/>
        </w:rPr>
        <w:t>our</w:t>
      </w:r>
      <w:r w:rsidRPr="008028A9">
        <w:rPr>
          <w:rFonts w:ascii="Arial" w:hAnsi="Arial" w:cs="Arial"/>
          <w:sz w:val="24"/>
          <w:szCs w:val="24"/>
          <w:lang w:val="en-GB"/>
        </w:rPr>
        <w:t xml:space="preserve"> pH-impedance test</w:t>
      </w:r>
      <w:r w:rsidR="009E3752">
        <w:rPr>
          <w:rFonts w:ascii="Arial" w:hAnsi="Arial" w:cs="Arial"/>
          <w:sz w:val="24"/>
          <w:szCs w:val="24"/>
          <w:lang w:val="en-GB"/>
        </w:rPr>
        <w:t>, with an area under the ROC curve of 63% for pathological esophageal acid exposure</w:t>
      </w:r>
      <w:r w:rsidRPr="008028A9">
        <w:rPr>
          <w:rFonts w:ascii="Arial" w:hAnsi="Arial" w:cs="Arial"/>
          <w:sz w:val="24"/>
          <w:szCs w:val="24"/>
          <w:lang w:val="en-GB"/>
        </w:rPr>
        <w:t xml:space="preserve">. </w:t>
      </w:r>
    </w:p>
    <w:p w14:paraId="589E7A31" w14:textId="379705C8" w:rsidR="004F4277" w:rsidRDefault="00C008E8" w:rsidP="00C008E8">
      <w:pPr>
        <w:pStyle w:val="ListParagraph"/>
        <w:numPr>
          <w:ilvl w:val="0"/>
          <w:numId w:val="5"/>
        </w:numPr>
        <w:spacing w:line="480" w:lineRule="auto"/>
        <w:jc w:val="both"/>
        <w:rPr>
          <w:rFonts w:ascii="Arial" w:hAnsi="Arial" w:cs="Arial"/>
          <w:sz w:val="24"/>
          <w:szCs w:val="24"/>
          <w:lang w:val="en-GB"/>
        </w:rPr>
      </w:pPr>
      <w:r>
        <w:rPr>
          <w:rFonts w:ascii="Arial" w:hAnsi="Arial" w:cs="Arial"/>
          <w:sz w:val="24"/>
          <w:szCs w:val="24"/>
          <w:lang w:val="en-GB"/>
        </w:rPr>
        <w:t xml:space="preserve">Gastric pH measured with </w:t>
      </w:r>
      <w:proofErr w:type="spellStart"/>
      <w:r w:rsidRPr="00C008E8">
        <w:rPr>
          <w:rFonts w:ascii="Arial" w:hAnsi="Arial" w:cs="Arial"/>
          <w:sz w:val="24"/>
          <w:szCs w:val="24"/>
          <w:lang w:val="en-GB"/>
        </w:rPr>
        <w:t>Endofaster</w:t>
      </w:r>
      <w:proofErr w:type="spellEnd"/>
      <w:r w:rsidR="009E3752">
        <w:rPr>
          <w:rFonts w:ascii="Arial" w:hAnsi="Arial" w:cs="Arial"/>
          <w:sz w:val="24"/>
          <w:szCs w:val="24"/>
          <w:lang w:val="en-GB"/>
        </w:rPr>
        <w:t>,</w:t>
      </w:r>
      <w:r w:rsidRPr="00C008E8">
        <w:rPr>
          <w:rFonts w:ascii="Arial" w:hAnsi="Arial" w:cs="Arial"/>
          <w:sz w:val="24"/>
          <w:szCs w:val="24"/>
          <w:lang w:val="en-GB"/>
        </w:rPr>
        <w:t xml:space="preserve"> in association with </w:t>
      </w:r>
      <w:r w:rsidR="00E8495A">
        <w:rPr>
          <w:rFonts w:ascii="Arial" w:hAnsi="Arial" w:cs="Arial"/>
          <w:sz w:val="24"/>
          <w:szCs w:val="24"/>
          <w:lang w:val="en-GB"/>
        </w:rPr>
        <w:t>clinical</w:t>
      </w:r>
      <w:r w:rsidR="00E8495A" w:rsidRPr="00C008E8">
        <w:rPr>
          <w:rFonts w:ascii="Arial" w:hAnsi="Arial" w:cs="Arial"/>
          <w:sz w:val="24"/>
          <w:szCs w:val="24"/>
          <w:lang w:val="en-GB"/>
        </w:rPr>
        <w:t xml:space="preserve"> </w:t>
      </w:r>
      <w:r w:rsidRPr="00C008E8">
        <w:rPr>
          <w:rFonts w:ascii="Arial" w:hAnsi="Arial" w:cs="Arial"/>
          <w:sz w:val="24"/>
          <w:szCs w:val="24"/>
          <w:lang w:val="en-GB"/>
        </w:rPr>
        <w:t>assessment</w:t>
      </w:r>
      <w:r w:rsidR="009E3752">
        <w:rPr>
          <w:rFonts w:ascii="Arial" w:hAnsi="Arial" w:cs="Arial"/>
          <w:sz w:val="24"/>
          <w:szCs w:val="24"/>
          <w:lang w:val="en-GB"/>
        </w:rPr>
        <w:t>,</w:t>
      </w:r>
      <w:r w:rsidRPr="00C008E8">
        <w:rPr>
          <w:rFonts w:ascii="Arial" w:hAnsi="Arial" w:cs="Arial"/>
          <w:sz w:val="24"/>
          <w:szCs w:val="24"/>
          <w:lang w:val="en-GB"/>
        </w:rPr>
        <w:t xml:space="preserve"> </w:t>
      </w:r>
      <w:r w:rsidR="00A312CA">
        <w:rPr>
          <w:rFonts w:ascii="Arial" w:hAnsi="Arial" w:cs="Arial"/>
          <w:sz w:val="24"/>
          <w:szCs w:val="24"/>
          <w:lang w:val="en-GB"/>
        </w:rPr>
        <w:t xml:space="preserve">can inform about </w:t>
      </w:r>
      <w:r w:rsidR="009E3752">
        <w:rPr>
          <w:rFonts w:ascii="Arial" w:hAnsi="Arial" w:cs="Arial"/>
          <w:sz w:val="24"/>
          <w:szCs w:val="24"/>
          <w:lang w:val="en-GB"/>
        </w:rPr>
        <w:t xml:space="preserve">suboptimal </w:t>
      </w:r>
      <w:r w:rsidR="00A312CA">
        <w:rPr>
          <w:rFonts w:ascii="Arial" w:hAnsi="Arial" w:cs="Arial"/>
          <w:sz w:val="24"/>
          <w:szCs w:val="24"/>
          <w:lang w:val="en-GB"/>
        </w:rPr>
        <w:t xml:space="preserve">pharmacological response to PPIs and </w:t>
      </w:r>
      <w:r w:rsidR="009E3752">
        <w:rPr>
          <w:rFonts w:ascii="Arial" w:hAnsi="Arial" w:cs="Arial"/>
          <w:sz w:val="24"/>
          <w:szCs w:val="24"/>
          <w:lang w:val="en-GB"/>
        </w:rPr>
        <w:t xml:space="preserve">help </w:t>
      </w:r>
      <w:r w:rsidRPr="00C008E8">
        <w:rPr>
          <w:rFonts w:ascii="Arial" w:hAnsi="Arial" w:cs="Arial"/>
          <w:sz w:val="24"/>
          <w:szCs w:val="24"/>
          <w:lang w:val="en-GB"/>
        </w:rPr>
        <w:t>triage patients for pH-impedance test</w:t>
      </w:r>
    </w:p>
    <w:p w14:paraId="73C25F98" w14:textId="08195D1A" w:rsidR="006D2F4F" w:rsidRPr="004B4B2E" w:rsidRDefault="00216370" w:rsidP="001B3D49">
      <w:pPr>
        <w:pStyle w:val="ListParagraph"/>
        <w:numPr>
          <w:ilvl w:val="0"/>
          <w:numId w:val="3"/>
        </w:numPr>
        <w:spacing w:line="480" w:lineRule="auto"/>
        <w:jc w:val="both"/>
        <w:rPr>
          <w:rFonts w:ascii="Arial" w:hAnsi="Arial" w:cs="Arial"/>
          <w:b/>
          <w:sz w:val="24"/>
          <w:szCs w:val="24"/>
          <w:lang w:val="en-GB"/>
        </w:rPr>
      </w:pPr>
      <w:r w:rsidRPr="004B4B2E">
        <w:rPr>
          <w:rFonts w:ascii="Arial" w:hAnsi="Arial" w:cs="Arial"/>
          <w:b/>
          <w:sz w:val="24"/>
          <w:szCs w:val="24"/>
          <w:lang w:val="en-GB"/>
        </w:rPr>
        <w:lastRenderedPageBreak/>
        <w:t>INTRODUCTION</w:t>
      </w:r>
    </w:p>
    <w:p w14:paraId="59D24BCC" w14:textId="74680A7F" w:rsidR="00EC6C91" w:rsidRPr="004B4B2E" w:rsidRDefault="00D416A8" w:rsidP="001B3D49">
      <w:pPr>
        <w:spacing w:line="480" w:lineRule="auto"/>
        <w:jc w:val="both"/>
        <w:rPr>
          <w:rFonts w:ascii="Arial" w:hAnsi="Arial" w:cs="Arial"/>
          <w:sz w:val="24"/>
          <w:szCs w:val="24"/>
          <w:lang w:val="en-GB"/>
        </w:rPr>
      </w:pPr>
      <w:r w:rsidRPr="004B4B2E">
        <w:rPr>
          <w:rFonts w:ascii="Arial" w:hAnsi="Arial" w:cs="Arial"/>
          <w:sz w:val="24"/>
          <w:szCs w:val="24"/>
          <w:lang w:val="en-GB"/>
        </w:rPr>
        <w:t>Gastroesophageal reflux disease (GERD) develops when the reflux of stomach contents</w:t>
      </w:r>
      <w:r w:rsidR="004629FE" w:rsidRPr="004B4B2E">
        <w:rPr>
          <w:rFonts w:ascii="Arial" w:hAnsi="Arial" w:cs="Arial"/>
          <w:sz w:val="24"/>
          <w:szCs w:val="24"/>
          <w:lang w:val="en-GB"/>
        </w:rPr>
        <w:t xml:space="preserve"> into the esophagus</w:t>
      </w:r>
      <w:r w:rsidRPr="004B4B2E">
        <w:rPr>
          <w:rFonts w:ascii="Arial" w:hAnsi="Arial" w:cs="Arial"/>
          <w:sz w:val="24"/>
          <w:szCs w:val="24"/>
          <w:lang w:val="en-GB"/>
        </w:rPr>
        <w:t xml:space="preserve"> causes troublesome symptoms, </w:t>
      </w:r>
      <w:r w:rsidR="004629FE" w:rsidRPr="004B4B2E">
        <w:rPr>
          <w:rFonts w:ascii="Arial" w:hAnsi="Arial" w:cs="Arial"/>
          <w:sz w:val="24"/>
          <w:szCs w:val="24"/>
          <w:lang w:val="en-GB"/>
        </w:rPr>
        <w:t xml:space="preserve">esophageal </w:t>
      </w:r>
      <w:r w:rsidRPr="004B4B2E">
        <w:rPr>
          <w:rFonts w:ascii="Arial" w:hAnsi="Arial" w:cs="Arial"/>
          <w:sz w:val="24"/>
          <w:szCs w:val="24"/>
          <w:lang w:val="en-GB"/>
        </w:rPr>
        <w:t>mucosal injury, or both</w:t>
      </w:r>
      <w:r w:rsidR="005E545C" w:rsidRPr="00745AEB">
        <w:rPr>
          <w:rFonts w:ascii="Arial" w:hAnsi="Arial" w:cs="Arial"/>
          <w:sz w:val="24"/>
          <w:szCs w:val="24"/>
          <w:lang w:val="en-GB"/>
        </w:rPr>
        <w:fldChar w:fldCharType="begin" w:fldLock="1"/>
      </w:r>
      <w:r w:rsidR="005E545C" w:rsidRPr="004B4B2E">
        <w:rPr>
          <w:rFonts w:ascii="Arial" w:hAnsi="Arial" w:cs="Arial"/>
          <w:sz w:val="24"/>
          <w:szCs w:val="24"/>
          <w:lang w:val="en-GB"/>
        </w:rPr>
        <w:instrText>ADDIN CSL_CITATION {"citationItems":[{"id":"ITEM-1","itemData":{"DOI":"10.1016/S0140-6736(12)62171-0","ISBN":"9780323072557","ISSN":"1474547X","PMID":"23477993","abstract":"Gastro-oesophageal reflux disease is one of the most common disorders of the gastrointestinal tract. Over past decades, considerable shifts in thinking about the disease have taken place. At a time when radiology was the only diagnostic test available, reflux disease was regarded as synonymous with hiatus hernia. After the advent of the flexible endoscope, reflux disease was, for a period, equated to oesophagitis. The introduction of oesophageal pH monitoring made us believe that reflux disease could be defined by an abnormally high proportion of time with oesophageal pH less than 4. Moreover, the successive arrival of histamine-2-receptor antagonists and proton-pump inhibitors changed our idea of treatment for the disease, with swings from and towards surgery, endoscopic techniques, and alternative pharmaceutical options.","author":[{"dropping-particle":"","family":"Bredenoord","given":"Albert J","non-dropping-particle":"","parse-names":false,"suffix":""},{"dropping-particle":"","family":"Pandolfino","given":"John E.","non-dropping-particle":"","parse-names":false,"suffix":""},{"dropping-particle":"","family":"Smout","given":"André J.P.M.","non-dropping-particle":"","parse-names":false,"suffix":""}],"container-title":"The Lancet","id":"ITEM-1","issue":"9881","issued":{"date-parts":[["2013"]]},"page":"1933-1942","title":"Gastro-oesophageal reflux disease","type":"article-journal","volume":"381"},"uris":["http://www.mendeley.com/documents/?uuid=7887284e-19e9-36f6-b43d-8a327f7b8692"]}],"mendeley":{"formattedCitation":"&lt;sup&gt;1&lt;/sup&gt;","plainTextFormattedCitation":"1","previouslyFormattedCitation":"&lt;sup&gt;1&lt;/sup&gt;"},"properties":{"noteIndex":0},"schema":"https://github.com/citation-style-language/schema/raw/master/csl-citation.json"}</w:instrText>
      </w:r>
      <w:r w:rsidR="005E545C" w:rsidRPr="00745AEB">
        <w:rPr>
          <w:rFonts w:ascii="Arial" w:hAnsi="Arial" w:cs="Arial"/>
          <w:sz w:val="24"/>
          <w:szCs w:val="24"/>
          <w:lang w:val="en-GB"/>
        </w:rPr>
        <w:fldChar w:fldCharType="separate"/>
      </w:r>
      <w:r w:rsidR="005E545C" w:rsidRPr="00745AEB">
        <w:rPr>
          <w:rFonts w:ascii="Arial" w:hAnsi="Arial" w:cs="Arial"/>
          <w:noProof/>
          <w:sz w:val="24"/>
          <w:szCs w:val="24"/>
          <w:vertAlign w:val="superscript"/>
          <w:lang w:val="en-GB"/>
        </w:rPr>
        <w:t>1</w:t>
      </w:r>
      <w:r w:rsidR="005E545C" w:rsidRPr="00745AEB">
        <w:rPr>
          <w:rFonts w:ascii="Arial" w:hAnsi="Arial" w:cs="Arial"/>
          <w:sz w:val="24"/>
          <w:szCs w:val="24"/>
          <w:lang w:val="en-GB"/>
        </w:rPr>
        <w:fldChar w:fldCharType="end"/>
      </w:r>
      <w:r w:rsidRPr="004B4B2E">
        <w:rPr>
          <w:rFonts w:ascii="Arial" w:hAnsi="Arial" w:cs="Arial"/>
          <w:sz w:val="24"/>
          <w:szCs w:val="24"/>
          <w:lang w:val="en-GB"/>
        </w:rPr>
        <w:t xml:space="preserve">. It is postulated, that typical </w:t>
      </w:r>
      <w:r w:rsidR="0071485E" w:rsidRPr="004B4B2E">
        <w:rPr>
          <w:rFonts w:ascii="Arial" w:hAnsi="Arial" w:cs="Arial"/>
          <w:sz w:val="24"/>
          <w:szCs w:val="24"/>
          <w:lang w:val="en-GB"/>
        </w:rPr>
        <w:t xml:space="preserve">GERD </w:t>
      </w:r>
      <w:r w:rsidRPr="004B4B2E">
        <w:rPr>
          <w:rFonts w:ascii="Arial" w:hAnsi="Arial" w:cs="Arial"/>
          <w:sz w:val="24"/>
          <w:szCs w:val="24"/>
          <w:lang w:val="en-GB"/>
        </w:rPr>
        <w:t xml:space="preserve">symptoms, including heartburn and/or regurgitation, affect </w:t>
      </w:r>
      <w:r w:rsidR="008F2163" w:rsidRPr="004B4B2E">
        <w:rPr>
          <w:rFonts w:ascii="Arial" w:hAnsi="Arial" w:cs="Arial"/>
          <w:sz w:val="24"/>
          <w:szCs w:val="24"/>
          <w:lang w:val="en-GB"/>
        </w:rPr>
        <w:t xml:space="preserve">nearly 30% of </w:t>
      </w:r>
      <w:r w:rsidR="00443893" w:rsidRPr="004B4B2E">
        <w:rPr>
          <w:rFonts w:ascii="Arial" w:hAnsi="Arial" w:cs="Arial"/>
          <w:sz w:val="24"/>
          <w:szCs w:val="24"/>
          <w:lang w:val="en-GB"/>
        </w:rPr>
        <w:t xml:space="preserve">the </w:t>
      </w:r>
      <w:r w:rsidR="008F2163" w:rsidRPr="004B4B2E">
        <w:rPr>
          <w:rFonts w:ascii="Arial" w:hAnsi="Arial" w:cs="Arial"/>
          <w:noProof/>
          <w:sz w:val="24"/>
          <w:szCs w:val="24"/>
          <w:lang w:val="en-GB"/>
        </w:rPr>
        <w:t>general</w:t>
      </w:r>
      <w:r w:rsidR="008F2163" w:rsidRPr="004B4B2E">
        <w:rPr>
          <w:rFonts w:ascii="Arial" w:hAnsi="Arial" w:cs="Arial"/>
          <w:sz w:val="24"/>
          <w:szCs w:val="24"/>
          <w:lang w:val="en-GB"/>
        </w:rPr>
        <w:t xml:space="preserve"> population</w:t>
      </w:r>
      <w:r w:rsidR="00A26169" w:rsidRPr="004B4B2E">
        <w:rPr>
          <w:rFonts w:ascii="Arial" w:hAnsi="Arial" w:cs="Arial"/>
          <w:sz w:val="24"/>
          <w:szCs w:val="24"/>
          <w:lang w:val="en-GB"/>
        </w:rPr>
        <w:t xml:space="preserve"> in the </w:t>
      </w:r>
      <w:r w:rsidR="00B572EB">
        <w:rPr>
          <w:rFonts w:ascii="Arial" w:hAnsi="Arial" w:cs="Arial"/>
          <w:sz w:val="24"/>
          <w:szCs w:val="24"/>
          <w:lang w:val="en-GB"/>
        </w:rPr>
        <w:t>W</w:t>
      </w:r>
      <w:r w:rsidR="00B572EB" w:rsidRPr="004B4B2E">
        <w:rPr>
          <w:rFonts w:ascii="Arial" w:hAnsi="Arial" w:cs="Arial"/>
          <w:sz w:val="24"/>
          <w:szCs w:val="24"/>
          <w:lang w:val="en-GB"/>
        </w:rPr>
        <w:t xml:space="preserve">estern </w:t>
      </w:r>
      <w:r w:rsidR="00B572EB">
        <w:rPr>
          <w:rFonts w:ascii="Arial" w:hAnsi="Arial" w:cs="Arial"/>
          <w:sz w:val="24"/>
          <w:szCs w:val="24"/>
          <w:lang w:val="en-GB"/>
        </w:rPr>
        <w:t>W</w:t>
      </w:r>
      <w:r w:rsidR="00B572EB" w:rsidRPr="004B4B2E">
        <w:rPr>
          <w:rFonts w:ascii="Arial" w:hAnsi="Arial" w:cs="Arial"/>
          <w:sz w:val="24"/>
          <w:szCs w:val="24"/>
          <w:lang w:val="en-GB"/>
        </w:rPr>
        <w:t>orld</w:t>
      </w:r>
      <w:r w:rsidR="00B572EB" w:rsidRPr="00745AEB">
        <w:rPr>
          <w:rFonts w:ascii="Arial" w:hAnsi="Arial" w:cs="Arial"/>
          <w:sz w:val="24"/>
          <w:szCs w:val="24"/>
          <w:lang w:val="en-GB"/>
        </w:rPr>
        <w:fldChar w:fldCharType="begin" w:fldLock="1"/>
      </w:r>
      <w:r w:rsidR="00B572EB" w:rsidRPr="004B4B2E">
        <w:rPr>
          <w:rFonts w:ascii="Arial" w:hAnsi="Arial" w:cs="Arial"/>
          <w:sz w:val="24"/>
          <w:szCs w:val="24"/>
          <w:lang w:val="en-GB"/>
        </w:rPr>
        <w:instrText>ADDIN CSL_CITATION {"citationItems":[{"id":"ITEM-1","itemData":{"DOI":"10.1053/j.gastro.2015.08.045","ISBN":"0016-5085","ISSN":"15280012","PMID":"26327134","abstract":"Background &amp; Aims Gastrointestinal (GI), liver, and pancreatic diseases are a source of substantial morbidity, mortality, and cost in the United States. Quantification and statistical analyses of the burden of these diseases are important for researchers, clinicians, policy makers, and public health professionals. We gathered data from national databases to estimate the burden and cost of GI and liver disease in the United States. Methods We collected statistics on health care utilization in the ambulatory and inpatient setting along with data on cancers and mortality from 2007 through 2012. We included trends in utilization and charges. The most recent data were obtained from the Centers for Disease Control and Prevention, the Agency for Healthcare Research and Quality, and the National Cancer Institute. Results There were 7 million diagnoses of gastroesophageal reflux and almost 4 million diagnoses of hemorrhoids in the ambulatory setting in a year. Functional and motility disorders resulted in nearly 1 million emergency department visits in 2012; most of these visits were for constipation. GI hemorrhage was the most common diagnosis leading to hospitalization, with &gt;500,000 discharges in 2012, at a cost of nearly $5 billion dollars. Hospitalizations and associated charges for inflammatory bowel disease, Clostridium difficile infection, and chronic liver disease have increased during the last 20 years. In 2011, there were &gt;1 million people in the United States living with colorectal cancer. The leading GI cause of death was colorectal cancer, followed by pancreatic and hepatobiliary neoplasms. Conclusions GI, liver and pancreatic diseases are a source of substantial burden and cost in the United States.","author":[{"dropping-particle":"","family":"Peery","given":"Anne F","non-dropping-particle":"","parse-names":false,"suffix":""},{"dropping-particle":"","family":"Crockett","given":"Seth D","non-dropping-particle":"","parse-names":false,"suffix":""},{"dropping-particle":"","family":"Barritt","given":"Alfred S","non-dropping-particle":"","parse-names":false,"suffix":""},{"dropping-particle":"","family":"Dellon","given":"Evan S","non-dropping-particle":"","parse-names":false,"suffix":""},{"dropping-particle":"","family":"Eluri","given":"Swathi","non-dropping-particle":"","parse-names":false,"suffix":""},{"dropping-particle":"","family":"Gangarosa","given":"Lisa M","non-dropping-particle":"","parse-names":false,"suffix":""},{"dropping-particle":"","family":"Jensen","given":"Elizabeth T","non-dropping-particle":"","parse-names":false,"suffix":""},{"dropping-particle":"","family":"Lund","given":"Jennifer L","non-dropping-particle":"","parse-names":false,"suffix":""},{"dropping-particle":"","family":"Pasricha","given":"Sarina","non-dropping-particle":"","parse-names":false,"suffix":""},{"dropping-particle":"","family":"Runge","given":"Thomas","non-dropping-particle":"","parse-names":false,"suffix":""},{"dropping-particle":"","family":"Schmidt","given":"Monica","non-dropping-particle":"","parse-names":false,"suffix":""},{"dropping-particle":"","family":"Shaheen","given":"Nicholas J","non-dropping-particle":"","parse-names":false,"suffix":""},{"dropping-particle":"","family":"Sandler","given":"Robert S","non-dropping-particle":"","parse-names":false,"suffix":""}],"container-title":"Gastroenterology","id":"ITEM-1","issue":"7","issued":{"date-parts":[["2015"]]},"page":"1731-1741e3","title":"Burden of Gastrointestinal, Liver, and Pancreatic Diseases in the United States","type":"article-journal","volume":"149"},"uris":["http://www.mendeley.com/documents/?uuid=48726c0e-b9cb-3215-a565-9b99178d355f"]}],"mendeley":{"formattedCitation":"&lt;sup&gt;2&lt;/sup&gt;","plainTextFormattedCitation":"2","previouslyFormattedCitation":"&lt;sup&gt;2&lt;/sup&gt;"},"properties":{"noteIndex":0},"schema":"https://github.com/citation-style-language/schema/raw/master/csl-citation.json"}</w:instrText>
      </w:r>
      <w:r w:rsidR="00B572EB" w:rsidRPr="00745AEB">
        <w:rPr>
          <w:rFonts w:ascii="Arial" w:hAnsi="Arial" w:cs="Arial"/>
          <w:sz w:val="24"/>
          <w:szCs w:val="24"/>
          <w:lang w:val="en-GB"/>
        </w:rPr>
        <w:fldChar w:fldCharType="separate"/>
      </w:r>
      <w:r w:rsidR="00B572EB" w:rsidRPr="00745AEB">
        <w:rPr>
          <w:rFonts w:ascii="Arial" w:hAnsi="Arial" w:cs="Arial"/>
          <w:noProof/>
          <w:sz w:val="24"/>
          <w:szCs w:val="24"/>
          <w:vertAlign w:val="superscript"/>
          <w:lang w:val="en-GB"/>
        </w:rPr>
        <w:t>2</w:t>
      </w:r>
      <w:r w:rsidR="00B572EB" w:rsidRPr="00745AEB">
        <w:rPr>
          <w:rFonts w:ascii="Arial" w:hAnsi="Arial" w:cs="Arial"/>
          <w:sz w:val="24"/>
          <w:szCs w:val="24"/>
          <w:lang w:val="en-GB"/>
        </w:rPr>
        <w:fldChar w:fldCharType="end"/>
      </w:r>
      <w:r w:rsidR="0062321A" w:rsidRPr="004B4B2E">
        <w:rPr>
          <w:rFonts w:ascii="Arial" w:hAnsi="Arial" w:cs="Arial"/>
          <w:sz w:val="24"/>
          <w:szCs w:val="24"/>
          <w:lang w:val="en-GB"/>
        </w:rPr>
        <w:t>.</w:t>
      </w:r>
      <w:r w:rsidR="00C34351" w:rsidRPr="00745AEB">
        <w:rPr>
          <w:rFonts w:ascii="Arial" w:hAnsi="Arial" w:cs="Arial"/>
          <w:sz w:val="24"/>
          <w:szCs w:val="24"/>
          <w:lang w:val="en-GB"/>
        </w:rPr>
        <w:t xml:space="preserve"> </w:t>
      </w:r>
      <w:r w:rsidR="0071485E" w:rsidRPr="00745AEB">
        <w:rPr>
          <w:rFonts w:ascii="Arial" w:hAnsi="Arial" w:cs="Arial"/>
          <w:sz w:val="24"/>
          <w:szCs w:val="24"/>
          <w:lang w:val="en-GB"/>
        </w:rPr>
        <w:t>The</w:t>
      </w:r>
      <w:r w:rsidR="00BC6432" w:rsidRPr="004B4B2E">
        <w:rPr>
          <w:rFonts w:ascii="Arial" w:hAnsi="Arial" w:cs="Arial"/>
          <w:sz w:val="24"/>
          <w:szCs w:val="24"/>
          <w:lang w:val="en-GB"/>
        </w:rPr>
        <w:t xml:space="preserve"> diagnosis</w:t>
      </w:r>
      <w:r w:rsidR="00EC6C91" w:rsidRPr="004B4B2E">
        <w:rPr>
          <w:rFonts w:ascii="Arial" w:hAnsi="Arial" w:cs="Arial"/>
          <w:sz w:val="24"/>
          <w:szCs w:val="24"/>
          <w:lang w:val="en-GB"/>
        </w:rPr>
        <w:t xml:space="preserve"> of GERD</w:t>
      </w:r>
      <w:r w:rsidR="00BC6432" w:rsidRPr="004B4B2E">
        <w:rPr>
          <w:rFonts w:ascii="Arial" w:hAnsi="Arial" w:cs="Arial"/>
          <w:sz w:val="24"/>
          <w:szCs w:val="24"/>
          <w:lang w:val="en-GB"/>
        </w:rPr>
        <w:t xml:space="preserve"> is made </w:t>
      </w:r>
      <w:r w:rsidR="00847688" w:rsidRPr="004B4B2E">
        <w:rPr>
          <w:rFonts w:ascii="Arial" w:hAnsi="Arial" w:cs="Arial"/>
          <w:sz w:val="24"/>
          <w:szCs w:val="24"/>
          <w:lang w:val="en-GB"/>
        </w:rPr>
        <w:t>in</w:t>
      </w:r>
      <w:r w:rsidR="00BC6432" w:rsidRPr="004B4B2E">
        <w:rPr>
          <w:rFonts w:ascii="Arial" w:hAnsi="Arial" w:cs="Arial"/>
          <w:sz w:val="24"/>
          <w:szCs w:val="24"/>
          <w:lang w:val="en-GB"/>
        </w:rPr>
        <w:t xml:space="preserve"> </w:t>
      </w:r>
      <w:r w:rsidR="00985774" w:rsidRPr="004B4B2E">
        <w:rPr>
          <w:rFonts w:ascii="Arial" w:hAnsi="Arial" w:cs="Arial"/>
          <w:sz w:val="24"/>
          <w:szCs w:val="24"/>
          <w:lang w:val="en-GB"/>
        </w:rPr>
        <w:t xml:space="preserve">the presence of </w:t>
      </w:r>
      <w:r w:rsidR="006444C3" w:rsidRPr="004B4B2E">
        <w:rPr>
          <w:rFonts w:ascii="Arial" w:hAnsi="Arial" w:cs="Arial"/>
          <w:sz w:val="24"/>
          <w:szCs w:val="24"/>
          <w:lang w:val="en-GB"/>
        </w:rPr>
        <w:t xml:space="preserve">characteristic esophageal </w:t>
      </w:r>
      <w:r w:rsidR="00BC6432" w:rsidRPr="004B4B2E">
        <w:rPr>
          <w:rFonts w:ascii="Arial" w:hAnsi="Arial" w:cs="Arial"/>
          <w:sz w:val="24"/>
          <w:szCs w:val="24"/>
          <w:lang w:val="en-GB"/>
        </w:rPr>
        <w:t xml:space="preserve">symptoms </w:t>
      </w:r>
      <w:r w:rsidR="006444C3" w:rsidRPr="004B4B2E">
        <w:rPr>
          <w:rFonts w:ascii="Arial" w:hAnsi="Arial" w:cs="Arial"/>
          <w:sz w:val="24"/>
          <w:szCs w:val="24"/>
          <w:lang w:val="en-GB"/>
        </w:rPr>
        <w:t xml:space="preserve">and can be corroborated by </w:t>
      </w:r>
      <w:r w:rsidR="00BC6432" w:rsidRPr="004B4B2E">
        <w:rPr>
          <w:rFonts w:ascii="Arial" w:hAnsi="Arial" w:cs="Arial"/>
          <w:sz w:val="24"/>
          <w:szCs w:val="24"/>
          <w:lang w:val="en-GB"/>
        </w:rPr>
        <w:t xml:space="preserve">diagnostic tests </w:t>
      </w:r>
      <w:r w:rsidR="00B91DED" w:rsidRPr="004B4B2E">
        <w:rPr>
          <w:rFonts w:ascii="Arial" w:hAnsi="Arial" w:cs="Arial"/>
          <w:sz w:val="24"/>
          <w:szCs w:val="24"/>
          <w:lang w:val="en-GB"/>
        </w:rPr>
        <w:t xml:space="preserve">demonstrating typical esophageal mucosal injury (endoscopy) or </w:t>
      </w:r>
      <w:r w:rsidR="00BC6432" w:rsidRPr="004B4B2E">
        <w:rPr>
          <w:rFonts w:ascii="Arial" w:hAnsi="Arial" w:cs="Arial"/>
          <w:sz w:val="24"/>
          <w:szCs w:val="24"/>
          <w:lang w:val="en-GB"/>
        </w:rPr>
        <w:t xml:space="preserve">reflux of stomach contents (esophageal </w:t>
      </w:r>
      <w:r w:rsidR="00BC6432" w:rsidRPr="004B4B2E">
        <w:rPr>
          <w:rFonts w:ascii="Arial" w:hAnsi="Arial" w:cs="Arial"/>
          <w:noProof/>
          <w:sz w:val="24"/>
          <w:szCs w:val="24"/>
          <w:lang w:val="en-GB"/>
        </w:rPr>
        <w:t>pH</w:t>
      </w:r>
      <w:r w:rsidR="00254458" w:rsidRPr="004B4B2E">
        <w:rPr>
          <w:rFonts w:ascii="Arial" w:hAnsi="Arial" w:cs="Arial"/>
          <w:noProof/>
          <w:sz w:val="24"/>
          <w:szCs w:val="24"/>
          <w:lang w:val="en-GB"/>
        </w:rPr>
        <w:t>/</w:t>
      </w:r>
      <w:r w:rsidR="00BC6432" w:rsidRPr="004B4B2E">
        <w:rPr>
          <w:rFonts w:ascii="Arial" w:hAnsi="Arial" w:cs="Arial"/>
          <w:noProof/>
          <w:sz w:val="24"/>
          <w:szCs w:val="24"/>
          <w:lang w:val="en-GB"/>
        </w:rPr>
        <w:t>impedance</w:t>
      </w:r>
      <w:r w:rsidR="00BC6432" w:rsidRPr="004B4B2E">
        <w:rPr>
          <w:rFonts w:ascii="Arial" w:hAnsi="Arial" w:cs="Arial"/>
          <w:sz w:val="24"/>
          <w:szCs w:val="24"/>
          <w:lang w:val="en-GB"/>
        </w:rPr>
        <w:t xml:space="preserve"> monitoring)</w:t>
      </w:r>
      <w:r w:rsidR="005E545C" w:rsidRPr="00745AEB">
        <w:rPr>
          <w:rFonts w:ascii="Arial" w:hAnsi="Arial" w:cs="Arial"/>
          <w:sz w:val="24"/>
          <w:szCs w:val="24"/>
          <w:lang w:val="en-GB"/>
        </w:rPr>
        <w:fldChar w:fldCharType="begin" w:fldLock="1"/>
      </w:r>
      <w:r w:rsidR="005E545C" w:rsidRPr="004B4B2E">
        <w:rPr>
          <w:rFonts w:ascii="Arial" w:hAnsi="Arial" w:cs="Arial"/>
          <w:sz w:val="24"/>
          <w:szCs w:val="24"/>
          <w:lang w:val="en-GB"/>
        </w:rPr>
        <w:instrText>ADDIN CSL_CITATION {"citationItems":[{"id":"ITEM-1","itemData":{"DOI":"10.1111/j.1572-0241.2006.00630.x","ISSN":"00029270","abstract":"The Montreal Definition and Classification of Gastroesophageal Reflux Disease: A Global Evidence-Based Consensus","author":[{"dropping-particle":"","family":"Vakil","given":"Nimish","non-dropping-particle":"","parse-names":false,"suffix":""},{"dropping-particle":"V.","family":"Zanten","given":"Sander","non-dropping-particle":"van","parse-names":false,"suffix":""},{"dropping-particle":"","family":"Kahrilas","given":"Peter","non-dropping-particle":"","parse-names":false,"suffix":""},{"dropping-particle":"","family":"Dent","given":"John","non-dropping-particle":"","parse-names":false,"suffix":""},{"dropping-particle":"","family":"Jones","given":"Roger","non-dropping-particle":"","parse-names":false,"suffix":""}],"container-title":"The American Journal of Gastroenterology","id":"ITEM-1","issue":"8","issued":{"date-parts":[["2006","8","1"]]},"page":"1900-1920","publisher":"Nature Publishing Group","title":"The Montreal Definition and Classification of Gastroesophageal Reflux Disease: A Global Evidence-Based Consensus","type":"article-journal","volume":"101"},"uris":["http://www.mendeley.com/documents/?uuid=2a30d1f9-f437-3ce1-82a4-2d3d24836df7"]}],"mendeley":{"formattedCitation":"&lt;sup&gt;3&lt;/sup&gt;","plainTextFormattedCitation":"3","previouslyFormattedCitation":"&lt;sup&gt;3&lt;/sup&gt;"},"properties":{"noteIndex":0},"schema":"https://github.com/citation-style-language/schema/raw/master/csl-citation.json"}</w:instrText>
      </w:r>
      <w:r w:rsidR="005E545C" w:rsidRPr="00745AEB">
        <w:rPr>
          <w:rFonts w:ascii="Arial" w:hAnsi="Arial" w:cs="Arial"/>
          <w:sz w:val="24"/>
          <w:szCs w:val="24"/>
          <w:lang w:val="en-GB"/>
        </w:rPr>
        <w:fldChar w:fldCharType="separate"/>
      </w:r>
      <w:r w:rsidR="005E545C" w:rsidRPr="00745AEB">
        <w:rPr>
          <w:rFonts w:ascii="Arial" w:hAnsi="Arial" w:cs="Arial"/>
          <w:noProof/>
          <w:sz w:val="24"/>
          <w:szCs w:val="24"/>
          <w:vertAlign w:val="superscript"/>
          <w:lang w:val="en-GB"/>
        </w:rPr>
        <w:t>3</w:t>
      </w:r>
      <w:r w:rsidR="005E545C" w:rsidRPr="00745AEB">
        <w:rPr>
          <w:rFonts w:ascii="Arial" w:hAnsi="Arial" w:cs="Arial"/>
          <w:sz w:val="24"/>
          <w:szCs w:val="24"/>
          <w:lang w:val="en-GB"/>
        </w:rPr>
        <w:fldChar w:fldCharType="end"/>
      </w:r>
      <w:r w:rsidR="00BC6432" w:rsidRPr="004B4B2E">
        <w:rPr>
          <w:rFonts w:ascii="Arial" w:hAnsi="Arial" w:cs="Arial"/>
          <w:sz w:val="24"/>
          <w:szCs w:val="24"/>
          <w:lang w:val="en-GB"/>
        </w:rPr>
        <w:t xml:space="preserve">. </w:t>
      </w:r>
      <w:r w:rsidR="00A26169" w:rsidRPr="00745AEB">
        <w:rPr>
          <w:rFonts w:ascii="Arial" w:hAnsi="Arial" w:cs="Arial"/>
          <w:sz w:val="24"/>
          <w:szCs w:val="24"/>
          <w:lang w:val="en-GB"/>
        </w:rPr>
        <w:t>Proton</w:t>
      </w:r>
      <w:r w:rsidR="00254458" w:rsidRPr="00745AEB">
        <w:rPr>
          <w:rFonts w:ascii="Arial" w:hAnsi="Arial" w:cs="Arial"/>
          <w:sz w:val="24"/>
          <w:szCs w:val="24"/>
          <w:lang w:val="en-GB"/>
        </w:rPr>
        <w:t>-</w:t>
      </w:r>
      <w:r w:rsidR="00A26169" w:rsidRPr="004B4B2E">
        <w:rPr>
          <w:rFonts w:ascii="Arial" w:hAnsi="Arial" w:cs="Arial"/>
          <w:noProof/>
          <w:sz w:val="24"/>
          <w:szCs w:val="24"/>
          <w:lang w:val="en-GB"/>
        </w:rPr>
        <w:t>p</w:t>
      </w:r>
      <w:r w:rsidR="00254458" w:rsidRPr="004B4B2E">
        <w:rPr>
          <w:rFonts w:ascii="Arial" w:hAnsi="Arial" w:cs="Arial"/>
          <w:noProof/>
          <w:sz w:val="24"/>
          <w:szCs w:val="24"/>
          <w:lang w:val="en-GB"/>
        </w:rPr>
        <w:t>u</w:t>
      </w:r>
      <w:r w:rsidR="00A26169" w:rsidRPr="004B4B2E">
        <w:rPr>
          <w:rFonts w:ascii="Arial" w:hAnsi="Arial" w:cs="Arial"/>
          <w:noProof/>
          <w:sz w:val="24"/>
          <w:szCs w:val="24"/>
          <w:lang w:val="en-GB"/>
        </w:rPr>
        <w:t>mp</w:t>
      </w:r>
      <w:r w:rsidR="00A26169" w:rsidRPr="004B4B2E">
        <w:rPr>
          <w:rFonts w:ascii="Arial" w:hAnsi="Arial" w:cs="Arial"/>
          <w:sz w:val="24"/>
          <w:szCs w:val="24"/>
          <w:lang w:val="en-GB"/>
        </w:rPr>
        <w:t xml:space="preserve"> inhibitors (PPIs) </w:t>
      </w:r>
      <w:r w:rsidR="0071485E" w:rsidRPr="004B4B2E">
        <w:rPr>
          <w:rFonts w:ascii="Arial" w:hAnsi="Arial" w:cs="Arial"/>
          <w:sz w:val="24"/>
          <w:szCs w:val="24"/>
          <w:lang w:val="en-GB"/>
        </w:rPr>
        <w:t>are</w:t>
      </w:r>
      <w:r w:rsidR="00A26169" w:rsidRPr="004B4B2E">
        <w:rPr>
          <w:rFonts w:ascii="Arial" w:hAnsi="Arial" w:cs="Arial"/>
          <w:sz w:val="24"/>
          <w:szCs w:val="24"/>
          <w:lang w:val="en-GB"/>
        </w:rPr>
        <w:t xml:space="preserve"> the most </w:t>
      </w:r>
      <w:r w:rsidR="0071485E" w:rsidRPr="004B4B2E">
        <w:rPr>
          <w:rFonts w:ascii="Arial" w:hAnsi="Arial" w:cs="Arial"/>
          <w:sz w:val="24"/>
          <w:szCs w:val="24"/>
          <w:lang w:val="en-GB"/>
        </w:rPr>
        <w:t>commonly</w:t>
      </w:r>
      <w:r w:rsidR="00A26169" w:rsidRPr="004B4B2E">
        <w:rPr>
          <w:rFonts w:ascii="Arial" w:hAnsi="Arial" w:cs="Arial"/>
          <w:sz w:val="24"/>
          <w:szCs w:val="24"/>
          <w:lang w:val="en-GB"/>
        </w:rPr>
        <w:t xml:space="preserve"> </w:t>
      </w:r>
      <w:r w:rsidR="0071485E" w:rsidRPr="004B4B2E">
        <w:rPr>
          <w:rFonts w:ascii="Arial" w:hAnsi="Arial" w:cs="Arial"/>
          <w:sz w:val="24"/>
          <w:szCs w:val="24"/>
          <w:lang w:val="en-GB"/>
        </w:rPr>
        <w:t xml:space="preserve">used drugs in </w:t>
      </w:r>
      <w:r w:rsidR="00CA3B8B" w:rsidRPr="004B4B2E">
        <w:rPr>
          <w:rFonts w:ascii="Arial" w:hAnsi="Arial" w:cs="Arial"/>
          <w:sz w:val="24"/>
          <w:szCs w:val="24"/>
          <w:lang w:val="en-GB"/>
        </w:rPr>
        <w:t xml:space="preserve">GERD </w:t>
      </w:r>
      <w:r w:rsidR="00A26169" w:rsidRPr="004B4B2E">
        <w:rPr>
          <w:rFonts w:ascii="Arial" w:hAnsi="Arial" w:cs="Arial"/>
          <w:sz w:val="24"/>
          <w:szCs w:val="24"/>
          <w:lang w:val="en-GB"/>
        </w:rPr>
        <w:t>medical treatment</w:t>
      </w:r>
      <w:r w:rsidR="005E545C" w:rsidRPr="00745AEB">
        <w:rPr>
          <w:rFonts w:ascii="Arial" w:hAnsi="Arial" w:cs="Arial"/>
          <w:sz w:val="24"/>
          <w:szCs w:val="24"/>
          <w:lang w:val="en-GB"/>
        </w:rPr>
        <w:fldChar w:fldCharType="begin" w:fldLock="1"/>
      </w:r>
      <w:r w:rsidR="005E545C" w:rsidRPr="004B4B2E">
        <w:rPr>
          <w:rFonts w:ascii="Arial" w:hAnsi="Arial" w:cs="Arial"/>
          <w:sz w:val="24"/>
          <w:szCs w:val="24"/>
          <w:lang w:val="en-GB"/>
        </w:rPr>
        <w:instrText>ADDIN CSL_CITATION {"citationItems":[{"id":"ITEM-1","itemData":{"DOI":"10.1038/nrgastro.2017.117","ISSN":"1759-5045","abstract":"Proton-pump inhibitors (PPIs) are widely used for gastric acid suppression in a number of gastric-acid-related diseases, including GERD. However, in recent years, increasing evidence of adverse events has been reported, raising concerns with clinicians and patients. This Review provides an update on the complications and risks of PPI use.","author":[{"dropping-particle":"","family":"Malfertheiner","given":"Peter","non-dropping-particle":"","parse-names":false,"suffix":""},{"dropping-particle":"","family":"Kandulski","given":"Arne","non-dropping-particle":"","parse-names":false,"suffix":""},{"dropping-particle":"","family":"Venerito","given":"Marino","non-dropping-particle":"","parse-names":false,"suffix":""}],"container-title":"Nature Reviews Gastroenterology &amp; Hepatology","id":"ITEM-1","issue":"12","issued":{"date-parts":[["2017","9","20"]]},"page":"697-710","publisher":"Nature Publishing Group","title":"Proton-pump inhibitors: understanding the complications and risks","type":"article-journal","volume":"14"},"uris":["http://www.mendeley.com/documents/?uuid=6a4b3a06-c79a-3bc0-9f59-5ef968d30ee7"]}],"mendeley":{"formattedCitation":"&lt;sup&gt;4&lt;/sup&gt;","plainTextFormattedCitation":"4","previouslyFormattedCitation":"&lt;sup&gt;4&lt;/sup&gt;"},"properties":{"noteIndex":0},"schema":"https://github.com/citation-style-language/schema/raw/master/csl-citation.json"}</w:instrText>
      </w:r>
      <w:r w:rsidR="005E545C" w:rsidRPr="00745AEB">
        <w:rPr>
          <w:rFonts w:ascii="Arial" w:hAnsi="Arial" w:cs="Arial"/>
          <w:sz w:val="24"/>
          <w:szCs w:val="24"/>
          <w:lang w:val="en-GB"/>
        </w:rPr>
        <w:fldChar w:fldCharType="separate"/>
      </w:r>
      <w:r w:rsidR="005E545C" w:rsidRPr="00745AEB">
        <w:rPr>
          <w:rFonts w:ascii="Arial" w:hAnsi="Arial" w:cs="Arial"/>
          <w:noProof/>
          <w:sz w:val="24"/>
          <w:szCs w:val="24"/>
          <w:vertAlign w:val="superscript"/>
          <w:lang w:val="en-GB"/>
        </w:rPr>
        <w:t>4</w:t>
      </w:r>
      <w:r w:rsidR="005E545C" w:rsidRPr="00745AEB">
        <w:rPr>
          <w:rFonts w:ascii="Arial" w:hAnsi="Arial" w:cs="Arial"/>
          <w:sz w:val="24"/>
          <w:szCs w:val="24"/>
          <w:lang w:val="en-GB"/>
        </w:rPr>
        <w:fldChar w:fldCharType="end"/>
      </w:r>
      <w:r w:rsidR="00A26169" w:rsidRPr="004B4B2E">
        <w:rPr>
          <w:rFonts w:ascii="Arial" w:hAnsi="Arial" w:cs="Arial"/>
          <w:sz w:val="24"/>
          <w:szCs w:val="24"/>
          <w:lang w:val="en-GB"/>
        </w:rPr>
        <w:t xml:space="preserve">. These agents </w:t>
      </w:r>
      <w:r w:rsidR="00A26169" w:rsidRPr="00745AEB">
        <w:rPr>
          <w:rFonts w:ascii="Arial" w:hAnsi="Arial" w:cs="Arial"/>
          <w:noProof/>
          <w:sz w:val="24"/>
          <w:szCs w:val="24"/>
          <w:lang w:val="en-GB"/>
        </w:rPr>
        <w:t>selective</w:t>
      </w:r>
      <w:r w:rsidR="00CA0FAD">
        <w:rPr>
          <w:rFonts w:ascii="Arial" w:hAnsi="Arial" w:cs="Arial"/>
          <w:noProof/>
          <w:sz w:val="24"/>
          <w:szCs w:val="24"/>
          <w:lang w:val="en-GB"/>
        </w:rPr>
        <w:t>ly</w:t>
      </w:r>
      <w:r w:rsidR="00A26169" w:rsidRPr="00745AEB">
        <w:rPr>
          <w:rFonts w:ascii="Arial" w:hAnsi="Arial" w:cs="Arial"/>
          <w:sz w:val="24"/>
          <w:szCs w:val="24"/>
          <w:lang w:val="en-GB"/>
        </w:rPr>
        <w:t xml:space="preserve"> inhibit</w:t>
      </w:r>
      <w:r w:rsidR="00CA0FAD">
        <w:rPr>
          <w:rFonts w:ascii="Arial" w:hAnsi="Arial" w:cs="Arial"/>
          <w:sz w:val="24"/>
          <w:szCs w:val="24"/>
          <w:lang w:val="en-GB"/>
        </w:rPr>
        <w:t xml:space="preserve"> the</w:t>
      </w:r>
      <w:r w:rsidR="00A26169" w:rsidRPr="00745AEB">
        <w:rPr>
          <w:rFonts w:ascii="Arial" w:hAnsi="Arial" w:cs="Arial"/>
          <w:sz w:val="24"/>
          <w:szCs w:val="24"/>
          <w:lang w:val="en-GB"/>
        </w:rPr>
        <w:t xml:space="preserve"> </w:t>
      </w:r>
      <w:r w:rsidR="00A26169" w:rsidRPr="004B4B2E">
        <w:rPr>
          <w:rFonts w:ascii="Arial" w:hAnsi="Arial" w:cs="Arial"/>
          <w:noProof/>
          <w:sz w:val="24"/>
          <w:szCs w:val="24"/>
          <w:lang w:val="en-GB"/>
        </w:rPr>
        <w:t>hydrogen</w:t>
      </w:r>
      <w:r w:rsidR="00254458" w:rsidRPr="004B4B2E">
        <w:rPr>
          <w:rFonts w:ascii="Arial" w:hAnsi="Arial" w:cs="Arial"/>
          <w:noProof/>
          <w:sz w:val="24"/>
          <w:szCs w:val="24"/>
          <w:lang w:val="en-GB"/>
        </w:rPr>
        <w:t>/</w:t>
      </w:r>
      <w:r w:rsidR="00A26169" w:rsidRPr="004B4B2E">
        <w:rPr>
          <w:rFonts w:ascii="Arial" w:hAnsi="Arial" w:cs="Arial"/>
          <w:noProof/>
          <w:sz w:val="24"/>
          <w:szCs w:val="24"/>
          <w:lang w:val="en-GB"/>
        </w:rPr>
        <w:t>potassium</w:t>
      </w:r>
      <w:r w:rsidR="00A26169" w:rsidRPr="004B4B2E">
        <w:rPr>
          <w:rFonts w:ascii="Arial" w:hAnsi="Arial" w:cs="Arial"/>
          <w:sz w:val="24"/>
          <w:szCs w:val="24"/>
          <w:lang w:val="en-GB"/>
        </w:rPr>
        <w:t xml:space="preserve"> ATPase in </w:t>
      </w:r>
      <w:r w:rsidR="00CA3B8B" w:rsidRPr="004B4B2E">
        <w:rPr>
          <w:rFonts w:ascii="Arial" w:hAnsi="Arial" w:cs="Arial"/>
          <w:sz w:val="24"/>
          <w:szCs w:val="24"/>
          <w:lang w:val="en-GB"/>
        </w:rPr>
        <w:t xml:space="preserve">gastric </w:t>
      </w:r>
      <w:r w:rsidR="00A26169" w:rsidRPr="004B4B2E">
        <w:rPr>
          <w:rFonts w:ascii="Arial" w:hAnsi="Arial" w:cs="Arial"/>
          <w:sz w:val="24"/>
          <w:szCs w:val="24"/>
          <w:lang w:val="en-GB"/>
        </w:rPr>
        <w:t xml:space="preserve">parietal cells </w:t>
      </w:r>
      <w:r w:rsidR="00CA3B8B" w:rsidRPr="004B4B2E">
        <w:rPr>
          <w:rFonts w:ascii="Arial" w:hAnsi="Arial" w:cs="Arial"/>
          <w:sz w:val="24"/>
          <w:szCs w:val="24"/>
          <w:lang w:val="en-GB"/>
        </w:rPr>
        <w:t>suppressi</w:t>
      </w:r>
      <w:r w:rsidR="00CA0FAD">
        <w:rPr>
          <w:rFonts w:ascii="Arial" w:hAnsi="Arial" w:cs="Arial"/>
          <w:sz w:val="24"/>
          <w:szCs w:val="24"/>
          <w:lang w:val="en-GB"/>
        </w:rPr>
        <w:t xml:space="preserve">ng the </w:t>
      </w:r>
      <w:r w:rsidR="00FB5387" w:rsidRPr="004B4B2E">
        <w:rPr>
          <w:rFonts w:ascii="Arial" w:hAnsi="Arial" w:cs="Arial"/>
          <w:sz w:val="24"/>
          <w:szCs w:val="24"/>
          <w:lang w:val="en-GB"/>
        </w:rPr>
        <w:t>acid production</w:t>
      </w:r>
      <w:r w:rsidR="005E545C" w:rsidRPr="00745AEB">
        <w:rPr>
          <w:rFonts w:ascii="Arial" w:hAnsi="Arial" w:cs="Arial"/>
          <w:sz w:val="24"/>
          <w:szCs w:val="24"/>
          <w:lang w:val="en-GB"/>
        </w:rPr>
        <w:fldChar w:fldCharType="begin" w:fldLock="1"/>
      </w:r>
      <w:r w:rsidR="009C2E8A" w:rsidRPr="004B4B2E">
        <w:rPr>
          <w:rFonts w:ascii="Arial" w:hAnsi="Arial" w:cs="Arial"/>
          <w:sz w:val="24"/>
          <w:szCs w:val="24"/>
          <w:lang w:val="en-GB"/>
        </w:rPr>
        <w:instrText>ADDIN CSL_CITATION {"citationItems":[{"id":"ITEM-1","itemData":{"DOI":"10.1038/nrgastro.2017.117","ISSN":"1759-5045","abstract":"Proton-pump inhibitors (PPIs) are widely used for gastric acid suppression in a number of gastric-acid-related diseases, including GERD. However, in recent years, increasing evidence of adverse events has been reported, raising concerns with clinicians and patients. This Review provides an update on the complications and risks of PPI use.","author":[{"dropping-particle":"","family":"Malfertheiner","given":"Peter","non-dropping-particle":"","parse-names":false,"suffix":""},{"dropping-particle":"","family":"Kandulski","given":"Arne","non-dropping-particle":"","parse-names":false,"suffix":""},{"dropping-particle":"","family":"Venerito","given":"Marino","non-dropping-particle":"","parse-names":false,"suffix":""}],"container-title":"Nature Reviews Gastroenterology &amp; Hepatology","id":"ITEM-1","issue":"12","issued":{"date-parts":[["2017","9","20"]]},"page":"697-710","publisher":"Nature Publishing Group","title":"Proton-pump inhibitors: understanding the complications and risks","type":"article-journal","volume":"14"},"uris":["http://www.mendeley.com/documents/?uuid=6a4b3a06-c79a-3bc0-9f59-5ef968d30ee7"]}],"mendeley":{"formattedCitation":"&lt;sup&gt;4&lt;/sup&gt;","plainTextFormattedCitation":"4","previouslyFormattedCitation":"&lt;sup&gt;4&lt;/sup&gt;"},"properties":{"noteIndex":0},"schema":"https://github.com/citation-style-language/schema/raw/master/csl-citation.json"}</w:instrText>
      </w:r>
      <w:r w:rsidR="005E545C" w:rsidRPr="00745AEB">
        <w:rPr>
          <w:rFonts w:ascii="Arial" w:hAnsi="Arial" w:cs="Arial"/>
          <w:sz w:val="24"/>
          <w:szCs w:val="24"/>
          <w:lang w:val="en-GB"/>
        </w:rPr>
        <w:fldChar w:fldCharType="separate"/>
      </w:r>
      <w:r w:rsidR="005E545C" w:rsidRPr="00745AEB">
        <w:rPr>
          <w:rFonts w:ascii="Arial" w:hAnsi="Arial" w:cs="Arial"/>
          <w:noProof/>
          <w:sz w:val="24"/>
          <w:szCs w:val="24"/>
          <w:vertAlign w:val="superscript"/>
          <w:lang w:val="en-GB"/>
        </w:rPr>
        <w:t>4</w:t>
      </w:r>
      <w:r w:rsidR="005E545C" w:rsidRPr="00745AEB">
        <w:rPr>
          <w:rFonts w:ascii="Arial" w:hAnsi="Arial" w:cs="Arial"/>
          <w:sz w:val="24"/>
          <w:szCs w:val="24"/>
          <w:lang w:val="en-GB"/>
        </w:rPr>
        <w:fldChar w:fldCharType="end"/>
      </w:r>
      <w:r w:rsidR="005E545C" w:rsidRPr="004B4B2E">
        <w:rPr>
          <w:rFonts w:ascii="Arial" w:hAnsi="Arial" w:cs="Arial"/>
          <w:sz w:val="24"/>
          <w:szCs w:val="24"/>
          <w:lang w:val="en-GB"/>
        </w:rPr>
        <w:t xml:space="preserve">. </w:t>
      </w:r>
      <w:r w:rsidR="00CA0FAD">
        <w:rPr>
          <w:rFonts w:ascii="Arial" w:hAnsi="Arial" w:cs="Arial"/>
          <w:sz w:val="24"/>
          <w:szCs w:val="24"/>
          <w:lang w:val="en-GB"/>
        </w:rPr>
        <w:t xml:space="preserve">However, </w:t>
      </w:r>
      <w:r w:rsidR="00B572EB">
        <w:rPr>
          <w:rFonts w:ascii="Arial" w:hAnsi="Arial" w:cs="Arial"/>
          <w:sz w:val="24"/>
          <w:szCs w:val="24"/>
          <w:lang w:val="en-GB"/>
        </w:rPr>
        <w:t xml:space="preserve">in </w:t>
      </w:r>
      <w:r w:rsidR="00FB5387" w:rsidRPr="004B4B2E">
        <w:rPr>
          <w:rFonts w:ascii="Arial" w:hAnsi="Arial" w:cs="Arial"/>
          <w:sz w:val="24"/>
          <w:szCs w:val="24"/>
          <w:lang w:val="en-GB"/>
        </w:rPr>
        <w:t xml:space="preserve">up to 30% of patients </w:t>
      </w:r>
      <w:r w:rsidR="00B91DED" w:rsidRPr="004B4B2E">
        <w:rPr>
          <w:rFonts w:ascii="Arial" w:hAnsi="Arial" w:cs="Arial"/>
          <w:sz w:val="24"/>
          <w:szCs w:val="24"/>
          <w:lang w:val="en-GB"/>
        </w:rPr>
        <w:t xml:space="preserve">there is lack </w:t>
      </w:r>
      <w:r w:rsidR="009E185A">
        <w:rPr>
          <w:rFonts w:ascii="Arial" w:hAnsi="Arial" w:cs="Arial"/>
          <w:sz w:val="24"/>
          <w:szCs w:val="24"/>
          <w:lang w:val="en-GB"/>
        </w:rPr>
        <w:t xml:space="preserve">of </w:t>
      </w:r>
      <w:r w:rsidR="00B91DED" w:rsidRPr="004B4B2E">
        <w:rPr>
          <w:rFonts w:ascii="Arial" w:hAnsi="Arial" w:cs="Arial"/>
          <w:sz w:val="24"/>
          <w:szCs w:val="24"/>
          <w:lang w:val="en-GB"/>
        </w:rPr>
        <w:t>or incomplete clinical response</w:t>
      </w:r>
      <w:r w:rsidR="00FB5387" w:rsidRPr="00745AEB">
        <w:rPr>
          <w:rFonts w:ascii="Arial" w:hAnsi="Arial" w:cs="Arial"/>
          <w:sz w:val="24"/>
          <w:szCs w:val="24"/>
          <w:lang w:val="en-GB"/>
        </w:rPr>
        <w:fldChar w:fldCharType="begin" w:fldLock="1"/>
      </w:r>
      <w:r w:rsidR="005E545C" w:rsidRPr="004B4B2E">
        <w:rPr>
          <w:rFonts w:ascii="Arial" w:hAnsi="Arial" w:cs="Arial"/>
          <w:sz w:val="24"/>
          <w:szCs w:val="24"/>
          <w:lang w:val="en-GB"/>
        </w:rPr>
        <w:instrText>ADDIN CSL_CITATION {"citationItems":[{"id":"ITEM-1","itemData":{"DOI":"10.1038/nrgastro.2016.50","ISBN":"1759-5045","ISSN":"17595053","PMID":"27075264","abstract":"The management of patients with refractory GERD (rGERD) is a major clinical challenge for gastroenterologists. In up to 30% of patients with typical GERD symptoms (heartburn and/or regurgitation), acid-suppressive therapy does not provide clinical benefit. In this Review, we discuss the current management algorithm for GERD and the features and management of patients who do not respond to treatment (such as those individuals with an incorrect diagnosis of GERD, inadequate PPI intake, persisting acid reflux and persisting weakly acidic reflux). Symptom response to existing surgical techniques, novel antireflux procedures, and the value of add-on medical therapies (including prokinetics and reflux inhibitors) for rGERD symptoms are discussed. Pharmaceutical agents targeting oesophageal sensitivity, a condition that can contribute to symptom generation in rGERD, are also discussed. Finally, on the basis of available published data and our expert opinion, we present an outline of a current, usable algorithm for management of patients with rGERD that considers the timing and diagnostic use of pH-impedance monitoring on or off PPI, additional diagnostic tests, the clinical use of baclofen and the use of add-on neuromodulators (tricyclic agents and selective serotonin reuptake inhibitors).","author":[{"dropping-particle":"","family":"Scarpellini","given":"Emidio","non-dropping-particle":"","parse-names":false,"suffix":""},{"dropping-particle":"","family":"Ang","given":"Daphne","non-dropping-particle":"","parse-names":false,"suffix":""},{"dropping-particle":"","family":"Pauwels","given":"Ans","non-dropping-particle":"","parse-names":false,"suffix":""},{"dropping-particle":"","family":"Santis","given":"Adriano","non-dropping-particle":"De","parse-names":false,"suffix":""},{"dropping-particle":"","family":"Vanuytsel","given":"Tim","non-dropping-particle":"","parse-names":false,"suffix":""},{"dropping-particle":"","family":"Tack","given":"Jan","non-dropping-particle":"","parse-names":false,"suffix":""}],"container-title":"Nature Reviews Gastroenterology and Hepatology","id":"ITEM-1","issue":"5","issued":{"date-parts":[["2016","5","14"]]},"page":"281-294","publisher":"Nature Publishing Group","title":"Management of refractory typical GERD symptoms","type":"article","volume":"13"},"uris":["http://www.mendeley.com/documents/?uuid=f4cf7e9f-7fcb-30c8-a769-e41078a10683"]}],"mendeley":{"formattedCitation":"&lt;sup&gt;5&lt;/sup&gt;","plainTextFormattedCitation":"5","previouslyFormattedCitation":"&lt;sup&gt;5&lt;/sup&gt;"},"properties":{"noteIndex":0},"schema":"https://github.com/citation-style-language/schema/raw/master/csl-citation.json"}</w:instrText>
      </w:r>
      <w:r w:rsidR="00FB5387" w:rsidRPr="00745AEB">
        <w:rPr>
          <w:rFonts w:ascii="Arial" w:hAnsi="Arial" w:cs="Arial"/>
          <w:sz w:val="24"/>
          <w:szCs w:val="24"/>
          <w:lang w:val="en-GB"/>
        </w:rPr>
        <w:fldChar w:fldCharType="separate"/>
      </w:r>
      <w:r w:rsidR="005E545C" w:rsidRPr="00745AEB">
        <w:rPr>
          <w:rFonts w:ascii="Arial" w:hAnsi="Arial" w:cs="Arial"/>
          <w:noProof/>
          <w:sz w:val="24"/>
          <w:szCs w:val="24"/>
          <w:vertAlign w:val="superscript"/>
          <w:lang w:val="en-GB"/>
        </w:rPr>
        <w:t>5</w:t>
      </w:r>
      <w:r w:rsidR="00FB5387" w:rsidRPr="00745AEB">
        <w:rPr>
          <w:rFonts w:ascii="Arial" w:hAnsi="Arial" w:cs="Arial"/>
          <w:sz w:val="24"/>
          <w:szCs w:val="24"/>
          <w:lang w:val="en-GB"/>
        </w:rPr>
        <w:fldChar w:fldCharType="end"/>
      </w:r>
      <w:r w:rsidR="00B91DED" w:rsidRPr="004B4B2E">
        <w:rPr>
          <w:rFonts w:ascii="Arial" w:hAnsi="Arial" w:cs="Arial"/>
          <w:sz w:val="24"/>
          <w:szCs w:val="24"/>
          <w:lang w:val="en-GB"/>
        </w:rPr>
        <w:t>. T</w:t>
      </w:r>
      <w:r w:rsidR="009C2E8A" w:rsidRPr="00745AEB">
        <w:rPr>
          <w:rFonts w:ascii="Arial" w:hAnsi="Arial" w:cs="Arial"/>
          <w:sz w:val="24"/>
          <w:szCs w:val="24"/>
          <w:lang w:val="en-GB"/>
        </w:rPr>
        <w:t xml:space="preserve">he mechanisms behind </w:t>
      </w:r>
      <w:r w:rsidR="0071485E" w:rsidRPr="00745AEB">
        <w:rPr>
          <w:rFonts w:ascii="Arial" w:hAnsi="Arial" w:cs="Arial"/>
          <w:sz w:val="24"/>
          <w:szCs w:val="24"/>
          <w:lang w:val="en-GB"/>
        </w:rPr>
        <w:t>this are</w:t>
      </w:r>
      <w:r w:rsidR="008E7E1D" w:rsidRPr="004B4B2E">
        <w:rPr>
          <w:rFonts w:ascii="Arial" w:hAnsi="Arial" w:cs="Arial"/>
          <w:sz w:val="24"/>
          <w:szCs w:val="24"/>
          <w:lang w:val="en-GB"/>
        </w:rPr>
        <w:t xml:space="preserve"> not</w:t>
      </w:r>
      <w:r w:rsidR="0071485E" w:rsidRPr="004B4B2E">
        <w:rPr>
          <w:rFonts w:ascii="Arial" w:hAnsi="Arial" w:cs="Arial"/>
          <w:sz w:val="24"/>
          <w:szCs w:val="24"/>
          <w:lang w:val="en-GB"/>
        </w:rPr>
        <w:t xml:space="preserve"> </w:t>
      </w:r>
      <w:r w:rsidR="009C2E8A" w:rsidRPr="004B4B2E">
        <w:rPr>
          <w:rFonts w:ascii="Arial" w:hAnsi="Arial" w:cs="Arial"/>
          <w:sz w:val="24"/>
          <w:szCs w:val="24"/>
          <w:lang w:val="en-GB"/>
        </w:rPr>
        <w:t>fully understood</w:t>
      </w:r>
      <w:r w:rsidR="00B91DED" w:rsidRPr="004B4B2E">
        <w:rPr>
          <w:rFonts w:ascii="Arial" w:hAnsi="Arial" w:cs="Arial"/>
          <w:sz w:val="24"/>
          <w:szCs w:val="24"/>
          <w:lang w:val="en-GB"/>
        </w:rPr>
        <w:t xml:space="preserve">, although esophageal hypersensitivity to weakly acidic or non-acidic reflux could be </w:t>
      </w:r>
      <w:r w:rsidR="00466A35" w:rsidRPr="004B4B2E">
        <w:rPr>
          <w:rFonts w:ascii="Arial" w:hAnsi="Arial" w:cs="Arial"/>
          <w:sz w:val="24"/>
          <w:szCs w:val="24"/>
          <w:lang w:val="en-GB"/>
        </w:rPr>
        <w:t xml:space="preserve">a </w:t>
      </w:r>
      <w:r w:rsidR="00B91DED" w:rsidRPr="004B4B2E">
        <w:rPr>
          <w:rFonts w:ascii="Arial" w:hAnsi="Arial" w:cs="Arial"/>
          <w:color w:val="000000" w:themeColor="text1"/>
          <w:sz w:val="24"/>
          <w:szCs w:val="24"/>
          <w:lang w:val="en-GB"/>
        </w:rPr>
        <w:t xml:space="preserve">potential </w:t>
      </w:r>
      <w:r w:rsidR="00B91DED" w:rsidRPr="004B4B2E">
        <w:rPr>
          <w:rFonts w:ascii="Arial" w:hAnsi="Arial" w:cs="Arial"/>
          <w:sz w:val="24"/>
          <w:szCs w:val="24"/>
          <w:lang w:val="en-GB"/>
        </w:rPr>
        <w:t>cause</w:t>
      </w:r>
      <w:r w:rsidR="009C2E8A" w:rsidRPr="004B4B2E">
        <w:rPr>
          <w:rFonts w:ascii="Arial" w:hAnsi="Arial" w:cs="Arial"/>
          <w:sz w:val="24"/>
          <w:szCs w:val="24"/>
          <w:lang w:val="en-GB"/>
        </w:rPr>
        <w:t xml:space="preserve">. </w:t>
      </w:r>
      <w:r w:rsidR="00B06C60">
        <w:rPr>
          <w:rFonts w:ascii="Arial" w:hAnsi="Arial" w:cs="Arial"/>
          <w:sz w:val="24"/>
          <w:szCs w:val="24"/>
          <w:lang w:val="en-GB"/>
        </w:rPr>
        <w:t>E</w:t>
      </w:r>
      <w:r w:rsidR="003151CA" w:rsidRPr="004B4B2E">
        <w:rPr>
          <w:rFonts w:ascii="Arial" w:hAnsi="Arial" w:cs="Arial"/>
          <w:sz w:val="24"/>
          <w:szCs w:val="24"/>
          <w:lang w:val="en-GB"/>
        </w:rPr>
        <w:t xml:space="preserve">sophageal </w:t>
      </w:r>
      <w:r w:rsidR="00EC6C91" w:rsidRPr="004B4B2E">
        <w:rPr>
          <w:rFonts w:ascii="Arial" w:hAnsi="Arial" w:cs="Arial"/>
          <w:sz w:val="24"/>
          <w:szCs w:val="24"/>
          <w:lang w:val="en-GB"/>
        </w:rPr>
        <w:t xml:space="preserve">pH-monitoring is commonly performed </w:t>
      </w:r>
      <w:r w:rsidR="006444C3" w:rsidRPr="004B4B2E">
        <w:rPr>
          <w:rFonts w:ascii="Arial" w:hAnsi="Arial" w:cs="Arial"/>
          <w:sz w:val="24"/>
          <w:szCs w:val="24"/>
          <w:lang w:val="en-GB"/>
        </w:rPr>
        <w:t xml:space="preserve">during therapy </w:t>
      </w:r>
      <w:r w:rsidR="00EC6C91" w:rsidRPr="004B4B2E">
        <w:rPr>
          <w:rFonts w:ascii="Arial" w:hAnsi="Arial" w:cs="Arial"/>
          <w:sz w:val="24"/>
          <w:szCs w:val="24"/>
          <w:lang w:val="en-GB"/>
        </w:rPr>
        <w:t xml:space="preserve">in </w:t>
      </w:r>
      <w:r w:rsidR="0071485E" w:rsidRPr="004B4B2E">
        <w:rPr>
          <w:rFonts w:ascii="Arial" w:hAnsi="Arial" w:cs="Arial"/>
          <w:sz w:val="24"/>
          <w:szCs w:val="24"/>
          <w:lang w:val="en-GB"/>
        </w:rPr>
        <w:t>PPI-refractory GERD</w:t>
      </w:r>
      <w:r w:rsidR="00EC6C91" w:rsidRPr="004B4B2E">
        <w:rPr>
          <w:rFonts w:ascii="Arial" w:hAnsi="Arial" w:cs="Arial"/>
          <w:sz w:val="24"/>
          <w:szCs w:val="24"/>
          <w:lang w:val="en-GB"/>
        </w:rPr>
        <w:t xml:space="preserve"> patient</w:t>
      </w:r>
      <w:r w:rsidR="003151CA" w:rsidRPr="004B4B2E">
        <w:rPr>
          <w:rFonts w:ascii="Arial" w:hAnsi="Arial" w:cs="Arial"/>
          <w:sz w:val="24"/>
          <w:szCs w:val="24"/>
          <w:lang w:val="en-GB"/>
        </w:rPr>
        <w:t xml:space="preserve">s </w:t>
      </w:r>
      <w:r w:rsidR="009C2E8A" w:rsidRPr="004B4B2E">
        <w:rPr>
          <w:rFonts w:ascii="Arial" w:hAnsi="Arial" w:cs="Arial"/>
          <w:sz w:val="24"/>
          <w:szCs w:val="24"/>
          <w:lang w:val="en-GB"/>
        </w:rPr>
        <w:t xml:space="preserve">to assess persistent acid reflux </w:t>
      </w:r>
      <w:r w:rsidR="003151CA" w:rsidRPr="004B4B2E">
        <w:rPr>
          <w:rFonts w:ascii="Arial" w:hAnsi="Arial" w:cs="Arial"/>
          <w:sz w:val="24"/>
          <w:szCs w:val="24"/>
          <w:lang w:val="en-GB"/>
        </w:rPr>
        <w:t xml:space="preserve">and differentiate </w:t>
      </w:r>
      <w:r w:rsidR="006444C3" w:rsidRPr="004B4B2E">
        <w:rPr>
          <w:rFonts w:ascii="Arial" w:hAnsi="Arial" w:cs="Arial"/>
          <w:sz w:val="24"/>
          <w:szCs w:val="24"/>
          <w:lang w:val="en-GB"/>
        </w:rPr>
        <w:t xml:space="preserve">persistent </w:t>
      </w:r>
      <w:r w:rsidR="003151CA" w:rsidRPr="004B4B2E">
        <w:rPr>
          <w:rFonts w:ascii="Arial" w:hAnsi="Arial" w:cs="Arial"/>
          <w:sz w:val="24"/>
          <w:szCs w:val="24"/>
          <w:lang w:val="en-GB"/>
        </w:rPr>
        <w:t xml:space="preserve">GERD from functional disorders. This test, however, requires </w:t>
      </w:r>
      <w:r w:rsidR="003151CA" w:rsidRPr="004B4B2E">
        <w:rPr>
          <w:rFonts w:ascii="Arial" w:hAnsi="Arial" w:cs="Arial"/>
          <w:noProof/>
          <w:sz w:val="24"/>
          <w:szCs w:val="24"/>
          <w:lang w:val="en-GB"/>
        </w:rPr>
        <w:t>placement</w:t>
      </w:r>
      <w:r w:rsidR="003151CA" w:rsidRPr="004B4B2E">
        <w:rPr>
          <w:rFonts w:ascii="Arial" w:hAnsi="Arial" w:cs="Arial"/>
          <w:sz w:val="24"/>
          <w:szCs w:val="24"/>
          <w:lang w:val="en-GB"/>
        </w:rPr>
        <w:t xml:space="preserve"> of </w:t>
      </w:r>
      <w:r w:rsidR="009E185A">
        <w:rPr>
          <w:rFonts w:ascii="Arial" w:hAnsi="Arial" w:cs="Arial"/>
          <w:sz w:val="24"/>
          <w:szCs w:val="24"/>
          <w:lang w:val="en-GB"/>
        </w:rPr>
        <w:t>a trans-nasal</w:t>
      </w:r>
      <w:r w:rsidR="003151CA" w:rsidRPr="004B4B2E">
        <w:rPr>
          <w:rFonts w:ascii="Arial" w:hAnsi="Arial" w:cs="Arial"/>
          <w:sz w:val="24"/>
          <w:szCs w:val="24"/>
          <w:lang w:val="en-GB"/>
        </w:rPr>
        <w:t xml:space="preserve"> catheter for </w:t>
      </w:r>
      <w:r w:rsidR="00254458" w:rsidRPr="004B4B2E">
        <w:rPr>
          <w:rFonts w:ascii="Arial" w:hAnsi="Arial" w:cs="Arial"/>
          <w:sz w:val="24"/>
          <w:szCs w:val="24"/>
          <w:lang w:val="en-GB"/>
        </w:rPr>
        <w:t xml:space="preserve">a </w:t>
      </w:r>
      <w:r w:rsidR="003151CA" w:rsidRPr="004B4B2E">
        <w:rPr>
          <w:rFonts w:ascii="Arial" w:hAnsi="Arial" w:cs="Arial"/>
          <w:noProof/>
          <w:sz w:val="24"/>
          <w:szCs w:val="24"/>
          <w:lang w:val="en-GB"/>
        </w:rPr>
        <w:t>24-hour</w:t>
      </w:r>
      <w:r w:rsidR="003151CA" w:rsidRPr="004B4B2E">
        <w:rPr>
          <w:rFonts w:ascii="Arial" w:hAnsi="Arial" w:cs="Arial"/>
          <w:sz w:val="24"/>
          <w:szCs w:val="24"/>
          <w:lang w:val="en-GB"/>
        </w:rPr>
        <w:t xml:space="preserve"> period</w:t>
      </w:r>
      <w:r w:rsidR="009E185A">
        <w:rPr>
          <w:rFonts w:ascii="Arial" w:hAnsi="Arial" w:cs="Arial"/>
          <w:sz w:val="24"/>
          <w:szCs w:val="24"/>
          <w:lang w:val="en-GB"/>
        </w:rPr>
        <w:t xml:space="preserve"> and two additional hospital visits</w:t>
      </w:r>
      <w:r w:rsidR="00C94FAD" w:rsidRPr="004B4B2E">
        <w:rPr>
          <w:rFonts w:ascii="Arial" w:hAnsi="Arial" w:cs="Arial"/>
          <w:sz w:val="24"/>
          <w:szCs w:val="24"/>
          <w:lang w:val="en-GB"/>
        </w:rPr>
        <w:t>,</w:t>
      </w:r>
      <w:r w:rsidR="003151CA" w:rsidRPr="004B4B2E">
        <w:rPr>
          <w:rFonts w:ascii="Arial" w:hAnsi="Arial" w:cs="Arial"/>
          <w:sz w:val="24"/>
          <w:szCs w:val="24"/>
          <w:lang w:val="en-GB"/>
        </w:rPr>
        <w:t xml:space="preserve"> which makes it inconvenient and often uncomfortable for the patients. </w:t>
      </w:r>
      <w:r w:rsidR="00257FA8" w:rsidRPr="004B4B2E">
        <w:rPr>
          <w:rFonts w:ascii="Arial" w:hAnsi="Arial" w:cs="Arial"/>
          <w:sz w:val="24"/>
          <w:szCs w:val="24"/>
          <w:lang w:val="en-GB"/>
        </w:rPr>
        <w:t>It is unclear if standard clinical and endoscopic findings, wit</w:t>
      </w:r>
      <w:r w:rsidR="0040295C">
        <w:rPr>
          <w:rFonts w:ascii="Arial" w:hAnsi="Arial" w:cs="Arial"/>
          <w:sz w:val="24"/>
          <w:szCs w:val="24"/>
          <w:lang w:val="en-GB"/>
        </w:rPr>
        <w:t xml:space="preserve">h exception of the presence of </w:t>
      </w:r>
      <w:r w:rsidR="00257FA8" w:rsidRPr="004B4B2E">
        <w:rPr>
          <w:rFonts w:ascii="Arial" w:hAnsi="Arial" w:cs="Arial"/>
          <w:sz w:val="24"/>
          <w:szCs w:val="24"/>
          <w:lang w:val="en-GB"/>
        </w:rPr>
        <w:t xml:space="preserve">esophagitis, can be reliable predictors of persistent esophageal acid exposure in patients on PPI therapy. </w:t>
      </w:r>
      <w:r w:rsidR="003151CA" w:rsidRPr="004B4B2E">
        <w:rPr>
          <w:rFonts w:ascii="Arial" w:hAnsi="Arial" w:cs="Arial"/>
          <w:sz w:val="24"/>
          <w:szCs w:val="24"/>
          <w:lang w:val="en-GB"/>
        </w:rPr>
        <w:t>A</w:t>
      </w:r>
      <w:r w:rsidR="009C2E8A" w:rsidRPr="004B4B2E">
        <w:rPr>
          <w:rFonts w:ascii="Arial" w:hAnsi="Arial" w:cs="Arial"/>
          <w:sz w:val="24"/>
          <w:szCs w:val="24"/>
          <w:lang w:val="en-GB"/>
        </w:rPr>
        <w:t xml:space="preserve">s PPIs suppress the acid production in the stomach, </w:t>
      </w:r>
      <w:r w:rsidR="00EC6C91" w:rsidRPr="004B4B2E">
        <w:rPr>
          <w:rFonts w:ascii="Arial" w:hAnsi="Arial" w:cs="Arial"/>
          <w:sz w:val="24"/>
          <w:szCs w:val="24"/>
          <w:lang w:val="en-GB"/>
        </w:rPr>
        <w:t>real-time measurement of gastric</w:t>
      </w:r>
      <w:r w:rsidR="00A030EB">
        <w:rPr>
          <w:rFonts w:ascii="Arial" w:hAnsi="Arial" w:cs="Arial"/>
          <w:sz w:val="24"/>
          <w:szCs w:val="24"/>
          <w:lang w:val="en-GB"/>
        </w:rPr>
        <w:t xml:space="preserve"> </w:t>
      </w:r>
      <w:r w:rsidR="00EC6C91" w:rsidRPr="004B4B2E">
        <w:rPr>
          <w:rFonts w:ascii="Arial" w:hAnsi="Arial" w:cs="Arial"/>
          <w:sz w:val="24"/>
          <w:szCs w:val="24"/>
          <w:lang w:val="en-GB"/>
        </w:rPr>
        <w:t xml:space="preserve">pH </w:t>
      </w:r>
      <w:r w:rsidR="00EC6C91" w:rsidRPr="004B4B2E">
        <w:rPr>
          <w:rFonts w:ascii="Arial" w:hAnsi="Arial" w:cs="Arial"/>
          <w:noProof/>
          <w:sz w:val="24"/>
          <w:szCs w:val="24"/>
          <w:lang w:val="en-GB"/>
        </w:rPr>
        <w:t>could</w:t>
      </w:r>
      <w:r w:rsidR="00EC6C91" w:rsidRPr="004B4B2E">
        <w:rPr>
          <w:rFonts w:ascii="Arial" w:hAnsi="Arial" w:cs="Arial"/>
          <w:sz w:val="24"/>
          <w:szCs w:val="24"/>
          <w:lang w:val="en-GB"/>
        </w:rPr>
        <w:t xml:space="preserve"> provide </w:t>
      </w:r>
      <w:r w:rsidR="009E185A">
        <w:rPr>
          <w:rFonts w:ascii="Arial" w:hAnsi="Arial" w:cs="Arial"/>
          <w:sz w:val="24"/>
          <w:szCs w:val="24"/>
          <w:lang w:val="en-GB"/>
        </w:rPr>
        <w:t>an objective</w:t>
      </w:r>
      <w:r w:rsidR="00257FA8" w:rsidRPr="004B4B2E">
        <w:rPr>
          <w:rFonts w:ascii="Arial" w:hAnsi="Arial" w:cs="Arial"/>
          <w:sz w:val="24"/>
          <w:szCs w:val="24"/>
          <w:lang w:val="en-GB"/>
        </w:rPr>
        <w:t xml:space="preserve"> measure </w:t>
      </w:r>
      <w:r w:rsidR="009E185A">
        <w:rPr>
          <w:rFonts w:ascii="Arial" w:hAnsi="Arial" w:cs="Arial"/>
          <w:sz w:val="24"/>
          <w:szCs w:val="24"/>
          <w:lang w:val="en-GB"/>
        </w:rPr>
        <w:t xml:space="preserve">of </w:t>
      </w:r>
      <w:r w:rsidR="00257FA8" w:rsidRPr="004B4B2E">
        <w:rPr>
          <w:rFonts w:ascii="Arial" w:hAnsi="Arial" w:cs="Arial"/>
          <w:sz w:val="24"/>
          <w:szCs w:val="24"/>
          <w:lang w:val="en-GB"/>
        </w:rPr>
        <w:t xml:space="preserve">pharmacological </w:t>
      </w:r>
      <w:r w:rsidR="00254458" w:rsidRPr="004B4B2E">
        <w:rPr>
          <w:rFonts w:ascii="Arial" w:hAnsi="Arial" w:cs="Arial"/>
          <w:sz w:val="24"/>
          <w:szCs w:val="24"/>
          <w:lang w:val="en-GB"/>
        </w:rPr>
        <w:t xml:space="preserve">response </w:t>
      </w:r>
      <w:r w:rsidR="00257FA8" w:rsidRPr="004B4B2E">
        <w:rPr>
          <w:rFonts w:ascii="Arial" w:hAnsi="Arial" w:cs="Arial"/>
          <w:sz w:val="24"/>
          <w:szCs w:val="24"/>
          <w:lang w:val="en-GB"/>
        </w:rPr>
        <w:t>in patients on PPI</w:t>
      </w:r>
      <w:r w:rsidR="00413C8E">
        <w:rPr>
          <w:rFonts w:ascii="Arial" w:hAnsi="Arial" w:cs="Arial"/>
          <w:sz w:val="24"/>
          <w:szCs w:val="24"/>
          <w:lang w:val="en-GB"/>
        </w:rPr>
        <w:t>s</w:t>
      </w:r>
      <w:r w:rsidR="00F87502">
        <w:rPr>
          <w:rFonts w:ascii="Arial" w:hAnsi="Arial" w:cs="Arial"/>
          <w:sz w:val="24"/>
          <w:szCs w:val="24"/>
          <w:lang w:val="en-GB"/>
        </w:rPr>
        <w:t xml:space="preserve"> undergoing endoscopy</w:t>
      </w:r>
      <w:r w:rsidR="00EC6C91" w:rsidRPr="004B4B2E">
        <w:rPr>
          <w:rFonts w:ascii="Arial" w:hAnsi="Arial" w:cs="Arial"/>
          <w:sz w:val="24"/>
          <w:szCs w:val="24"/>
          <w:lang w:val="en-GB"/>
        </w:rPr>
        <w:t xml:space="preserve">.  </w:t>
      </w:r>
    </w:p>
    <w:p w14:paraId="4179BC26" w14:textId="5214E72C" w:rsidR="00A6463C" w:rsidRPr="004B4B2E" w:rsidRDefault="009C2E8A" w:rsidP="001B3D49">
      <w:pPr>
        <w:spacing w:line="480" w:lineRule="auto"/>
        <w:jc w:val="both"/>
        <w:rPr>
          <w:rFonts w:ascii="Arial" w:hAnsi="Arial" w:cs="Arial"/>
          <w:sz w:val="24"/>
          <w:szCs w:val="24"/>
          <w:lang w:val="en-GB"/>
        </w:rPr>
      </w:pPr>
      <w:proofErr w:type="spellStart"/>
      <w:r w:rsidRPr="004B4B2E">
        <w:rPr>
          <w:rFonts w:ascii="Arial" w:hAnsi="Arial" w:cs="Arial"/>
          <w:sz w:val="24"/>
          <w:szCs w:val="24"/>
          <w:lang w:val="en-GB"/>
        </w:rPr>
        <w:lastRenderedPageBreak/>
        <w:t>EndoFaster</w:t>
      </w:r>
      <w:proofErr w:type="spellEnd"/>
      <w:r w:rsidRPr="004B4B2E">
        <w:rPr>
          <w:rFonts w:ascii="Arial" w:hAnsi="Arial" w:cs="Arial"/>
          <w:sz w:val="24"/>
          <w:szCs w:val="24"/>
          <w:lang w:val="en-GB"/>
        </w:rPr>
        <w:t xml:space="preserve"> </w:t>
      </w:r>
      <w:r w:rsidR="00DE6E8D" w:rsidRPr="00DE6E8D">
        <w:rPr>
          <w:rFonts w:ascii="Arial" w:hAnsi="Arial" w:cs="Arial"/>
          <w:sz w:val="24"/>
          <w:szCs w:val="24"/>
          <w:lang w:val="en-GB"/>
        </w:rPr>
        <w:t>(</w:t>
      </w:r>
      <w:proofErr w:type="spellStart"/>
      <w:r w:rsidR="00DE6E8D" w:rsidRPr="00DE6E8D">
        <w:rPr>
          <w:rFonts w:ascii="Arial" w:hAnsi="Arial" w:cs="Arial"/>
          <w:sz w:val="24"/>
          <w:szCs w:val="24"/>
          <w:lang w:val="en-GB"/>
        </w:rPr>
        <w:t>Nisobiomed</w:t>
      </w:r>
      <w:proofErr w:type="spellEnd"/>
      <w:r w:rsidR="00DE6E8D" w:rsidRPr="00DE6E8D">
        <w:rPr>
          <w:rFonts w:ascii="Arial" w:hAnsi="Arial" w:cs="Arial"/>
          <w:sz w:val="24"/>
          <w:szCs w:val="24"/>
          <w:lang w:val="en-GB"/>
        </w:rPr>
        <w:t>, Italy)</w:t>
      </w:r>
      <w:r w:rsidR="00DE6E8D">
        <w:rPr>
          <w:rFonts w:ascii="Arial" w:hAnsi="Arial" w:cs="Arial"/>
          <w:sz w:val="24"/>
          <w:szCs w:val="24"/>
          <w:lang w:val="en-GB"/>
        </w:rPr>
        <w:t xml:space="preserve"> </w:t>
      </w:r>
      <w:r w:rsidRPr="004B4B2E">
        <w:rPr>
          <w:rFonts w:ascii="Arial" w:hAnsi="Arial" w:cs="Arial"/>
          <w:sz w:val="24"/>
          <w:szCs w:val="24"/>
          <w:lang w:val="en-GB"/>
        </w:rPr>
        <w:t xml:space="preserve">is a </w:t>
      </w:r>
      <w:r w:rsidR="00DE6E8D">
        <w:rPr>
          <w:rFonts w:ascii="Arial" w:hAnsi="Arial" w:cs="Arial"/>
          <w:sz w:val="24"/>
          <w:szCs w:val="24"/>
          <w:lang w:val="en-GB"/>
        </w:rPr>
        <w:t>commercially available</w:t>
      </w:r>
      <w:r w:rsidR="009E185A">
        <w:rPr>
          <w:rFonts w:ascii="Arial" w:hAnsi="Arial" w:cs="Arial"/>
          <w:sz w:val="24"/>
          <w:szCs w:val="24"/>
          <w:lang w:val="en-GB"/>
        </w:rPr>
        <w:t xml:space="preserve"> </w:t>
      </w:r>
      <w:r w:rsidR="00FB7A18" w:rsidRPr="004B4B2E">
        <w:rPr>
          <w:rFonts w:ascii="Arial" w:hAnsi="Arial" w:cs="Arial"/>
          <w:sz w:val="24"/>
          <w:szCs w:val="24"/>
          <w:lang w:val="en-GB"/>
        </w:rPr>
        <w:t xml:space="preserve">endoscopic adjunct device </w:t>
      </w:r>
      <w:r w:rsidR="0071485E" w:rsidRPr="004B4B2E">
        <w:rPr>
          <w:rFonts w:ascii="Arial" w:hAnsi="Arial" w:cs="Arial"/>
          <w:sz w:val="24"/>
          <w:szCs w:val="24"/>
          <w:lang w:val="en-GB"/>
        </w:rPr>
        <w:t xml:space="preserve">that is connected between the endoscope and the suction system </w:t>
      </w:r>
      <w:r w:rsidR="008E7E1D" w:rsidRPr="004B4B2E">
        <w:rPr>
          <w:rFonts w:ascii="Arial" w:hAnsi="Arial" w:cs="Arial"/>
          <w:sz w:val="24"/>
          <w:szCs w:val="24"/>
          <w:lang w:val="en-GB"/>
        </w:rPr>
        <w:t xml:space="preserve">within the </w:t>
      </w:r>
      <w:r w:rsidR="00985774" w:rsidRPr="004B4B2E">
        <w:rPr>
          <w:rFonts w:ascii="Arial" w:hAnsi="Arial" w:cs="Arial"/>
          <w:sz w:val="24"/>
          <w:szCs w:val="24"/>
          <w:lang w:val="en-GB"/>
        </w:rPr>
        <w:t xml:space="preserve">endoscopy </w:t>
      </w:r>
      <w:r w:rsidR="008E7E1D" w:rsidRPr="004B4B2E">
        <w:rPr>
          <w:rFonts w:ascii="Arial" w:hAnsi="Arial" w:cs="Arial"/>
          <w:sz w:val="24"/>
          <w:szCs w:val="24"/>
          <w:lang w:val="en-GB"/>
        </w:rPr>
        <w:t>unit</w:t>
      </w:r>
      <w:r w:rsidR="0071485E" w:rsidRPr="004B4B2E">
        <w:rPr>
          <w:rFonts w:ascii="Arial" w:hAnsi="Arial" w:cs="Arial"/>
          <w:sz w:val="24"/>
          <w:szCs w:val="24"/>
          <w:lang w:val="en-GB"/>
        </w:rPr>
        <w:t xml:space="preserve">. It </w:t>
      </w:r>
      <w:r w:rsidR="0073356B" w:rsidRPr="004B4B2E">
        <w:rPr>
          <w:rFonts w:ascii="Arial" w:hAnsi="Arial" w:cs="Arial"/>
          <w:sz w:val="24"/>
          <w:szCs w:val="24"/>
          <w:lang w:val="en-GB"/>
        </w:rPr>
        <w:t xml:space="preserve">tests the </w:t>
      </w:r>
      <w:r w:rsidR="00FB7A18" w:rsidRPr="004B4B2E">
        <w:rPr>
          <w:rFonts w:ascii="Arial" w:hAnsi="Arial" w:cs="Arial"/>
          <w:sz w:val="24"/>
          <w:szCs w:val="24"/>
          <w:lang w:val="en-GB"/>
        </w:rPr>
        <w:t xml:space="preserve">gastric juice suctioned during a standard endoscopy </w:t>
      </w:r>
      <w:r w:rsidR="0073356B" w:rsidRPr="004B4B2E">
        <w:rPr>
          <w:rFonts w:ascii="Arial" w:hAnsi="Arial" w:cs="Arial"/>
          <w:sz w:val="24"/>
          <w:szCs w:val="24"/>
          <w:lang w:val="en-GB"/>
        </w:rPr>
        <w:t>providing a</w:t>
      </w:r>
      <w:r w:rsidR="00FB7A18" w:rsidRPr="004B4B2E">
        <w:rPr>
          <w:rFonts w:ascii="Arial" w:hAnsi="Arial" w:cs="Arial"/>
          <w:sz w:val="24"/>
          <w:szCs w:val="24"/>
          <w:lang w:val="en-GB"/>
        </w:rPr>
        <w:t xml:space="preserve"> </w:t>
      </w:r>
      <w:r w:rsidR="0073356B" w:rsidRPr="004B4B2E">
        <w:rPr>
          <w:rFonts w:ascii="Arial" w:hAnsi="Arial" w:cs="Arial"/>
          <w:sz w:val="24"/>
          <w:szCs w:val="24"/>
          <w:lang w:val="en-GB"/>
        </w:rPr>
        <w:t xml:space="preserve">real-time </w:t>
      </w:r>
      <w:r w:rsidR="00FB7A18" w:rsidRPr="004B4B2E">
        <w:rPr>
          <w:rFonts w:ascii="Arial" w:hAnsi="Arial" w:cs="Arial"/>
          <w:sz w:val="24"/>
          <w:szCs w:val="24"/>
          <w:lang w:val="en-GB"/>
        </w:rPr>
        <w:t>measure</w:t>
      </w:r>
      <w:r w:rsidR="0073356B" w:rsidRPr="004B4B2E">
        <w:rPr>
          <w:rFonts w:ascii="Arial" w:hAnsi="Arial" w:cs="Arial"/>
          <w:sz w:val="24"/>
          <w:szCs w:val="24"/>
          <w:lang w:val="en-GB"/>
        </w:rPr>
        <w:t xml:space="preserve"> of the </w:t>
      </w:r>
      <w:proofErr w:type="spellStart"/>
      <w:r w:rsidR="00FB7A18" w:rsidRPr="004B4B2E">
        <w:rPr>
          <w:rFonts w:ascii="Arial" w:hAnsi="Arial" w:cs="Arial"/>
          <w:sz w:val="24"/>
          <w:szCs w:val="24"/>
          <w:lang w:val="en-GB"/>
        </w:rPr>
        <w:t>pH.</w:t>
      </w:r>
      <w:proofErr w:type="spellEnd"/>
      <w:r w:rsidR="00FB7A18" w:rsidRPr="004B4B2E">
        <w:rPr>
          <w:rFonts w:ascii="Arial" w:hAnsi="Arial" w:cs="Arial"/>
          <w:sz w:val="24"/>
          <w:szCs w:val="24"/>
          <w:lang w:val="en-GB"/>
        </w:rPr>
        <w:t xml:space="preserve"> </w:t>
      </w:r>
      <w:r w:rsidR="00257FA8" w:rsidRPr="004B4B2E">
        <w:rPr>
          <w:rFonts w:ascii="Arial" w:hAnsi="Arial" w:cs="Arial"/>
          <w:sz w:val="24"/>
          <w:szCs w:val="24"/>
          <w:lang w:val="en-GB"/>
        </w:rPr>
        <w:t xml:space="preserve">The analysis of </w:t>
      </w:r>
      <w:r w:rsidR="00A030EB">
        <w:rPr>
          <w:rFonts w:ascii="Arial" w:hAnsi="Arial" w:cs="Arial"/>
          <w:sz w:val="24"/>
          <w:szCs w:val="24"/>
          <w:lang w:val="en-GB"/>
        </w:rPr>
        <w:t>gastric pH</w:t>
      </w:r>
      <w:r w:rsidR="00257FA8" w:rsidRPr="004B4B2E">
        <w:rPr>
          <w:rFonts w:ascii="Arial" w:hAnsi="Arial" w:cs="Arial"/>
          <w:sz w:val="24"/>
          <w:szCs w:val="24"/>
          <w:lang w:val="en-GB"/>
        </w:rPr>
        <w:t xml:space="preserve"> has been used to </w:t>
      </w:r>
      <w:r w:rsidR="009E185A">
        <w:rPr>
          <w:rFonts w:ascii="Arial" w:hAnsi="Arial" w:cs="Arial"/>
          <w:sz w:val="24"/>
          <w:szCs w:val="24"/>
          <w:lang w:val="en-GB"/>
        </w:rPr>
        <w:t xml:space="preserve">aid in the diagnosis of </w:t>
      </w:r>
      <w:r w:rsidR="00257FA8" w:rsidRPr="004B4B2E">
        <w:rPr>
          <w:rFonts w:ascii="Arial" w:hAnsi="Arial" w:cs="Arial"/>
          <w:sz w:val="24"/>
          <w:szCs w:val="24"/>
          <w:lang w:val="en-GB"/>
        </w:rPr>
        <w:t xml:space="preserve">gastric pre-malignant conditions, including atrophy, intestinal metaplasia and endocrine cell hyperplasia, </w:t>
      </w:r>
      <w:r w:rsidR="00B91DED" w:rsidRPr="004B4B2E">
        <w:rPr>
          <w:rFonts w:ascii="Arial" w:hAnsi="Arial" w:cs="Arial"/>
          <w:sz w:val="24"/>
          <w:szCs w:val="24"/>
          <w:lang w:val="en-GB"/>
        </w:rPr>
        <w:t>which typically correlate with hypochloridia</w:t>
      </w:r>
      <w:r w:rsidR="00685D32" w:rsidRPr="00745AEB">
        <w:rPr>
          <w:rFonts w:ascii="Arial" w:hAnsi="Arial" w:cs="Arial"/>
          <w:sz w:val="24"/>
          <w:szCs w:val="24"/>
          <w:lang w:val="en-GB"/>
        </w:rPr>
        <w:fldChar w:fldCharType="begin" w:fldLock="1"/>
      </w:r>
      <w:r w:rsidR="002A3E74">
        <w:rPr>
          <w:rFonts w:ascii="Arial" w:hAnsi="Arial" w:cs="Arial"/>
          <w:sz w:val="24"/>
          <w:szCs w:val="24"/>
          <w:lang w:val="en-GB"/>
        </w:rPr>
        <w:instrText>ADDIN CSL_CITATION {"citationItems":[{"id":"ITEM-1","itemData":{"ISSN":"1121421X","PMID":"23478247","abstract":"Aim. Gastric juice may constitute a precious source of clinicopathological information. We assessed the usefulness of real-time, perendoscopic, gastric juice pH determination in identifying preneoplastic conditions of the stomach, that often escape the mere endoscopic evaluation. Methods. The study included 245 patients (115M; 130F; age 47±17). In each of them perendoscopic gastric juice pH was assessed by means of an innovative device, the Endofaster, and the results were correlated with histological evaluation (H&amp;E, immunohistochemistry, argyrophil stains), and gastric acid secretion (BAO-PAO), and serum gastrin levels. The conditions evaluated were: atrophy, intestinal metaplasia, endocrine cell hyperplasia, hypergastrinemia. Results. A total of 136 pathological conditions were detected and these resulted to be correlated with pH (r=0.67; P&lt;0.01). The rate of pathological conditions was low in normochlorhydric patients (14.1%); most of these conditions were concentrated in patients with hypochlorhydria (85.9%) (P&lt;0.001). Specifically, the number of patients with one or more pathological conditions increased proportionately with the rise in pH levels. An inverse correlation was detected between gastric juice pH and basal acid output (BAO) (r=-0.72; P&lt;0.01). Endoscopic feature was normal/mild in most of patients with pathological conditions. Conclusion. Hypochlorhydria is a sensitive indicator of gastric risk conditions. Peren doscopic real-time assessment of pH can improve and extend optical analysis by allowing the detection of pathological conditions (either preneoplastic or not) that often escape diagnosis because not correlated with specific endoscopic pattern.","author":[{"dropping-particle":"","family":"Pezzicoli","given":"G","non-dropping-particle":"","parse-names":false,"suffix":""},{"dropping-particle":"","family":"Tucci","given":"F. A.","non-dropping-particle":"","parse-names":false,"suffix":""},{"dropping-particle":"","family":"Ummarino","given":"A","non-dropping-particle":"","parse-names":false,"suffix":""},{"dropping-particle":"","family":"Tucci","given":"P.","non-dropping-particle":"","parse-names":false,"suffix":""},{"dropping-particle":"","family":"Virgilio","given":"A P","non-dropping-particle":"Di","parse-names":false,"suffix":""},{"dropping-particle":"","family":"Bisceglia","given":"M","non-dropping-particle":"","parse-names":false,"suffix":""},{"dropping-particle":"","family":"Rugge","given":"M","non-dropping-particle":"","parse-names":false,"suffix":""},{"dropping-particle":"","family":"Tucci","given":"A","non-dropping-particle":"","parse-names":false,"suffix":""},{"dropping-particle":"","family":"Andriulli","given":"A","non-dropping-particle":"","parse-names":false,"suffix":""}],"container-title":"Minerva Gastroenterologica e Dietologica","id":"ITEM-1","issue":"1","issued":{"date-parts":[["2013","3"]]},"page":"97-105","title":"Perendoscopic real-time assessment of pH improves detection of gastric preneoplastic conditions","type":"article-journal","volume":"59"},"uris":["http://www.mendeley.com/documents/?uuid=419370cb-2189-429c-ad24-bbb62984c550"]}],"mendeley":{"formattedCitation":"&lt;sup&gt;6&lt;/sup&gt;","plainTextFormattedCitation":"6","previouslyFormattedCitation":"&lt;sup&gt;6&lt;/sup&gt;"},"properties":{"noteIndex":0},"schema":"https://github.com/citation-style-language/schema/raw/master/csl-citation.json"}</w:instrText>
      </w:r>
      <w:r w:rsidR="00685D32" w:rsidRPr="00745AEB">
        <w:rPr>
          <w:rFonts w:ascii="Arial" w:hAnsi="Arial" w:cs="Arial"/>
          <w:sz w:val="24"/>
          <w:szCs w:val="24"/>
          <w:lang w:val="en-GB"/>
        </w:rPr>
        <w:fldChar w:fldCharType="separate"/>
      </w:r>
      <w:r w:rsidR="00685D32" w:rsidRPr="00745AEB">
        <w:rPr>
          <w:rFonts w:ascii="Arial" w:hAnsi="Arial" w:cs="Arial"/>
          <w:noProof/>
          <w:sz w:val="24"/>
          <w:szCs w:val="24"/>
          <w:vertAlign w:val="superscript"/>
          <w:lang w:val="en-GB"/>
        </w:rPr>
        <w:t>6</w:t>
      </w:r>
      <w:r w:rsidR="00685D32" w:rsidRPr="00745AEB">
        <w:rPr>
          <w:rFonts w:ascii="Arial" w:hAnsi="Arial" w:cs="Arial"/>
          <w:sz w:val="24"/>
          <w:szCs w:val="24"/>
          <w:lang w:val="en-GB"/>
        </w:rPr>
        <w:fldChar w:fldCharType="end"/>
      </w:r>
      <w:r w:rsidR="00257FA8" w:rsidRPr="004B4B2E">
        <w:rPr>
          <w:rFonts w:ascii="Arial" w:hAnsi="Arial" w:cs="Arial"/>
          <w:sz w:val="24"/>
          <w:szCs w:val="24"/>
          <w:lang w:val="en-GB"/>
        </w:rPr>
        <w:t xml:space="preserve">. </w:t>
      </w:r>
      <w:r w:rsidR="00B572EB">
        <w:rPr>
          <w:rFonts w:ascii="Arial" w:hAnsi="Arial" w:cs="Arial"/>
          <w:sz w:val="24"/>
          <w:szCs w:val="24"/>
          <w:lang w:val="en-GB"/>
        </w:rPr>
        <w:t xml:space="preserve">These </w:t>
      </w:r>
      <w:r w:rsidR="00D426B6">
        <w:rPr>
          <w:rFonts w:ascii="Arial" w:hAnsi="Arial" w:cs="Arial"/>
          <w:sz w:val="24"/>
          <w:szCs w:val="24"/>
          <w:lang w:val="en-GB"/>
        </w:rPr>
        <w:t>conditions were found to be significantly correlated with the level of pH</w:t>
      </w:r>
      <w:r w:rsidR="00D426B6" w:rsidRPr="00D426B6">
        <w:rPr>
          <w:rFonts w:ascii="Arial" w:hAnsi="Arial" w:cs="Arial"/>
          <w:sz w:val="24"/>
          <w:szCs w:val="24"/>
          <w:lang w:val="en-GB"/>
        </w:rPr>
        <w:t xml:space="preserve"> (r=0.67; </w:t>
      </w:r>
      <w:r w:rsidR="00D426B6" w:rsidRPr="0040295C">
        <w:rPr>
          <w:rFonts w:ascii="Arial" w:hAnsi="Arial" w:cs="Arial"/>
          <w:i/>
          <w:sz w:val="24"/>
          <w:szCs w:val="24"/>
          <w:lang w:val="en-GB"/>
        </w:rPr>
        <w:t>P</w:t>
      </w:r>
      <w:r w:rsidR="00D426B6" w:rsidRPr="00D426B6">
        <w:rPr>
          <w:rFonts w:ascii="Arial" w:hAnsi="Arial" w:cs="Arial"/>
          <w:sz w:val="24"/>
          <w:szCs w:val="24"/>
          <w:lang w:val="en-GB"/>
        </w:rPr>
        <w:t>&lt;0.01)</w:t>
      </w:r>
      <w:r w:rsidR="00D426B6">
        <w:rPr>
          <w:rFonts w:ascii="Arial" w:hAnsi="Arial" w:cs="Arial"/>
          <w:sz w:val="24"/>
          <w:szCs w:val="24"/>
          <w:lang w:val="en-GB"/>
        </w:rPr>
        <w:fldChar w:fldCharType="begin" w:fldLock="1"/>
      </w:r>
      <w:r w:rsidR="002A3E74">
        <w:rPr>
          <w:rFonts w:ascii="Arial" w:hAnsi="Arial" w:cs="Arial"/>
          <w:sz w:val="24"/>
          <w:szCs w:val="24"/>
          <w:lang w:val="en-GB"/>
        </w:rPr>
        <w:instrText>ADDIN CSL_CITATION {"citationItems":[{"id":"ITEM-1","itemData":{"ISSN":"1121421X","PMID":"23478247","abstract":"Aim. Gastric juice may constitute a precious source of clinicopathological information. We assessed the usefulness of real-time, perendoscopic, gastric juice pH determination in identifying preneoplastic conditions of the stomach, that often escape the mere endoscopic evaluation. Methods. The study included 245 patients (115M; 130F; age 47±17). In each of them perendoscopic gastric juice pH was assessed by means of an innovative device, the Endofaster, and the results were correlated with histological evaluation (H&amp;E, immunohistochemistry, argyrophil stains), and gastric acid secretion (BAO-PAO), and serum gastrin levels. The conditions evaluated were: atrophy, intestinal metaplasia, endocrine cell hyperplasia, hypergastrinemia. Results. A total of 136 pathological conditions were detected and these resulted to be correlated with pH (r=0.67; P&lt;0.01). The rate of pathological conditions was low in normochlorhydric patients (14.1%); most of these conditions were concentrated in patients with hypochlorhydria (85.9%) (P&lt;0.001). Specifically, the number of patients with one or more pathological conditions increased proportionately with the rise in pH levels. An inverse correlation was detected between gastric juice pH and basal acid output (BAO) (r=-0.72; P&lt;0.01). Endoscopic feature was normal/mild in most of patients with pathological conditions. Conclusion. Hypochlorhydria is a sensitive indicator of gastric risk conditions. Peren doscopic real-time assessment of pH can improve and extend optical analysis by allowing the detection of pathological conditions (either preneoplastic or not) that often escape diagnosis because not correlated with specific endoscopic pattern.","author":[{"dropping-particle":"","family":"Pezzicoli","given":"G","non-dropping-particle":"","parse-names":false,"suffix":""},{"dropping-particle":"","family":"Tucci","given":"F. A.","non-dropping-particle":"","parse-names":false,"suffix":""},{"dropping-particle":"","family":"Ummarino","given":"A","non-dropping-particle":"","parse-names":false,"suffix":""},{"dropping-particle":"","family":"Tucci","given":"P.","non-dropping-particle":"","parse-names":false,"suffix":""},{"dropping-particle":"","family":"Virgilio","given":"A P","non-dropping-particle":"Di","parse-names":false,"suffix":""},{"dropping-particle":"","family":"Bisceglia","given":"M","non-dropping-particle":"","parse-names":false,"suffix":""},{"dropping-particle":"","family":"Rugge","given":"M","non-dropping-particle":"","parse-names":false,"suffix":""},{"dropping-particle":"","family":"Tucci","given":"A","non-dropping-particle":"","parse-names":false,"suffix":""},{"dropping-particle":"","family":"Andriulli","given":"A","non-dropping-particle":"","parse-names":false,"suffix":""}],"container-title":"Minerva Gastroenterologica e Dietologica","id":"ITEM-1","issue":"1","issued":{"date-parts":[["2013","3"]]},"page":"97-105","title":"Perendoscopic real-time assessment of pH improves detection of gastric preneoplastic conditions","type":"article-journal","volume":"59"},"uris":["http://www.mendeley.com/documents/?uuid=419370cb-2189-429c-ad24-bbb62984c550"]}],"mendeley":{"formattedCitation":"&lt;sup&gt;6&lt;/sup&gt;","plainTextFormattedCitation":"6","previouslyFormattedCitation":"&lt;sup&gt;6&lt;/sup&gt;"},"properties":{"noteIndex":0},"schema":"https://github.com/citation-style-language/schema/raw/master/csl-citation.json"}</w:instrText>
      </w:r>
      <w:r w:rsidR="00D426B6">
        <w:rPr>
          <w:rFonts w:ascii="Arial" w:hAnsi="Arial" w:cs="Arial"/>
          <w:sz w:val="24"/>
          <w:szCs w:val="24"/>
          <w:lang w:val="en-GB"/>
        </w:rPr>
        <w:fldChar w:fldCharType="separate"/>
      </w:r>
      <w:r w:rsidR="00D426B6" w:rsidRPr="00D426B6">
        <w:rPr>
          <w:rFonts w:ascii="Arial" w:hAnsi="Arial" w:cs="Arial"/>
          <w:noProof/>
          <w:sz w:val="24"/>
          <w:szCs w:val="24"/>
          <w:vertAlign w:val="superscript"/>
          <w:lang w:val="en-GB"/>
        </w:rPr>
        <w:t>6</w:t>
      </w:r>
      <w:r w:rsidR="00D426B6">
        <w:rPr>
          <w:rFonts w:ascii="Arial" w:hAnsi="Arial" w:cs="Arial"/>
          <w:sz w:val="24"/>
          <w:szCs w:val="24"/>
          <w:lang w:val="en-GB"/>
        </w:rPr>
        <w:fldChar w:fldCharType="end"/>
      </w:r>
      <w:r w:rsidR="00D426B6" w:rsidRPr="00D426B6">
        <w:rPr>
          <w:rFonts w:ascii="Arial" w:hAnsi="Arial" w:cs="Arial"/>
          <w:sz w:val="24"/>
          <w:szCs w:val="24"/>
          <w:lang w:val="en-GB"/>
        </w:rPr>
        <w:t>.</w:t>
      </w:r>
      <w:r w:rsidR="00D426B6">
        <w:rPr>
          <w:rFonts w:ascii="Arial" w:hAnsi="Arial" w:cs="Arial"/>
          <w:sz w:val="24"/>
          <w:szCs w:val="24"/>
          <w:lang w:val="en-GB"/>
        </w:rPr>
        <w:t xml:space="preserve"> </w:t>
      </w:r>
      <w:r w:rsidR="00257FA8" w:rsidRPr="00745AEB">
        <w:rPr>
          <w:rFonts w:ascii="Arial" w:hAnsi="Arial" w:cs="Arial"/>
          <w:sz w:val="24"/>
          <w:szCs w:val="24"/>
          <w:lang w:val="en-GB"/>
        </w:rPr>
        <w:t>In patients on continued PPI therapy at the time of the endoscopy, the gastric</w:t>
      </w:r>
      <w:r w:rsidR="0073356B" w:rsidRPr="004B4B2E">
        <w:rPr>
          <w:rFonts w:ascii="Arial" w:hAnsi="Arial" w:cs="Arial"/>
          <w:sz w:val="24"/>
          <w:szCs w:val="24"/>
          <w:lang w:val="en-GB"/>
        </w:rPr>
        <w:t xml:space="preserve"> </w:t>
      </w:r>
      <w:r w:rsidR="00257FA8" w:rsidRPr="004B4B2E">
        <w:rPr>
          <w:rFonts w:ascii="Arial" w:hAnsi="Arial" w:cs="Arial"/>
          <w:sz w:val="24"/>
          <w:szCs w:val="24"/>
          <w:lang w:val="en-GB"/>
        </w:rPr>
        <w:t xml:space="preserve">pH is expected to </w:t>
      </w:r>
      <w:r w:rsidR="0073356B" w:rsidRPr="004B4B2E">
        <w:rPr>
          <w:rFonts w:ascii="Arial" w:hAnsi="Arial" w:cs="Arial"/>
          <w:sz w:val="24"/>
          <w:szCs w:val="24"/>
          <w:lang w:val="en-GB"/>
        </w:rPr>
        <w:t xml:space="preserve">shift towards neutrality, in </w:t>
      </w:r>
      <w:r w:rsidR="009E185A">
        <w:rPr>
          <w:rFonts w:ascii="Arial" w:hAnsi="Arial" w:cs="Arial"/>
          <w:sz w:val="24"/>
          <w:szCs w:val="24"/>
          <w:lang w:val="en-GB"/>
        </w:rPr>
        <w:t>case of good</w:t>
      </w:r>
      <w:r w:rsidR="0073356B" w:rsidRPr="004B4B2E">
        <w:rPr>
          <w:rFonts w:ascii="Arial" w:hAnsi="Arial" w:cs="Arial"/>
          <w:sz w:val="24"/>
          <w:szCs w:val="24"/>
          <w:lang w:val="en-GB"/>
        </w:rPr>
        <w:t xml:space="preserve"> pharmacological response</w:t>
      </w:r>
      <w:r w:rsidR="00257FA8" w:rsidRPr="004B4B2E">
        <w:rPr>
          <w:rFonts w:ascii="Arial" w:hAnsi="Arial" w:cs="Arial"/>
          <w:sz w:val="24"/>
          <w:szCs w:val="24"/>
          <w:lang w:val="en-GB"/>
        </w:rPr>
        <w:t>.</w:t>
      </w:r>
      <w:r w:rsidR="00B91DED" w:rsidRPr="004B4B2E">
        <w:rPr>
          <w:rFonts w:ascii="Arial" w:hAnsi="Arial" w:cs="Arial"/>
          <w:sz w:val="24"/>
          <w:szCs w:val="24"/>
          <w:lang w:val="en-GB"/>
        </w:rPr>
        <w:t xml:space="preserve"> </w:t>
      </w:r>
      <w:r w:rsidR="00257FA8" w:rsidRPr="004B4B2E">
        <w:rPr>
          <w:rFonts w:ascii="Arial" w:hAnsi="Arial" w:cs="Arial"/>
          <w:sz w:val="24"/>
          <w:szCs w:val="24"/>
          <w:lang w:val="en-GB"/>
        </w:rPr>
        <w:t xml:space="preserve">Hence, we hypothesized that </w:t>
      </w:r>
      <w:r w:rsidR="00257FA8" w:rsidRPr="004B4B2E">
        <w:rPr>
          <w:rFonts w:ascii="Arial" w:hAnsi="Arial" w:cs="Arial"/>
          <w:noProof/>
          <w:sz w:val="24"/>
          <w:szCs w:val="24"/>
          <w:lang w:val="en-GB"/>
        </w:rPr>
        <w:t>real</w:t>
      </w:r>
      <w:r w:rsidR="00443893" w:rsidRPr="004B4B2E">
        <w:rPr>
          <w:rFonts w:ascii="Arial" w:hAnsi="Arial" w:cs="Arial"/>
          <w:noProof/>
          <w:sz w:val="24"/>
          <w:szCs w:val="24"/>
          <w:lang w:val="en-GB"/>
        </w:rPr>
        <w:t>-</w:t>
      </w:r>
      <w:r w:rsidR="00257FA8" w:rsidRPr="004B4B2E">
        <w:rPr>
          <w:rFonts w:ascii="Arial" w:hAnsi="Arial" w:cs="Arial"/>
          <w:noProof/>
          <w:sz w:val="24"/>
          <w:szCs w:val="24"/>
          <w:lang w:val="en-GB"/>
        </w:rPr>
        <w:t>time</w:t>
      </w:r>
      <w:r w:rsidR="00257FA8" w:rsidRPr="004B4B2E">
        <w:rPr>
          <w:rFonts w:ascii="Arial" w:hAnsi="Arial" w:cs="Arial"/>
          <w:sz w:val="24"/>
          <w:szCs w:val="24"/>
          <w:lang w:val="en-GB"/>
        </w:rPr>
        <w:t xml:space="preserve"> </w:t>
      </w:r>
      <w:proofErr w:type="spellStart"/>
      <w:r w:rsidR="00257FA8" w:rsidRPr="004B4B2E">
        <w:rPr>
          <w:rFonts w:ascii="Arial" w:hAnsi="Arial" w:cs="Arial"/>
          <w:sz w:val="24"/>
          <w:szCs w:val="24"/>
          <w:lang w:val="en-GB"/>
        </w:rPr>
        <w:t>EndoFaster</w:t>
      </w:r>
      <w:proofErr w:type="spellEnd"/>
      <w:r w:rsidR="00257FA8" w:rsidRPr="004B4B2E">
        <w:rPr>
          <w:rFonts w:ascii="Arial" w:hAnsi="Arial" w:cs="Arial"/>
          <w:sz w:val="24"/>
          <w:szCs w:val="24"/>
          <w:lang w:val="en-GB"/>
        </w:rPr>
        <w:t xml:space="preserve"> measure of gastric</w:t>
      </w:r>
      <w:r w:rsidR="0073356B" w:rsidRPr="004B4B2E">
        <w:rPr>
          <w:rFonts w:ascii="Arial" w:hAnsi="Arial" w:cs="Arial"/>
          <w:sz w:val="24"/>
          <w:szCs w:val="24"/>
          <w:lang w:val="en-GB"/>
        </w:rPr>
        <w:t xml:space="preserve"> </w:t>
      </w:r>
      <w:r w:rsidR="00257FA8" w:rsidRPr="004B4B2E">
        <w:rPr>
          <w:rFonts w:ascii="Arial" w:hAnsi="Arial" w:cs="Arial"/>
          <w:sz w:val="24"/>
          <w:szCs w:val="24"/>
          <w:lang w:val="en-GB"/>
        </w:rPr>
        <w:t xml:space="preserve">pH during gastroscopy, </w:t>
      </w:r>
      <w:r w:rsidR="00B91DED" w:rsidRPr="004B4B2E">
        <w:rPr>
          <w:rFonts w:ascii="Arial" w:hAnsi="Arial" w:cs="Arial"/>
          <w:sz w:val="24"/>
          <w:szCs w:val="24"/>
          <w:lang w:val="en-GB"/>
        </w:rPr>
        <w:t xml:space="preserve">alone or </w:t>
      </w:r>
      <w:r w:rsidR="00257FA8" w:rsidRPr="004B4B2E">
        <w:rPr>
          <w:rFonts w:ascii="Arial" w:hAnsi="Arial" w:cs="Arial"/>
          <w:sz w:val="24"/>
          <w:szCs w:val="24"/>
          <w:lang w:val="en-GB"/>
        </w:rPr>
        <w:t xml:space="preserve">in combination with other clinical parameters, could </w:t>
      </w:r>
      <w:r w:rsidR="00257FA8" w:rsidRPr="00745AEB">
        <w:rPr>
          <w:rFonts w:ascii="Arial" w:hAnsi="Arial" w:cs="Arial"/>
          <w:sz w:val="24"/>
          <w:szCs w:val="24"/>
          <w:lang w:val="en-GB"/>
        </w:rPr>
        <w:t>be useful</w:t>
      </w:r>
      <w:r w:rsidR="00257FA8" w:rsidRPr="004B4B2E">
        <w:rPr>
          <w:rFonts w:ascii="Arial" w:hAnsi="Arial" w:cs="Arial"/>
          <w:sz w:val="24"/>
          <w:szCs w:val="24"/>
          <w:lang w:val="en-GB"/>
        </w:rPr>
        <w:t xml:space="preserve"> to identify patients with incomplete </w:t>
      </w:r>
      <w:r w:rsidR="00DE6E8D">
        <w:rPr>
          <w:rFonts w:ascii="Arial" w:hAnsi="Arial" w:cs="Arial"/>
          <w:sz w:val="24"/>
          <w:szCs w:val="24"/>
          <w:lang w:val="en-GB"/>
        </w:rPr>
        <w:t xml:space="preserve">pharmacological </w:t>
      </w:r>
      <w:r w:rsidR="00257FA8" w:rsidRPr="004B4B2E">
        <w:rPr>
          <w:rFonts w:ascii="Arial" w:hAnsi="Arial" w:cs="Arial"/>
          <w:sz w:val="24"/>
          <w:szCs w:val="24"/>
          <w:lang w:val="en-GB"/>
        </w:rPr>
        <w:t>response to PPI</w:t>
      </w:r>
      <w:r w:rsidR="0040295C">
        <w:rPr>
          <w:rFonts w:ascii="Arial" w:hAnsi="Arial" w:cs="Arial"/>
          <w:sz w:val="24"/>
          <w:szCs w:val="24"/>
          <w:lang w:val="en-GB"/>
        </w:rPr>
        <w:t>s</w:t>
      </w:r>
      <w:r w:rsidR="00257FA8" w:rsidRPr="004B4B2E">
        <w:rPr>
          <w:rFonts w:ascii="Arial" w:hAnsi="Arial" w:cs="Arial"/>
          <w:sz w:val="24"/>
          <w:szCs w:val="24"/>
          <w:lang w:val="en-GB"/>
        </w:rPr>
        <w:t xml:space="preserve"> based on esophageal acid exposure time by the gold standard ambulatory</w:t>
      </w:r>
      <w:r w:rsidR="0058557C" w:rsidRPr="004B4B2E">
        <w:rPr>
          <w:rFonts w:ascii="Arial" w:hAnsi="Arial" w:cs="Arial"/>
          <w:sz w:val="24"/>
          <w:szCs w:val="24"/>
          <w:lang w:val="en-GB"/>
        </w:rPr>
        <w:t xml:space="preserve"> </w:t>
      </w:r>
      <w:r w:rsidR="00257FA8" w:rsidRPr="004B4B2E">
        <w:rPr>
          <w:rFonts w:ascii="Arial" w:hAnsi="Arial" w:cs="Arial"/>
          <w:sz w:val="24"/>
          <w:szCs w:val="24"/>
          <w:lang w:val="en-GB"/>
        </w:rPr>
        <w:t>pH</w:t>
      </w:r>
      <w:r w:rsidR="0058557C" w:rsidRPr="004B4B2E">
        <w:rPr>
          <w:rFonts w:ascii="Arial" w:hAnsi="Arial" w:cs="Arial"/>
          <w:sz w:val="24"/>
          <w:szCs w:val="24"/>
          <w:lang w:val="en-GB"/>
        </w:rPr>
        <w:t>-</w:t>
      </w:r>
      <w:r w:rsidR="00257FA8" w:rsidRPr="004B4B2E">
        <w:rPr>
          <w:rFonts w:ascii="Arial" w:hAnsi="Arial" w:cs="Arial"/>
          <w:sz w:val="24"/>
          <w:szCs w:val="24"/>
          <w:lang w:val="en-GB"/>
        </w:rPr>
        <w:t>impedance monitoring</w:t>
      </w:r>
      <w:r w:rsidR="003151CA" w:rsidRPr="004B4B2E">
        <w:rPr>
          <w:rFonts w:ascii="Arial" w:hAnsi="Arial" w:cs="Arial"/>
          <w:sz w:val="24"/>
          <w:szCs w:val="24"/>
          <w:lang w:val="en-GB"/>
        </w:rPr>
        <w:t>.</w:t>
      </w:r>
    </w:p>
    <w:p w14:paraId="00B18A79" w14:textId="5D7E47C5" w:rsidR="006D2F4F" w:rsidRPr="004B4B2E" w:rsidRDefault="00216370" w:rsidP="001B3D49">
      <w:pPr>
        <w:pStyle w:val="ListParagraph"/>
        <w:numPr>
          <w:ilvl w:val="0"/>
          <w:numId w:val="3"/>
        </w:numPr>
        <w:spacing w:line="480" w:lineRule="auto"/>
        <w:jc w:val="both"/>
        <w:rPr>
          <w:rFonts w:ascii="Arial" w:hAnsi="Arial" w:cs="Arial"/>
          <w:b/>
          <w:sz w:val="24"/>
          <w:szCs w:val="24"/>
          <w:lang w:val="en-GB"/>
        </w:rPr>
      </w:pPr>
      <w:r w:rsidRPr="004B4B2E">
        <w:rPr>
          <w:rFonts w:ascii="Arial" w:hAnsi="Arial" w:cs="Arial"/>
          <w:b/>
          <w:sz w:val="24"/>
          <w:szCs w:val="24"/>
          <w:lang w:val="en-GB"/>
        </w:rPr>
        <w:t>METHODS</w:t>
      </w:r>
    </w:p>
    <w:p w14:paraId="3CE227FB" w14:textId="565DA412" w:rsidR="00216370" w:rsidRPr="004B4B2E" w:rsidRDefault="00216370" w:rsidP="001B3D49">
      <w:pPr>
        <w:spacing w:line="480" w:lineRule="auto"/>
        <w:jc w:val="both"/>
        <w:rPr>
          <w:rFonts w:ascii="Arial" w:hAnsi="Arial" w:cs="Arial"/>
          <w:b/>
          <w:sz w:val="24"/>
          <w:szCs w:val="24"/>
          <w:lang w:val="en-GB"/>
        </w:rPr>
      </w:pPr>
      <w:r w:rsidRPr="004B4B2E">
        <w:rPr>
          <w:rFonts w:ascii="Arial" w:hAnsi="Arial" w:cs="Arial"/>
          <w:b/>
          <w:sz w:val="24"/>
          <w:szCs w:val="24"/>
          <w:lang w:val="en-GB"/>
        </w:rPr>
        <w:t>2.1 Study Design</w:t>
      </w:r>
    </w:p>
    <w:p w14:paraId="6544E648" w14:textId="1171DF23" w:rsidR="000B14CA" w:rsidRPr="001674C0" w:rsidRDefault="00216370" w:rsidP="0040295C">
      <w:pPr>
        <w:spacing w:line="480" w:lineRule="auto"/>
        <w:jc w:val="both"/>
        <w:rPr>
          <w:rFonts w:ascii="Arial" w:hAnsi="Arial" w:cs="Arial"/>
          <w:sz w:val="24"/>
          <w:szCs w:val="24"/>
          <w:lang w:val="en-GB" w:eastAsia="pl-PL"/>
        </w:rPr>
      </w:pPr>
      <w:r w:rsidRPr="004B4B2E">
        <w:rPr>
          <w:rFonts w:ascii="Arial" w:hAnsi="Arial" w:cs="Arial"/>
          <w:sz w:val="24"/>
          <w:szCs w:val="24"/>
          <w:lang w:val="en-GB"/>
        </w:rPr>
        <w:t>This was a prospective, single-</w:t>
      </w:r>
      <w:proofErr w:type="spellStart"/>
      <w:r w:rsidRPr="004B4B2E">
        <w:rPr>
          <w:rFonts w:ascii="Arial" w:hAnsi="Arial" w:cs="Arial"/>
          <w:sz w:val="24"/>
          <w:szCs w:val="24"/>
          <w:lang w:val="en-GB"/>
        </w:rPr>
        <w:t>center</w:t>
      </w:r>
      <w:proofErr w:type="spellEnd"/>
      <w:r w:rsidRPr="004B4B2E">
        <w:rPr>
          <w:rFonts w:ascii="Arial" w:hAnsi="Arial" w:cs="Arial"/>
          <w:sz w:val="24"/>
          <w:szCs w:val="24"/>
          <w:lang w:val="en-GB"/>
        </w:rPr>
        <w:t xml:space="preserve">, cohort study </w:t>
      </w:r>
      <w:r w:rsidR="002C5A34" w:rsidRPr="004B4B2E">
        <w:rPr>
          <w:rFonts w:ascii="Arial" w:hAnsi="Arial" w:cs="Arial"/>
          <w:sz w:val="24"/>
          <w:szCs w:val="24"/>
          <w:lang w:val="en-GB"/>
        </w:rPr>
        <w:t xml:space="preserve">conducted </w:t>
      </w:r>
      <w:r w:rsidRPr="004B4B2E">
        <w:rPr>
          <w:rFonts w:ascii="Arial" w:hAnsi="Arial" w:cs="Arial"/>
          <w:sz w:val="24"/>
          <w:szCs w:val="24"/>
          <w:lang w:val="en-GB"/>
        </w:rPr>
        <w:t xml:space="preserve">at the Addenbrooke’s </w:t>
      </w:r>
      <w:r w:rsidR="00B34B2F" w:rsidRPr="004B4B2E">
        <w:rPr>
          <w:rFonts w:ascii="Arial" w:hAnsi="Arial" w:cs="Arial"/>
          <w:sz w:val="24"/>
          <w:szCs w:val="24"/>
          <w:lang w:val="en-GB"/>
        </w:rPr>
        <w:t>Hospital</w:t>
      </w:r>
      <w:r w:rsidR="00F87502">
        <w:rPr>
          <w:rFonts w:ascii="Arial" w:hAnsi="Arial" w:cs="Arial"/>
          <w:sz w:val="24"/>
          <w:szCs w:val="24"/>
          <w:lang w:val="en-GB"/>
        </w:rPr>
        <w:t xml:space="preserve"> (</w:t>
      </w:r>
      <w:r w:rsidR="00B34B2F" w:rsidRPr="004B4B2E">
        <w:rPr>
          <w:rFonts w:ascii="Arial" w:hAnsi="Arial" w:cs="Arial"/>
          <w:sz w:val="24"/>
          <w:szCs w:val="24"/>
          <w:lang w:val="en-GB"/>
        </w:rPr>
        <w:t>Cambridge</w:t>
      </w:r>
      <w:r w:rsidR="00F87502">
        <w:rPr>
          <w:rFonts w:ascii="Arial" w:hAnsi="Arial" w:cs="Arial"/>
          <w:sz w:val="24"/>
          <w:szCs w:val="24"/>
          <w:lang w:val="en-GB"/>
        </w:rPr>
        <w:t xml:space="preserve">, UK) </w:t>
      </w:r>
      <w:r w:rsidRPr="004B4B2E">
        <w:rPr>
          <w:rFonts w:ascii="Arial" w:hAnsi="Arial" w:cs="Arial"/>
          <w:sz w:val="24"/>
          <w:szCs w:val="24"/>
          <w:lang w:val="en-GB"/>
        </w:rPr>
        <w:t xml:space="preserve">between </w:t>
      </w:r>
      <w:r w:rsidR="00B34B2F" w:rsidRPr="004B4B2E">
        <w:rPr>
          <w:rFonts w:ascii="Arial" w:hAnsi="Arial" w:cs="Arial"/>
          <w:sz w:val="24"/>
          <w:szCs w:val="24"/>
          <w:lang w:val="en-GB"/>
        </w:rPr>
        <w:t xml:space="preserve">2015 and 2018. </w:t>
      </w:r>
      <w:r w:rsidRPr="004B4B2E">
        <w:rPr>
          <w:rFonts w:ascii="Arial" w:hAnsi="Arial" w:cs="Arial"/>
          <w:sz w:val="24"/>
          <w:szCs w:val="24"/>
          <w:lang w:val="en-GB"/>
        </w:rPr>
        <w:t>Th</w:t>
      </w:r>
      <w:r w:rsidR="00B34B2F" w:rsidRPr="004B4B2E">
        <w:rPr>
          <w:rFonts w:ascii="Arial" w:hAnsi="Arial" w:cs="Arial"/>
          <w:sz w:val="24"/>
          <w:szCs w:val="24"/>
          <w:lang w:val="en-GB"/>
        </w:rPr>
        <w:t xml:space="preserve">is study proposal was </w:t>
      </w:r>
      <w:r w:rsidRPr="004B4B2E">
        <w:rPr>
          <w:rFonts w:ascii="Arial" w:hAnsi="Arial" w:cs="Arial"/>
          <w:sz w:val="24"/>
          <w:szCs w:val="24"/>
          <w:lang w:val="en-GB"/>
        </w:rPr>
        <w:t xml:space="preserve">approved by the ethical committee at the local institution </w:t>
      </w:r>
      <w:r w:rsidR="00F91070">
        <w:rPr>
          <w:rFonts w:ascii="Arial" w:hAnsi="Arial" w:cs="Arial"/>
          <w:sz w:val="24"/>
          <w:szCs w:val="24"/>
          <w:lang w:val="en-GB"/>
        </w:rPr>
        <w:t xml:space="preserve">on the </w:t>
      </w:r>
      <w:r w:rsidR="00F91070" w:rsidRPr="00F91070">
        <w:rPr>
          <w:rFonts w:ascii="Arial" w:hAnsi="Arial" w:cs="Arial"/>
          <w:sz w:val="24"/>
          <w:szCs w:val="24"/>
          <w:lang w:val="en-GB"/>
        </w:rPr>
        <w:t xml:space="preserve">26th Sept 2014 </w:t>
      </w:r>
      <w:r w:rsidR="0040295C">
        <w:rPr>
          <w:rFonts w:ascii="Arial" w:hAnsi="Arial" w:cs="Arial"/>
          <w:sz w:val="24"/>
          <w:szCs w:val="24"/>
          <w:lang w:val="en-GB"/>
        </w:rPr>
        <w:t>(</w:t>
      </w:r>
      <w:r w:rsidR="002C5A34" w:rsidRPr="004B4B2E">
        <w:rPr>
          <w:rFonts w:ascii="Arial" w:hAnsi="Arial" w:cs="Arial"/>
          <w:sz w:val="24"/>
          <w:szCs w:val="24"/>
          <w:lang w:val="en-GB"/>
        </w:rPr>
        <w:t>LREC01/149</w:t>
      </w:r>
      <w:r w:rsidR="0040295C">
        <w:rPr>
          <w:rFonts w:ascii="Arial" w:hAnsi="Arial" w:cs="Arial"/>
          <w:sz w:val="24"/>
          <w:szCs w:val="24"/>
          <w:lang w:val="en-GB"/>
        </w:rPr>
        <w:t>)</w:t>
      </w:r>
      <w:r w:rsidRPr="004B4B2E">
        <w:rPr>
          <w:rFonts w:ascii="Arial" w:hAnsi="Arial" w:cs="Arial"/>
          <w:sz w:val="24"/>
          <w:szCs w:val="24"/>
          <w:lang w:val="en-GB"/>
        </w:rPr>
        <w:t xml:space="preserve">. </w:t>
      </w:r>
      <w:r w:rsidR="00F91070" w:rsidRPr="00F91070">
        <w:rPr>
          <w:rFonts w:ascii="Arial" w:hAnsi="Arial" w:cs="Arial"/>
          <w:sz w:val="24"/>
          <w:szCs w:val="24"/>
          <w:lang w:val="en-GB"/>
        </w:rPr>
        <w:t>The study protocol conforms to the ethical guidelines of the 1975 Declaration of Helsinki as reflected in a priori approval by the institution's human research committee</w:t>
      </w:r>
      <w:r w:rsidR="00F91070">
        <w:rPr>
          <w:rFonts w:ascii="Arial" w:hAnsi="Arial" w:cs="Arial"/>
          <w:sz w:val="24"/>
          <w:szCs w:val="24"/>
          <w:lang w:val="en-GB"/>
        </w:rPr>
        <w:t xml:space="preserve">. </w:t>
      </w:r>
      <w:r w:rsidRPr="004B4B2E">
        <w:rPr>
          <w:rFonts w:ascii="Arial" w:hAnsi="Arial" w:cs="Arial"/>
          <w:sz w:val="24"/>
          <w:szCs w:val="24"/>
          <w:lang w:val="en-GB"/>
        </w:rPr>
        <w:t>All patients provided written informed consent to participate in the study</w:t>
      </w:r>
      <w:r w:rsidR="00B34B2F" w:rsidRPr="004B4B2E">
        <w:rPr>
          <w:rFonts w:ascii="Arial" w:hAnsi="Arial" w:cs="Arial"/>
          <w:sz w:val="24"/>
          <w:szCs w:val="24"/>
          <w:lang w:val="en-GB"/>
        </w:rPr>
        <w:t>.</w:t>
      </w:r>
    </w:p>
    <w:p w14:paraId="07657994" w14:textId="2C70ADE3" w:rsidR="00406ECF" w:rsidRPr="004B4B2E" w:rsidRDefault="00216370" w:rsidP="001B3D49">
      <w:pPr>
        <w:spacing w:line="480" w:lineRule="auto"/>
        <w:jc w:val="both"/>
        <w:rPr>
          <w:rFonts w:ascii="Arial" w:hAnsi="Arial" w:cs="Arial"/>
          <w:b/>
          <w:sz w:val="24"/>
          <w:szCs w:val="24"/>
          <w:lang w:val="en-GB"/>
        </w:rPr>
      </w:pPr>
      <w:r w:rsidRPr="004B4B2E">
        <w:rPr>
          <w:rFonts w:ascii="Arial" w:hAnsi="Arial" w:cs="Arial"/>
          <w:b/>
          <w:sz w:val="24"/>
          <w:szCs w:val="24"/>
          <w:lang w:val="en-GB"/>
        </w:rPr>
        <w:t>2.2 Patients</w:t>
      </w:r>
    </w:p>
    <w:p w14:paraId="3FCA6EDB" w14:textId="5AB4026A" w:rsidR="00562C9B" w:rsidRPr="004B4B2E" w:rsidRDefault="0013121A" w:rsidP="001B3D49">
      <w:pPr>
        <w:spacing w:line="480" w:lineRule="auto"/>
        <w:jc w:val="both"/>
        <w:rPr>
          <w:rFonts w:ascii="Arial" w:hAnsi="Arial" w:cs="Arial"/>
          <w:sz w:val="24"/>
          <w:szCs w:val="24"/>
          <w:lang w:val="en-GB"/>
        </w:rPr>
      </w:pPr>
      <w:r w:rsidRPr="004B4B2E">
        <w:rPr>
          <w:rFonts w:ascii="Arial" w:hAnsi="Arial" w:cs="Arial"/>
          <w:sz w:val="24"/>
          <w:szCs w:val="24"/>
          <w:lang w:val="en-GB"/>
        </w:rPr>
        <w:lastRenderedPageBreak/>
        <w:t xml:space="preserve">We prospectively recruited patients on PPI treatment referred for evaluation of GERD symptoms and/or surveillance of BE in the outpatient gastroenterology clinic. We included adult patients, with or without symptoms on </w:t>
      </w:r>
      <w:r w:rsidR="00443893" w:rsidRPr="004B4B2E">
        <w:rPr>
          <w:rFonts w:ascii="Arial" w:hAnsi="Arial" w:cs="Arial"/>
          <w:sz w:val="24"/>
          <w:szCs w:val="24"/>
          <w:lang w:val="en-GB"/>
        </w:rPr>
        <w:t xml:space="preserve">a </w:t>
      </w:r>
      <w:r w:rsidRPr="004B4B2E">
        <w:rPr>
          <w:rFonts w:ascii="Arial" w:hAnsi="Arial" w:cs="Arial"/>
          <w:noProof/>
          <w:sz w:val="24"/>
          <w:szCs w:val="24"/>
          <w:lang w:val="en-GB"/>
        </w:rPr>
        <w:t>stable</w:t>
      </w:r>
      <w:r w:rsidRPr="004B4B2E">
        <w:rPr>
          <w:rFonts w:ascii="Arial" w:hAnsi="Arial" w:cs="Arial"/>
          <w:sz w:val="24"/>
          <w:szCs w:val="24"/>
          <w:lang w:val="en-GB"/>
        </w:rPr>
        <w:t xml:space="preserve"> PPI regimen</w:t>
      </w:r>
      <w:r w:rsidR="009E3752">
        <w:rPr>
          <w:rFonts w:ascii="Arial" w:hAnsi="Arial" w:cs="Arial"/>
          <w:sz w:val="24"/>
          <w:szCs w:val="24"/>
          <w:lang w:val="en-GB"/>
        </w:rPr>
        <w:t xml:space="preserve"> for at least 4 weeks</w:t>
      </w:r>
      <w:r w:rsidRPr="004B4B2E">
        <w:rPr>
          <w:rFonts w:ascii="Arial" w:hAnsi="Arial" w:cs="Arial"/>
          <w:sz w:val="24"/>
          <w:szCs w:val="24"/>
          <w:lang w:val="en-GB"/>
        </w:rPr>
        <w:t xml:space="preserve">. </w:t>
      </w:r>
      <w:r w:rsidR="00562C9B" w:rsidRPr="004B4B2E">
        <w:rPr>
          <w:rFonts w:ascii="Arial" w:hAnsi="Arial" w:cs="Arial"/>
          <w:sz w:val="24"/>
          <w:szCs w:val="24"/>
          <w:lang w:val="en-GB"/>
        </w:rPr>
        <w:t xml:space="preserve">Patients not compliant with the PPI treatment </w:t>
      </w:r>
      <w:r w:rsidR="00C80A34">
        <w:rPr>
          <w:rFonts w:ascii="Arial" w:hAnsi="Arial" w:cs="Arial"/>
          <w:sz w:val="24"/>
          <w:szCs w:val="24"/>
          <w:lang w:val="en-GB"/>
        </w:rPr>
        <w:t xml:space="preserve">and those </w:t>
      </w:r>
      <w:r w:rsidR="00C80A34" w:rsidRPr="004B4B2E">
        <w:rPr>
          <w:rFonts w:ascii="Arial" w:hAnsi="Arial" w:cs="Arial"/>
          <w:sz w:val="24"/>
          <w:szCs w:val="24"/>
          <w:lang w:val="en-GB"/>
        </w:rPr>
        <w:t xml:space="preserve">who missed the last scheduled dose of PPI prior to the endoscopy </w:t>
      </w:r>
      <w:r w:rsidR="00562C9B" w:rsidRPr="004B4B2E">
        <w:rPr>
          <w:rFonts w:ascii="Arial" w:hAnsi="Arial" w:cs="Arial"/>
          <w:sz w:val="24"/>
          <w:szCs w:val="24"/>
          <w:lang w:val="en-GB"/>
        </w:rPr>
        <w:t xml:space="preserve">were excluded. Each patient completed a symptom questionnaire and underwent gastroscopy with </w:t>
      </w:r>
      <w:r w:rsidR="00A030EB">
        <w:rPr>
          <w:rFonts w:ascii="Arial" w:hAnsi="Arial" w:cs="Arial"/>
          <w:sz w:val="24"/>
          <w:szCs w:val="24"/>
          <w:lang w:val="en-GB"/>
        </w:rPr>
        <w:t>gastric pH</w:t>
      </w:r>
      <w:r w:rsidR="00562C9B" w:rsidRPr="004B4B2E">
        <w:rPr>
          <w:rFonts w:ascii="Arial" w:hAnsi="Arial" w:cs="Arial"/>
          <w:sz w:val="24"/>
          <w:szCs w:val="24"/>
          <w:lang w:val="en-GB"/>
        </w:rPr>
        <w:t xml:space="preserve"> analysis and an ambulatory 24-hour pH-impedance</w:t>
      </w:r>
      <w:r w:rsidR="00C100A3" w:rsidRPr="004B4B2E">
        <w:rPr>
          <w:rFonts w:ascii="Arial" w:hAnsi="Arial" w:cs="Arial"/>
          <w:sz w:val="24"/>
          <w:szCs w:val="24"/>
          <w:lang w:val="en-GB"/>
        </w:rPr>
        <w:t xml:space="preserve"> test</w:t>
      </w:r>
      <w:r w:rsidR="00562C9B" w:rsidRPr="004B4B2E">
        <w:rPr>
          <w:rFonts w:ascii="Arial" w:hAnsi="Arial" w:cs="Arial"/>
          <w:sz w:val="24"/>
          <w:szCs w:val="24"/>
          <w:lang w:val="en-GB"/>
        </w:rPr>
        <w:t>.</w:t>
      </w:r>
    </w:p>
    <w:p w14:paraId="519FEE4C" w14:textId="5214A9B7" w:rsidR="00562C9B" w:rsidRPr="004B4B2E" w:rsidRDefault="00216370" w:rsidP="001B3D49">
      <w:pPr>
        <w:spacing w:line="480" w:lineRule="auto"/>
        <w:jc w:val="both"/>
        <w:rPr>
          <w:rFonts w:ascii="Arial" w:hAnsi="Arial" w:cs="Arial"/>
          <w:b/>
          <w:sz w:val="24"/>
          <w:szCs w:val="24"/>
          <w:lang w:val="en-GB"/>
        </w:rPr>
      </w:pPr>
      <w:r w:rsidRPr="004B4B2E">
        <w:rPr>
          <w:rFonts w:ascii="Arial" w:hAnsi="Arial" w:cs="Arial"/>
          <w:b/>
          <w:sz w:val="24"/>
          <w:szCs w:val="24"/>
          <w:lang w:val="en-GB"/>
        </w:rPr>
        <w:t>2.3 Proton-pump inhibitor</w:t>
      </w:r>
      <w:r w:rsidR="00562C9B" w:rsidRPr="004B4B2E">
        <w:rPr>
          <w:rFonts w:ascii="Arial" w:hAnsi="Arial" w:cs="Arial"/>
          <w:b/>
          <w:sz w:val="24"/>
          <w:szCs w:val="24"/>
          <w:lang w:val="en-GB"/>
        </w:rPr>
        <w:t xml:space="preserve"> regimens</w:t>
      </w:r>
    </w:p>
    <w:p w14:paraId="4C464468" w14:textId="2BD754FB" w:rsidR="00C100A3" w:rsidRPr="004B4B2E" w:rsidRDefault="00C100A3" w:rsidP="001B3D49">
      <w:pPr>
        <w:spacing w:line="480" w:lineRule="auto"/>
        <w:jc w:val="both"/>
        <w:rPr>
          <w:rFonts w:ascii="Arial" w:hAnsi="Arial" w:cs="Arial"/>
          <w:sz w:val="24"/>
          <w:szCs w:val="24"/>
          <w:lang w:val="en-GB"/>
        </w:rPr>
      </w:pPr>
      <w:r w:rsidRPr="004B4B2E">
        <w:rPr>
          <w:rFonts w:ascii="Arial" w:hAnsi="Arial" w:cs="Arial"/>
          <w:sz w:val="24"/>
          <w:szCs w:val="24"/>
          <w:lang w:val="en-GB"/>
        </w:rPr>
        <w:t xml:space="preserve">For the purpose of </w:t>
      </w:r>
      <w:r w:rsidR="00B54163" w:rsidRPr="004B4B2E">
        <w:rPr>
          <w:rFonts w:ascii="Arial" w:hAnsi="Arial" w:cs="Arial"/>
          <w:sz w:val="24"/>
          <w:szCs w:val="24"/>
          <w:lang w:val="en-GB"/>
        </w:rPr>
        <w:t>the study</w:t>
      </w:r>
      <w:r w:rsidRPr="004B4B2E">
        <w:rPr>
          <w:rFonts w:ascii="Arial" w:hAnsi="Arial" w:cs="Arial"/>
          <w:sz w:val="24"/>
          <w:szCs w:val="24"/>
          <w:lang w:val="en-GB"/>
        </w:rPr>
        <w:t>, a PPI scoring system was established to group each individual patient into groups with comparable PPI daily dose.</w:t>
      </w:r>
      <w:r w:rsidR="00CD4654">
        <w:rPr>
          <w:rFonts w:ascii="Arial" w:hAnsi="Arial" w:cs="Arial"/>
          <w:sz w:val="24"/>
          <w:szCs w:val="24"/>
          <w:lang w:val="en-GB"/>
        </w:rPr>
        <w:t xml:space="preserve"> The doses were established accordingly </w:t>
      </w:r>
      <w:r w:rsidR="002A3E74">
        <w:rPr>
          <w:rFonts w:ascii="Arial" w:hAnsi="Arial" w:cs="Arial"/>
          <w:sz w:val="24"/>
          <w:szCs w:val="24"/>
          <w:lang w:val="en-GB"/>
        </w:rPr>
        <w:t>to</w:t>
      </w:r>
      <w:r w:rsidR="002A3E74" w:rsidRPr="002A3E74">
        <w:rPr>
          <w:rFonts w:ascii="Arial" w:hAnsi="Arial" w:cs="Arial"/>
          <w:sz w:val="24"/>
          <w:szCs w:val="24"/>
          <w:lang w:val="en-GB"/>
        </w:rPr>
        <w:t xml:space="preserve"> the National Institute for Health and Care Excellence (NICE) guidelines and the British National Formulary</w:t>
      </w:r>
      <w:r w:rsidR="002A3E74">
        <w:rPr>
          <w:rFonts w:ascii="Arial" w:hAnsi="Arial" w:cs="Arial"/>
          <w:sz w:val="24"/>
          <w:szCs w:val="24"/>
          <w:lang w:val="en-GB"/>
        </w:rPr>
        <w:fldChar w:fldCharType="begin" w:fldLock="1"/>
      </w:r>
      <w:r w:rsidR="00373F6D">
        <w:rPr>
          <w:rFonts w:ascii="Arial" w:hAnsi="Arial" w:cs="Arial"/>
          <w:sz w:val="24"/>
          <w:szCs w:val="24"/>
          <w:lang w:val="en-GB"/>
        </w:rPr>
        <w:instrText>ADDIN CSL_CITATION {"citationItems":[{"id":"ITEM-1","itemData":{"id":"ITEM-1","issued":{"date-parts":[["0"]]},"publisher":"NICE","title":"Appendix A: Dosage information on proton pump inhibitors | Gastro-oesophageal reflux disease and dyspepsia in adults: investigation and management | Guidance | NICE","type":"article-journal"},"uris":["http://www.mendeley.com/documents/?uuid=b68af0d9-3c10-362f-8230-bd00f8688f68"]}],"mendeley":{"formattedCitation":"&lt;sup&gt;7&lt;/sup&gt;","plainTextFormattedCitation":"7","previouslyFormattedCitation":"&lt;sup&gt;7&lt;/sup&gt;"},"properties":{"noteIndex":0},"schema":"https://github.com/citation-style-language/schema/raw/master/csl-citation.json"}</w:instrText>
      </w:r>
      <w:r w:rsidR="002A3E74">
        <w:rPr>
          <w:rFonts w:ascii="Arial" w:hAnsi="Arial" w:cs="Arial"/>
          <w:sz w:val="24"/>
          <w:szCs w:val="24"/>
          <w:lang w:val="en-GB"/>
        </w:rPr>
        <w:fldChar w:fldCharType="separate"/>
      </w:r>
      <w:r w:rsidR="002A3E74" w:rsidRPr="002A3E74">
        <w:rPr>
          <w:rFonts w:ascii="Arial" w:hAnsi="Arial" w:cs="Arial"/>
          <w:noProof/>
          <w:sz w:val="24"/>
          <w:szCs w:val="24"/>
          <w:vertAlign w:val="superscript"/>
          <w:lang w:val="en-GB"/>
        </w:rPr>
        <w:t>7</w:t>
      </w:r>
      <w:r w:rsidR="002A3E74">
        <w:rPr>
          <w:rFonts w:ascii="Arial" w:hAnsi="Arial" w:cs="Arial"/>
          <w:sz w:val="24"/>
          <w:szCs w:val="24"/>
          <w:lang w:val="en-GB"/>
        </w:rPr>
        <w:fldChar w:fldCharType="end"/>
      </w:r>
      <w:r w:rsidR="002A3E74">
        <w:rPr>
          <w:rFonts w:ascii="Arial" w:hAnsi="Arial" w:cs="Arial"/>
          <w:sz w:val="24"/>
          <w:szCs w:val="24"/>
          <w:lang w:val="en-GB"/>
        </w:rPr>
        <w:t xml:space="preserve">. </w:t>
      </w:r>
      <w:r w:rsidRPr="004B4B2E">
        <w:rPr>
          <w:rFonts w:ascii="Arial" w:hAnsi="Arial" w:cs="Arial"/>
          <w:sz w:val="24"/>
          <w:szCs w:val="24"/>
          <w:lang w:val="en-GB"/>
        </w:rPr>
        <w:t>These group included:</w:t>
      </w:r>
    </w:p>
    <w:p w14:paraId="402A5DFC" w14:textId="67AF27CB" w:rsidR="00C100A3" w:rsidRPr="004B4B2E" w:rsidRDefault="00B54163" w:rsidP="001B3D49">
      <w:pPr>
        <w:pStyle w:val="ListParagraph"/>
        <w:numPr>
          <w:ilvl w:val="0"/>
          <w:numId w:val="1"/>
        </w:numPr>
        <w:spacing w:line="480" w:lineRule="auto"/>
        <w:rPr>
          <w:rFonts w:ascii="Arial" w:hAnsi="Arial" w:cs="Arial"/>
          <w:sz w:val="24"/>
          <w:szCs w:val="24"/>
          <w:lang w:val="en-GB"/>
        </w:rPr>
      </w:pPr>
      <w:r w:rsidRPr="004B4B2E">
        <w:rPr>
          <w:rFonts w:ascii="Arial" w:hAnsi="Arial" w:cs="Arial"/>
          <w:sz w:val="24"/>
          <w:szCs w:val="24"/>
          <w:lang w:val="en-GB"/>
        </w:rPr>
        <w:t>Group 1</w:t>
      </w:r>
      <w:r w:rsidR="00CD4654">
        <w:rPr>
          <w:rFonts w:ascii="Arial" w:hAnsi="Arial" w:cs="Arial"/>
          <w:sz w:val="24"/>
          <w:szCs w:val="24"/>
          <w:lang w:val="en-GB"/>
        </w:rPr>
        <w:t xml:space="preserve"> (</w:t>
      </w:r>
      <w:proofErr w:type="gramStart"/>
      <w:r w:rsidR="00CD4654">
        <w:rPr>
          <w:rFonts w:ascii="Arial" w:hAnsi="Arial" w:cs="Arial"/>
          <w:sz w:val="24"/>
          <w:szCs w:val="24"/>
          <w:lang w:val="en-GB"/>
        </w:rPr>
        <w:t>low-dose</w:t>
      </w:r>
      <w:proofErr w:type="gramEnd"/>
      <w:r w:rsidR="00CD4654">
        <w:rPr>
          <w:rFonts w:ascii="Arial" w:hAnsi="Arial" w:cs="Arial"/>
          <w:sz w:val="24"/>
          <w:szCs w:val="24"/>
          <w:lang w:val="en-GB"/>
        </w:rPr>
        <w:t>)</w:t>
      </w:r>
      <w:r w:rsidRPr="004B4B2E">
        <w:rPr>
          <w:rFonts w:ascii="Arial" w:hAnsi="Arial" w:cs="Arial"/>
          <w:sz w:val="24"/>
          <w:szCs w:val="24"/>
          <w:lang w:val="en-GB"/>
        </w:rPr>
        <w:t xml:space="preserve">: Lansoprazole 15mg / Omeprazole 10 or 20mg / </w:t>
      </w:r>
      <w:r w:rsidR="00C100A3" w:rsidRPr="004B4B2E">
        <w:rPr>
          <w:rFonts w:ascii="Arial" w:hAnsi="Arial" w:cs="Arial"/>
          <w:sz w:val="24"/>
          <w:szCs w:val="24"/>
          <w:lang w:val="en-GB"/>
        </w:rPr>
        <w:t>Pantop</w:t>
      </w:r>
      <w:r w:rsidRPr="004B4B2E">
        <w:rPr>
          <w:rFonts w:ascii="Arial" w:hAnsi="Arial" w:cs="Arial"/>
          <w:sz w:val="24"/>
          <w:szCs w:val="24"/>
          <w:lang w:val="en-GB"/>
        </w:rPr>
        <w:t>razole 20mg / Esomeprazole 20mg</w:t>
      </w:r>
    </w:p>
    <w:p w14:paraId="6D4DCC1D" w14:textId="02FB1EB8" w:rsidR="00C100A3" w:rsidRPr="004B4B2E" w:rsidRDefault="00C100A3" w:rsidP="001B3D49">
      <w:pPr>
        <w:pStyle w:val="ListParagraph"/>
        <w:numPr>
          <w:ilvl w:val="0"/>
          <w:numId w:val="1"/>
        </w:numPr>
        <w:spacing w:line="480" w:lineRule="auto"/>
        <w:rPr>
          <w:rFonts w:ascii="Arial" w:hAnsi="Arial" w:cs="Arial"/>
          <w:sz w:val="24"/>
          <w:szCs w:val="24"/>
          <w:lang w:val="en-GB"/>
        </w:rPr>
      </w:pPr>
      <w:r w:rsidRPr="004B4B2E">
        <w:rPr>
          <w:rFonts w:ascii="Arial" w:hAnsi="Arial" w:cs="Arial"/>
          <w:sz w:val="24"/>
          <w:szCs w:val="24"/>
          <w:lang w:val="en-GB"/>
        </w:rPr>
        <w:t>Group 2</w:t>
      </w:r>
      <w:r w:rsidR="00CD4654">
        <w:rPr>
          <w:rFonts w:ascii="Arial" w:hAnsi="Arial" w:cs="Arial"/>
          <w:sz w:val="24"/>
          <w:szCs w:val="24"/>
          <w:lang w:val="en-GB"/>
        </w:rPr>
        <w:t xml:space="preserve"> (</w:t>
      </w:r>
      <w:proofErr w:type="gramStart"/>
      <w:r w:rsidR="00CD4654">
        <w:rPr>
          <w:rFonts w:ascii="Arial" w:hAnsi="Arial" w:cs="Arial"/>
          <w:sz w:val="24"/>
          <w:szCs w:val="24"/>
          <w:lang w:val="en-GB"/>
        </w:rPr>
        <w:t>double-dose</w:t>
      </w:r>
      <w:proofErr w:type="gramEnd"/>
      <w:r w:rsidR="00CD4654">
        <w:rPr>
          <w:rFonts w:ascii="Arial" w:hAnsi="Arial" w:cs="Arial"/>
          <w:sz w:val="24"/>
          <w:szCs w:val="24"/>
          <w:lang w:val="en-GB"/>
        </w:rPr>
        <w:t>)</w:t>
      </w:r>
      <w:r w:rsidRPr="004B4B2E">
        <w:rPr>
          <w:rFonts w:ascii="Arial" w:hAnsi="Arial" w:cs="Arial"/>
          <w:sz w:val="24"/>
          <w:szCs w:val="24"/>
          <w:lang w:val="en-GB"/>
        </w:rPr>
        <w:t>: Lansoprazole 30mg</w:t>
      </w:r>
      <w:r w:rsidR="00B54163" w:rsidRPr="004B4B2E">
        <w:rPr>
          <w:rFonts w:ascii="Arial" w:hAnsi="Arial" w:cs="Arial"/>
          <w:sz w:val="24"/>
          <w:szCs w:val="24"/>
          <w:lang w:val="en-GB"/>
        </w:rPr>
        <w:t xml:space="preserve"> / Omeprazole 40mg / Pantoprazole 40mg / Esomeprazole 40mg</w:t>
      </w:r>
    </w:p>
    <w:p w14:paraId="2A765811" w14:textId="370EB009" w:rsidR="00562C9B" w:rsidRPr="004B4B2E" w:rsidRDefault="00B54163" w:rsidP="001B3D49">
      <w:pPr>
        <w:pStyle w:val="ListParagraph"/>
        <w:numPr>
          <w:ilvl w:val="0"/>
          <w:numId w:val="1"/>
        </w:numPr>
        <w:spacing w:line="480" w:lineRule="auto"/>
        <w:rPr>
          <w:rFonts w:ascii="Arial" w:hAnsi="Arial" w:cs="Arial"/>
          <w:sz w:val="24"/>
          <w:szCs w:val="24"/>
          <w:lang w:val="en-GB"/>
        </w:rPr>
      </w:pPr>
      <w:r w:rsidRPr="004B4B2E">
        <w:rPr>
          <w:rFonts w:ascii="Arial" w:hAnsi="Arial" w:cs="Arial"/>
          <w:sz w:val="24"/>
          <w:szCs w:val="24"/>
          <w:lang w:val="en-GB"/>
        </w:rPr>
        <w:t>Group 3</w:t>
      </w:r>
      <w:r w:rsidR="00CD4654">
        <w:rPr>
          <w:rFonts w:ascii="Arial" w:hAnsi="Arial" w:cs="Arial"/>
          <w:sz w:val="24"/>
          <w:szCs w:val="24"/>
          <w:lang w:val="en-GB"/>
        </w:rPr>
        <w:t xml:space="preserve"> (</w:t>
      </w:r>
      <w:proofErr w:type="gramStart"/>
      <w:r w:rsidR="00CD4654">
        <w:rPr>
          <w:rFonts w:ascii="Arial" w:hAnsi="Arial" w:cs="Arial"/>
          <w:sz w:val="24"/>
          <w:szCs w:val="24"/>
          <w:lang w:val="en-GB"/>
        </w:rPr>
        <w:t>high-dose</w:t>
      </w:r>
      <w:proofErr w:type="gramEnd"/>
      <w:r w:rsidR="00CD4654">
        <w:rPr>
          <w:rFonts w:ascii="Arial" w:hAnsi="Arial" w:cs="Arial"/>
          <w:sz w:val="24"/>
          <w:szCs w:val="24"/>
          <w:lang w:val="en-GB"/>
        </w:rPr>
        <w:t>)</w:t>
      </w:r>
      <w:r w:rsidRPr="004B4B2E">
        <w:rPr>
          <w:rFonts w:ascii="Arial" w:hAnsi="Arial" w:cs="Arial"/>
          <w:sz w:val="24"/>
          <w:szCs w:val="24"/>
          <w:lang w:val="en-GB"/>
        </w:rPr>
        <w:t xml:space="preserve">: Lansoprazole 60mg / Omeprazole 80mg / Pantoprazole 80mg / </w:t>
      </w:r>
      <w:r w:rsidR="001C4672" w:rsidRPr="004B4B2E">
        <w:rPr>
          <w:rFonts w:ascii="Arial" w:hAnsi="Arial" w:cs="Arial"/>
          <w:sz w:val="24"/>
          <w:szCs w:val="24"/>
          <w:lang w:val="en-GB"/>
        </w:rPr>
        <w:t>E</w:t>
      </w:r>
      <w:r w:rsidRPr="004B4B2E">
        <w:rPr>
          <w:rFonts w:ascii="Arial" w:hAnsi="Arial" w:cs="Arial"/>
          <w:sz w:val="24"/>
          <w:szCs w:val="24"/>
          <w:lang w:val="en-GB"/>
        </w:rPr>
        <w:t>someprazole 80mg</w:t>
      </w:r>
      <w:r w:rsidR="00C100A3" w:rsidRPr="004B4B2E">
        <w:rPr>
          <w:rFonts w:ascii="Arial" w:hAnsi="Arial" w:cs="Arial"/>
          <w:sz w:val="24"/>
          <w:szCs w:val="24"/>
          <w:lang w:val="en-GB"/>
        </w:rPr>
        <w:tab/>
      </w:r>
    </w:p>
    <w:p w14:paraId="4A1718E5" w14:textId="6FA2ADB8" w:rsidR="000B4F14" w:rsidRPr="004B4B2E" w:rsidRDefault="00216370" w:rsidP="001B3D49">
      <w:pPr>
        <w:spacing w:line="480" w:lineRule="auto"/>
        <w:jc w:val="both"/>
        <w:rPr>
          <w:rFonts w:ascii="Arial" w:hAnsi="Arial" w:cs="Arial"/>
          <w:b/>
          <w:sz w:val="24"/>
          <w:szCs w:val="24"/>
          <w:lang w:val="en-GB"/>
        </w:rPr>
      </w:pPr>
      <w:r w:rsidRPr="004B4B2E">
        <w:rPr>
          <w:rFonts w:ascii="Arial" w:hAnsi="Arial" w:cs="Arial"/>
          <w:b/>
          <w:sz w:val="24"/>
          <w:szCs w:val="24"/>
          <w:lang w:val="en-GB"/>
        </w:rPr>
        <w:t xml:space="preserve">2.4 </w:t>
      </w:r>
      <w:r w:rsidR="00562C9B" w:rsidRPr="004B4B2E">
        <w:rPr>
          <w:rFonts w:ascii="Arial" w:hAnsi="Arial" w:cs="Arial"/>
          <w:b/>
          <w:sz w:val="24"/>
          <w:szCs w:val="24"/>
          <w:lang w:val="en-GB"/>
        </w:rPr>
        <w:t>Reflux disease questionnaire (</w:t>
      </w:r>
      <w:r w:rsidR="000B4F14" w:rsidRPr="004B4B2E">
        <w:rPr>
          <w:rFonts w:ascii="Arial" w:hAnsi="Arial" w:cs="Arial"/>
          <w:b/>
          <w:sz w:val="24"/>
          <w:szCs w:val="24"/>
          <w:lang w:val="en-GB"/>
        </w:rPr>
        <w:t>RDQ</w:t>
      </w:r>
      <w:r w:rsidR="00562C9B" w:rsidRPr="004B4B2E">
        <w:rPr>
          <w:rFonts w:ascii="Arial" w:hAnsi="Arial" w:cs="Arial"/>
          <w:b/>
          <w:sz w:val="24"/>
          <w:szCs w:val="24"/>
          <w:lang w:val="en-GB"/>
        </w:rPr>
        <w:t xml:space="preserve">) </w:t>
      </w:r>
    </w:p>
    <w:p w14:paraId="7322D371" w14:textId="7C863F15" w:rsidR="000B4F14" w:rsidRPr="004B4B2E" w:rsidRDefault="000B4F14" w:rsidP="001B3D49">
      <w:pPr>
        <w:spacing w:line="480" w:lineRule="auto"/>
        <w:jc w:val="both"/>
        <w:rPr>
          <w:rFonts w:ascii="Arial" w:hAnsi="Arial" w:cs="Arial"/>
          <w:sz w:val="24"/>
          <w:szCs w:val="24"/>
          <w:lang w:val="en-GB"/>
        </w:rPr>
      </w:pPr>
      <w:r w:rsidRPr="004B4B2E">
        <w:rPr>
          <w:rFonts w:ascii="Arial" w:hAnsi="Arial" w:cs="Arial"/>
          <w:sz w:val="24"/>
          <w:szCs w:val="24"/>
          <w:lang w:val="en-GB"/>
        </w:rPr>
        <w:t xml:space="preserve">The RDQ is a self-administered, </w:t>
      </w:r>
      <w:r w:rsidR="00406ECF" w:rsidRPr="004B4B2E">
        <w:rPr>
          <w:rFonts w:ascii="Arial" w:hAnsi="Arial" w:cs="Arial"/>
          <w:sz w:val="24"/>
          <w:szCs w:val="24"/>
          <w:lang w:val="en-GB"/>
        </w:rPr>
        <w:t xml:space="preserve">validated, </w:t>
      </w:r>
      <w:r w:rsidRPr="004B4B2E">
        <w:rPr>
          <w:rFonts w:ascii="Arial" w:hAnsi="Arial" w:cs="Arial"/>
          <w:sz w:val="24"/>
          <w:szCs w:val="24"/>
          <w:lang w:val="en-GB"/>
        </w:rPr>
        <w:t xml:space="preserve">12-item diagnostic questionnaire </w:t>
      </w:r>
      <w:r w:rsidR="00C100A3" w:rsidRPr="004B4B2E">
        <w:rPr>
          <w:rFonts w:ascii="Arial" w:hAnsi="Arial" w:cs="Arial"/>
          <w:sz w:val="24"/>
          <w:szCs w:val="24"/>
          <w:lang w:val="en-GB"/>
        </w:rPr>
        <w:t xml:space="preserve">used to evaluate </w:t>
      </w:r>
      <w:r w:rsidR="00406ECF" w:rsidRPr="004B4B2E">
        <w:rPr>
          <w:rFonts w:ascii="Arial" w:hAnsi="Arial" w:cs="Arial"/>
          <w:sz w:val="24"/>
          <w:szCs w:val="24"/>
          <w:lang w:val="en-GB"/>
        </w:rPr>
        <w:t xml:space="preserve">the frequency and severity of </w:t>
      </w:r>
      <w:r w:rsidR="00FA4B3F" w:rsidRPr="004B4B2E">
        <w:rPr>
          <w:rFonts w:ascii="Arial" w:hAnsi="Arial" w:cs="Arial"/>
          <w:sz w:val="24"/>
          <w:szCs w:val="24"/>
          <w:lang w:val="en-GB"/>
        </w:rPr>
        <w:t xml:space="preserve">the </w:t>
      </w:r>
      <w:r w:rsidR="00406ECF" w:rsidRPr="004B4B2E">
        <w:rPr>
          <w:rFonts w:ascii="Arial" w:hAnsi="Arial" w:cs="Arial"/>
          <w:sz w:val="24"/>
          <w:szCs w:val="24"/>
          <w:lang w:val="en-GB"/>
        </w:rPr>
        <w:t xml:space="preserve">most common GERD symptoms. Each symptom, including </w:t>
      </w:r>
      <w:r w:rsidRPr="004B4B2E">
        <w:rPr>
          <w:rFonts w:ascii="Arial" w:hAnsi="Arial" w:cs="Arial"/>
          <w:sz w:val="24"/>
          <w:szCs w:val="24"/>
          <w:lang w:val="en-GB"/>
        </w:rPr>
        <w:t xml:space="preserve">heartburn, </w:t>
      </w:r>
      <w:r w:rsidR="004A4E75" w:rsidRPr="004B4B2E">
        <w:rPr>
          <w:rFonts w:ascii="Arial" w:hAnsi="Arial" w:cs="Arial"/>
          <w:sz w:val="24"/>
          <w:szCs w:val="24"/>
          <w:lang w:val="en-GB"/>
        </w:rPr>
        <w:t xml:space="preserve">chest pain, </w:t>
      </w:r>
      <w:r w:rsidRPr="004B4B2E">
        <w:rPr>
          <w:rFonts w:ascii="Arial" w:hAnsi="Arial" w:cs="Arial"/>
          <w:sz w:val="24"/>
          <w:szCs w:val="24"/>
          <w:lang w:val="en-GB"/>
        </w:rPr>
        <w:t>regurgitation</w:t>
      </w:r>
      <w:r w:rsidR="004A4E75" w:rsidRPr="004B4B2E">
        <w:rPr>
          <w:rFonts w:ascii="Arial" w:hAnsi="Arial" w:cs="Arial"/>
          <w:sz w:val="24"/>
          <w:szCs w:val="24"/>
          <w:lang w:val="en-GB"/>
        </w:rPr>
        <w:t>, acid taste</w:t>
      </w:r>
      <w:r w:rsidRPr="004B4B2E">
        <w:rPr>
          <w:rFonts w:ascii="Arial" w:hAnsi="Arial" w:cs="Arial"/>
          <w:sz w:val="24"/>
          <w:szCs w:val="24"/>
          <w:lang w:val="en-GB"/>
        </w:rPr>
        <w:t xml:space="preserve"> and</w:t>
      </w:r>
      <w:r w:rsidR="004A4E75" w:rsidRPr="004B4B2E">
        <w:rPr>
          <w:rFonts w:ascii="Arial" w:hAnsi="Arial" w:cs="Arial"/>
          <w:sz w:val="24"/>
          <w:szCs w:val="24"/>
          <w:lang w:val="en-GB"/>
        </w:rPr>
        <w:t xml:space="preserve"> epigastric burning or pain </w:t>
      </w:r>
      <w:r w:rsidR="00912C99" w:rsidRPr="004B4B2E">
        <w:rPr>
          <w:rFonts w:ascii="Arial" w:hAnsi="Arial" w:cs="Arial"/>
          <w:sz w:val="24"/>
          <w:szCs w:val="24"/>
          <w:lang w:val="en-GB"/>
        </w:rPr>
        <w:t xml:space="preserve">that </w:t>
      </w:r>
      <w:r w:rsidR="00912C99" w:rsidRPr="004B4B2E">
        <w:rPr>
          <w:rFonts w:ascii="Arial" w:hAnsi="Arial" w:cs="Arial"/>
          <w:noProof/>
          <w:sz w:val="24"/>
          <w:szCs w:val="24"/>
          <w:lang w:val="en-GB"/>
        </w:rPr>
        <w:t>ha</w:t>
      </w:r>
      <w:r w:rsidR="00254458" w:rsidRPr="004B4B2E">
        <w:rPr>
          <w:rFonts w:ascii="Arial" w:hAnsi="Arial" w:cs="Arial"/>
          <w:noProof/>
          <w:sz w:val="24"/>
          <w:szCs w:val="24"/>
          <w:lang w:val="en-GB"/>
        </w:rPr>
        <w:t>s</w:t>
      </w:r>
      <w:r w:rsidR="00912C99" w:rsidRPr="004B4B2E">
        <w:rPr>
          <w:rFonts w:ascii="Arial" w:hAnsi="Arial" w:cs="Arial"/>
          <w:sz w:val="24"/>
          <w:szCs w:val="24"/>
          <w:lang w:val="en-GB"/>
        </w:rPr>
        <w:t xml:space="preserve"> occurred over the last </w:t>
      </w:r>
      <w:r w:rsidR="00993D56" w:rsidRPr="004B4B2E">
        <w:rPr>
          <w:rFonts w:ascii="Arial" w:hAnsi="Arial" w:cs="Arial"/>
          <w:sz w:val="24"/>
          <w:szCs w:val="24"/>
          <w:lang w:val="en-GB"/>
        </w:rPr>
        <w:t>7 days</w:t>
      </w:r>
      <w:r w:rsidR="00912C99" w:rsidRPr="004B4B2E">
        <w:rPr>
          <w:rFonts w:ascii="Arial" w:hAnsi="Arial" w:cs="Arial"/>
          <w:sz w:val="24"/>
          <w:szCs w:val="24"/>
          <w:lang w:val="en-GB"/>
        </w:rPr>
        <w:t xml:space="preserve"> </w:t>
      </w:r>
      <w:r w:rsidR="00B34B2F" w:rsidRPr="004B4B2E">
        <w:rPr>
          <w:rFonts w:ascii="Arial" w:hAnsi="Arial" w:cs="Arial"/>
          <w:sz w:val="24"/>
          <w:szCs w:val="24"/>
          <w:lang w:val="en-GB"/>
        </w:rPr>
        <w:t>was</w:t>
      </w:r>
      <w:r w:rsidRPr="004B4B2E">
        <w:rPr>
          <w:rFonts w:ascii="Arial" w:hAnsi="Arial" w:cs="Arial"/>
          <w:sz w:val="24"/>
          <w:szCs w:val="24"/>
          <w:lang w:val="en-GB"/>
        </w:rPr>
        <w:t xml:space="preserve"> evaluated separately for </w:t>
      </w:r>
      <w:r w:rsidR="00B34B2F" w:rsidRPr="004B4B2E">
        <w:rPr>
          <w:rFonts w:ascii="Arial" w:hAnsi="Arial" w:cs="Arial"/>
          <w:sz w:val="24"/>
          <w:szCs w:val="24"/>
          <w:lang w:val="en-GB"/>
        </w:rPr>
        <w:t>its</w:t>
      </w:r>
      <w:r w:rsidRPr="004B4B2E">
        <w:rPr>
          <w:rFonts w:ascii="Arial" w:hAnsi="Arial" w:cs="Arial"/>
          <w:sz w:val="24"/>
          <w:szCs w:val="24"/>
          <w:lang w:val="en-GB"/>
        </w:rPr>
        <w:t xml:space="preserve"> frequency and intensity by a 6-point modified Likert scale</w:t>
      </w:r>
      <w:r w:rsidR="00A10470" w:rsidRPr="004B4B2E">
        <w:rPr>
          <w:rFonts w:ascii="Arial" w:hAnsi="Arial" w:cs="Arial"/>
          <w:sz w:val="24"/>
          <w:szCs w:val="24"/>
          <w:lang w:val="en-GB"/>
        </w:rPr>
        <w:fldChar w:fldCharType="begin" w:fldLock="1"/>
      </w:r>
      <w:r w:rsidR="00742FA2">
        <w:rPr>
          <w:rFonts w:ascii="Arial" w:hAnsi="Arial" w:cs="Arial"/>
          <w:sz w:val="24"/>
          <w:szCs w:val="24"/>
          <w:lang w:val="en-GB"/>
        </w:rPr>
        <w:instrText>ADDIN CSL_CITATION {"citationItems":[{"id":"ITEM-1","itemData":{"DOI":"10.1136/gut.2009.200063","ISBN":"0017-5749","ISSN":"00175749","PMID":"20551454","abstract":"OBJECTIVE: The aim of this study was to determine the accuracy of the diagnosis of gastro-oesophageal reflux disease (GORD) by the Reflux Disease Questionnaire (RDQ), family practitioners, gastroenterologists and a test of esomeprazole therapy. METHODS: This was a single-blind, single-arm study over 3-4 weeks from September 2005 to November 2006. Each symptom-based diagnostic assessment was made blinded to prior diagnoses. Patients were those presenting to their family practitioner with troublesome upper gastrointestinal symptoms (n=308). The RDQ was completed and a symptom-based diagnosis was made by the family practitioner. Placebo esomeprazole was started. Gastroenterologists made a symptom-based diagnosis and then performed endoscopy with 48 h oesophageal pH and symptom association monitoring to determine the presence/absence of GORD. Symptoms were recorded during treatment with 40 mg of esomeprazole for 2 weeks. The main outcome measure was RDQ scoring for the presence of GORD compared with symptom-based diagnosis by family physicians and gastroenterologists. RESULTS: GORD was present in 203/308 (66%) patients. Only 49% of the patients with GORD selected either heartburn or regurgitation as the most troublesome symptom. Sensitivity and specificity, respectively, of the symptom-based diagnosis of GORD, were 62% and 67% for the RDQ, 63% and 63% for family practitioners, and 67% and 70% for gastroenterologists. Symptom response to esomeprazole was neither sensitive nor specific for the diagnosis of GORD. CONCLUSIONS: The RDQ, family practitioners and gastroenterologists have moderate and similar accuracy for diagnosis of GORD. Symptom response to a 2 week course of 40 mg of esomeprazole does not add diagnostic precision.","author":[{"dropping-particle":"","family":"Dent","given":"John","non-dropping-particle":"","parse-names":false,"suffix":""},{"dropping-particle":"","family":"Vakil","given":"Nimish","non-dropping-particle":"","parse-names":false,"suffix":""},{"dropping-particle":"","family":"Jones","given":"Roger","non-dropping-particle":"","parse-names":false,"suffix":""},{"dropping-particle":"","family":"Bytzer","given":"Peter","non-dropping-particle":"","parse-names":false,"suffix":""},{"dropping-particle":"","family":"Schöning","given":"Uwe","non-dropping-particle":"","parse-names":false,"suffix":""},{"dropping-particle":"","family":"Halling","given":"Katarina","non-dropping-particle":"","parse-names":false,"suffix":""},{"dropping-particle":"","family":"Junghard","given":"Ola","non-dropping-particle":"","parse-names":false,"suffix":""},{"dropping-particle":"","family":"Lind","given":"Tore","non-dropping-particle":"","parse-names":false,"suffix":""}],"container-title":"Gut","id":"ITEM-1","issue":"6","issued":{"date-parts":[["2010"]]},"page":"714-721","title":"Accuracy of the diagnosis of GORD by questionnaire, physicians and a trial of proton pump inhibitor treatment: The diamond Study","type":"article-journal","volume":"59"},"uris":["http://www.mendeley.com/documents/?uuid=04829d59-5741-3a6a-b2b8-9d5c3fef999a"]}],"mendeley":{"formattedCitation":"&lt;sup&gt;8&lt;/sup&gt;","plainTextFormattedCitation":"8","previouslyFormattedCitation":"&lt;sup&gt;8&lt;/sup&gt;"},"properties":{"noteIndex":0},"schema":"https://github.com/citation-style-language/schema/raw/master/csl-citation.json"}</w:instrText>
      </w:r>
      <w:r w:rsidR="00A10470" w:rsidRPr="004B4B2E">
        <w:rPr>
          <w:rFonts w:ascii="Arial" w:hAnsi="Arial" w:cs="Arial"/>
          <w:sz w:val="24"/>
          <w:szCs w:val="24"/>
          <w:lang w:val="en-GB"/>
        </w:rPr>
        <w:fldChar w:fldCharType="separate"/>
      </w:r>
      <w:r w:rsidR="00D426B6" w:rsidRPr="00D426B6">
        <w:rPr>
          <w:rFonts w:ascii="Arial" w:hAnsi="Arial" w:cs="Arial"/>
          <w:noProof/>
          <w:sz w:val="24"/>
          <w:szCs w:val="24"/>
          <w:vertAlign w:val="superscript"/>
          <w:lang w:val="en-GB"/>
        </w:rPr>
        <w:t>8</w:t>
      </w:r>
      <w:r w:rsidR="00A10470" w:rsidRPr="004B4B2E">
        <w:rPr>
          <w:rFonts w:ascii="Arial" w:hAnsi="Arial" w:cs="Arial"/>
          <w:sz w:val="24"/>
          <w:szCs w:val="24"/>
          <w:lang w:val="en-GB"/>
        </w:rPr>
        <w:fldChar w:fldCharType="end"/>
      </w:r>
      <w:r w:rsidR="00406ECF" w:rsidRPr="004B4B2E">
        <w:rPr>
          <w:rFonts w:ascii="Arial" w:hAnsi="Arial" w:cs="Arial"/>
          <w:sz w:val="24"/>
          <w:szCs w:val="24"/>
          <w:lang w:val="en-GB"/>
        </w:rPr>
        <w:t xml:space="preserve">. </w:t>
      </w:r>
      <w:r w:rsidR="004A4E75" w:rsidRPr="004B4B2E">
        <w:rPr>
          <w:rFonts w:ascii="Arial" w:hAnsi="Arial" w:cs="Arial"/>
          <w:sz w:val="24"/>
          <w:szCs w:val="24"/>
          <w:lang w:val="en-GB"/>
        </w:rPr>
        <w:t xml:space="preserve">For the purpose of the </w:t>
      </w:r>
      <w:r w:rsidR="004A4E75" w:rsidRPr="004B4B2E">
        <w:rPr>
          <w:rFonts w:ascii="Arial" w:hAnsi="Arial" w:cs="Arial"/>
          <w:sz w:val="24"/>
          <w:szCs w:val="24"/>
          <w:lang w:val="en-GB"/>
        </w:rPr>
        <w:lastRenderedPageBreak/>
        <w:t>analysis, t</w:t>
      </w:r>
      <w:r w:rsidR="00A10470" w:rsidRPr="00745AEB">
        <w:rPr>
          <w:rFonts w:ascii="Arial" w:hAnsi="Arial" w:cs="Arial"/>
          <w:sz w:val="24"/>
          <w:szCs w:val="24"/>
          <w:lang w:val="en-GB"/>
        </w:rPr>
        <w:t xml:space="preserve">he </w:t>
      </w:r>
      <w:r w:rsidR="00B34B2F" w:rsidRPr="00745AEB">
        <w:rPr>
          <w:rFonts w:ascii="Arial" w:hAnsi="Arial" w:cs="Arial"/>
          <w:sz w:val="24"/>
          <w:szCs w:val="24"/>
          <w:lang w:val="en-GB"/>
        </w:rPr>
        <w:t>median overall</w:t>
      </w:r>
      <w:r w:rsidR="00A10470" w:rsidRPr="004B4B2E">
        <w:rPr>
          <w:rFonts w:ascii="Arial" w:hAnsi="Arial" w:cs="Arial"/>
          <w:sz w:val="24"/>
          <w:szCs w:val="24"/>
          <w:lang w:val="en-GB"/>
        </w:rPr>
        <w:t xml:space="preserve"> severity</w:t>
      </w:r>
      <w:r w:rsidR="004A4E75" w:rsidRPr="004B4B2E">
        <w:rPr>
          <w:rFonts w:ascii="Arial" w:hAnsi="Arial" w:cs="Arial"/>
          <w:sz w:val="24"/>
          <w:szCs w:val="24"/>
          <w:lang w:val="en-GB"/>
        </w:rPr>
        <w:t xml:space="preserve"> and frequency</w:t>
      </w:r>
      <w:r w:rsidR="00A10470" w:rsidRPr="004B4B2E">
        <w:rPr>
          <w:rFonts w:ascii="Arial" w:hAnsi="Arial" w:cs="Arial"/>
          <w:sz w:val="24"/>
          <w:szCs w:val="24"/>
          <w:lang w:val="en-GB"/>
        </w:rPr>
        <w:t xml:space="preserve"> of the symptoms between 0 to 2 </w:t>
      </w:r>
      <w:r w:rsidR="00FA4B3F" w:rsidRPr="004B4B2E">
        <w:rPr>
          <w:rFonts w:ascii="Arial" w:hAnsi="Arial" w:cs="Arial"/>
          <w:noProof/>
          <w:sz w:val="24"/>
          <w:szCs w:val="24"/>
          <w:lang w:val="en-GB"/>
        </w:rPr>
        <w:t>w</w:t>
      </w:r>
      <w:r w:rsidR="00443893" w:rsidRPr="004B4B2E">
        <w:rPr>
          <w:rFonts w:ascii="Arial" w:hAnsi="Arial" w:cs="Arial"/>
          <w:noProof/>
          <w:sz w:val="24"/>
          <w:szCs w:val="24"/>
          <w:lang w:val="en-GB"/>
        </w:rPr>
        <w:t>ere</w:t>
      </w:r>
      <w:r w:rsidR="00A10470" w:rsidRPr="004B4B2E">
        <w:rPr>
          <w:rFonts w:ascii="Arial" w:hAnsi="Arial" w:cs="Arial"/>
          <w:sz w:val="24"/>
          <w:szCs w:val="24"/>
          <w:lang w:val="en-GB"/>
        </w:rPr>
        <w:t xml:space="preserve"> defined as “no/minimal symptoms”, 3 to 4 as “moderate symptoms” and 5-6 as “severe symptoms”. </w:t>
      </w:r>
    </w:p>
    <w:p w14:paraId="6F97AD0B" w14:textId="3560CA8D" w:rsidR="000B4F14" w:rsidRPr="004B4B2E" w:rsidRDefault="00216370" w:rsidP="001B3D49">
      <w:pPr>
        <w:spacing w:line="480" w:lineRule="auto"/>
        <w:jc w:val="both"/>
        <w:rPr>
          <w:rFonts w:ascii="Arial" w:hAnsi="Arial" w:cs="Arial"/>
          <w:b/>
          <w:sz w:val="24"/>
          <w:szCs w:val="24"/>
          <w:lang w:val="en-GB"/>
        </w:rPr>
      </w:pPr>
      <w:r w:rsidRPr="004B4B2E">
        <w:rPr>
          <w:rFonts w:ascii="Arial" w:hAnsi="Arial" w:cs="Arial"/>
          <w:b/>
          <w:sz w:val="24"/>
          <w:szCs w:val="24"/>
          <w:lang w:val="en-GB"/>
        </w:rPr>
        <w:t xml:space="preserve">2.5 </w:t>
      </w:r>
      <w:r w:rsidR="000B4F14" w:rsidRPr="004B4B2E">
        <w:rPr>
          <w:rFonts w:ascii="Arial" w:hAnsi="Arial" w:cs="Arial"/>
          <w:b/>
          <w:sz w:val="24"/>
          <w:szCs w:val="24"/>
          <w:lang w:val="en-GB"/>
        </w:rPr>
        <w:t>Endoscopy</w:t>
      </w:r>
      <w:r w:rsidR="00562C9B" w:rsidRPr="004B4B2E">
        <w:rPr>
          <w:rFonts w:ascii="Arial" w:hAnsi="Arial" w:cs="Arial"/>
          <w:b/>
          <w:sz w:val="24"/>
          <w:szCs w:val="24"/>
          <w:lang w:val="en-GB"/>
        </w:rPr>
        <w:t xml:space="preserve"> with </w:t>
      </w:r>
      <w:proofErr w:type="spellStart"/>
      <w:r w:rsidR="00562C9B" w:rsidRPr="004B4B2E">
        <w:rPr>
          <w:rFonts w:ascii="Arial" w:hAnsi="Arial" w:cs="Arial"/>
          <w:b/>
          <w:sz w:val="24"/>
          <w:szCs w:val="24"/>
          <w:lang w:val="en-GB"/>
        </w:rPr>
        <w:t>EndoFaster</w:t>
      </w:r>
      <w:proofErr w:type="spellEnd"/>
      <w:r w:rsidR="00562C9B" w:rsidRPr="004B4B2E">
        <w:rPr>
          <w:rFonts w:ascii="Arial" w:hAnsi="Arial" w:cs="Arial"/>
          <w:b/>
          <w:sz w:val="24"/>
          <w:szCs w:val="24"/>
          <w:lang w:val="en-GB"/>
        </w:rPr>
        <w:t xml:space="preserve"> analysis</w:t>
      </w:r>
    </w:p>
    <w:p w14:paraId="75418600" w14:textId="3FC667A3" w:rsidR="00FA4B3F" w:rsidRPr="004B4B2E" w:rsidRDefault="00F515AA" w:rsidP="001B3D49">
      <w:pPr>
        <w:spacing w:line="480" w:lineRule="auto"/>
        <w:jc w:val="both"/>
        <w:rPr>
          <w:rFonts w:ascii="Arial" w:hAnsi="Arial" w:cs="Arial"/>
          <w:sz w:val="24"/>
          <w:szCs w:val="24"/>
          <w:lang w:val="en-GB"/>
        </w:rPr>
      </w:pPr>
      <w:r w:rsidRPr="004B4B2E">
        <w:rPr>
          <w:rFonts w:ascii="Arial" w:hAnsi="Arial" w:cs="Arial"/>
          <w:sz w:val="24"/>
          <w:szCs w:val="24"/>
          <w:lang w:val="en-GB"/>
        </w:rPr>
        <w:t>Each patient under</w:t>
      </w:r>
      <w:r w:rsidR="00912C99" w:rsidRPr="004B4B2E">
        <w:rPr>
          <w:rFonts w:ascii="Arial" w:hAnsi="Arial" w:cs="Arial"/>
          <w:sz w:val="24"/>
          <w:szCs w:val="24"/>
          <w:lang w:val="en-GB"/>
        </w:rPr>
        <w:t xml:space="preserve">went </w:t>
      </w:r>
      <w:r w:rsidR="00912C99" w:rsidRPr="004B4B2E">
        <w:rPr>
          <w:rFonts w:ascii="Arial" w:hAnsi="Arial" w:cs="Arial"/>
          <w:noProof/>
          <w:sz w:val="24"/>
          <w:szCs w:val="24"/>
          <w:lang w:val="en-GB"/>
        </w:rPr>
        <w:t>a</w:t>
      </w:r>
      <w:r w:rsidR="00254458" w:rsidRPr="004B4B2E">
        <w:rPr>
          <w:rFonts w:ascii="Arial" w:hAnsi="Arial" w:cs="Arial"/>
          <w:noProof/>
          <w:sz w:val="24"/>
          <w:szCs w:val="24"/>
          <w:lang w:val="en-GB"/>
        </w:rPr>
        <w:t>n</w:t>
      </w:r>
      <w:r w:rsidR="00912C99" w:rsidRPr="004B4B2E">
        <w:rPr>
          <w:rFonts w:ascii="Arial" w:hAnsi="Arial" w:cs="Arial"/>
          <w:noProof/>
          <w:sz w:val="24"/>
          <w:szCs w:val="24"/>
          <w:lang w:val="en-GB"/>
        </w:rPr>
        <w:t xml:space="preserve"> upper</w:t>
      </w:r>
      <w:r w:rsidR="00912C99" w:rsidRPr="004B4B2E">
        <w:rPr>
          <w:rFonts w:ascii="Arial" w:hAnsi="Arial" w:cs="Arial"/>
          <w:sz w:val="24"/>
          <w:szCs w:val="24"/>
          <w:lang w:val="en-GB"/>
        </w:rPr>
        <w:t xml:space="preserve"> GI endoscopy with </w:t>
      </w:r>
      <w:r w:rsidR="00254458" w:rsidRPr="004B4B2E">
        <w:rPr>
          <w:rFonts w:ascii="Arial" w:hAnsi="Arial" w:cs="Arial"/>
          <w:sz w:val="24"/>
          <w:szCs w:val="24"/>
          <w:lang w:val="en-GB"/>
        </w:rPr>
        <w:t xml:space="preserve">a </w:t>
      </w:r>
      <w:r w:rsidRPr="004B4B2E">
        <w:rPr>
          <w:rFonts w:ascii="Arial" w:hAnsi="Arial" w:cs="Arial"/>
          <w:noProof/>
          <w:sz w:val="24"/>
          <w:szCs w:val="24"/>
          <w:lang w:val="en-GB"/>
        </w:rPr>
        <w:t>high-definition</w:t>
      </w:r>
      <w:r w:rsidRPr="004B4B2E">
        <w:rPr>
          <w:rFonts w:ascii="Arial" w:hAnsi="Arial" w:cs="Arial"/>
          <w:sz w:val="24"/>
          <w:szCs w:val="24"/>
          <w:lang w:val="en-GB"/>
        </w:rPr>
        <w:t xml:space="preserve"> endoscope (Olympus</w:t>
      </w:r>
      <w:r w:rsidR="00912C99" w:rsidRPr="004B4B2E">
        <w:rPr>
          <w:rFonts w:ascii="Arial" w:hAnsi="Arial" w:cs="Arial"/>
          <w:sz w:val="24"/>
          <w:szCs w:val="24"/>
          <w:lang w:val="en-GB"/>
        </w:rPr>
        <w:t xml:space="preserve"> </w:t>
      </w:r>
      <w:r w:rsidR="004A4E75" w:rsidRPr="004B4B2E">
        <w:rPr>
          <w:rFonts w:ascii="Arial" w:hAnsi="Arial" w:cs="Arial"/>
          <w:sz w:val="24"/>
          <w:szCs w:val="24"/>
          <w:lang w:val="en-GB"/>
        </w:rPr>
        <w:t>HQ260F</w:t>
      </w:r>
      <w:r w:rsidR="00912C99" w:rsidRPr="004B4B2E">
        <w:rPr>
          <w:rFonts w:ascii="Arial" w:hAnsi="Arial" w:cs="Arial"/>
          <w:sz w:val="24"/>
          <w:szCs w:val="24"/>
          <w:lang w:val="en-GB"/>
        </w:rPr>
        <w:t xml:space="preserve">) under conscious sedation (combination of Midazolam and Fentanyl </w:t>
      </w:r>
      <w:proofErr w:type="spellStart"/>
      <w:r w:rsidR="00912C99" w:rsidRPr="004B4B2E">
        <w:rPr>
          <w:rFonts w:ascii="Arial" w:hAnsi="Arial" w:cs="Arial"/>
          <w:sz w:val="24"/>
          <w:szCs w:val="24"/>
          <w:lang w:val="en-GB"/>
        </w:rPr>
        <w:t>i.v.</w:t>
      </w:r>
      <w:proofErr w:type="spellEnd"/>
      <w:r w:rsidR="00912C99" w:rsidRPr="004B4B2E">
        <w:rPr>
          <w:rFonts w:ascii="Arial" w:hAnsi="Arial" w:cs="Arial"/>
          <w:sz w:val="24"/>
          <w:szCs w:val="24"/>
          <w:lang w:val="en-GB"/>
        </w:rPr>
        <w:t xml:space="preserve">) or local </w:t>
      </w:r>
      <w:proofErr w:type="spellStart"/>
      <w:r w:rsidR="00443893" w:rsidRPr="004B4B2E">
        <w:rPr>
          <w:rFonts w:ascii="Arial" w:hAnsi="Arial" w:cs="Arial"/>
          <w:sz w:val="24"/>
          <w:szCs w:val="24"/>
          <w:lang w:val="en-GB"/>
        </w:rPr>
        <w:t>anesthetic</w:t>
      </w:r>
      <w:proofErr w:type="spellEnd"/>
      <w:r w:rsidR="00443893" w:rsidRPr="004B4B2E">
        <w:rPr>
          <w:rFonts w:ascii="Arial" w:hAnsi="Arial" w:cs="Arial"/>
          <w:sz w:val="24"/>
          <w:szCs w:val="24"/>
          <w:lang w:val="en-GB"/>
        </w:rPr>
        <w:t xml:space="preserve"> (X</w:t>
      </w:r>
      <w:r w:rsidRPr="004B4B2E">
        <w:rPr>
          <w:rFonts w:ascii="Arial" w:hAnsi="Arial" w:cs="Arial"/>
          <w:sz w:val="24"/>
          <w:szCs w:val="24"/>
          <w:lang w:val="en-GB"/>
        </w:rPr>
        <w:t>ylocaine spray</w:t>
      </w:r>
      <w:r w:rsidR="00912C99" w:rsidRPr="004B4B2E">
        <w:rPr>
          <w:rFonts w:ascii="Arial" w:hAnsi="Arial" w:cs="Arial"/>
          <w:sz w:val="24"/>
          <w:szCs w:val="24"/>
          <w:lang w:val="en-GB"/>
        </w:rPr>
        <w:t xml:space="preserve">). </w:t>
      </w:r>
      <w:r w:rsidR="001C11E5">
        <w:rPr>
          <w:rFonts w:ascii="Arial" w:hAnsi="Arial" w:cs="Arial"/>
          <w:sz w:val="24"/>
          <w:szCs w:val="24"/>
          <w:lang w:val="en-GB"/>
        </w:rPr>
        <w:t xml:space="preserve">The preparation of the patients was standardized with uniform fasting instructions which </w:t>
      </w:r>
      <w:r w:rsidR="001C11E5" w:rsidRPr="001C11E5">
        <w:rPr>
          <w:rFonts w:ascii="Arial" w:hAnsi="Arial" w:cs="Arial"/>
          <w:sz w:val="24"/>
          <w:szCs w:val="24"/>
          <w:lang w:val="en-GB"/>
        </w:rPr>
        <w:t xml:space="preserve">allow to drink </w:t>
      </w:r>
      <w:r w:rsidR="001C11E5">
        <w:rPr>
          <w:rFonts w:ascii="Arial" w:hAnsi="Arial" w:cs="Arial"/>
          <w:sz w:val="24"/>
          <w:szCs w:val="24"/>
          <w:lang w:val="en-GB"/>
        </w:rPr>
        <w:t xml:space="preserve">only </w:t>
      </w:r>
      <w:r w:rsidR="001C11E5" w:rsidRPr="001C11E5">
        <w:rPr>
          <w:rFonts w:ascii="Arial" w:hAnsi="Arial" w:cs="Arial"/>
          <w:sz w:val="24"/>
          <w:szCs w:val="24"/>
          <w:lang w:val="en-GB"/>
        </w:rPr>
        <w:t xml:space="preserve">a small amount of water not </w:t>
      </w:r>
      <w:r w:rsidR="002429DC">
        <w:rPr>
          <w:rFonts w:ascii="Arial" w:hAnsi="Arial" w:cs="Arial"/>
          <w:sz w:val="24"/>
          <w:szCs w:val="24"/>
          <w:lang w:val="en-GB"/>
        </w:rPr>
        <w:t>later</w:t>
      </w:r>
      <w:r w:rsidR="001C11E5" w:rsidRPr="001C11E5">
        <w:rPr>
          <w:rFonts w:ascii="Arial" w:hAnsi="Arial" w:cs="Arial"/>
          <w:sz w:val="24"/>
          <w:szCs w:val="24"/>
          <w:lang w:val="en-GB"/>
        </w:rPr>
        <w:t xml:space="preserve"> than </w:t>
      </w:r>
      <w:r w:rsidR="002429DC">
        <w:rPr>
          <w:rFonts w:ascii="Arial" w:hAnsi="Arial" w:cs="Arial"/>
          <w:sz w:val="24"/>
          <w:szCs w:val="24"/>
          <w:lang w:val="en-GB"/>
        </w:rPr>
        <w:t>4</w:t>
      </w:r>
      <w:r w:rsidR="001C11E5" w:rsidRPr="001C11E5">
        <w:rPr>
          <w:rFonts w:ascii="Arial" w:hAnsi="Arial" w:cs="Arial"/>
          <w:sz w:val="24"/>
          <w:szCs w:val="24"/>
          <w:lang w:val="en-GB"/>
        </w:rPr>
        <w:t xml:space="preserve"> hours before the endoscopic examination. </w:t>
      </w:r>
      <w:r w:rsidR="001C11E5">
        <w:rPr>
          <w:rFonts w:ascii="Arial" w:hAnsi="Arial" w:cs="Arial"/>
          <w:sz w:val="24"/>
          <w:szCs w:val="24"/>
          <w:lang w:val="en-GB"/>
        </w:rPr>
        <w:t>P</w:t>
      </w:r>
      <w:r w:rsidR="001C11E5" w:rsidRPr="001C11E5">
        <w:rPr>
          <w:rFonts w:ascii="Arial" w:hAnsi="Arial" w:cs="Arial"/>
          <w:sz w:val="24"/>
          <w:szCs w:val="24"/>
          <w:lang w:val="en-GB"/>
        </w:rPr>
        <w:t xml:space="preserve">atients included in the study were examined at </w:t>
      </w:r>
      <w:r w:rsidR="001C11E5">
        <w:rPr>
          <w:rFonts w:ascii="Arial" w:hAnsi="Arial" w:cs="Arial"/>
          <w:sz w:val="24"/>
          <w:szCs w:val="24"/>
          <w:lang w:val="en-GB"/>
        </w:rPr>
        <w:t xml:space="preserve">a </w:t>
      </w:r>
      <w:r w:rsidR="001C11E5" w:rsidRPr="001C11E5">
        <w:rPr>
          <w:rFonts w:ascii="Arial" w:hAnsi="Arial" w:cs="Arial"/>
          <w:sz w:val="24"/>
          <w:szCs w:val="24"/>
          <w:lang w:val="en-GB"/>
        </w:rPr>
        <w:t xml:space="preserve">similar time during </w:t>
      </w:r>
      <w:r w:rsidR="002429DC">
        <w:rPr>
          <w:rFonts w:ascii="Arial" w:hAnsi="Arial" w:cs="Arial"/>
          <w:sz w:val="24"/>
          <w:szCs w:val="24"/>
          <w:lang w:val="en-GB"/>
        </w:rPr>
        <w:t>morning endoscopy session</w:t>
      </w:r>
      <w:r w:rsidR="001C11E5" w:rsidRPr="001C11E5">
        <w:rPr>
          <w:rFonts w:ascii="Arial" w:hAnsi="Arial" w:cs="Arial"/>
          <w:sz w:val="24"/>
          <w:szCs w:val="24"/>
          <w:lang w:val="en-GB"/>
        </w:rPr>
        <w:t xml:space="preserve">. </w:t>
      </w:r>
      <w:r w:rsidR="001C11E5">
        <w:rPr>
          <w:rFonts w:ascii="Arial" w:hAnsi="Arial" w:cs="Arial"/>
          <w:sz w:val="24"/>
          <w:szCs w:val="24"/>
          <w:lang w:val="en-GB"/>
        </w:rPr>
        <w:t>During endoscopy, t</w:t>
      </w:r>
      <w:r w:rsidR="009042D6" w:rsidRPr="004B4B2E">
        <w:rPr>
          <w:rFonts w:ascii="Arial" w:hAnsi="Arial" w:cs="Arial"/>
          <w:sz w:val="24"/>
          <w:szCs w:val="24"/>
          <w:lang w:val="en-GB"/>
        </w:rPr>
        <w:t>he presence of a h</w:t>
      </w:r>
      <w:r w:rsidR="009042D6" w:rsidRPr="0040610B">
        <w:rPr>
          <w:rFonts w:ascii="Arial" w:hAnsi="Arial" w:cs="Arial"/>
          <w:sz w:val="24"/>
          <w:szCs w:val="24"/>
          <w:lang w:val="en-GB"/>
        </w:rPr>
        <w:t xml:space="preserve">iatus hernia was assessed, and the size was measured as the distance between the diaphragmatic pinch and the location of the gastroesophageal junction (GEJ), corresponding to </w:t>
      </w:r>
      <w:r w:rsidR="009042D6" w:rsidRPr="00745AEB">
        <w:rPr>
          <w:rFonts w:ascii="Arial" w:hAnsi="Arial" w:cs="Arial"/>
          <w:sz w:val="24"/>
          <w:szCs w:val="24"/>
          <w:lang w:val="en-GB"/>
        </w:rPr>
        <w:t xml:space="preserve">the top of the gastric folds. </w:t>
      </w:r>
      <w:r w:rsidR="000B4F14" w:rsidRPr="004B4B2E">
        <w:rPr>
          <w:rFonts w:ascii="Arial" w:hAnsi="Arial" w:cs="Arial"/>
          <w:sz w:val="24"/>
          <w:szCs w:val="24"/>
          <w:lang w:val="en-GB"/>
        </w:rPr>
        <w:t>R</w:t>
      </w:r>
      <w:r w:rsidR="00912C99" w:rsidRPr="004B4B2E">
        <w:rPr>
          <w:rFonts w:ascii="Arial" w:hAnsi="Arial" w:cs="Arial"/>
          <w:sz w:val="24"/>
          <w:szCs w:val="24"/>
          <w:lang w:val="en-GB"/>
        </w:rPr>
        <w:t xml:space="preserve">eflux </w:t>
      </w:r>
      <w:r w:rsidR="000B4F14" w:rsidRPr="004B4B2E">
        <w:rPr>
          <w:rFonts w:ascii="Arial" w:hAnsi="Arial" w:cs="Arial"/>
          <w:sz w:val="24"/>
          <w:szCs w:val="24"/>
          <w:lang w:val="en-GB"/>
        </w:rPr>
        <w:t>esophagitis was graded according to the L</w:t>
      </w:r>
      <w:r w:rsidR="00912C99" w:rsidRPr="004B4B2E">
        <w:rPr>
          <w:rFonts w:ascii="Arial" w:hAnsi="Arial" w:cs="Arial"/>
          <w:sz w:val="24"/>
          <w:szCs w:val="24"/>
          <w:lang w:val="en-GB"/>
        </w:rPr>
        <w:t xml:space="preserve">os Angeles </w:t>
      </w:r>
      <w:r w:rsidR="000B4F14" w:rsidRPr="004B4B2E">
        <w:rPr>
          <w:rFonts w:ascii="Arial" w:hAnsi="Arial" w:cs="Arial"/>
          <w:sz w:val="24"/>
          <w:szCs w:val="24"/>
          <w:lang w:val="en-GB"/>
        </w:rPr>
        <w:t>classification</w:t>
      </w:r>
      <w:r w:rsidRPr="004B4B2E">
        <w:rPr>
          <w:rFonts w:ascii="Arial" w:hAnsi="Arial" w:cs="Arial"/>
          <w:sz w:val="24"/>
          <w:szCs w:val="24"/>
          <w:lang w:val="en-GB"/>
        </w:rPr>
        <w:t xml:space="preserve"> (LA grades A–D)</w:t>
      </w:r>
      <w:r w:rsidRPr="004B4B2E">
        <w:rPr>
          <w:rFonts w:ascii="Arial" w:hAnsi="Arial" w:cs="Arial"/>
          <w:sz w:val="24"/>
          <w:szCs w:val="24"/>
          <w:lang w:val="en-GB"/>
        </w:rPr>
        <w:fldChar w:fldCharType="begin" w:fldLock="1"/>
      </w:r>
      <w:r w:rsidR="00742FA2">
        <w:rPr>
          <w:rFonts w:ascii="Arial" w:hAnsi="Arial" w:cs="Arial"/>
          <w:sz w:val="24"/>
          <w:szCs w:val="24"/>
          <w:lang w:val="en-GB"/>
        </w:rPr>
        <w:instrText>ADDIN CSL_CITATION {"citationItems":[{"id":"ITEM-1","itemData":{"DOI":"10.1053/gast.1996.v111.pm8698230","ISBN":"0016-5085 (Print) 0016-5085 (Linking)","ISSN":"00165085","PMID":"8698230","abstract":"Background and Aims: The study and management of reflux esophagitis require an endoscopic classification system founded on esophageal lesions that can be reproducibly identified. The aim of this study was to investigate interobserver agreement for the identification of endoscopic lesions typical of reflux esophagitis. Methods: Paired comparisons of observers' descriptions were obtained. Seventeen endoscopists assessed 100 still images, and 42 endoscopists, including 13 endoscopists in training, assessed 23 endoscopic video recordings. In a third, ancillary study, using a simpler evaluation sheet, 219 gastroenterologists recorded their assessments of 20 still images. Results: The agreement between endoscopists was similar for still images and video recordings. Agreement between experienced endoscopists was acceptable to good for recognition of minimal changes (erythema, friability, mucosal edema; κ = 0.46 to κ = 0.8), mucosal breaks (discretely, demarcated areas of slough or erythema; κ = 0.84), and complications (ulceration, κ = 0.92; structuring, κ = 0.80; columnar metaplasia, κ = 0.81), although there was poor agreement when the circumferential extent and number of mucosal breaks were assessed. However, total circumferential extent of the mucosal break had a κ value of 0.59. Agreement between inexperienced endoscopists was poor for recognition of minimal changes but was good for recognition of complications (κ, 0.70-0.90). Conclusions: Endoscopists can identify mucosal breaks confined to a mucosal fold and lesions that extend throughout the esophageal circumference. Complications of reflux disease can be reproducibly recorded. Criteria for assessing the number of mucosal breaks and their radial extent must be defined more clearly, as must the features of minimal change esophagitis.","author":[{"dropping-particle":"","family":"Armstrong","given":"D","non-dropping-particle":"","parse-names":false,"suffix":""},{"dropping-particle":"","family":"Bennett","given":"J. R.","non-dropping-particle":"","parse-names":false,"suffix":""},{"dropping-particle":"","family":"Blum","given":"A. L.","non-dropping-particle":"","parse-names":false,"suffix":""},{"dropping-particle":"","family":"Dent","given":"J","non-dropping-particle":"","parse-names":false,"suffix":""},{"dropping-particle":"","family":"Dombal","given":"F. T.","non-dropping-particle":"De","parse-names":false,"suffix":""},{"dropping-particle":"","family":"Galmiche","given":"P.","non-dropping-particle":"","parse-names":false,"suffix":""},{"dropping-particle":"","family":"Lundell","given":"L","non-dropping-particle":"","parse-names":false,"suffix":""},{"dropping-particle":"","family":"Margulies","given":"M","non-dropping-particle":"","parse-names":false,"suffix":""},{"dropping-particle":"","family":"Richter","given":"J. E.","non-dropping-particle":"","parse-names":false,"suffix":""},{"dropping-particle":"","family":"Spechler","given":"S. J.","non-dropping-particle":"","parse-names":false,"suffix":""},{"dropping-particle":"","family":"Tytgat","given":"G. N.J.","non-dropping-particle":"","parse-names":false,"suffix":""},{"dropping-particle":"","family":"Wallin","given":"L","non-dropping-particle":"","parse-names":false,"suffix":""}],"container-title":"Gastroenterology","id":"ITEM-1","issue":"1","issued":{"date-parts":[["1996","7","1"]]},"page":"85-92","publisher":"W.B. Saunders","title":"The endoscopic assessment of esophagitis: A progress report on observer agreement","type":"article-journal","volume":"111"},"uris":["http://www.mendeley.com/documents/?uuid=c9a69917-afca-30c9-b178-efb8bbf0a19e"]}],"mendeley":{"formattedCitation":"&lt;sup&gt;9&lt;/sup&gt;","plainTextFormattedCitation":"9","previouslyFormattedCitation":"&lt;sup&gt;9&lt;/sup&gt;"},"properties":{"noteIndex":0},"schema":"https://github.com/citation-style-language/schema/raw/master/csl-citation.json"}</w:instrText>
      </w:r>
      <w:r w:rsidRPr="004B4B2E">
        <w:rPr>
          <w:rFonts w:ascii="Arial" w:hAnsi="Arial" w:cs="Arial"/>
          <w:sz w:val="24"/>
          <w:szCs w:val="24"/>
          <w:lang w:val="en-GB"/>
        </w:rPr>
        <w:fldChar w:fldCharType="separate"/>
      </w:r>
      <w:r w:rsidR="00D426B6" w:rsidRPr="00D426B6">
        <w:rPr>
          <w:rFonts w:ascii="Arial" w:hAnsi="Arial" w:cs="Arial"/>
          <w:noProof/>
          <w:sz w:val="24"/>
          <w:szCs w:val="24"/>
          <w:vertAlign w:val="superscript"/>
          <w:lang w:val="en-GB"/>
        </w:rPr>
        <w:t>9</w:t>
      </w:r>
      <w:r w:rsidRPr="004B4B2E">
        <w:rPr>
          <w:rFonts w:ascii="Arial" w:hAnsi="Arial" w:cs="Arial"/>
          <w:sz w:val="24"/>
          <w:szCs w:val="24"/>
          <w:lang w:val="en-GB"/>
        </w:rPr>
        <w:fldChar w:fldCharType="end"/>
      </w:r>
      <w:r w:rsidR="00A10470" w:rsidRPr="004B4B2E">
        <w:rPr>
          <w:rFonts w:ascii="Arial" w:hAnsi="Arial" w:cs="Arial"/>
          <w:sz w:val="24"/>
          <w:szCs w:val="24"/>
          <w:lang w:val="en-GB"/>
        </w:rPr>
        <w:t xml:space="preserve"> and BE, if present, was measured according to the Prague classification</w:t>
      </w:r>
      <w:r w:rsidR="009042D6">
        <w:rPr>
          <w:rFonts w:ascii="Arial" w:hAnsi="Arial" w:cs="Arial"/>
          <w:sz w:val="24"/>
          <w:szCs w:val="24"/>
          <w:lang w:val="en-GB"/>
        </w:rPr>
        <w:t xml:space="preserve">, as the circumferential and maximum extent of </w:t>
      </w:r>
      <w:proofErr w:type="spellStart"/>
      <w:r w:rsidR="009042D6">
        <w:rPr>
          <w:rFonts w:ascii="Arial" w:hAnsi="Arial" w:cs="Arial"/>
          <w:sz w:val="24"/>
          <w:szCs w:val="24"/>
          <w:lang w:val="en-GB"/>
        </w:rPr>
        <w:t>squamo</w:t>
      </w:r>
      <w:proofErr w:type="spellEnd"/>
      <w:r w:rsidR="009042D6">
        <w:rPr>
          <w:rFonts w:ascii="Arial" w:hAnsi="Arial" w:cs="Arial"/>
          <w:sz w:val="24"/>
          <w:szCs w:val="24"/>
          <w:lang w:val="en-GB"/>
        </w:rPr>
        <w:t>-columnar junction (neo Z-line) from the GEJ</w:t>
      </w:r>
      <w:r w:rsidR="00BA21D7" w:rsidRPr="004B4B2E">
        <w:rPr>
          <w:rFonts w:ascii="Arial" w:hAnsi="Arial" w:cs="Arial"/>
          <w:sz w:val="24"/>
          <w:szCs w:val="24"/>
          <w:lang w:val="en-GB"/>
        </w:rPr>
        <w:fldChar w:fldCharType="begin" w:fldLock="1"/>
      </w:r>
      <w:r w:rsidR="002A3E74">
        <w:rPr>
          <w:rFonts w:ascii="Arial" w:hAnsi="Arial" w:cs="Arial"/>
          <w:sz w:val="24"/>
          <w:szCs w:val="24"/>
          <w:lang w:val="en-GB"/>
        </w:rPr>
        <w:instrText>ADDIN CSL_CITATION {"citationItems":[{"id":"ITEM-1","itemData":{"DOI":"10.1053/j.gastro.2006.08.032","ISBN":"0016-5085 (Print)\\r0016-5085 (Linking)","ISSN":"00165085","PMID":"17101315","abstract":"Background &amp; Aims: Barrett's esophagus (BE) is a premalignant condition for esophageal adenocarcinoma, its diagnosis relying initially on recognition of a columnar-lined distal esophagus. We aimed to develop and validate explicit, consensus-driven criteria for the endoscopic diagnosis and grading of BE. Methods: An international working group agreed on criteria and developed materials for their formal evaluation using video-endoscopic recordings gathered in a standardized manner in 29 patients. The criteria included assessment of the circumferential (C) and maximum (M) extent of the endoscopically visualized BE segment as well as endoscopic landmarks. The recordings were scored according to these criteria by a separate international panel of 29 endoscopists. Results: The Prague C &amp; M Criteria give explicit guidance on the endoscopic recognition of BE and grading of its extent. The overall reliability coefficients (RC) for the assessment of the C &amp; M extent of the endoscopic BE segment above the gastroesophageal junction were 0.95 and 0.94, respectively. The rates of exact agreement (for C &amp; M values) for pairwise comparisons of individual patient values were 53% and 38%, respectively, whereas the values for agreement within a 2-cm interval were 97% and 95%, respectively. The overall RC for endoscopic recognition of BE ≥1 cm was 0.72, whereas for BE &lt;1 cm, it was 0.22. The RCs for recognizing the location of the gastroesophageal junction and the diaphragmatic hiatus were 0.88 and 0.85, respectively. Conclusions: The Prague C &amp; M Criteria have high overall validity for the endoscopic assessment of visualized BE lengths. © 2006 AGA Institute.","author":[{"dropping-particle":"","family":"Sharma","given":"Prateek","non-dropping-particle":"","parse-names":false,"suffix":""},{"dropping-particle":"","family":"Dent","given":"John","non-dropping-particle":"","parse-names":false,"suffix":""},{"dropping-particle":"","family":"Armstrong","given":"David","non-dropping-particle":"","parse-names":false,"suffix":""},{"dropping-particle":"","family":"Bergman","given":"Jacques J.G.H.M.","non-dropping-particle":"","parse-names":false,"suffix":""},{"dropping-particle":"","family":"Gossner","given":"Liebwin","non-dropping-particle":"","parse-names":false,"suffix":""},{"dropping-particle":"","family":"Hoshihara","given":"Yoshio","non-dropping-particle":"","parse-names":false,"suffix":""},{"dropping-particle":"","family":"Jankowski","given":"Janusz A.","non-dropping-particle":"","parse-names":false,"suffix":""},{"dropping-particle":"","family":"Junghard","given":"Ola","non-dropping-particle":"","parse-names":false,"suffix":""},{"dropping-particle":"","family":"Lundell","given":"Lars","non-dropping-particle":"","parse-names":false,"suffix":""},{"dropping-particle":"","family":"Tytgat","given":"Guido N.J.","non-dropping-particle":"","parse-names":false,"suffix":""},{"dropping-particle":"","family":"Vieth","given":"Michael","non-dropping-particle":"","parse-names":false,"suffix":""}],"container-title":"Gastroenterology","id":"ITEM-1","issue":"5","issued":{"date-parts":[["2006","11","1"]]},"page":"1392-1399","publisher":"Elsevier","title":"The Development and Validation of an Endoscopic Grading System for Barrett's Esophagus: The Prague C &amp; M Criteria","type":"article-journal","volume":"131"},"uris":["http://www.mendeley.com/documents/?uuid=a8331725-619e-4dc4-ac94-4830da2a3e91"]}],"mendeley":{"formattedCitation":"&lt;sup&gt;10&lt;/sup&gt;","plainTextFormattedCitation":"10","previouslyFormattedCitation":"&lt;sup&gt;10&lt;/sup&gt;"},"properties":{"noteIndex":0},"schema":"https://github.com/citation-style-language/schema/raw/master/csl-citation.json"}</w:instrText>
      </w:r>
      <w:r w:rsidR="00BA21D7" w:rsidRPr="004B4B2E">
        <w:rPr>
          <w:rFonts w:ascii="Arial" w:hAnsi="Arial" w:cs="Arial"/>
          <w:sz w:val="24"/>
          <w:szCs w:val="24"/>
          <w:lang w:val="en-GB"/>
        </w:rPr>
        <w:fldChar w:fldCharType="separate"/>
      </w:r>
      <w:r w:rsidR="00D426B6" w:rsidRPr="00D426B6">
        <w:rPr>
          <w:rFonts w:ascii="Arial" w:hAnsi="Arial" w:cs="Arial"/>
          <w:noProof/>
          <w:sz w:val="24"/>
          <w:szCs w:val="24"/>
          <w:vertAlign w:val="superscript"/>
          <w:lang w:val="en-GB"/>
        </w:rPr>
        <w:t>10</w:t>
      </w:r>
      <w:r w:rsidR="00BA21D7" w:rsidRPr="004B4B2E">
        <w:rPr>
          <w:rFonts w:ascii="Arial" w:hAnsi="Arial" w:cs="Arial"/>
          <w:sz w:val="24"/>
          <w:szCs w:val="24"/>
          <w:lang w:val="en-GB"/>
        </w:rPr>
        <w:fldChar w:fldCharType="end"/>
      </w:r>
      <w:r w:rsidR="00A10470" w:rsidRPr="004B4B2E">
        <w:rPr>
          <w:rFonts w:ascii="Arial" w:hAnsi="Arial" w:cs="Arial"/>
          <w:sz w:val="24"/>
          <w:szCs w:val="24"/>
          <w:lang w:val="en-GB"/>
        </w:rPr>
        <w:t>.</w:t>
      </w:r>
      <w:r w:rsidRPr="004B4B2E">
        <w:rPr>
          <w:rFonts w:ascii="Arial" w:hAnsi="Arial" w:cs="Arial"/>
          <w:sz w:val="24"/>
          <w:szCs w:val="24"/>
          <w:lang w:val="en-GB"/>
        </w:rPr>
        <w:t xml:space="preserve"> During the inspection of the stomach, gastric juice was suctioned for </w:t>
      </w:r>
      <w:r w:rsidR="00544CB6" w:rsidRPr="004B4B2E">
        <w:rPr>
          <w:rFonts w:ascii="Arial" w:hAnsi="Arial" w:cs="Arial"/>
          <w:sz w:val="24"/>
          <w:szCs w:val="24"/>
          <w:lang w:val="en-GB"/>
        </w:rPr>
        <w:t xml:space="preserve">the </w:t>
      </w:r>
      <w:proofErr w:type="spellStart"/>
      <w:r w:rsidRPr="004B4B2E">
        <w:rPr>
          <w:rFonts w:ascii="Arial" w:hAnsi="Arial" w:cs="Arial"/>
          <w:sz w:val="24"/>
          <w:szCs w:val="24"/>
          <w:lang w:val="en-GB"/>
        </w:rPr>
        <w:t>EndoFaster</w:t>
      </w:r>
      <w:proofErr w:type="spellEnd"/>
      <w:r w:rsidRPr="004B4B2E">
        <w:rPr>
          <w:rFonts w:ascii="Arial" w:hAnsi="Arial" w:cs="Arial"/>
          <w:sz w:val="24"/>
          <w:szCs w:val="24"/>
          <w:lang w:val="en-GB"/>
        </w:rPr>
        <w:t xml:space="preserve"> analysis (m</w:t>
      </w:r>
      <w:r w:rsidR="00406ECF" w:rsidRPr="004B4B2E">
        <w:rPr>
          <w:rFonts w:ascii="Arial" w:hAnsi="Arial" w:cs="Arial"/>
          <w:sz w:val="24"/>
          <w:szCs w:val="24"/>
          <w:lang w:val="en-GB"/>
        </w:rPr>
        <w:t>inimum 2.5 ml)</w:t>
      </w:r>
      <w:r w:rsidR="001C4672" w:rsidRPr="004B4B2E">
        <w:rPr>
          <w:rFonts w:ascii="Arial" w:hAnsi="Arial" w:cs="Arial"/>
          <w:sz w:val="24"/>
          <w:szCs w:val="24"/>
          <w:lang w:val="en-GB"/>
        </w:rPr>
        <w:t xml:space="preserve"> to evaluate the</w:t>
      </w:r>
      <w:r w:rsidR="00FA4B3F" w:rsidRPr="004B4B2E">
        <w:rPr>
          <w:rFonts w:ascii="Arial" w:hAnsi="Arial" w:cs="Arial"/>
          <w:sz w:val="24"/>
          <w:szCs w:val="24"/>
          <w:lang w:val="en-GB"/>
        </w:rPr>
        <w:t xml:space="preserve"> </w:t>
      </w:r>
      <w:r w:rsidR="00A030EB">
        <w:rPr>
          <w:rFonts w:ascii="Arial" w:hAnsi="Arial" w:cs="Arial"/>
          <w:sz w:val="24"/>
          <w:szCs w:val="24"/>
          <w:lang w:val="en-GB"/>
        </w:rPr>
        <w:t xml:space="preserve">gastric </w:t>
      </w:r>
      <w:proofErr w:type="spellStart"/>
      <w:r w:rsidR="00A030EB">
        <w:rPr>
          <w:rFonts w:ascii="Arial" w:hAnsi="Arial" w:cs="Arial"/>
          <w:sz w:val="24"/>
          <w:szCs w:val="24"/>
          <w:lang w:val="en-GB"/>
        </w:rPr>
        <w:t>pH</w:t>
      </w:r>
      <w:r w:rsidR="00FA4B3F" w:rsidRPr="004B4B2E">
        <w:rPr>
          <w:rFonts w:ascii="Arial" w:hAnsi="Arial" w:cs="Arial"/>
          <w:sz w:val="24"/>
          <w:szCs w:val="24"/>
          <w:lang w:val="en-GB"/>
        </w:rPr>
        <w:t>.</w:t>
      </w:r>
      <w:proofErr w:type="spellEnd"/>
      <w:r w:rsidR="004A4E75" w:rsidRPr="004B4B2E">
        <w:rPr>
          <w:rFonts w:ascii="Arial" w:hAnsi="Arial" w:cs="Arial"/>
          <w:sz w:val="24"/>
          <w:szCs w:val="24"/>
          <w:lang w:val="en-GB"/>
        </w:rPr>
        <w:t xml:space="preserve"> In </w:t>
      </w:r>
      <w:r w:rsidR="004A4E75" w:rsidRPr="004B4B2E">
        <w:rPr>
          <w:rFonts w:ascii="Arial" w:hAnsi="Arial" w:cs="Arial"/>
          <w:noProof/>
          <w:sz w:val="24"/>
          <w:szCs w:val="24"/>
          <w:lang w:val="en-GB"/>
        </w:rPr>
        <w:t>case</w:t>
      </w:r>
      <w:r w:rsidR="004A4E75" w:rsidRPr="004B4B2E">
        <w:rPr>
          <w:rFonts w:ascii="Arial" w:hAnsi="Arial" w:cs="Arial"/>
          <w:sz w:val="24"/>
          <w:szCs w:val="24"/>
          <w:lang w:val="en-GB"/>
        </w:rPr>
        <w:t xml:space="preserve"> of device malfunction leading to </w:t>
      </w:r>
      <w:r w:rsidR="00443893" w:rsidRPr="004B4B2E">
        <w:rPr>
          <w:rFonts w:ascii="Arial" w:hAnsi="Arial" w:cs="Arial"/>
          <w:sz w:val="24"/>
          <w:szCs w:val="24"/>
          <w:lang w:val="en-GB"/>
        </w:rPr>
        <w:t xml:space="preserve">an </w:t>
      </w:r>
      <w:r w:rsidR="004A4E75" w:rsidRPr="004B4B2E">
        <w:rPr>
          <w:rFonts w:ascii="Arial" w:hAnsi="Arial" w:cs="Arial"/>
          <w:noProof/>
          <w:sz w:val="24"/>
          <w:szCs w:val="24"/>
          <w:lang w:val="en-GB"/>
        </w:rPr>
        <w:t>inability</w:t>
      </w:r>
      <w:r w:rsidR="004A4E75" w:rsidRPr="004B4B2E">
        <w:rPr>
          <w:rFonts w:ascii="Arial" w:hAnsi="Arial" w:cs="Arial"/>
          <w:sz w:val="24"/>
          <w:szCs w:val="24"/>
          <w:lang w:val="en-GB"/>
        </w:rPr>
        <w:t xml:space="preserve"> to achieve </w:t>
      </w:r>
      <w:r w:rsidR="00443893" w:rsidRPr="004B4B2E">
        <w:rPr>
          <w:rFonts w:ascii="Arial" w:hAnsi="Arial" w:cs="Arial"/>
          <w:sz w:val="24"/>
          <w:szCs w:val="24"/>
          <w:lang w:val="en-GB"/>
        </w:rPr>
        <w:t xml:space="preserve">a </w:t>
      </w:r>
      <w:r w:rsidR="004A4E75" w:rsidRPr="004B4B2E">
        <w:rPr>
          <w:rFonts w:ascii="Arial" w:hAnsi="Arial" w:cs="Arial"/>
          <w:noProof/>
          <w:sz w:val="24"/>
          <w:szCs w:val="24"/>
          <w:lang w:val="en-GB"/>
        </w:rPr>
        <w:t>real-time</w:t>
      </w:r>
      <w:r w:rsidR="004A4E75" w:rsidRPr="004B4B2E">
        <w:rPr>
          <w:rFonts w:ascii="Arial" w:hAnsi="Arial" w:cs="Arial"/>
          <w:sz w:val="24"/>
          <w:szCs w:val="24"/>
          <w:lang w:val="en-GB"/>
        </w:rPr>
        <w:t xml:space="preserve"> measure of the pH</w:t>
      </w:r>
      <w:r w:rsidR="00B91DED" w:rsidRPr="004B4B2E">
        <w:rPr>
          <w:rFonts w:ascii="Arial" w:hAnsi="Arial" w:cs="Arial"/>
          <w:sz w:val="24"/>
          <w:szCs w:val="24"/>
          <w:lang w:val="en-GB"/>
        </w:rPr>
        <w:t xml:space="preserve"> (e.g. in the presence of food debris)</w:t>
      </w:r>
      <w:r w:rsidR="004A4E75" w:rsidRPr="004B4B2E">
        <w:rPr>
          <w:rFonts w:ascii="Arial" w:hAnsi="Arial" w:cs="Arial"/>
          <w:sz w:val="24"/>
          <w:szCs w:val="24"/>
          <w:lang w:val="en-GB"/>
        </w:rPr>
        <w:t xml:space="preserve">, a sample of the gastric juice was collected and stored for short time. The pH was then measured at </w:t>
      </w:r>
      <w:r w:rsidR="004A4E75" w:rsidRPr="004B4B2E">
        <w:rPr>
          <w:rFonts w:ascii="Arial" w:hAnsi="Arial" w:cs="Arial"/>
          <w:noProof/>
          <w:sz w:val="24"/>
          <w:szCs w:val="24"/>
          <w:lang w:val="en-GB"/>
        </w:rPr>
        <w:t>bedside</w:t>
      </w:r>
      <w:r w:rsidR="004A4E75" w:rsidRPr="004B4B2E">
        <w:rPr>
          <w:rFonts w:ascii="Arial" w:hAnsi="Arial" w:cs="Arial"/>
          <w:sz w:val="24"/>
          <w:szCs w:val="24"/>
          <w:lang w:val="en-GB"/>
        </w:rPr>
        <w:t xml:space="preserve"> either with the </w:t>
      </w:r>
      <w:proofErr w:type="spellStart"/>
      <w:r w:rsidR="004A4E75" w:rsidRPr="004B4B2E">
        <w:rPr>
          <w:rFonts w:ascii="Arial" w:hAnsi="Arial" w:cs="Arial"/>
          <w:sz w:val="24"/>
          <w:szCs w:val="24"/>
          <w:lang w:val="en-GB"/>
        </w:rPr>
        <w:t>EndoFaster</w:t>
      </w:r>
      <w:proofErr w:type="spellEnd"/>
      <w:r w:rsidR="004A4E75" w:rsidRPr="004B4B2E">
        <w:rPr>
          <w:rFonts w:ascii="Arial" w:hAnsi="Arial" w:cs="Arial"/>
          <w:sz w:val="24"/>
          <w:szCs w:val="24"/>
          <w:lang w:val="en-GB"/>
        </w:rPr>
        <w:t xml:space="preserve"> or a benchtop pH meter immediately after the endoscopic procedure. </w:t>
      </w:r>
      <w:r w:rsidR="009E3752">
        <w:rPr>
          <w:rFonts w:ascii="Arial" w:hAnsi="Arial" w:cs="Arial"/>
          <w:sz w:val="24"/>
          <w:szCs w:val="24"/>
          <w:lang w:val="en-GB"/>
        </w:rPr>
        <w:t xml:space="preserve">Patients with no gastric juice were excluded. </w:t>
      </w:r>
    </w:p>
    <w:p w14:paraId="1E5A0705" w14:textId="632ECAC9" w:rsidR="000B4F14" w:rsidRPr="004B4B2E" w:rsidRDefault="00216370" w:rsidP="001B3D49">
      <w:pPr>
        <w:spacing w:line="480" w:lineRule="auto"/>
        <w:jc w:val="both"/>
        <w:rPr>
          <w:rFonts w:ascii="Arial" w:hAnsi="Arial" w:cs="Arial"/>
          <w:b/>
          <w:sz w:val="24"/>
          <w:szCs w:val="24"/>
          <w:lang w:val="en-GB"/>
        </w:rPr>
      </w:pPr>
      <w:r w:rsidRPr="004B4B2E">
        <w:rPr>
          <w:rFonts w:ascii="Arial" w:hAnsi="Arial" w:cs="Arial"/>
          <w:b/>
          <w:sz w:val="24"/>
          <w:szCs w:val="24"/>
          <w:lang w:val="en-GB"/>
        </w:rPr>
        <w:t xml:space="preserve">2.6 </w:t>
      </w:r>
      <w:r w:rsidR="00597BD9" w:rsidRPr="004B4B2E">
        <w:rPr>
          <w:rFonts w:ascii="Arial" w:hAnsi="Arial" w:cs="Arial"/>
          <w:b/>
          <w:sz w:val="24"/>
          <w:szCs w:val="24"/>
          <w:lang w:val="en-GB"/>
        </w:rPr>
        <w:t>Twenty-four</w:t>
      </w:r>
      <w:r w:rsidR="001E79D1" w:rsidRPr="004B4B2E">
        <w:rPr>
          <w:rFonts w:ascii="Arial" w:hAnsi="Arial" w:cs="Arial"/>
          <w:b/>
          <w:sz w:val="24"/>
          <w:szCs w:val="24"/>
          <w:lang w:val="en-GB"/>
        </w:rPr>
        <w:t>-hour pH-impedance</w:t>
      </w:r>
    </w:p>
    <w:p w14:paraId="69DF46A7" w14:textId="31BE9DF8" w:rsidR="00D5196F" w:rsidRPr="004B4B2E" w:rsidRDefault="00F139BC" w:rsidP="001B3D49">
      <w:pPr>
        <w:spacing w:line="480" w:lineRule="auto"/>
        <w:jc w:val="both"/>
        <w:rPr>
          <w:rFonts w:ascii="Arial" w:hAnsi="Arial" w:cs="Arial"/>
          <w:sz w:val="24"/>
          <w:szCs w:val="24"/>
          <w:lang w:val="en-GB"/>
        </w:rPr>
      </w:pPr>
      <w:r w:rsidRPr="004B4B2E">
        <w:rPr>
          <w:rFonts w:ascii="Arial" w:hAnsi="Arial" w:cs="Arial"/>
          <w:sz w:val="24"/>
          <w:szCs w:val="24"/>
          <w:lang w:val="en-GB"/>
        </w:rPr>
        <w:lastRenderedPageBreak/>
        <w:t xml:space="preserve">Immediately after the endoscopy, </w:t>
      </w:r>
      <w:r w:rsidR="00EA4CA4" w:rsidRPr="004B4B2E">
        <w:rPr>
          <w:rFonts w:ascii="Arial" w:hAnsi="Arial" w:cs="Arial"/>
          <w:sz w:val="24"/>
          <w:szCs w:val="24"/>
          <w:lang w:val="en-GB"/>
        </w:rPr>
        <w:t>an</w:t>
      </w:r>
      <w:r w:rsidRPr="004B4B2E">
        <w:rPr>
          <w:rFonts w:ascii="Arial" w:hAnsi="Arial" w:cs="Arial"/>
          <w:sz w:val="24"/>
          <w:szCs w:val="24"/>
          <w:lang w:val="en-GB"/>
        </w:rPr>
        <w:t xml:space="preserve"> </w:t>
      </w:r>
      <w:r w:rsidR="001E79D1" w:rsidRPr="004B4B2E">
        <w:rPr>
          <w:rFonts w:ascii="Arial" w:hAnsi="Arial" w:cs="Arial"/>
          <w:sz w:val="24"/>
          <w:szCs w:val="24"/>
          <w:lang w:val="en-GB"/>
        </w:rPr>
        <w:t>i</w:t>
      </w:r>
      <w:r w:rsidR="000B4F14" w:rsidRPr="004B4B2E">
        <w:rPr>
          <w:rFonts w:ascii="Arial" w:hAnsi="Arial" w:cs="Arial"/>
          <w:sz w:val="24"/>
          <w:szCs w:val="24"/>
          <w:lang w:val="en-GB"/>
        </w:rPr>
        <w:t>ntra</w:t>
      </w:r>
      <w:r w:rsidR="009D6F52" w:rsidRPr="004B4B2E">
        <w:rPr>
          <w:rFonts w:ascii="Arial" w:hAnsi="Arial" w:cs="Arial"/>
          <w:sz w:val="24"/>
          <w:szCs w:val="24"/>
          <w:lang w:val="en-GB"/>
        </w:rPr>
        <w:t>-</w:t>
      </w:r>
      <w:r w:rsidR="000B4F14" w:rsidRPr="004B4B2E">
        <w:rPr>
          <w:rFonts w:ascii="Arial" w:hAnsi="Arial" w:cs="Arial"/>
          <w:sz w:val="24"/>
          <w:szCs w:val="24"/>
          <w:lang w:val="en-GB"/>
        </w:rPr>
        <w:t>esophageal pH</w:t>
      </w:r>
      <w:r w:rsidRPr="004B4B2E">
        <w:rPr>
          <w:rFonts w:ascii="Arial" w:hAnsi="Arial" w:cs="Arial"/>
          <w:sz w:val="24"/>
          <w:szCs w:val="24"/>
          <w:lang w:val="en-GB"/>
        </w:rPr>
        <w:t xml:space="preserve">-impedance catheter (ZAN-BG-44, </w:t>
      </w:r>
      <w:proofErr w:type="spellStart"/>
      <w:r w:rsidRPr="004B4B2E">
        <w:rPr>
          <w:rFonts w:ascii="Arial" w:hAnsi="Arial" w:cs="Arial"/>
          <w:sz w:val="24"/>
          <w:szCs w:val="24"/>
          <w:lang w:val="en-GB"/>
        </w:rPr>
        <w:t>ComforTEC</w:t>
      </w:r>
      <w:proofErr w:type="spellEnd"/>
      <w:r w:rsidRPr="004B4B2E">
        <w:rPr>
          <w:rFonts w:ascii="Arial" w:hAnsi="Arial" w:cs="Arial"/>
          <w:sz w:val="24"/>
          <w:szCs w:val="24"/>
          <w:lang w:val="en-GB"/>
        </w:rPr>
        <w:t>/pH, Sandhill)</w:t>
      </w:r>
      <w:r w:rsidR="000B4F14" w:rsidRPr="004B4B2E">
        <w:rPr>
          <w:rFonts w:ascii="Arial" w:hAnsi="Arial" w:cs="Arial"/>
          <w:sz w:val="24"/>
          <w:szCs w:val="24"/>
          <w:lang w:val="en-GB"/>
        </w:rPr>
        <w:t xml:space="preserve"> was </w:t>
      </w:r>
      <w:r w:rsidRPr="004B4B2E">
        <w:rPr>
          <w:rFonts w:ascii="Arial" w:hAnsi="Arial" w:cs="Arial"/>
          <w:sz w:val="24"/>
          <w:szCs w:val="24"/>
          <w:lang w:val="en-GB"/>
        </w:rPr>
        <w:t>placed trans</w:t>
      </w:r>
      <w:r w:rsidR="00043C44" w:rsidRPr="004B4B2E">
        <w:rPr>
          <w:rFonts w:ascii="Arial" w:hAnsi="Arial" w:cs="Arial"/>
          <w:sz w:val="24"/>
          <w:szCs w:val="24"/>
          <w:lang w:val="en-GB"/>
        </w:rPr>
        <w:t>-</w:t>
      </w:r>
      <w:r w:rsidRPr="004B4B2E">
        <w:rPr>
          <w:rFonts w:ascii="Arial" w:hAnsi="Arial" w:cs="Arial"/>
          <w:sz w:val="24"/>
          <w:szCs w:val="24"/>
          <w:lang w:val="en-GB"/>
        </w:rPr>
        <w:t xml:space="preserve">nasally. </w:t>
      </w:r>
      <w:r w:rsidR="001F294F" w:rsidRPr="004B4B2E">
        <w:rPr>
          <w:rFonts w:ascii="Arial" w:hAnsi="Arial" w:cs="Arial"/>
          <w:sz w:val="24"/>
          <w:szCs w:val="24"/>
          <w:lang w:val="en-GB"/>
        </w:rPr>
        <w:t xml:space="preserve">This catheter has two pH sensors. </w:t>
      </w:r>
      <w:r w:rsidR="0040295C">
        <w:rPr>
          <w:rFonts w:ascii="Arial" w:hAnsi="Arial" w:cs="Arial"/>
          <w:sz w:val="24"/>
          <w:szCs w:val="24"/>
          <w:lang w:val="en-GB"/>
        </w:rPr>
        <w:t xml:space="preserve">The </w:t>
      </w:r>
      <w:r w:rsidRPr="004B4B2E">
        <w:rPr>
          <w:rFonts w:ascii="Arial" w:hAnsi="Arial" w:cs="Arial"/>
          <w:sz w:val="24"/>
          <w:szCs w:val="24"/>
          <w:lang w:val="en-GB"/>
        </w:rPr>
        <w:t>esophageal pH sensor was placed 6cm above the level of the endoscopically measured GEJ</w:t>
      </w:r>
      <w:r w:rsidR="001F294F" w:rsidRPr="004B4B2E">
        <w:rPr>
          <w:rFonts w:ascii="Arial" w:hAnsi="Arial" w:cs="Arial"/>
          <w:sz w:val="24"/>
          <w:szCs w:val="24"/>
          <w:lang w:val="en-GB"/>
        </w:rPr>
        <w:t xml:space="preserve">, whereas the </w:t>
      </w:r>
      <w:r w:rsidR="009E3752">
        <w:rPr>
          <w:rFonts w:ascii="Arial" w:hAnsi="Arial" w:cs="Arial"/>
          <w:sz w:val="24"/>
          <w:szCs w:val="24"/>
          <w:lang w:val="en-GB"/>
        </w:rPr>
        <w:t>distal</w:t>
      </w:r>
      <w:r w:rsidR="009E3752" w:rsidRPr="004B4B2E">
        <w:rPr>
          <w:rFonts w:ascii="Arial" w:hAnsi="Arial" w:cs="Arial"/>
          <w:sz w:val="24"/>
          <w:szCs w:val="24"/>
          <w:lang w:val="en-GB"/>
        </w:rPr>
        <w:t xml:space="preserve"> </w:t>
      </w:r>
      <w:r w:rsidR="001F294F" w:rsidRPr="004B4B2E">
        <w:rPr>
          <w:rFonts w:ascii="Arial" w:hAnsi="Arial" w:cs="Arial"/>
          <w:sz w:val="24"/>
          <w:szCs w:val="24"/>
          <w:lang w:val="en-GB"/>
        </w:rPr>
        <w:t xml:space="preserve">pH sensor </w:t>
      </w:r>
      <w:r w:rsidR="009E3752">
        <w:rPr>
          <w:rFonts w:ascii="Arial" w:hAnsi="Arial" w:cs="Arial"/>
          <w:sz w:val="24"/>
          <w:szCs w:val="24"/>
          <w:lang w:val="en-GB"/>
        </w:rPr>
        <w:t xml:space="preserve">located </w:t>
      </w:r>
      <w:r w:rsidR="0040295C">
        <w:rPr>
          <w:rFonts w:ascii="Arial" w:hAnsi="Arial" w:cs="Arial"/>
          <w:sz w:val="24"/>
          <w:szCs w:val="24"/>
          <w:lang w:val="en-GB"/>
        </w:rPr>
        <w:t xml:space="preserve">15cm below the </w:t>
      </w:r>
      <w:r w:rsidR="00073109">
        <w:rPr>
          <w:rFonts w:ascii="Arial" w:hAnsi="Arial" w:cs="Arial"/>
          <w:sz w:val="24"/>
          <w:szCs w:val="24"/>
          <w:lang w:val="en-GB"/>
        </w:rPr>
        <w:t>esophageal sensor</w:t>
      </w:r>
      <w:r w:rsidR="009E3752">
        <w:rPr>
          <w:rFonts w:ascii="Arial" w:hAnsi="Arial" w:cs="Arial"/>
          <w:sz w:val="24"/>
          <w:szCs w:val="24"/>
          <w:lang w:val="en-GB"/>
        </w:rPr>
        <w:t xml:space="preserve"> allowed measurement of the </w:t>
      </w:r>
      <w:r w:rsidR="00A030EB">
        <w:rPr>
          <w:rFonts w:ascii="Arial" w:hAnsi="Arial" w:cs="Arial"/>
          <w:sz w:val="24"/>
          <w:szCs w:val="24"/>
          <w:lang w:val="en-GB"/>
        </w:rPr>
        <w:t xml:space="preserve">gastric </w:t>
      </w:r>
      <w:proofErr w:type="spellStart"/>
      <w:r w:rsidR="00A030EB">
        <w:rPr>
          <w:rFonts w:ascii="Arial" w:hAnsi="Arial" w:cs="Arial"/>
          <w:sz w:val="24"/>
          <w:szCs w:val="24"/>
          <w:lang w:val="en-GB"/>
        </w:rPr>
        <w:t>pH</w:t>
      </w:r>
      <w:r w:rsidR="009D6F52" w:rsidRPr="004B4B2E">
        <w:rPr>
          <w:rFonts w:ascii="Arial" w:hAnsi="Arial" w:cs="Arial"/>
          <w:sz w:val="24"/>
          <w:szCs w:val="24"/>
          <w:lang w:val="en-GB"/>
        </w:rPr>
        <w:t>.</w:t>
      </w:r>
      <w:proofErr w:type="spellEnd"/>
      <w:r w:rsidR="00096632">
        <w:rPr>
          <w:rFonts w:ascii="Arial" w:hAnsi="Arial" w:cs="Arial"/>
          <w:sz w:val="24"/>
          <w:szCs w:val="24"/>
          <w:lang w:val="en-GB"/>
        </w:rPr>
        <w:t xml:space="preserve"> To help positioning the esophageal pH sensor</w:t>
      </w:r>
      <w:r w:rsidR="00A167F5">
        <w:rPr>
          <w:rFonts w:ascii="Arial" w:hAnsi="Arial" w:cs="Arial"/>
          <w:sz w:val="24"/>
          <w:szCs w:val="24"/>
          <w:lang w:val="en-GB"/>
        </w:rPr>
        <w:t>,</w:t>
      </w:r>
      <w:r w:rsidR="00096632">
        <w:rPr>
          <w:rFonts w:ascii="Arial" w:hAnsi="Arial" w:cs="Arial"/>
          <w:sz w:val="24"/>
          <w:szCs w:val="24"/>
          <w:lang w:val="en-GB"/>
        </w:rPr>
        <w:t xml:space="preserve"> we considered the difference in the level of the GEJ (+5cm) between </w:t>
      </w:r>
      <w:proofErr w:type="spellStart"/>
      <w:r w:rsidR="00096632">
        <w:rPr>
          <w:rFonts w:ascii="Arial" w:hAnsi="Arial" w:cs="Arial"/>
          <w:sz w:val="24"/>
          <w:szCs w:val="24"/>
          <w:lang w:val="en-GB"/>
        </w:rPr>
        <w:t>transnasal</w:t>
      </w:r>
      <w:proofErr w:type="spellEnd"/>
      <w:r w:rsidR="00096632">
        <w:rPr>
          <w:rFonts w:ascii="Arial" w:hAnsi="Arial" w:cs="Arial"/>
          <w:sz w:val="24"/>
          <w:szCs w:val="24"/>
          <w:lang w:val="en-GB"/>
        </w:rPr>
        <w:t xml:space="preserve"> and oral route, based on a previous randomised crossover study, where patients received </w:t>
      </w:r>
      <w:r w:rsidR="00A167F5">
        <w:rPr>
          <w:rFonts w:ascii="Arial" w:hAnsi="Arial" w:cs="Arial"/>
          <w:sz w:val="24"/>
          <w:szCs w:val="24"/>
          <w:lang w:val="en-GB"/>
        </w:rPr>
        <w:t xml:space="preserve">both </w:t>
      </w:r>
      <w:proofErr w:type="spellStart"/>
      <w:r w:rsidR="00096632">
        <w:rPr>
          <w:rFonts w:ascii="Arial" w:hAnsi="Arial" w:cs="Arial"/>
          <w:sz w:val="24"/>
          <w:szCs w:val="24"/>
          <w:lang w:val="en-GB"/>
        </w:rPr>
        <w:t>transnasal</w:t>
      </w:r>
      <w:proofErr w:type="spellEnd"/>
      <w:r w:rsidR="00096632">
        <w:rPr>
          <w:rFonts w:ascii="Arial" w:hAnsi="Arial" w:cs="Arial"/>
          <w:sz w:val="24"/>
          <w:szCs w:val="24"/>
          <w:lang w:val="en-GB"/>
        </w:rPr>
        <w:t xml:space="preserve"> and conventional endoscopy</w:t>
      </w:r>
      <w:r w:rsidR="00373F6D">
        <w:rPr>
          <w:rFonts w:ascii="Arial" w:hAnsi="Arial" w:cs="Arial"/>
          <w:sz w:val="24"/>
          <w:szCs w:val="24"/>
          <w:lang w:val="en-GB"/>
        </w:rPr>
        <w:fldChar w:fldCharType="begin" w:fldLock="1"/>
      </w:r>
      <w:r w:rsidR="00373F6D">
        <w:rPr>
          <w:rFonts w:ascii="Arial" w:hAnsi="Arial" w:cs="Arial"/>
          <w:sz w:val="24"/>
          <w:szCs w:val="24"/>
          <w:lang w:val="en-GB"/>
        </w:rPr>
        <w:instrText>ADDIN CSL_CITATION {"citationItems":[{"id":"ITEM-1","itemData":{"DOI":"10.1055/s-0034-1393310","ISSN":"1438-8812","PMID":"26535563","abstract":"BACKGROUND AND STUDY AIMS The transnasal endosheath endoscope is a new disposable technology with potential applicability to the primary care setting. The aim of this study was to evaluate the efficacy of transnasal endosheath endoscopy (TEE) for the detection of Barrett's esophagus, by comparing the diagnostic accuracy of TEE with that of standard endoscopy. PATIENTS AND METHODS This was a prospective, randomized, crossover study performed in a single tertiary referral center. Consecutive patients undergoing surveillance for Barrett's esophagus or referred for diagnostic assessment were recruited. All patients were randomized to undergo TEE followed by standard endoscopy or the reverse. Endoscopy experiences and patient preferences were evaluated using a questionnaire. Endoscopic and histologic diagnosis of Barrett's esophagus, and optical image quality of both endoscopic procedures, were compared. RESULTS A total of 21 of 25 patients completed the study. TEE had sensitivity and specificity of 100 % for an endoscopic diagnosis of Barrett's esophagus, and of 66.7 % and 100 %, respectively, for the histologic diagnosis of Barrett's esophagus. The mean optical quality of standard endoscopy was significantly better than that of TEE (7.11 ± 0.42 vs. 4.06 ± 0.27; P &lt; 0.0001). However, following endoscopy, patients reported a significantly better experience with TEE compared with standard endoscopy (7.05 ± 0.49 vs. 4.35 ± 0.53; P = 0.0006), with 60 % preferring TEE and 25 % preferring sedated standard endoscopy. CONCLUSIONS In this study, TEE had equal accuracy for an endoscopic diagnosis of Barrett's esophagus compared with standard endoscopy, at the expense of reduced image quality and a lower yield of intestinal metaplasia on biopsy. TEE was better tolerated and preferred by patients. Hence, TEE needs further evaluation in primary care as an initial diagnostic tool.","author":[{"dropping-particle":"","family":"Shariff","given":"Mohammed K","non-dropping-particle":"","parse-names":false,"suffix":""},{"dropping-particle":"","family":"Varghese","given":"Sibu","non-dropping-particle":"","parse-names":false,"suffix":""},{"dropping-particle":"","family":"O'Donovan","given":"Maria","non-dropping-particle":"","parse-names":false,"suffix":""},{"dropping-particle":"","family":"Abdullahi","given":"Zarah","non-dropping-particle":"","parse-names":false,"suffix":""},{"dropping-particle":"","family":"Liu","given":"Xinxue","non-dropping-particle":"","parse-names":false,"suffix":""},{"dropping-particle":"","family":"Fitzgerald","given":"Rebecca C","non-dropping-particle":"","parse-names":false,"suffix":""},{"dropping-particle":"","family":"Pietro","given":"Massimiliano","non-dropping-particle":"di","parse-names":false,"suffix":""}],"container-title":"Endoscopy","id":"ITEM-1","issue":"2","issued":{"date-parts":[["2016","2","4"]]},"page":"110-6","title":"Pilot randomized crossover study comparing the efficacy of transnasal disposable endosheath with standard endoscopy to detect Barrett's esophagus.","type":"article-journal","volume":"48"},"uris":["http://www.mendeley.com/documents/?uuid=4bf77cd1-ec22-3d0e-a4fc-0150c92cf85f"]}],"mendeley":{"formattedCitation":"&lt;sup&gt;11&lt;/sup&gt;","plainTextFormattedCitation":"11","previouslyFormattedCitation":"&lt;sup&gt;11&lt;/sup&gt;"},"properties":{"noteIndex":0},"schema":"https://github.com/citation-style-language/schema/raw/master/csl-citation.json"}</w:instrText>
      </w:r>
      <w:r w:rsidR="00373F6D">
        <w:rPr>
          <w:rFonts w:ascii="Arial" w:hAnsi="Arial" w:cs="Arial"/>
          <w:sz w:val="24"/>
          <w:szCs w:val="24"/>
          <w:lang w:val="en-GB"/>
        </w:rPr>
        <w:fldChar w:fldCharType="separate"/>
      </w:r>
      <w:r w:rsidR="00373F6D" w:rsidRPr="00373F6D">
        <w:rPr>
          <w:rFonts w:ascii="Arial" w:hAnsi="Arial" w:cs="Arial"/>
          <w:noProof/>
          <w:sz w:val="24"/>
          <w:szCs w:val="24"/>
          <w:vertAlign w:val="superscript"/>
          <w:lang w:val="en-GB"/>
        </w:rPr>
        <w:t>11</w:t>
      </w:r>
      <w:r w:rsidR="00373F6D">
        <w:rPr>
          <w:rFonts w:ascii="Arial" w:hAnsi="Arial" w:cs="Arial"/>
          <w:sz w:val="24"/>
          <w:szCs w:val="24"/>
          <w:lang w:val="en-GB"/>
        </w:rPr>
        <w:fldChar w:fldCharType="end"/>
      </w:r>
      <w:r w:rsidR="00A167F5">
        <w:rPr>
          <w:rFonts w:ascii="Arial" w:hAnsi="Arial" w:cs="Arial"/>
          <w:sz w:val="24"/>
          <w:szCs w:val="24"/>
          <w:lang w:val="en-GB"/>
        </w:rPr>
        <w:t>.</w:t>
      </w:r>
      <w:r w:rsidR="000B4F14" w:rsidRPr="004B4B2E">
        <w:rPr>
          <w:rFonts w:ascii="Arial" w:hAnsi="Arial" w:cs="Arial"/>
          <w:sz w:val="24"/>
          <w:szCs w:val="24"/>
          <w:lang w:val="en-GB"/>
        </w:rPr>
        <w:t>Patients were given written and verbal instructions on</w:t>
      </w:r>
      <w:r w:rsidR="00D97A1A" w:rsidRPr="004B4B2E">
        <w:rPr>
          <w:rFonts w:ascii="Arial" w:hAnsi="Arial" w:cs="Arial"/>
          <w:sz w:val="24"/>
          <w:szCs w:val="24"/>
          <w:lang w:val="en-GB"/>
        </w:rPr>
        <w:t xml:space="preserve"> body position recording, oral intake and </w:t>
      </w:r>
      <w:r w:rsidR="000B4F14" w:rsidRPr="004B4B2E">
        <w:rPr>
          <w:rFonts w:ascii="Arial" w:hAnsi="Arial" w:cs="Arial"/>
          <w:sz w:val="24"/>
          <w:szCs w:val="24"/>
          <w:lang w:val="en-GB"/>
        </w:rPr>
        <w:t>sym</w:t>
      </w:r>
      <w:r w:rsidR="009D6F52" w:rsidRPr="004B4B2E">
        <w:rPr>
          <w:rFonts w:ascii="Arial" w:hAnsi="Arial" w:cs="Arial"/>
          <w:sz w:val="24"/>
          <w:szCs w:val="24"/>
          <w:lang w:val="en-GB"/>
        </w:rPr>
        <w:t>ptom event marking during the 24-</w:t>
      </w:r>
      <w:r w:rsidR="000B4F14" w:rsidRPr="004B4B2E">
        <w:rPr>
          <w:rFonts w:ascii="Arial" w:hAnsi="Arial" w:cs="Arial"/>
          <w:sz w:val="24"/>
          <w:szCs w:val="24"/>
          <w:lang w:val="en-GB"/>
        </w:rPr>
        <w:t>h</w:t>
      </w:r>
      <w:r w:rsidR="009D6F52" w:rsidRPr="004B4B2E">
        <w:rPr>
          <w:rFonts w:ascii="Arial" w:hAnsi="Arial" w:cs="Arial"/>
          <w:sz w:val="24"/>
          <w:szCs w:val="24"/>
          <w:lang w:val="en-GB"/>
        </w:rPr>
        <w:t>our</w:t>
      </w:r>
      <w:r w:rsidR="000B4F14" w:rsidRPr="004B4B2E">
        <w:rPr>
          <w:rFonts w:ascii="Arial" w:hAnsi="Arial" w:cs="Arial"/>
          <w:sz w:val="24"/>
          <w:szCs w:val="24"/>
          <w:lang w:val="en-GB"/>
        </w:rPr>
        <w:t xml:space="preserve"> monitoring time </w:t>
      </w:r>
      <w:r w:rsidRPr="004B4B2E">
        <w:rPr>
          <w:rFonts w:ascii="Arial" w:hAnsi="Arial" w:cs="Arial"/>
          <w:sz w:val="24"/>
          <w:szCs w:val="24"/>
          <w:lang w:val="en-GB"/>
        </w:rPr>
        <w:t xml:space="preserve">via a </w:t>
      </w:r>
      <w:r w:rsidRPr="004B4B2E">
        <w:rPr>
          <w:rFonts w:ascii="Arial" w:hAnsi="Arial" w:cs="Arial"/>
          <w:noProof/>
          <w:sz w:val="24"/>
          <w:szCs w:val="24"/>
          <w:lang w:val="en-GB"/>
        </w:rPr>
        <w:t>Zephr</w:t>
      </w:r>
      <w:r w:rsidRPr="004B4B2E">
        <w:rPr>
          <w:rFonts w:ascii="Arial" w:hAnsi="Arial" w:cs="Arial"/>
          <w:sz w:val="24"/>
          <w:szCs w:val="24"/>
          <w:lang w:val="en-GB"/>
        </w:rPr>
        <w:t xml:space="preserve"> Recorder (</w:t>
      </w:r>
      <w:r w:rsidR="00EA4CA4" w:rsidRPr="004B4B2E">
        <w:rPr>
          <w:rFonts w:ascii="Arial" w:hAnsi="Arial" w:cs="Arial"/>
          <w:sz w:val="24"/>
          <w:szCs w:val="24"/>
          <w:lang w:val="en-GB"/>
        </w:rPr>
        <w:t>S</w:t>
      </w:r>
      <w:r w:rsidRPr="004B4B2E">
        <w:rPr>
          <w:rFonts w:ascii="Arial" w:hAnsi="Arial" w:cs="Arial"/>
          <w:sz w:val="24"/>
          <w:szCs w:val="24"/>
          <w:lang w:val="en-GB"/>
        </w:rPr>
        <w:t>andhill)</w:t>
      </w:r>
      <w:r w:rsidR="000B4F14" w:rsidRPr="004B4B2E">
        <w:rPr>
          <w:rFonts w:ascii="Arial" w:hAnsi="Arial" w:cs="Arial"/>
          <w:noProof/>
          <w:sz w:val="24"/>
          <w:szCs w:val="24"/>
          <w:lang w:val="en-GB"/>
        </w:rPr>
        <w:t>.</w:t>
      </w:r>
      <w:r w:rsidR="000B4F14" w:rsidRPr="004B4B2E">
        <w:rPr>
          <w:rFonts w:ascii="Arial" w:hAnsi="Arial" w:cs="Arial"/>
          <w:sz w:val="24"/>
          <w:szCs w:val="24"/>
          <w:lang w:val="en-GB"/>
        </w:rPr>
        <w:t xml:space="preserve"> The timing of the symptoms was recorded by event markers. </w:t>
      </w:r>
      <w:r w:rsidR="00073109">
        <w:rPr>
          <w:rFonts w:ascii="Arial" w:hAnsi="Arial" w:cs="Arial"/>
          <w:sz w:val="24"/>
          <w:szCs w:val="24"/>
          <w:lang w:val="en-GB"/>
        </w:rPr>
        <w:t xml:space="preserve">Sleuth </w:t>
      </w:r>
      <w:r w:rsidR="00D97A1A" w:rsidRPr="004B4B2E">
        <w:rPr>
          <w:rFonts w:ascii="Arial" w:hAnsi="Arial" w:cs="Arial"/>
          <w:noProof/>
          <w:sz w:val="24"/>
          <w:szCs w:val="24"/>
          <w:lang w:val="en-GB"/>
        </w:rPr>
        <w:t>Zephr</w:t>
      </w:r>
      <w:r w:rsidR="00D97A1A" w:rsidRPr="004B4B2E">
        <w:rPr>
          <w:rFonts w:ascii="Arial" w:hAnsi="Arial" w:cs="Arial"/>
          <w:sz w:val="24"/>
          <w:szCs w:val="24"/>
          <w:lang w:val="en-GB"/>
        </w:rPr>
        <w:t xml:space="preserve"> software was used for analysis of the pH</w:t>
      </w:r>
      <w:r w:rsidR="000E07A2" w:rsidRPr="004B4B2E">
        <w:rPr>
          <w:rFonts w:ascii="Arial" w:hAnsi="Arial" w:cs="Arial"/>
          <w:sz w:val="24"/>
          <w:szCs w:val="24"/>
          <w:lang w:val="en-GB"/>
        </w:rPr>
        <w:t>-</w:t>
      </w:r>
      <w:r w:rsidR="00D97A1A" w:rsidRPr="004B4B2E">
        <w:rPr>
          <w:rFonts w:ascii="Arial" w:hAnsi="Arial" w:cs="Arial"/>
          <w:sz w:val="24"/>
          <w:szCs w:val="24"/>
          <w:lang w:val="en-GB"/>
        </w:rPr>
        <w:t>impedance tracer by two physicians with experience in upper GI physiology (</w:t>
      </w:r>
      <w:proofErr w:type="spellStart"/>
      <w:r w:rsidR="00D97A1A" w:rsidRPr="004B4B2E">
        <w:rPr>
          <w:rFonts w:ascii="Arial" w:hAnsi="Arial" w:cs="Arial"/>
          <w:noProof/>
          <w:sz w:val="24"/>
          <w:szCs w:val="24"/>
          <w:lang w:val="en-GB"/>
        </w:rPr>
        <w:t>MdP</w:t>
      </w:r>
      <w:proofErr w:type="spellEnd"/>
      <w:r w:rsidR="00D97A1A" w:rsidRPr="004B4B2E">
        <w:rPr>
          <w:rFonts w:ascii="Arial" w:hAnsi="Arial" w:cs="Arial"/>
          <w:sz w:val="24"/>
          <w:szCs w:val="24"/>
          <w:lang w:val="en-GB"/>
        </w:rPr>
        <w:t xml:space="preserve"> and AH). Impedance was used to differentiate between </w:t>
      </w:r>
      <w:r w:rsidR="00443893" w:rsidRPr="004B4B2E">
        <w:rPr>
          <w:rFonts w:ascii="Arial" w:hAnsi="Arial" w:cs="Arial"/>
          <w:sz w:val="24"/>
          <w:szCs w:val="24"/>
          <w:lang w:val="en-GB"/>
        </w:rPr>
        <w:t xml:space="preserve">an </w:t>
      </w:r>
      <w:r w:rsidR="00D97A1A" w:rsidRPr="004B4B2E">
        <w:rPr>
          <w:rFonts w:ascii="Arial" w:hAnsi="Arial" w:cs="Arial"/>
          <w:noProof/>
          <w:sz w:val="24"/>
          <w:szCs w:val="24"/>
          <w:lang w:val="en-GB"/>
        </w:rPr>
        <w:t>anterograde</w:t>
      </w:r>
      <w:r w:rsidR="00D97A1A" w:rsidRPr="004B4B2E">
        <w:rPr>
          <w:rFonts w:ascii="Arial" w:hAnsi="Arial" w:cs="Arial"/>
          <w:sz w:val="24"/>
          <w:szCs w:val="24"/>
          <w:lang w:val="en-GB"/>
        </w:rPr>
        <w:t xml:space="preserve"> and retrograde esophageal content movement and identify true reflux events. Reflux events were distinguished in acidic and no</w:t>
      </w:r>
      <w:r w:rsidR="00C94FAD" w:rsidRPr="004B4B2E">
        <w:rPr>
          <w:rFonts w:ascii="Arial" w:hAnsi="Arial" w:cs="Arial"/>
          <w:sz w:val="24"/>
          <w:szCs w:val="24"/>
          <w:lang w:val="en-GB"/>
        </w:rPr>
        <w:t>n</w:t>
      </w:r>
      <w:r w:rsidR="000E07A2" w:rsidRPr="004B4B2E">
        <w:rPr>
          <w:rFonts w:ascii="Arial" w:hAnsi="Arial" w:cs="Arial"/>
          <w:sz w:val="24"/>
          <w:szCs w:val="24"/>
          <w:lang w:val="en-GB"/>
        </w:rPr>
        <w:t>-</w:t>
      </w:r>
      <w:r w:rsidR="00D97A1A" w:rsidRPr="004B4B2E">
        <w:rPr>
          <w:rFonts w:ascii="Arial" w:hAnsi="Arial" w:cs="Arial"/>
          <w:sz w:val="24"/>
          <w:szCs w:val="24"/>
          <w:lang w:val="en-GB"/>
        </w:rPr>
        <w:t>acidic</w:t>
      </w:r>
      <w:r w:rsidR="00844B7A" w:rsidRPr="004B4B2E">
        <w:rPr>
          <w:rFonts w:ascii="Arial" w:hAnsi="Arial" w:cs="Arial"/>
          <w:sz w:val="24"/>
          <w:szCs w:val="24"/>
          <w:lang w:val="en-GB"/>
        </w:rPr>
        <w:t xml:space="preserve"> with a pH cut-off of 4</w:t>
      </w:r>
      <w:r w:rsidR="00D97A1A" w:rsidRPr="004B4B2E">
        <w:rPr>
          <w:rFonts w:ascii="Arial" w:hAnsi="Arial" w:cs="Arial"/>
          <w:sz w:val="24"/>
          <w:szCs w:val="24"/>
          <w:lang w:val="en-GB"/>
        </w:rPr>
        <w:t xml:space="preserve">. </w:t>
      </w:r>
      <w:r w:rsidR="000B4F14" w:rsidRPr="004B4B2E">
        <w:rPr>
          <w:rFonts w:ascii="Arial" w:hAnsi="Arial" w:cs="Arial"/>
          <w:sz w:val="24"/>
          <w:szCs w:val="24"/>
          <w:lang w:val="en-GB"/>
        </w:rPr>
        <w:t xml:space="preserve">The </w:t>
      </w:r>
      <w:r w:rsidR="00D5196F" w:rsidRPr="004B4B2E">
        <w:rPr>
          <w:rFonts w:ascii="Arial" w:hAnsi="Arial" w:cs="Arial"/>
          <w:sz w:val="24"/>
          <w:szCs w:val="24"/>
          <w:lang w:val="en-GB"/>
        </w:rPr>
        <w:t xml:space="preserve">symptom index (SI) and </w:t>
      </w:r>
      <w:r w:rsidR="000B4F14" w:rsidRPr="004B4B2E">
        <w:rPr>
          <w:rFonts w:ascii="Arial" w:hAnsi="Arial" w:cs="Arial"/>
          <w:sz w:val="24"/>
          <w:szCs w:val="24"/>
          <w:lang w:val="en-GB"/>
        </w:rPr>
        <w:t>symptom association probability (SAP)</w:t>
      </w:r>
      <w:r w:rsidR="009D6F52" w:rsidRPr="004B4B2E">
        <w:rPr>
          <w:rFonts w:ascii="Arial" w:hAnsi="Arial" w:cs="Arial"/>
          <w:sz w:val="24"/>
          <w:szCs w:val="24"/>
          <w:lang w:val="en-GB"/>
        </w:rPr>
        <w:t xml:space="preserve"> </w:t>
      </w:r>
      <w:r w:rsidR="00D5196F" w:rsidRPr="004B4B2E">
        <w:rPr>
          <w:rFonts w:ascii="Arial" w:hAnsi="Arial" w:cs="Arial"/>
          <w:sz w:val="24"/>
          <w:szCs w:val="24"/>
          <w:lang w:val="en-GB"/>
        </w:rPr>
        <w:t xml:space="preserve">were </w:t>
      </w:r>
      <w:r w:rsidR="009D6F52" w:rsidRPr="004B4B2E">
        <w:rPr>
          <w:rFonts w:ascii="Arial" w:hAnsi="Arial" w:cs="Arial"/>
          <w:sz w:val="24"/>
          <w:szCs w:val="24"/>
          <w:lang w:val="en-GB"/>
        </w:rPr>
        <w:t xml:space="preserve">evaluated. </w:t>
      </w:r>
      <w:r w:rsidR="00D5196F" w:rsidRPr="004B4B2E">
        <w:rPr>
          <w:rFonts w:ascii="Arial" w:hAnsi="Arial" w:cs="Arial"/>
          <w:noProof/>
          <w:sz w:val="24"/>
          <w:szCs w:val="24"/>
          <w:lang w:val="en-GB"/>
        </w:rPr>
        <w:t>A</w:t>
      </w:r>
      <w:r w:rsidR="00254458" w:rsidRPr="004B4B2E">
        <w:rPr>
          <w:rFonts w:ascii="Arial" w:hAnsi="Arial" w:cs="Arial"/>
          <w:noProof/>
          <w:sz w:val="24"/>
          <w:szCs w:val="24"/>
          <w:lang w:val="en-GB"/>
        </w:rPr>
        <w:t>n</w:t>
      </w:r>
      <w:r w:rsidR="00D5196F" w:rsidRPr="004B4B2E">
        <w:rPr>
          <w:rFonts w:ascii="Arial" w:hAnsi="Arial" w:cs="Arial"/>
          <w:noProof/>
          <w:sz w:val="24"/>
          <w:szCs w:val="24"/>
          <w:lang w:val="en-GB"/>
        </w:rPr>
        <w:t xml:space="preserve"> SI</w:t>
      </w:r>
      <w:r w:rsidR="00D5196F" w:rsidRPr="004B4B2E">
        <w:rPr>
          <w:rFonts w:ascii="Arial" w:hAnsi="Arial" w:cs="Arial"/>
          <w:sz w:val="24"/>
          <w:szCs w:val="24"/>
          <w:lang w:val="en-GB"/>
        </w:rPr>
        <w:t xml:space="preserve"> &gt;50% and SAP &gt;95%</w:t>
      </w:r>
      <w:r w:rsidR="00FA4B3F" w:rsidRPr="004B4B2E">
        <w:rPr>
          <w:rFonts w:ascii="Arial" w:hAnsi="Arial" w:cs="Arial"/>
          <w:sz w:val="24"/>
          <w:szCs w:val="24"/>
          <w:lang w:val="en-GB"/>
        </w:rPr>
        <w:t xml:space="preserve"> </w:t>
      </w:r>
      <w:r w:rsidR="00D5196F" w:rsidRPr="004B4B2E">
        <w:rPr>
          <w:rFonts w:ascii="Arial" w:hAnsi="Arial" w:cs="Arial"/>
          <w:sz w:val="24"/>
          <w:szCs w:val="24"/>
          <w:lang w:val="en-GB"/>
        </w:rPr>
        <w:t xml:space="preserve">(if there are more than 3 events) were considered positive. </w:t>
      </w:r>
      <w:r w:rsidR="00B91DED" w:rsidRPr="004B4B2E">
        <w:rPr>
          <w:rFonts w:ascii="Arial" w:hAnsi="Arial" w:cs="Arial"/>
          <w:sz w:val="24"/>
          <w:szCs w:val="24"/>
          <w:lang w:val="en-GB"/>
        </w:rPr>
        <w:t xml:space="preserve">As we postulated that the conventional cut-off of 4% could lead to underestimation of the residual acid reflux on PPI therapy, we have used a modified </w:t>
      </w:r>
      <w:r w:rsidR="000B14CA">
        <w:rPr>
          <w:rFonts w:ascii="Arial" w:hAnsi="Arial" w:cs="Arial"/>
          <w:sz w:val="24"/>
          <w:szCs w:val="24"/>
          <w:lang w:val="en-GB"/>
        </w:rPr>
        <w:t xml:space="preserve">validated </w:t>
      </w:r>
      <w:r w:rsidR="009D6F52" w:rsidRPr="004B4B2E">
        <w:rPr>
          <w:rFonts w:ascii="Arial" w:hAnsi="Arial" w:cs="Arial"/>
          <w:sz w:val="24"/>
          <w:szCs w:val="24"/>
          <w:lang w:val="en-GB"/>
        </w:rPr>
        <w:t xml:space="preserve">cut-off </w:t>
      </w:r>
      <w:r w:rsidR="00D5196F" w:rsidRPr="004B4B2E">
        <w:rPr>
          <w:rFonts w:ascii="Arial" w:hAnsi="Arial" w:cs="Arial"/>
          <w:sz w:val="24"/>
          <w:szCs w:val="24"/>
          <w:lang w:val="en-GB"/>
        </w:rPr>
        <w:t xml:space="preserve">for an on-PPI study </w:t>
      </w:r>
      <w:r w:rsidR="009D6F52" w:rsidRPr="004B4B2E">
        <w:rPr>
          <w:rFonts w:ascii="Arial" w:hAnsi="Arial" w:cs="Arial"/>
          <w:sz w:val="24"/>
          <w:szCs w:val="24"/>
          <w:lang w:val="en-GB"/>
        </w:rPr>
        <w:t xml:space="preserve">of 1.3% for </w:t>
      </w:r>
      <w:r w:rsidR="00B34B2F" w:rsidRPr="004B4B2E">
        <w:rPr>
          <w:rFonts w:ascii="Arial" w:hAnsi="Arial" w:cs="Arial"/>
          <w:sz w:val="24"/>
          <w:szCs w:val="24"/>
          <w:lang w:val="en-GB"/>
        </w:rPr>
        <w:t>total</w:t>
      </w:r>
      <w:r w:rsidR="007E0A77">
        <w:rPr>
          <w:rFonts w:ascii="Arial" w:hAnsi="Arial" w:cs="Arial"/>
          <w:sz w:val="24"/>
          <w:szCs w:val="24"/>
          <w:lang w:val="en-GB"/>
        </w:rPr>
        <w:t xml:space="preserve"> </w:t>
      </w:r>
      <w:r w:rsidR="000B14CA" w:rsidRPr="004B4B2E">
        <w:rPr>
          <w:rFonts w:ascii="Arial" w:hAnsi="Arial" w:cs="Arial"/>
          <w:sz w:val="24"/>
          <w:szCs w:val="24"/>
          <w:lang w:val="en-GB"/>
        </w:rPr>
        <w:t xml:space="preserve">24-hour pathological acid exposure time (AET) in the esophagus </w:t>
      </w:r>
      <w:r w:rsidR="000B14CA">
        <w:rPr>
          <w:rFonts w:ascii="Arial" w:hAnsi="Arial" w:cs="Arial"/>
          <w:sz w:val="24"/>
          <w:szCs w:val="24"/>
          <w:lang w:val="en-GB"/>
        </w:rPr>
        <w:t xml:space="preserve">(upright and supine), </w:t>
      </w:r>
      <w:r w:rsidR="000B14CA" w:rsidRPr="004B4B2E">
        <w:rPr>
          <w:rFonts w:ascii="Arial" w:hAnsi="Arial" w:cs="Arial"/>
          <w:sz w:val="24"/>
          <w:szCs w:val="24"/>
          <w:lang w:val="en-GB"/>
        </w:rPr>
        <w:t xml:space="preserve">1.5% in an </w:t>
      </w:r>
      <w:r w:rsidR="000B14CA" w:rsidRPr="004B4B2E">
        <w:rPr>
          <w:rFonts w:ascii="Arial" w:hAnsi="Arial" w:cs="Arial"/>
          <w:noProof/>
          <w:sz w:val="24"/>
          <w:szCs w:val="24"/>
          <w:lang w:val="en-GB"/>
        </w:rPr>
        <w:t>upright</w:t>
      </w:r>
      <w:r w:rsidR="000B14CA" w:rsidRPr="004B4B2E">
        <w:rPr>
          <w:rFonts w:ascii="Arial" w:hAnsi="Arial" w:cs="Arial"/>
          <w:sz w:val="24"/>
          <w:szCs w:val="24"/>
          <w:lang w:val="en-GB"/>
        </w:rPr>
        <w:t xml:space="preserve"> position and 0.5% in supine position</w:t>
      </w:r>
      <w:r w:rsidR="009D6F52" w:rsidRPr="004B4B2E">
        <w:rPr>
          <w:rFonts w:ascii="Arial" w:hAnsi="Arial" w:cs="Arial"/>
          <w:sz w:val="24"/>
          <w:szCs w:val="24"/>
          <w:lang w:val="en-GB"/>
        </w:rPr>
        <w:fldChar w:fldCharType="begin" w:fldLock="1"/>
      </w:r>
      <w:r w:rsidR="00373F6D">
        <w:rPr>
          <w:rFonts w:ascii="Arial" w:hAnsi="Arial" w:cs="Arial"/>
          <w:sz w:val="24"/>
          <w:szCs w:val="24"/>
          <w:lang w:val="en-GB"/>
        </w:rPr>
        <w:instrText>ADDIN CSL_CITATION {"citationItems":[{"id":"ITEM-1","itemData":{"ISSN":"0002-9270","PMID":"8759656","abstract":"BACKGROUND Little is known about the best regimen of omeprazole 40 mg/day for suppressing gastric acid and distal esophageal acid exposure. In addition, the relationship between the level of serum gastrin and gastric pH and this therapy is still uncertain. METHODS Nineteen healthy male volunteers (mean age 25 yr) had a baseline fasting serum gastrin and 24-h ambulatory combined distal esophageal and gastric pH monitoring. Subjects underwent a 7-day course of each of three specific regimens of omeprazole 40 mg (20 mg b.i.d., 40 mg qAM, 40 mg qPM) with repeat pH and gastrin on day 6. Meals and activity patterns were constant for each subject during the test series. Medications were taken before meals. RESULTS All dosing regimens caused significant (p &lt; 0.01) acid reduction compared with baseline in both the stomach and the distal esophagus. There was no significant difference in the amount of acid exposure (time pH &lt; 4) among the three dosing regimens in the esophagus and between qAM and qAM dosing in the stomach. However, b.i.d. dosing gave better (p &lt; 0.05) gastric acid suppression compared with single daily dosing in 15 of 19 subjects. When the baseline was compared with all regimens of omeprazole 40 mg, there was a significant difference with both the serum gastrin (p &lt; 0.01) and the percentage time gastric pH was &lt; 4 (p &lt; 0.01). The correlation between change in serum gastrin and change in percentage time gastric pH was &lt; 4 was poor (r = 0.26). CONCLUSIONS Divided dosing of omeprazole 20 mg b.i.d. provides superior gastric acid suppression to either once a day regimen of omeprazole 40 mg in most individuals. Serum gastrin levels do not correspond well to gastric pH, necessitating the use of gastric pH monitoring to accurately determine the response to gastric acid suppression.","author":[{"dropping-particle":"","family":"Kuo","given":"B","non-dropping-particle":"","parse-names":false,"suffix":""},{"dropping-particle":"","family":"Castell","given":"D O","non-dropping-particle":"","parse-names":false,"suffix":""}],"container-title":"The American journal of gastroenterology","id":"ITEM-1","issue":"8","issued":{"date-parts":[["1996","8"]]},"page":"1532-8","title":"Optimal dosing of omeprazole 40 mg daily: effects on gastric and esophageal pH and serum gastrin in healthy controls.","type":"article-journal","volume":"91"},"uris":["http://www.mendeley.com/documents/?uuid=45472e53-d673-3770-81a4-c5dd17af7244"]}],"mendeley":{"formattedCitation":"&lt;sup&gt;12&lt;/sup&gt;","plainTextFormattedCitation":"12","previouslyFormattedCitation":"&lt;sup&gt;12&lt;/sup&gt;"},"properties":{"noteIndex":0},"schema":"https://github.com/citation-style-language/schema/raw/master/csl-citation.json"}</w:instrText>
      </w:r>
      <w:r w:rsidR="009D6F52" w:rsidRPr="004B4B2E">
        <w:rPr>
          <w:rFonts w:ascii="Arial" w:hAnsi="Arial" w:cs="Arial"/>
          <w:sz w:val="24"/>
          <w:szCs w:val="24"/>
          <w:lang w:val="en-GB"/>
        </w:rPr>
        <w:fldChar w:fldCharType="separate"/>
      </w:r>
      <w:r w:rsidR="00373F6D" w:rsidRPr="00373F6D">
        <w:rPr>
          <w:rFonts w:ascii="Arial" w:hAnsi="Arial" w:cs="Arial"/>
          <w:noProof/>
          <w:sz w:val="24"/>
          <w:szCs w:val="24"/>
          <w:vertAlign w:val="superscript"/>
          <w:lang w:val="en-GB"/>
        </w:rPr>
        <w:t>12</w:t>
      </w:r>
      <w:r w:rsidR="009D6F52" w:rsidRPr="004B4B2E">
        <w:rPr>
          <w:rFonts w:ascii="Arial" w:hAnsi="Arial" w:cs="Arial"/>
          <w:sz w:val="24"/>
          <w:szCs w:val="24"/>
          <w:lang w:val="en-GB"/>
        </w:rPr>
        <w:fldChar w:fldCharType="end"/>
      </w:r>
      <w:r w:rsidR="009D6F52" w:rsidRPr="004B4B2E">
        <w:rPr>
          <w:rFonts w:ascii="Arial" w:hAnsi="Arial" w:cs="Arial"/>
          <w:sz w:val="24"/>
          <w:szCs w:val="24"/>
          <w:lang w:val="en-GB"/>
        </w:rPr>
        <w:t xml:space="preserve">. </w:t>
      </w:r>
    </w:p>
    <w:p w14:paraId="3D4DE1B3" w14:textId="1F625C77" w:rsidR="00C100A3" w:rsidRPr="00745AEB" w:rsidRDefault="00216370" w:rsidP="001B3D49">
      <w:pPr>
        <w:spacing w:line="480" w:lineRule="auto"/>
        <w:jc w:val="both"/>
        <w:rPr>
          <w:rFonts w:ascii="Arial" w:hAnsi="Arial" w:cs="Arial"/>
          <w:b/>
          <w:sz w:val="24"/>
          <w:szCs w:val="24"/>
          <w:lang w:val="en-GB"/>
        </w:rPr>
      </w:pPr>
      <w:r w:rsidRPr="00745AEB">
        <w:rPr>
          <w:rFonts w:ascii="Arial" w:hAnsi="Arial" w:cs="Arial"/>
          <w:b/>
          <w:sz w:val="24"/>
          <w:szCs w:val="24"/>
          <w:lang w:val="en-GB"/>
        </w:rPr>
        <w:t xml:space="preserve">2.7 </w:t>
      </w:r>
      <w:r w:rsidR="00C100A3" w:rsidRPr="00745AEB">
        <w:rPr>
          <w:rFonts w:ascii="Arial" w:hAnsi="Arial" w:cs="Arial"/>
          <w:b/>
          <w:sz w:val="24"/>
          <w:szCs w:val="24"/>
          <w:lang w:val="en-GB"/>
        </w:rPr>
        <w:t>Statistics</w:t>
      </w:r>
    </w:p>
    <w:p w14:paraId="64AF9850" w14:textId="6FC8EE91" w:rsidR="001C4672" w:rsidRPr="004B4B2E" w:rsidRDefault="00993D56">
      <w:pPr>
        <w:spacing w:line="480" w:lineRule="auto"/>
        <w:jc w:val="both"/>
        <w:rPr>
          <w:rFonts w:ascii="Arial" w:hAnsi="Arial" w:cs="Arial"/>
          <w:sz w:val="24"/>
          <w:szCs w:val="24"/>
          <w:lang w:val="en-GB"/>
        </w:rPr>
      </w:pPr>
      <w:r w:rsidRPr="004B4B2E">
        <w:rPr>
          <w:rFonts w:ascii="Arial" w:hAnsi="Arial" w:cs="Arial"/>
          <w:sz w:val="24"/>
          <w:szCs w:val="24"/>
          <w:lang w:val="en-GB"/>
        </w:rPr>
        <w:t xml:space="preserve">Quantitative variables were described as </w:t>
      </w:r>
      <w:r w:rsidR="00043C44" w:rsidRPr="004B4B2E">
        <w:rPr>
          <w:rFonts w:ascii="Arial" w:hAnsi="Arial" w:cs="Arial"/>
          <w:sz w:val="24"/>
          <w:szCs w:val="24"/>
          <w:lang w:val="en-GB"/>
        </w:rPr>
        <w:t xml:space="preserve">means and </w:t>
      </w:r>
      <w:r w:rsidR="001C4672" w:rsidRPr="004B4B2E">
        <w:rPr>
          <w:rFonts w:ascii="Arial" w:hAnsi="Arial" w:cs="Arial"/>
          <w:sz w:val="24"/>
          <w:szCs w:val="24"/>
          <w:lang w:val="en-GB"/>
        </w:rPr>
        <w:t xml:space="preserve">medians and </w:t>
      </w:r>
      <w:r w:rsidR="00043C44" w:rsidRPr="004B4B2E">
        <w:rPr>
          <w:rFonts w:ascii="Arial" w:hAnsi="Arial" w:cs="Arial"/>
          <w:sz w:val="24"/>
          <w:szCs w:val="24"/>
          <w:lang w:val="en-GB"/>
        </w:rPr>
        <w:t xml:space="preserve">standard deviations (SD) and </w:t>
      </w:r>
      <w:r w:rsidR="001C4672" w:rsidRPr="004B4B2E">
        <w:rPr>
          <w:rFonts w:ascii="Arial" w:hAnsi="Arial" w:cs="Arial"/>
          <w:sz w:val="24"/>
          <w:szCs w:val="24"/>
          <w:lang w:val="en-GB"/>
        </w:rPr>
        <w:t>interquartile ranges (IQRs)</w:t>
      </w:r>
      <w:r w:rsidR="00043C44" w:rsidRPr="004B4B2E">
        <w:rPr>
          <w:rFonts w:ascii="Arial" w:hAnsi="Arial" w:cs="Arial"/>
          <w:sz w:val="24"/>
          <w:szCs w:val="24"/>
          <w:lang w:val="en-GB"/>
        </w:rPr>
        <w:t>, where appropriate</w:t>
      </w:r>
      <w:r w:rsidR="001C4672" w:rsidRPr="004B4B2E">
        <w:rPr>
          <w:rFonts w:ascii="Arial" w:hAnsi="Arial" w:cs="Arial"/>
          <w:sz w:val="24"/>
          <w:szCs w:val="24"/>
          <w:lang w:val="en-GB"/>
        </w:rPr>
        <w:t xml:space="preserve">. </w:t>
      </w:r>
      <w:r w:rsidRPr="004B4B2E">
        <w:rPr>
          <w:rFonts w:ascii="Arial" w:hAnsi="Arial" w:cs="Arial"/>
          <w:sz w:val="24"/>
          <w:szCs w:val="24"/>
          <w:lang w:val="en-GB"/>
        </w:rPr>
        <w:t xml:space="preserve">Categorical variables were </w:t>
      </w:r>
      <w:r w:rsidRPr="004B4B2E">
        <w:rPr>
          <w:rFonts w:ascii="Arial" w:hAnsi="Arial" w:cs="Arial"/>
          <w:sz w:val="24"/>
          <w:szCs w:val="24"/>
          <w:lang w:val="en-GB"/>
        </w:rPr>
        <w:lastRenderedPageBreak/>
        <w:t xml:space="preserve">presented as counts and percentages of the cohort. </w:t>
      </w:r>
      <w:r w:rsidR="001C4672" w:rsidRPr="004B4B2E">
        <w:rPr>
          <w:rFonts w:ascii="Arial" w:hAnsi="Arial" w:cs="Arial"/>
          <w:sz w:val="24"/>
          <w:szCs w:val="24"/>
          <w:lang w:val="en-GB"/>
        </w:rPr>
        <w:t xml:space="preserve">The two-sample </w:t>
      </w:r>
      <w:proofErr w:type="spellStart"/>
      <w:r w:rsidR="00D02483" w:rsidRPr="004B4B2E">
        <w:rPr>
          <w:rFonts w:ascii="Arial" w:hAnsi="Arial" w:cs="Arial"/>
          <w:sz w:val="24"/>
          <w:szCs w:val="24"/>
          <w:lang w:val="en-GB"/>
        </w:rPr>
        <w:t>Welsch</w:t>
      </w:r>
      <w:proofErr w:type="spellEnd"/>
      <w:r w:rsidR="00D02483" w:rsidRPr="004B4B2E">
        <w:rPr>
          <w:rFonts w:ascii="Arial" w:hAnsi="Arial" w:cs="Arial"/>
          <w:sz w:val="24"/>
          <w:szCs w:val="24"/>
          <w:lang w:val="en-GB"/>
        </w:rPr>
        <w:t xml:space="preserve"> </w:t>
      </w:r>
      <w:r w:rsidR="001C4672" w:rsidRPr="004B4B2E">
        <w:rPr>
          <w:rFonts w:ascii="Arial" w:hAnsi="Arial" w:cs="Arial"/>
          <w:sz w:val="24"/>
          <w:szCs w:val="24"/>
          <w:lang w:val="en-GB"/>
        </w:rPr>
        <w:t xml:space="preserve">t-test </w:t>
      </w:r>
      <w:r w:rsidR="00F021CC">
        <w:rPr>
          <w:rFonts w:ascii="Arial" w:hAnsi="Arial" w:cs="Arial"/>
          <w:sz w:val="24"/>
          <w:szCs w:val="24"/>
          <w:lang w:val="en-GB"/>
        </w:rPr>
        <w:t xml:space="preserve">and </w:t>
      </w:r>
      <w:r w:rsidR="00F021CC" w:rsidRPr="00F021CC">
        <w:rPr>
          <w:rFonts w:ascii="Arial" w:hAnsi="Arial" w:cs="Arial"/>
          <w:sz w:val="24"/>
          <w:szCs w:val="24"/>
          <w:lang w:val="en-GB"/>
        </w:rPr>
        <w:t>Wilcoxon rank sum test</w:t>
      </w:r>
      <w:r w:rsidR="00F021CC">
        <w:rPr>
          <w:rFonts w:ascii="Arial" w:hAnsi="Arial" w:cs="Arial"/>
          <w:sz w:val="24"/>
          <w:szCs w:val="24"/>
          <w:lang w:val="en-GB"/>
        </w:rPr>
        <w:t xml:space="preserve"> </w:t>
      </w:r>
      <w:r w:rsidR="001C4672" w:rsidRPr="004B4B2E">
        <w:rPr>
          <w:rFonts w:ascii="Arial" w:hAnsi="Arial" w:cs="Arial"/>
          <w:sz w:val="24"/>
          <w:szCs w:val="24"/>
          <w:lang w:val="en-GB"/>
        </w:rPr>
        <w:t xml:space="preserve">was used to compare continuous variables and </w:t>
      </w:r>
      <w:r w:rsidR="00254458" w:rsidRPr="004B4B2E">
        <w:rPr>
          <w:rFonts w:ascii="Arial" w:hAnsi="Arial" w:cs="Arial"/>
          <w:sz w:val="24"/>
          <w:szCs w:val="24"/>
          <w:lang w:val="en-GB"/>
        </w:rPr>
        <w:t xml:space="preserve">the </w:t>
      </w:r>
      <w:r w:rsidR="001C4672" w:rsidRPr="004B4B2E">
        <w:rPr>
          <w:rFonts w:ascii="Arial" w:hAnsi="Arial" w:cs="Arial"/>
          <w:noProof/>
          <w:sz w:val="24"/>
          <w:szCs w:val="24"/>
          <w:lang w:val="en-GB"/>
        </w:rPr>
        <w:t>chi-square</w:t>
      </w:r>
      <w:r w:rsidR="001C4672" w:rsidRPr="004B4B2E">
        <w:rPr>
          <w:rFonts w:ascii="Arial" w:hAnsi="Arial" w:cs="Arial"/>
          <w:sz w:val="24"/>
          <w:szCs w:val="24"/>
          <w:lang w:val="en-GB"/>
        </w:rPr>
        <w:t xml:space="preserve"> test was used to compare categorical data</w:t>
      </w:r>
      <w:r w:rsidR="00F021CC">
        <w:rPr>
          <w:rFonts w:ascii="Arial" w:hAnsi="Arial" w:cs="Arial"/>
          <w:sz w:val="24"/>
          <w:szCs w:val="24"/>
          <w:lang w:val="en-GB"/>
        </w:rPr>
        <w:t>, where appropriate</w:t>
      </w:r>
      <w:r w:rsidR="001C4672" w:rsidRPr="004B4B2E">
        <w:rPr>
          <w:rFonts w:ascii="Arial" w:hAnsi="Arial" w:cs="Arial"/>
          <w:sz w:val="24"/>
          <w:szCs w:val="24"/>
          <w:lang w:val="en-GB"/>
        </w:rPr>
        <w:t xml:space="preserve">. </w:t>
      </w:r>
      <w:r w:rsidR="00A90611">
        <w:rPr>
          <w:rFonts w:ascii="Arial" w:hAnsi="Arial" w:cs="Arial"/>
          <w:sz w:val="24"/>
          <w:szCs w:val="24"/>
          <w:lang w:val="en-GB"/>
        </w:rPr>
        <w:t>The correlation between single point gastric pH and 24</w:t>
      </w:r>
      <w:r w:rsidR="0040295C">
        <w:rPr>
          <w:rFonts w:ascii="Arial" w:hAnsi="Arial" w:cs="Arial"/>
          <w:sz w:val="24"/>
          <w:szCs w:val="24"/>
          <w:lang w:val="en-GB"/>
        </w:rPr>
        <w:t>-</w:t>
      </w:r>
      <w:r w:rsidR="00A90611">
        <w:rPr>
          <w:rFonts w:ascii="Arial" w:hAnsi="Arial" w:cs="Arial"/>
          <w:sz w:val="24"/>
          <w:szCs w:val="24"/>
          <w:lang w:val="en-GB"/>
        </w:rPr>
        <w:t>hour gastric AET was assessed using a Spearman method. M</w:t>
      </w:r>
      <w:r w:rsidR="001C2051" w:rsidRPr="004B4B2E">
        <w:rPr>
          <w:rFonts w:ascii="Arial" w:hAnsi="Arial" w:cs="Arial"/>
          <w:sz w:val="24"/>
          <w:szCs w:val="24"/>
          <w:lang w:val="en-GB"/>
        </w:rPr>
        <w:t>ultiple l</w:t>
      </w:r>
      <w:r w:rsidR="000E07A2" w:rsidRPr="004B4B2E">
        <w:rPr>
          <w:rFonts w:ascii="Arial" w:hAnsi="Arial" w:cs="Arial"/>
          <w:sz w:val="24"/>
          <w:szCs w:val="24"/>
          <w:lang w:val="en-GB"/>
        </w:rPr>
        <w:t xml:space="preserve">inear regression models </w:t>
      </w:r>
      <w:r w:rsidR="00043C44" w:rsidRPr="004B4B2E">
        <w:rPr>
          <w:rFonts w:ascii="Arial" w:hAnsi="Arial" w:cs="Arial"/>
          <w:sz w:val="24"/>
          <w:szCs w:val="24"/>
          <w:lang w:val="en-GB"/>
        </w:rPr>
        <w:t xml:space="preserve">adjusted for clinical factors including age, gender, BMI, PPI classifier, the </w:t>
      </w:r>
      <w:r w:rsidR="00043C44" w:rsidRPr="004B4B2E">
        <w:rPr>
          <w:rFonts w:ascii="Arial" w:hAnsi="Arial" w:cs="Arial"/>
          <w:noProof/>
          <w:sz w:val="24"/>
          <w:szCs w:val="24"/>
          <w:lang w:val="en-GB"/>
        </w:rPr>
        <w:t>presence</w:t>
      </w:r>
      <w:r w:rsidR="00043C44" w:rsidRPr="004B4B2E">
        <w:rPr>
          <w:rFonts w:ascii="Arial" w:hAnsi="Arial" w:cs="Arial"/>
          <w:sz w:val="24"/>
          <w:szCs w:val="24"/>
          <w:lang w:val="en-GB"/>
        </w:rPr>
        <w:t xml:space="preserve"> of BE and hiatus hernia </w:t>
      </w:r>
      <w:r w:rsidR="000E07A2" w:rsidRPr="004B4B2E">
        <w:rPr>
          <w:rFonts w:ascii="Arial" w:hAnsi="Arial" w:cs="Arial"/>
          <w:sz w:val="24"/>
          <w:szCs w:val="24"/>
          <w:lang w:val="en-GB"/>
        </w:rPr>
        <w:t xml:space="preserve">were used to </w:t>
      </w:r>
      <w:proofErr w:type="spellStart"/>
      <w:r w:rsidR="000E07A2" w:rsidRPr="004B4B2E">
        <w:rPr>
          <w:rFonts w:ascii="Arial" w:hAnsi="Arial" w:cs="Arial"/>
          <w:sz w:val="24"/>
          <w:szCs w:val="24"/>
          <w:lang w:val="en-GB"/>
        </w:rPr>
        <w:t>analyze</w:t>
      </w:r>
      <w:proofErr w:type="spellEnd"/>
      <w:r w:rsidR="000E07A2" w:rsidRPr="004B4B2E">
        <w:rPr>
          <w:rFonts w:ascii="Arial" w:hAnsi="Arial" w:cs="Arial"/>
          <w:sz w:val="24"/>
          <w:szCs w:val="24"/>
          <w:lang w:val="en-GB"/>
        </w:rPr>
        <w:t xml:space="preserve"> the </w:t>
      </w:r>
      <w:r w:rsidR="009B4A98">
        <w:rPr>
          <w:rFonts w:ascii="Arial" w:hAnsi="Arial" w:cs="Arial"/>
          <w:sz w:val="24"/>
          <w:szCs w:val="24"/>
          <w:lang w:val="en-GB"/>
        </w:rPr>
        <w:t>association</w:t>
      </w:r>
      <w:r w:rsidR="009B4A98" w:rsidRPr="004B4B2E">
        <w:rPr>
          <w:rFonts w:ascii="Arial" w:hAnsi="Arial" w:cs="Arial"/>
          <w:sz w:val="24"/>
          <w:szCs w:val="24"/>
          <w:lang w:val="en-GB"/>
        </w:rPr>
        <w:t xml:space="preserve"> </w:t>
      </w:r>
      <w:r w:rsidR="000E07A2" w:rsidRPr="004B4B2E">
        <w:rPr>
          <w:rFonts w:ascii="Arial" w:hAnsi="Arial" w:cs="Arial"/>
          <w:sz w:val="24"/>
          <w:szCs w:val="24"/>
          <w:lang w:val="en-GB"/>
        </w:rPr>
        <w:t xml:space="preserve">between single-point </w:t>
      </w:r>
      <w:r w:rsidR="00A030EB">
        <w:rPr>
          <w:rFonts w:ascii="Arial" w:hAnsi="Arial" w:cs="Arial"/>
          <w:sz w:val="24"/>
          <w:szCs w:val="24"/>
          <w:lang w:val="en-GB"/>
        </w:rPr>
        <w:t>gastric pH</w:t>
      </w:r>
      <w:r w:rsidR="000E07A2" w:rsidRPr="004B4B2E">
        <w:rPr>
          <w:rFonts w:ascii="Arial" w:hAnsi="Arial" w:cs="Arial"/>
          <w:sz w:val="24"/>
          <w:szCs w:val="24"/>
          <w:lang w:val="en-GB"/>
        </w:rPr>
        <w:t xml:space="preserve"> and the </w:t>
      </w:r>
      <w:r w:rsidR="00974B4C" w:rsidRPr="00745AEB">
        <w:rPr>
          <w:rFonts w:ascii="Arial" w:hAnsi="Arial" w:cs="Arial"/>
          <w:sz w:val="24"/>
          <w:szCs w:val="24"/>
          <w:lang w:val="en-GB"/>
        </w:rPr>
        <w:t xml:space="preserve">24-hour </w:t>
      </w:r>
      <w:r w:rsidR="007E0A77">
        <w:rPr>
          <w:rFonts w:ascii="Arial" w:hAnsi="Arial" w:cs="Arial"/>
          <w:sz w:val="24"/>
          <w:szCs w:val="24"/>
          <w:lang w:val="en-GB"/>
        </w:rPr>
        <w:t>esophageal AETs</w:t>
      </w:r>
      <w:r w:rsidR="000E07A2" w:rsidRPr="00745AEB">
        <w:rPr>
          <w:rFonts w:ascii="Arial" w:hAnsi="Arial" w:cs="Arial"/>
          <w:sz w:val="24"/>
          <w:szCs w:val="24"/>
          <w:lang w:val="en-GB"/>
        </w:rPr>
        <w:t xml:space="preserve">. </w:t>
      </w:r>
      <w:r w:rsidR="00FF2699" w:rsidRPr="004B4B2E">
        <w:rPr>
          <w:rFonts w:ascii="Arial" w:hAnsi="Arial" w:cs="Arial"/>
          <w:sz w:val="24"/>
          <w:szCs w:val="24"/>
          <w:lang w:val="en-GB"/>
        </w:rPr>
        <w:t>T</w:t>
      </w:r>
      <w:r w:rsidR="00FC32E1" w:rsidRPr="004B4B2E">
        <w:rPr>
          <w:rFonts w:ascii="Arial" w:hAnsi="Arial" w:cs="Arial"/>
          <w:sz w:val="24"/>
          <w:szCs w:val="24"/>
          <w:lang w:val="en-GB"/>
        </w:rPr>
        <w:t xml:space="preserve">he Receiver Operating Characteristic (ROC) curve </w:t>
      </w:r>
      <w:r w:rsidR="000E07A2" w:rsidRPr="004B4B2E">
        <w:rPr>
          <w:rFonts w:ascii="Arial" w:hAnsi="Arial" w:cs="Arial"/>
          <w:sz w:val="24"/>
          <w:szCs w:val="24"/>
          <w:lang w:val="en-GB"/>
        </w:rPr>
        <w:t xml:space="preserve">and Fagan nomograms were used to present </w:t>
      </w:r>
      <w:r w:rsidR="00FF2699" w:rsidRPr="004B4B2E">
        <w:rPr>
          <w:rFonts w:ascii="Arial" w:hAnsi="Arial" w:cs="Arial"/>
          <w:sz w:val="24"/>
          <w:szCs w:val="24"/>
          <w:lang w:val="en-GB"/>
        </w:rPr>
        <w:t>the</w:t>
      </w:r>
      <w:r w:rsidR="000E07A2" w:rsidRPr="004B4B2E">
        <w:rPr>
          <w:rFonts w:ascii="Arial" w:hAnsi="Arial" w:cs="Arial"/>
          <w:sz w:val="24"/>
          <w:szCs w:val="24"/>
          <w:lang w:val="en-GB"/>
        </w:rPr>
        <w:t xml:space="preserve"> accuracy </w:t>
      </w:r>
      <w:r w:rsidR="00043C44" w:rsidRPr="004B4B2E">
        <w:rPr>
          <w:rFonts w:ascii="Arial" w:hAnsi="Arial" w:cs="Arial"/>
          <w:sz w:val="24"/>
          <w:szCs w:val="24"/>
          <w:lang w:val="en-GB"/>
        </w:rPr>
        <w:t xml:space="preserve">of </w:t>
      </w:r>
      <w:proofErr w:type="spellStart"/>
      <w:r w:rsidR="00043C44" w:rsidRPr="004B4B2E">
        <w:rPr>
          <w:rFonts w:ascii="Arial" w:hAnsi="Arial" w:cs="Arial"/>
          <w:sz w:val="24"/>
          <w:szCs w:val="24"/>
          <w:lang w:val="en-GB"/>
        </w:rPr>
        <w:t>EndoFaster</w:t>
      </w:r>
      <w:proofErr w:type="spellEnd"/>
      <w:r w:rsidR="00043C44" w:rsidRPr="004B4B2E">
        <w:rPr>
          <w:rFonts w:ascii="Arial" w:hAnsi="Arial" w:cs="Arial"/>
          <w:sz w:val="24"/>
          <w:szCs w:val="24"/>
          <w:lang w:val="en-GB"/>
        </w:rPr>
        <w:t xml:space="preserve"> </w:t>
      </w:r>
      <w:r w:rsidR="00A030EB">
        <w:rPr>
          <w:rFonts w:ascii="Arial" w:hAnsi="Arial" w:cs="Arial"/>
          <w:sz w:val="24"/>
          <w:szCs w:val="24"/>
          <w:lang w:val="en-GB"/>
        </w:rPr>
        <w:t>gastric pH</w:t>
      </w:r>
      <w:r w:rsidR="00043C44" w:rsidRPr="004B4B2E">
        <w:rPr>
          <w:rFonts w:ascii="Arial" w:hAnsi="Arial" w:cs="Arial"/>
          <w:sz w:val="24"/>
          <w:szCs w:val="24"/>
          <w:lang w:val="en-GB"/>
        </w:rPr>
        <w:t xml:space="preserve"> measure in predicting persistent acid reflux on PPIs</w:t>
      </w:r>
      <w:r w:rsidR="000E07A2" w:rsidRPr="004B4B2E">
        <w:rPr>
          <w:rFonts w:ascii="Arial" w:hAnsi="Arial" w:cs="Arial"/>
          <w:sz w:val="24"/>
          <w:szCs w:val="24"/>
          <w:lang w:val="en-GB"/>
        </w:rPr>
        <w:t xml:space="preserve">. </w:t>
      </w:r>
      <w:r w:rsidR="001C4672" w:rsidRPr="004B4B2E">
        <w:rPr>
          <w:rFonts w:ascii="Arial" w:hAnsi="Arial" w:cs="Arial"/>
          <w:sz w:val="24"/>
          <w:szCs w:val="24"/>
          <w:lang w:val="en-GB"/>
        </w:rPr>
        <w:t xml:space="preserve">For all analyses, </w:t>
      </w:r>
      <w:r w:rsidR="00254458" w:rsidRPr="004B4B2E">
        <w:rPr>
          <w:rFonts w:ascii="Arial" w:hAnsi="Arial" w:cs="Arial"/>
          <w:sz w:val="24"/>
          <w:szCs w:val="24"/>
          <w:lang w:val="en-GB"/>
        </w:rPr>
        <w:t xml:space="preserve">a </w:t>
      </w:r>
      <w:r w:rsidR="001C4672" w:rsidRPr="004B4B2E">
        <w:rPr>
          <w:rFonts w:ascii="Arial" w:hAnsi="Arial" w:cs="Arial"/>
          <w:i/>
          <w:noProof/>
          <w:sz w:val="24"/>
          <w:szCs w:val="24"/>
          <w:lang w:val="en-GB"/>
        </w:rPr>
        <w:t>P</w:t>
      </w:r>
      <w:r w:rsidR="001C4672" w:rsidRPr="004B4B2E">
        <w:rPr>
          <w:rFonts w:ascii="Arial" w:hAnsi="Arial" w:cs="Arial"/>
          <w:i/>
          <w:sz w:val="24"/>
          <w:szCs w:val="24"/>
          <w:lang w:val="en-GB"/>
        </w:rPr>
        <w:t xml:space="preserve"> </w:t>
      </w:r>
      <w:r w:rsidR="001C4672" w:rsidRPr="004B4B2E">
        <w:rPr>
          <w:rFonts w:ascii="Arial" w:hAnsi="Arial" w:cs="Arial"/>
          <w:sz w:val="24"/>
          <w:szCs w:val="24"/>
          <w:lang w:val="en-GB"/>
        </w:rPr>
        <w:t xml:space="preserve">value of less than 0.05 was considered statistically significant. All analyses were performed using R Statistics version 3.4.3 (R Foundation for Statistical Computing, Vienna, Austria). </w:t>
      </w:r>
      <w:r w:rsidR="001D79EE">
        <w:rPr>
          <w:rFonts w:ascii="Arial" w:hAnsi="Arial" w:cs="Arial"/>
          <w:sz w:val="24"/>
          <w:szCs w:val="24"/>
          <w:lang w:val="en-GB"/>
        </w:rPr>
        <w:t>As t</w:t>
      </w:r>
      <w:r w:rsidR="00D06845" w:rsidRPr="004B4B2E">
        <w:rPr>
          <w:rFonts w:ascii="Arial" w:hAnsi="Arial" w:cs="Arial"/>
          <w:sz w:val="24"/>
          <w:szCs w:val="24"/>
          <w:lang w:val="en-GB"/>
        </w:rPr>
        <w:t xml:space="preserve">his was a feasibility </w:t>
      </w:r>
      <w:r w:rsidR="001D79EE" w:rsidRPr="004B4B2E">
        <w:rPr>
          <w:rFonts w:ascii="Arial" w:hAnsi="Arial" w:cs="Arial"/>
          <w:sz w:val="24"/>
          <w:szCs w:val="24"/>
          <w:lang w:val="en-GB"/>
        </w:rPr>
        <w:t>study</w:t>
      </w:r>
      <w:r w:rsidR="001D79EE">
        <w:rPr>
          <w:rFonts w:ascii="Arial" w:hAnsi="Arial" w:cs="Arial"/>
          <w:sz w:val="24"/>
          <w:szCs w:val="24"/>
          <w:lang w:val="en-GB"/>
        </w:rPr>
        <w:t>,</w:t>
      </w:r>
      <w:r w:rsidR="0054333F" w:rsidRPr="004B4B2E">
        <w:rPr>
          <w:rFonts w:ascii="Arial" w:hAnsi="Arial" w:cs="Arial"/>
          <w:sz w:val="24"/>
          <w:szCs w:val="24"/>
          <w:lang w:val="en-GB"/>
        </w:rPr>
        <w:t xml:space="preserve"> </w:t>
      </w:r>
      <w:r w:rsidR="00D06845" w:rsidRPr="004B4B2E">
        <w:rPr>
          <w:rFonts w:ascii="Arial" w:hAnsi="Arial" w:cs="Arial"/>
          <w:sz w:val="24"/>
          <w:szCs w:val="24"/>
          <w:lang w:val="en-GB"/>
        </w:rPr>
        <w:t xml:space="preserve">a formal power calculation was not possible. </w:t>
      </w:r>
    </w:p>
    <w:p w14:paraId="3580D4B8" w14:textId="77777777" w:rsidR="00216370" w:rsidRPr="004B4B2E" w:rsidRDefault="006D2F4F" w:rsidP="001B3D49">
      <w:pPr>
        <w:pStyle w:val="ListParagraph"/>
        <w:numPr>
          <w:ilvl w:val="0"/>
          <w:numId w:val="3"/>
        </w:numPr>
        <w:spacing w:line="480" w:lineRule="auto"/>
        <w:jc w:val="both"/>
        <w:rPr>
          <w:rFonts w:ascii="Arial" w:hAnsi="Arial" w:cs="Arial"/>
          <w:b/>
          <w:sz w:val="24"/>
          <w:szCs w:val="24"/>
          <w:lang w:val="en-GB"/>
        </w:rPr>
      </w:pPr>
      <w:r w:rsidRPr="004B4B2E">
        <w:rPr>
          <w:rFonts w:ascii="Arial" w:hAnsi="Arial" w:cs="Arial"/>
          <w:b/>
          <w:sz w:val="24"/>
          <w:szCs w:val="24"/>
          <w:lang w:val="en-GB"/>
        </w:rPr>
        <w:t>Results</w:t>
      </w:r>
    </w:p>
    <w:p w14:paraId="4E74E657" w14:textId="0A2EB84F" w:rsidR="00544CB6" w:rsidRPr="004B4B2E" w:rsidRDefault="00216370" w:rsidP="001B3D49">
      <w:pPr>
        <w:pStyle w:val="ListParagraph"/>
        <w:numPr>
          <w:ilvl w:val="1"/>
          <w:numId w:val="3"/>
        </w:numPr>
        <w:spacing w:line="480" w:lineRule="auto"/>
        <w:jc w:val="both"/>
        <w:rPr>
          <w:rFonts w:ascii="Arial" w:hAnsi="Arial" w:cs="Arial"/>
          <w:b/>
          <w:sz w:val="24"/>
          <w:szCs w:val="24"/>
          <w:lang w:val="en-GB"/>
        </w:rPr>
      </w:pPr>
      <w:r w:rsidRPr="004B4B2E">
        <w:rPr>
          <w:rFonts w:ascii="Arial" w:hAnsi="Arial" w:cs="Arial"/>
          <w:b/>
          <w:sz w:val="24"/>
          <w:szCs w:val="24"/>
          <w:lang w:val="en-GB"/>
        </w:rPr>
        <w:t xml:space="preserve"> Patients’</w:t>
      </w:r>
      <w:r w:rsidR="00544CB6" w:rsidRPr="004B4B2E">
        <w:rPr>
          <w:rFonts w:ascii="Arial" w:hAnsi="Arial" w:cs="Arial"/>
          <w:b/>
          <w:sz w:val="24"/>
          <w:szCs w:val="24"/>
          <w:lang w:val="en-GB"/>
        </w:rPr>
        <w:t xml:space="preserve"> characteristics</w:t>
      </w:r>
    </w:p>
    <w:p w14:paraId="7FBB77A2" w14:textId="431A0DBE" w:rsidR="00254B1A" w:rsidRPr="004B4B2E" w:rsidRDefault="00254B1A">
      <w:pPr>
        <w:spacing w:line="480" w:lineRule="auto"/>
        <w:jc w:val="both"/>
        <w:rPr>
          <w:rFonts w:ascii="Arial" w:hAnsi="Arial" w:cs="Arial"/>
          <w:sz w:val="24"/>
          <w:szCs w:val="24"/>
          <w:lang w:val="en-GB"/>
        </w:rPr>
      </w:pPr>
      <w:r w:rsidRPr="004B4B2E">
        <w:rPr>
          <w:rFonts w:ascii="Arial" w:hAnsi="Arial" w:cs="Arial"/>
          <w:sz w:val="24"/>
          <w:szCs w:val="24"/>
          <w:lang w:val="en-GB"/>
        </w:rPr>
        <w:t>Of the 122 recru</w:t>
      </w:r>
      <w:r w:rsidR="00C87C52" w:rsidRPr="004B4B2E">
        <w:rPr>
          <w:rFonts w:ascii="Arial" w:hAnsi="Arial" w:cs="Arial"/>
          <w:sz w:val="24"/>
          <w:szCs w:val="24"/>
          <w:lang w:val="en-GB"/>
        </w:rPr>
        <w:t>ited patients, 3</w:t>
      </w:r>
      <w:r w:rsidR="007E0A77">
        <w:rPr>
          <w:rFonts w:ascii="Arial" w:hAnsi="Arial" w:cs="Arial"/>
          <w:sz w:val="24"/>
          <w:szCs w:val="24"/>
          <w:lang w:val="en-GB"/>
        </w:rPr>
        <w:t>0</w:t>
      </w:r>
      <w:r w:rsidR="00C87C52" w:rsidRPr="004B4B2E">
        <w:rPr>
          <w:rFonts w:ascii="Arial" w:hAnsi="Arial" w:cs="Arial"/>
          <w:sz w:val="24"/>
          <w:szCs w:val="24"/>
          <w:lang w:val="en-GB"/>
        </w:rPr>
        <w:t xml:space="preserve"> were excluded due to: no compliance</w:t>
      </w:r>
      <w:r w:rsidRPr="004B4B2E">
        <w:rPr>
          <w:rFonts w:ascii="Arial" w:hAnsi="Arial" w:cs="Arial"/>
          <w:sz w:val="24"/>
          <w:szCs w:val="24"/>
          <w:lang w:val="en-GB"/>
        </w:rPr>
        <w:t xml:space="preserve"> with the PPI </w:t>
      </w:r>
      <w:r w:rsidR="00844B7A" w:rsidRPr="004B4B2E">
        <w:rPr>
          <w:rFonts w:ascii="Arial" w:hAnsi="Arial" w:cs="Arial"/>
          <w:sz w:val="24"/>
          <w:szCs w:val="24"/>
          <w:lang w:val="en-GB"/>
        </w:rPr>
        <w:t xml:space="preserve">schedule </w:t>
      </w:r>
      <w:r w:rsidRPr="004B4B2E">
        <w:rPr>
          <w:rFonts w:ascii="Arial" w:hAnsi="Arial" w:cs="Arial"/>
          <w:sz w:val="24"/>
          <w:szCs w:val="24"/>
          <w:lang w:val="en-GB"/>
        </w:rPr>
        <w:t>(</w:t>
      </w:r>
      <w:r w:rsidR="00C87C52" w:rsidRPr="004B4B2E">
        <w:rPr>
          <w:rFonts w:ascii="Arial" w:hAnsi="Arial" w:cs="Arial"/>
          <w:sz w:val="24"/>
          <w:szCs w:val="24"/>
          <w:lang w:val="en-GB"/>
        </w:rPr>
        <w:t>n=</w:t>
      </w:r>
      <w:r w:rsidR="007E0A77">
        <w:rPr>
          <w:rFonts w:ascii="Arial" w:hAnsi="Arial" w:cs="Arial"/>
          <w:sz w:val="24"/>
          <w:szCs w:val="24"/>
          <w:lang w:val="en-GB"/>
        </w:rPr>
        <w:t>7</w:t>
      </w:r>
      <w:r w:rsidRPr="004B4B2E">
        <w:rPr>
          <w:rFonts w:ascii="Arial" w:hAnsi="Arial" w:cs="Arial"/>
          <w:sz w:val="24"/>
          <w:szCs w:val="24"/>
          <w:lang w:val="en-GB"/>
        </w:rPr>
        <w:t xml:space="preserve">), </w:t>
      </w:r>
      <w:r w:rsidR="007E0A77" w:rsidRPr="004B4B2E">
        <w:rPr>
          <w:rFonts w:ascii="Arial" w:hAnsi="Arial" w:cs="Arial"/>
          <w:noProof/>
          <w:sz w:val="24"/>
          <w:szCs w:val="24"/>
          <w:lang w:val="en-GB"/>
        </w:rPr>
        <w:t>EndoFaster</w:t>
      </w:r>
      <w:r w:rsidR="007E0A77" w:rsidRPr="004B4B2E">
        <w:rPr>
          <w:rFonts w:ascii="Arial" w:hAnsi="Arial" w:cs="Arial"/>
          <w:sz w:val="24"/>
          <w:szCs w:val="24"/>
          <w:lang w:val="en-GB"/>
        </w:rPr>
        <w:t xml:space="preserve"> technical failure </w:t>
      </w:r>
      <w:r w:rsidR="007E0A77">
        <w:rPr>
          <w:rFonts w:ascii="Arial" w:hAnsi="Arial" w:cs="Arial"/>
          <w:sz w:val="24"/>
          <w:szCs w:val="24"/>
          <w:lang w:val="en-GB"/>
        </w:rPr>
        <w:t xml:space="preserve">or </w:t>
      </w:r>
      <w:r w:rsidR="00C87C52" w:rsidRPr="004B4B2E">
        <w:rPr>
          <w:rFonts w:ascii="Arial" w:hAnsi="Arial" w:cs="Arial"/>
          <w:sz w:val="24"/>
          <w:szCs w:val="24"/>
          <w:lang w:val="en-GB"/>
        </w:rPr>
        <w:t>i</w:t>
      </w:r>
      <w:r w:rsidRPr="004B4B2E">
        <w:rPr>
          <w:rFonts w:ascii="Arial" w:hAnsi="Arial" w:cs="Arial"/>
          <w:sz w:val="24"/>
          <w:szCs w:val="24"/>
          <w:lang w:val="en-GB"/>
        </w:rPr>
        <w:t xml:space="preserve">nsufficient gastric juice for </w:t>
      </w:r>
      <w:proofErr w:type="spellStart"/>
      <w:r w:rsidRPr="004B4B2E">
        <w:rPr>
          <w:rFonts w:ascii="Arial" w:hAnsi="Arial" w:cs="Arial"/>
          <w:sz w:val="24"/>
          <w:szCs w:val="24"/>
          <w:lang w:val="en-GB"/>
        </w:rPr>
        <w:t>EndoFaster</w:t>
      </w:r>
      <w:proofErr w:type="spellEnd"/>
      <w:r w:rsidR="00C87C52" w:rsidRPr="004B4B2E">
        <w:rPr>
          <w:rFonts w:ascii="Arial" w:hAnsi="Arial" w:cs="Arial"/>
          <w:sz w:val="24"/>
          <w:szCs w:val="24"/>
          <w:lang w:val="en-GB"/>
        </w:rPr>
        <w:t xml:space="preserve"> analysis (n=</w:t>
      </w:r>
      <w:r w:rsidR="0054333F" w:rsidRPr="004B4B2E">
        <w:rPr>
          <w:rFonts w:ascii="Arial" w:hAnsi="Arial" w:cs="Arial"/>
          <w:sz w:val="24"/>
          <w:szCs w:val="24"/>
          <w:lang w:val="en-GB"/>
        </w:rPr>
        <w:t>1</w:t>
      </w:r>
      <w:r w:rsidR="007E0A77">
        <w:rPr>
          <w:rFonts w:ascii="Arial" w:hAnsi="Arial" w:cs="Arial"/>
          <w:sz w:val="24"/>
          <w:szCs w:val="24"/>
          <w:lang w:val="en-GB"/>
        </w:rPr>
        <w:t>7</w:t>
      </w:r>
      <w:r w:rsidR="00C87C52" w:rsidRPr="004B4B2E">
        <w:rPr>
          <w:rFonts w:ascii="Arial" w:hAnsi="Arial" w:cs="Arial"/>
          <w:sz w:val="24"/>
          <w:szCs w:val="24"/>
          <w:lang w:val="en-GB"/>
        </w:rPr>
        <w:t xml:space="preserve">), </w:t>
      </w:r>
      <w:r w:rsidR="00844B7A" w:rsidRPr="004B4B2E">
        <w:rPr>
          <w:rFonts w:ascii="Arial" w:hAnsi="Arial" w:cs="Arial"/>
          <w:sz w:val="24"/>
          <w:szCs w:val="24"/>
          <w:lang w:val="en-GB"/>
        </w:rPr>
        <w:t xml:space="preserve">intolerance to </w:t>
      </w:r>
      <w:r w:rsidRPr="004B4B2E">
        <w:rPr>
          <w:rFonts w:ascii="Arial" w:hAnsi="Arial" w:cs="Arial"/>
          <w:sz w:val="24"/>
          <w:szCs w:val="24"/>
          <w:lang w:val="en-GB"/>
        </w:rPr>
        <w:t>pH-</w:t>
      </w:r>
      <w:r w:rsidR="00844B7A" w:rsidRPr="004B4B2E">
        <w:rPr>
          <w:rFonts w:ascii="Arial" w:hAnsi="Arial" w:cs="Arial"/>
          <w:sz w:val="24"/>
          <w:szCs w:val="24"/>
          <w:lang w:val="en-GB"/>
        </w:rPr>
        <w:t xml:space="preserve">impedance catheter or pH-impedance </w:t>
      </w:r>
      <w:r w:rsidRPr="004B4B2E">
        <w:rPr>
          <w:rFonts w:ascii="Arial" w:hAnsi="Arial" w:cs="Arial"/>
          <w:sz w:val="24"/>
          <w:szCs w:val="24"/>
          <w:lang w:val="en-GB"/>
        </w:rPr>
        <w:t>technical failure</w:t>
      </w:r>
      <w:r w:rsidR="00C87C52" w:rsidRPr="004B4B2E">
        <w:rPr>
          <w:rFonts w:ascii="Arial" w:hAnsi="Arial" w:cs="Arial"/>
          <w:sz w:val="24"/>
          <w:szCs w:val="24"/>
          <w:lang w:val="en-GB"/>
        </w:rPr>
        <w:t xml:space="preserve"> (n=</w:t>
      </w:r>
      <w:r w:rsidR="007E0A77">
        <w:rPr>
          <w:rFonts w:ascii="Arial" w:hAnsi="Arial" w:cs="Arial"/>
          <w:sz w:val="24"/>
          <w:szCs w:val="24"/>
          <w:lang w:val="en-GB"/>
        </w:rPr>
        <w:t>6</w:t>
      </w:r>
      <w:r w:rsidR="00C87C52" w:rsidRPr="004B4B2E">
        <w:rPr>
          <w:rFonts w:ascii="Arial" w:hAnsi="Arial" w:cs="Arial"/>
          <w:sz w:val="24"/>
          <w:szCs w:val="24"/>
          <w:lang w:val="en-GB"/>
        </w:rPr>
        <w:t>). The remaining 9</w:t>
      </w:r>
      <w:r w:rsidR="007E0A77">
        <w:rPr>
          <w:rFonts w:ascii="Arial" w:hAnsi="Arial" w:cs="Arial"/>
          <w:sz w:val="24"/>
          <w:szCs w:val="24"/>
          <w:lang w:val="en-GB"/>
        </w:rPr>
        <w:t>2</w:t>
      </w:r>
      <w:r w:rsidR="00C87C52" w:rsidRPr="004B4B2E">
        <w:rPr>
          <w:rFonts w:ascii="Arial" w:hAnsi="Arial" w:cs="Arial"/>
          <w:sz w:val="24"/>
          <w:szCs w:val="24"/>
          <w:lang w:val="en-GB"/>
        </w:rPr>
        <w:t xml:space="preserve"> patients were included in the study</w:t>
      </w:r>
      <w:r w:rsidR="00676D47" w:rsidRPr="004B4B2E">
        <w:rPr>
          <w:rFonts w:ascii="Arial" w:hAnsi="Arial" w:cs="Arial"/>
          <w:sz w:val="24"/>
          <w:szCs w:val="24"/>
          <w:lang w:val="en-GB"/>
        </w:rPr>
        <w:t xml:space="preserve">; </w:t>
      </w:r>
      <w:r w:rsidR="00254458" w:rsidRPr="004B4B2E">
        <w:rPr>
          <w:rFonts w:ascii="Arial" w:hAnsi="Arial" w:cs="Arial"/>
          <w:sz w:val="24"/>
          <w:szCs w:val="24"/>
          <w:lang w:val="en-GB"/>
        </w:rPr>
        <w:t xml:space="preserve">the </w:t>
      </w:r>
      <w:r w:rsidR="00C87C52" w:rsidRPr="004B4B2E">
        <w:rPr>
          <w:rFonts w:ascii="Arial" w:hAnsi="Arial" w:cs="Arial"/>
          <w:noProof/>
          <w:sz w:val="24"/>
          <w:szCs w:val="24"/>
          <w:lang w:val="en-GB"/>
        </w:rPr>
        <w:t>study</w:t>
      </w:r>
      <w:r w:rsidR="00C87C52" w:rsidRPr="004B4B2E">
        <w:rPr>
          <w:rFonts w:ascii="Arial" w:hAnsi="Arial" w:cs="Arial"/>
          <w:sz w:val="24"/>
          <w:szCs w:val="24"/>
          <w:lang w:val="en-GB"/>
        </w:rPr>
        <w:t xml:space="preserve"> flowchart is presented in Figure </w:t>
      </w:r>
      <w:r w:rsidR="0054333F" w:rsidRPr="004B4B2E">
        <w:rPr>
          <w:rFonts w:ascii="Arial" w:hAnsi="Arial" w:cs="Arial"/>
          <w:sz w:val="24"/>
          <w:szCs w:val="24"/>
          <w:lang w:val="en-GB"/>
        </w:rPr>
        <w:t>1</w:t>
      </w:r>
      <w:r w:rsidR="00C87C52" w:rsidRPr="004B4B2E">
        <w:rPr>
          <w:rFonts w:ascii="Arial" w:hAnsi="Arial" w:cs="Arial"/>
          <w:sz w:val="24"/>
          <w:szCs w:val="24"/>
          <w:lang w:val="en-GB"/>
        </w:rPr>
        <w:t xml:space="preserve">. There were </w:t>
      </w:r>
      <w:r w:rsidR="007E0A77">
        <w:rPr>
          <w:rFonts w:ascii="Arial" w:hAnsi="Arial" w:cs="Arial"/>
          <w:sz w:val="24"/>
          <w:szCs w:val="24"/>
          <w:lang w:val="en-GB"/>
        </w:rPr>
        <w:t>44</w:t>
      </w:r>
      <w:r w:rsidR="007E0A77" w:rsidRPr="004B4B2E">
        <w:rPr>
          <w:rFonts w:ascii="Arial" w:hAnsi="Arial" w:cs="Arial"/>
          <w:sz w:val="24"/>
          <w:szCs w:val="24"/>
          <w:lang w:val="en-GB"/>
        </w:rPr>
        <w:t xml:space="preserve"> </w:t>
      </w:r>
      <w:r w:rsidR="00C87C52" w:rsidRPr="004B4B2E">
        <w:rPr>
          <w:rFonts w:ascii="Arial" w:hAnsi="Arial" w:cs="Arial"/>
          <w:sz w:val="24"/>
          <w:szCs w:val="24"/>
          <w:lang w:val="en-GB"/>
        </w:rPr>
        <w:t>males (</w:t>
      </w:r>
      <w:r w:rsidR="007E0A77">
        <w:rPr>
          <w:rFonts w:ascii="Arial" w:hAnsi="Arial" w:cs="Arial"/>
          <w:sz w:val="24"/>
          <w:szCs w:val="24"/>
          <w:lang w:val="en-GB"/>
        </w:rPr>
        <w:t>47.8%</w:t>
      </w:r>
      <w:r w:rsidR="00C87C52" w:rsidRPr="004B4B2E">
        <w:rPr>
          <w:rFonts w:ascii="Arial" w:hAnsi="Arial" w:cs="Arial"/>
          <w:sz w:val="24"/>
          <w:szCs w:val="24"/>
          <w:lang w:val="en-GB"/>
        </w:rPr>
        <w:t>) and 4</w:t>
      </w:r>
      <w:r w:rsidR="007E0A77">
        <w:rPr>
          <w:rFonts w:ascii="Arial" w:hAnsi="Arial" w:cs="Arial"/>
          <w:sz w:val="24"/>
          <w:szCs w:val="24"/>
          <w:lang w:val="en-GB"/>
        </w:rPr>
        <w:t>8</w:t>
      </w:r>
      <w:r w:rsidR="00C87C52" w:rsidRPr="004B4B2E">
        <w:rPr>
          <w:rFonts w:ascii="Arial" w:hAnsi="Arial" w:cs="Arial"/>
          <w:sz w:val="24"/>
          <w:szCs w:val="24"/>
          <w:lang w:val="en-GB"/>
        </w:rPr>
        <w:t xml:space="preserve"> females (</w:t>
      </w:r>
      <w:r w:rsidR="003F45F5">
        <w:rPr>
          <w:rFonts w:ascii="Arial" w:hAnsi="Arial" w:cs="Arial"/>
          <w:sz w:val="24"/>
          <w:szCs w:val="24"/>
          <w:lang w:val="en-GB"/>
        </w:rPr>
        <w:t>52.2</w:t>
      </w:r>
      <w:r w:rsidR="00C87C52" w:rsidRPr="004B4B2E">
        <w:rPr>
          <w:rFonts w:ascii="Arial" w:hAnsi="Arial" w:cs="Arial"/>
          <w:sz w:val="24"/>
          <w:szCs w:val="24"/>
          <w:lang w:val="en-GB"/>
        </w:rPr>
        <w:t xml:space="preserve">%) </w:t>
      </w:r>
      <w:r w:rsidR="006C7FC2" w:rsidRPr="004B4B2E">
        <w:rPr>
          <w:rFonts w:ascii="Arial" w:hAnsi="Arial" w:cs="Arial"/>
          <w:sz w:val="24"/>
          <w:szCs w:val="24"/>
          <w:lang w:val="en-GB"/>
        </w:rPr>
        <w:t>with a</w:t>
      </w:r>
      <w:r w:rsidR="00C87C52" w:rsidRPr="004B4B2E">
        <w:rPr>
          <w:rFonts w:ascii="Arial" w:hAnsi="Arial" w:cs="Arial"/>
          <w:sz w:val="24"/>
          <w:szCs w:val="24"/>
          <w:lang w:val="en-GB"/>
        </w:rPr>
        <w:t xml:space="preserve"> median age of 53 years (IQR 4</w:t>
      </w:r>
      <w:r w:rsidR="003F45F5">
        <w:rPr>
          <w:rFonts w:ascii="Arial" w:hAnsi="Arial" w:cs="Arial"/>
          <w:sz w:val="24"/>
          <w:szCs w:val="24"/>
          <w:lang w:val="en-GB"/>
        </w:rPr>
        <w:t>3</w:t>
      </w:r>
      <w:r w:rsidR="00C87C52" w:rsidRPr="004B4B2E">
        <w:rPr>
          <w:rFonts w:ascii="Arial" w:hAnsi="Arial" w:cs="Arial"/>
          <w:sz w:val="24"/>
          <w:szCs w:val="24"/>
          <w:lang w:val="en-GB"/>
        </w:rPr>
        <w:t>-6</w:t>
      </w:r>
      <w:r w:rsidR="003F45F5">
        <w:rPr>
          <w:rFonts w:ascii="Arial" w:hAnsi="Arial" w:cs="Arial"/>
          <w:sz w:val="24"/>
          <w:szCs w:val="24"/>
          <w:lang w:val="en-GB"/>
        </w:rPr>
        <w:t>6</w:t>
      </w:r>
      <w:r w:rsidR="00C87C52" w:rsidRPr="004B4B2E">
        <w:rPr>
          <w:rFonts w:ascii="Arial" w:hAnsi="Arial" w:cs="Arial"/>
          <w:sz w:val="24"/>
          <w:szCs w:val="24"/>
          <w:lang w:val="en-GB"/>
        </w:rPr>
        <w:t xml:space="preserve">) </w:t>
      </w:r>
      <w:r w:rsidR="006C7FC2" w:rsidRPr="004B4B2E">
        <w:rPr>
          <w:rFonts w:ascii="Arial" w:hAnsi="Arial" w:cs="Arial"/>
          <w:sz w:val="24"/>
          <w:szCs w:val="24"/>
          <w:lang w:val="en-GB"/>
        </w:rPr>
        <w:t xml:space="preserve">and a </w:t>
      </w:r>
      <w:r w:rsidR="00C87C52" w:rsidRPr="004B4B2E">
        <w:rPr>
          <w:rFonts w:ascii="Arial" w:hAnsi="Arial" w:cs="Arial"/>
          <w:sz w:val="24"/>
          <w:szCs w:val="24"/>
          <w:lang w:val="en-GB"/>
        </w:rPr>
        <w:t xml:space="preserve">median BMI </w:t>
      </w:r>
      <w:r w:rsidR="00410758" w:rsidRPr="004B4B2E">
        <w:rPr>
          <w:rFonts w:ascii="Arial" w:hAnsi="Arial" w:cs="Arial"/>
          <w:sz w:val="24"/>
          <w:szCs w:val="24"/>
          <w:lang w:val="en-GB"/>
        </w:rPr>
        <w:t>of</w:t>
      </w:r>
      <w:r w:rsidR="00C87C52" w:rsidRPr="004B4B2E">
        <w:rPr>
          <w:rFonts w:ascii="Arial" w:hAnsi="Arial" w:cs="Arial"/>
          <w:sz w:val="24"/>
          <w:szCs w:val="24"/>
          <w:lang w:val="en-GB"/>
        </w:rPr>
        <w:t xml:space="preserve"> 28.1 (IQR 23.</w:t>
      </w:r>
      <w:r w:rsidR="003F45F5">
        <w:rPr>
          <w:rFonts w:ascii="Arial" w:hAnsi="Arial" w:cs="Arial"/>
          <w:sz w:val="24"/>
          <w:szCs w:val="24"/>
          <w:lang w:val="en-GB"/>
        </w:rPr>
        <w:t>3</w:t>
      </w:r>
      <w:r w:rsidR="00C87C52" w:rsidRPr="004B4B2E">
        <w:rPr>
          <w:rFonts w:ascii="Arial" w:hAnsi="Arial" w:cs="Arial"/>
          <w:sz w:val="24"/>
          <w:szCs w:val="24"/>
          <w:lang w:val="en-GB"/>
        </w:rPr>
        <w:t>-33.</w:t>
      </w:r>
      <w:r w:rsidR="003F45F5">
        <w:rPr>
          <w:rFonts w:ascii="Arial" w:hAnsi="Arial" w:cs="Arial"/>
          <w:sz w:val="24"/>
          <w:szCs w:val="24"/>
          <w:lang w:val="en-GB"/>
        </w:rPr>
        <w:t>4</w:t>
      </w:r>
      <w:r w:rsidR="00C87C52" w:rsidRPr="004B4B2E">
        <w:rPr>
          <w:rFonts w:ascii="Arial" w:hAnsi="Arial" w:cs="Arial"/>
          <w:sz w:val="24"/>
          <w:szCs w:val="24"/>
          <w:lang w:val="en-GB"/>
        </w:rPr>
        <w:t>)</w:t>
      </w:r>
      <w:r w:rsidR="00410758" w:rsidRPr="004B4B2E">
        <w:rPr>
          <w:rFonts w:ascii="Arial" w:hAnsi="Arial" w:cs="Arial"/>
          <w:sz w:val="24"/>
          <w:szCs w:val="24"/>
          <w:lang w:val="en-GB"/>
        </w:rPr>
        <w:t>. Forty-</w:t>
      </w:r>
      <w:r w:rsidR="003F45F5">
        <w:rPr>
          <w:rFonts w:ascii="Arial" w:hAnsi="Arial" w:cs="Arial"/>
          <w:sz w:val="24"/>
          <w:szCs w:val="24"/>
          <w:lang w:val="en-GB"/>
        </w:rPr>
        <w:t>four</w:t>
      </w:r>
      <w:r w:rsidR="003F45F5" w:rsidRPr="004B4B2E">
        <w:rPr>
          <w:rFonts w:ascii="Arial" w:hAnsi="Arial" w:cs="Arial"/>
          <w:sz w:val="24"/>
          <w:szCs w:val="24"/>
          <w:lang w:val="en-GB"/>
        </w:rPr>
        <w:t xml:space="preserve"> </w:t>
      </w:r>
      <w:r w:rsidR="00410758" w:rsidRPr="004B4B2E">
        <w:rPr>
          <w:rFonts w:ascii="Arial" w:hAnsi="Arial" w:cs="Arial"/>
          <w:sz w:val="24"/>
          <w:szCs w:val="24"/>
          <w:lang w:val="en-GB"/>
        </w:rPr>
        <w:t xml:space="preserve">patients </w:t>
      </w:r>
      <w:r w:rsidR="00676D47" w:rsidRPr="004B4B2E">
        <w:rPr>
          <w:rFonts w:ascii="Arial" w:hAnsi="Arial" w:cs="Arial"/>
          <w:sz w:val="24"/>
          <w:szCs w:val="24"/>
          <w:lang w:val="en-GB"/>
        </w:rPr>
        <w:t>(</w:t>
      </w:r>
      <w:r w:rsidR="003F45F5">
        <w:rPr>
          <w:rFonts w:ascii="Arial" w:hAnsi="Arial" w:cs="Arial"/>
          <w:sz w:val="24"/>
          <w:szCs w:val="24"/>
          <w:lang w:val="en-GB"/>
        </w:rPr>
        <w:t>47.8</w:t>
      </w:r>
      <w:r w:rsidR="00676D47" w:rsidRPr="004B4B2E">
        <w:rPr>
          <w:rFonts w:ascii="Arial" w:hAnsi="Arial" w:cs="Arial"/>
          <w:sz w:val="24"/>
          <w:szCs w:val="24"/>
          <w:lang w:val="en-GB"/>
        </w:rPr>
        <w:t xml:space="preserve">%) </w:t>
      </w:r>
      <w:r w:rsidR="00410758" w:rsidRPr="004B4B2E">
        <w:rPr>
          <w:rFonts w:ascii="Arial" w:hAnsi="Arial" w:cs="Arial"/>
          <w:sz w:val="24"/>
          <w:szCs w:val="24"/>
          <w:lang w:val="en-GB"/>
        </w:rPr>
        <w:t xml:space="preserve">had features of persistent </w:t>
      </w:r>
      <w:r w:rsidR="00D5196F" w:rsidRPr="004B4B2E">
        <w:rPr>
          <w:rFonts w:ascii="Arial" w:hAnsi="Arial" w:cs="Arial"/>
          <w:sz w:val="24"/>
          <w:szCs w:val="24"/>
          <w:lang w:val="en-GB"/>
        </w:rPr>
        <w:t xml:space="preserve">acid reflux on 24-hour pH-monitoring </w:t>
      </w:r>
      <w:r w:rsidR="00676D47" w:rsidRPr="004B4B2E">
        <w:rPr>
          <w:rFonts w:ascii="Arial" w:hAnsi="Arial" w:cs="Arial"/>
          <w:sz w:val="24"/>
          <w:szCs w:val="24"/>
          <w:lang w:val="en-GB"/>
        </w:rPr>
        <w:t xml:space="preserve">and </w:t>
      </w:r>
      <w:r w:rsidR="003F45F5">
        <w:rPr>
          <w:rFonts w:ascii="Arial" w:hAnsi="Arial" w:cs="Arial"/>
          <w:sz w:val="24"/>
          <w:szCs w:val="24"/>
          <w:lang w:val="en-GB"/>
        </w:rPr>
        <w:t>48</w:t>
      </w:r>
      <w:r w:rsidR="003F45F5" w:rsidRPr="004B4B2E">
        <w:rPr>
          <w:rFonts w:ascii="Arial" w:hAnsi="Arial" w:cs="Arial"/>
          <w:sz w:val="24"/>
          <w:szCs w:val="24"/>
          <w:lang w:val="en-GB"/>
        </w:rPr>
        <w:t xml:space="preserve"> </w:t>
      </w:r>
      <w:r w:rsidR="00676D47" w:rsidRPr="004B4B2E">
        <w:rPr>
          <w:rFonts w:ascii="Arial" w:hAnsi="Arial" w:cs="Arial"/>
          <w:sz w:val="24"/>
          <w:szCs w:val="24"/>
          <w:lang w:val="en-GB"/>
        </w:rPr>
        <w:t>patients (</w:t>
      </w:r>
      <w:r w:rsidR="003F45F5">
        <w:rPr>
          <w:rFonts w:ascii="Arial" w:hAnsi="Arial" w:cs="Arial"/>
          <w:sz w:val="24"/>
          <w:szCs w:val="24"/>
          <w:lang w:val="en-GB"/>
        </w:rPr>
        <w:t>52.2</w:t>
      </w:r>
      <w:r w:rsidR="00676D47" w:rsidRPr="004B4B2E">
        <w:rPr>
          <w:rFonts w:ascii="Arial" w:hAnsi="Arial" w:cs="Arial"/>
          <w:sz w:val="24"/>
          <w:szCs w:val="24"/>
          <w:lang w:val="en-GB"/>
        </w:rPr>
        <w:t xml:space="preserve">%) had </w:t>
      </w:r>
      <w:r w:rsidR="005A6797" w:rsidRPr="004B4B2E">
        <w:rPr>
          <w:rFonts w:ascii="Arial" w:hAnsi="Arial" w:cs="Arial"/>
          <w:sz w:val="24"/>
          <w:szCs w:val="24"/>
          <w:lang w:val="en-GB"/>
        </w:rPr>
        <w:t xml:space="preserve">24-hour esophageal </w:t>
      </w:r>
      <w:r w:rsidR="00676D47" w:rsidRPr="004B4B2E">
        <w:rPr>
          <w:rFonts w:ascii="Arial" w:hAnsi="Arial" w:cs="Arial"/>
          <w:sz w:val="24"/>
          <w:szCs w:val="24"/>
          <w:lang w:val="en-GB"/>
        </w:rPr>
        <w:t>AETs within normal limits.</w:t>
      </w:r>
      <w:r w:rsidR="00341054" w:rsidRPr="004B4B2E">
        <w:rPr>
          <w:rFonts w:ascii="Arial" w:hAnsi="Arial" w:cs="Arial"/>
          <w:sz w:val="24"/>
          <w:szCs w:val="24"/>
          <w:lang w:val="en-GB"/>
        </w:rPr>
        <w:t xml:space="preserve"> The </w:t>
      </w:r>
      <w:r w:rsidR="00341054" w:rsidRPr="004B4B2E">
        <w:rPr>
          <w:rFonts w:ascii="Arial" w:hAnsi="Arial" w:cs="Arial"/>
          <w:noProof/>
          <w:sz w:val="24"/>
          <w:szCs w:val="24"/>
          <w:lang w:val="en-GB"/>
        </w:rPr>
        <w:t>patients’</w:t>
      </w:r>
      <w:r w:rsidR="00341054" w:rsidRPr="004B4B2E">
        <w:rPr>
          <w:rFonts w:ascii="Arial" w:hAnsi="Arial" w:cs="Arial"/>
          <w:sz w:val="24"/>
          <w:szCs w:val="24"/>
          <w:lang w:val="en-GB"/>
        </w:rPr>
        <w:t xml:space="preserve"> characteristics are presented in Table 1. </w:t>
      </w:r>
      <w:r w:rsidR="00FA4B3F" w:rsidRPr="004B4B2E">
        <w:rPr>
          <w:rFonts w:ascii="Arial" w:hAnsi="Arial" w:cs="Arial"/>
          <w:sz w:val="24"/>
          <w:szCs w:val="24"/>
          <w:lang w:val="en-GB"/>
        </w:rPr>
        <w:t xml:space="preserve">The </w:t>
      </w:r>
      <w:r w:rsidR="003F45F5">
        <w:rPr>
          <w:rFonts w:ascii="Arial" w:hAnsi="Arial" w:cs="Arial"/>
          <w:sz w:val="24"/>
          <w:szCs w:val="24"/>
          <w:lang w:val="en-GB"/>
        </w:rPr>
        <w:t>median</w:t>
      </w:r>
      <w:r w:rsidR="003F45F5" w:rsidRPr="004B4B2E">
        <w:rPr>
          <w:rFonts w:ascii="Arial" w:hAnsi="Arial" w:cs="Arial"/>
          <w:sz w:val="24"/>
          <w:szCs w:val="24"/>
          <w:lang w:val="en-GB"/>
        </w:rPr>
        <w:t xml:space="preserve"> </w:t>
      </w:r>
      <w:r w:rsidR="003F45F5">
        <w:rPr>
          <w:rFonts w:ascii="Arial" w:hAnsi="Arial" w:cs="Arial"/>
          <w:sz w:val="24"/>
          <w:szCs w:val="24"/>
          <w:lang w:val="en-GB"/>
        </w:rPr>
        <w:t xml:space="preserve">AETs (total, in upright and supine position) in patients with persistent acid reflux were 2.2 (IQR1.2-5.0), 2.6 </w:t>
      </w:r>
      <w:r w:rsidR="003F45F5">
        <w:rPr>
          <w:rFonts w:ascii="Arial" w:hAnsi="Arial" w:cs="Arial"/>
          <w:sz w:val="24"/>
          <w:szCs w:val="24"/>
          <w:lang w:val="en-GB"/>
        </w:rPr>
        <w:lastRenderedPageBreak/>
        <w:t>(IQR 0.9-5.0) and 0.8 (</w:t>
      </w:r>
      <w:r w:rsidR="00DB50F8">
        <w:rPr>
          <w:rFonts w:ascii="Arial" w:hAnsi="Arial" w:cs="Arial"/>
          <w:sz w:val="24"/>
          <w:szCs w:val="24"/>
          <w:lang w:val="en-GB"/>
        </w:rPr>
        <w:t xml:space="preserve">IQR </w:t>
      </w:r>
      <w:r w:rsidR="003F45F5">
        <w:rPr>
          <w:rFonts w:ascii="Arial" w:hAnsi="Arial" w:cs="Arial"/>
          <w:sz w:val="24"/>
          <w:szCs w:val="24"/>
          <w:lang w:val="en-GB"/>
        </w:rPr>
        <w:t>0.0-5.9), respectively</w:t>
      </w:r>
      <w:r w:rsidR="00F021CC">
        <w:rPr>
          <w:rFonts w:ascii="Arial" w:hAnsi="Arial" w:cs="Arial"/>
          <w:sz w:val="24"/>
          <w:szCs w:val="24"/>
          <w:lang w:val="en-GB"/>
        </w:rPr>
        <w:t xml:space="preserve"> and in p</w:t>
      </w:r>
      <w:r w:rsidR="003F45F5">
        <w:rPr>
          <w:rFonts w:ascii="Arial" w:hAnsi="Arial" w:cs="Arial"/>
          <w:sz w:val="24"/>
          <w:szCs w:val="24"/>
          <w:lang w:val="en-GB"/>
        </w:rPr>
        <w:t xml:space="preserve">atients without persistent acid reflux AETs </w:t>
      </w:r>
      <w:r w:rsidR="00F021CC">
        <w:rPr>
          <w:rFonts w:ascii="Arial" w:hAnsi="Arial" w:cs="Arial"/>
          <w:sz w:val="24"/>
          <w:szCs w:val="24"/>
          <w:lang w:val="en-GB"/>
        </w:rPr>
        <w:t>were</w:t>
      </w:r>
      <w:r w:rsidR="003F45F5">
        <w:rPr>
          <w:rFonts w:ascii="Arial" w:hAnsi="Arial" w:cs="Arial"/>
          <w:sz w:val="24"/>
          <w:szCs w:val="24"/>
          <w:lang w:val="en-GB"/>
        </w:rPr>
        <w:t xml:space="preserve"> 0.1 (IQR 0.0-0.2), 0.1 (</w:t>
      </w:r>
      <w:r w:rsidR="00DB50F8">
        <w:rPr>
          <w:rFonts w:ascii="Arial" w:hAnsi="Arial" w:cs="Arial"/>
          <w:sz w:val="24"/>
          <w:szCs w:val="24"/>
          <w:lang w:val="en-GB"/>
        </w:rPr>
        <w:t xml:space="preserve">IQR </w:t>
      </w:r>
      <w:r w:rsidR="003F45F5">
        <w:rPr>
          <w:rFonts w:ascii="Arial" w:hAnsi="Arial" w:cs="Arial"/>
          <w:sz w:val="24"/>
          <w:szCs w:val="24"/>
          <w:lang w:val="en-GB"/>
        </w:rPr>
        <w:t>0.0-0.3) and 0.0 (</w:t>
      </w:r>
      <w:r w:rsidR="00DB50F8">
        <w:rPr>
          <w:rFonts w:ascii="Arial" w:hAnsi="Arial" w:cs="Arial"/>
          <w:sz w:val="24"/>
          <w:szCs w:val="24"/>
          <w:lang w:val="en-GB"/>
        </w:rPr>
        <w:t xml:space="preserve">IQR </w:t>
      </w:r>
      <w:r w:rsidR="003F45F5">
        <w:rPr>
          <w:rFonts w:ascii="Arial" w:hAnsi="Arial" w:cs="Arial"/>
          <w:sz w:val="24"/>
          <w:szCs w:val="24"/>
          <w:lang w:val="en-GB"/>
        </w:rPr>
        <w:t>0.0-0.0), respectively</w:t>
      </w:r>
      <w:r w:rsidR="00F021CC">
        <w:rPr>
          <w:rFonts w:ascii="Arial" w:hAnsi="Arial" w:cs="Arial"/>
          <w:sz w:val="24"/>
          <w:szCs w:val="24"/>
          <w:lang w:val="en-GB"/>
        </w:rPr>
        <w:t xml:space="preserve"> (</w:t>
      </w:r>
      <w:r w:rsidR="00F021CC" w:rsidRPr="00975740">
        <w:rPr>
          <w:rFonts w:ascii="Arial" w:hAnsi="Arial" w:cs="Arial"/>
          <w:i/>
          <w:sz w:val="24"/>
          <w:szCs w:val="24"/>
          <w:lang w:val="en-GB"/>
        </w:rPr>
        <w:t>P</w:t>
      </w:r>
      <w:r w:rsidR="00F021CC">
        <w:rPr>
          <w:rFonts w:ascii="Arial" w:hAnsi="Arial" w:cs="Arial"/>
          <w:sz w:val="24"/>
          <w:szCs w:val="24"/>
          <w:lang w:val="en-GB"/>
        </w:rPr>
        <w:t>&lt;.001 for all comparisons)</w:t>
      </w:r>
      <w:r w:rsidR="003F45F5">
        <w:rPr>
          <w:rFonts w:ascii="Arial" w:hAnsi="Arial" w:cs="Arial"/>
          <w:sz w:val="24"/>
          <w:szCs w:val="24"/>
          <w:lang w:val="en-GB"/>
        </w:rPr>
        <w:t>.</w:t>
      </w:r>
      <w:r w:rsidR="00007D37">
        <w:rPr>
          <w:rFonts w:ascii="Arial" w:hAnsi="Arial" w:cs="Arial"/>
          <w:sz w:val="24"/>
          <w:szCs w:val="24"/>
          <w:lang w:val="en-GB"/>
        </w:rPr>
        <w:t xml:space="preserve"> T</w:t>
      </w:r>
      <w:r w:rsidR="004E5A82" w:rsidRPr="004B4B2E">
        <w:rPr>
          <w:rFonts w:ascii="Arial" w:hAnsi="Arial" w:cs="Arial"/>
          <w:sz w:val="24"/>
          <w:szCs w:val="24"/>
          <w:lang w:val="en-GB"/>
        </w:rPr>
        <w:t xml:space="preserve">he median number of reflux episodes </w:t>
      </w:r>
      <w:r w:rsidR="00F021CC">
        <w:rPr>
          <w:rFonts w:ascii="Arial" w:hAnsi="Arial" w:cs="Arial"/>
          <w:sz w:val="24"/>
          <w:szCs w:val="24"/>
          <w:lang w:val="en-GB"/>
        </w:rPr>
        <w:t xml:space="preserve">were </w:t>
      </w:r>
      <w:r w:rsidR="00F021CC" w:rsidRPr="00F021CC">
        <w:rPr>
          <w:rFonts w:ascii="Arial" w:hAnsi="Arial" w:cs="Arial"/>
          <w:sz w:val="24"/>
          <w:szCs w:val="24"/>
          <w:lang w:val="en-GB"/>
        </w:rPr>
        <w:t>64</w:t>
      </w:r>
      <w:r w:rsidR="00F021CC">
        <w:rPr>
          <w:rFonts w:ascii="Arial" w:hAnsi="Arial" w:cs="Arial"/>
          <w:sz w:val="24"/>
          <w:szCs w:val="24"/>
          <w:lang w:val="en-GB"/>
        </w:rPr>
        <w:t xml:space="preserve"> (IQR </w:t>
      </w:r>
      <w:r w:rsidR="00F021CC" w:rsidRPr="00F021CC">
        <w:rPr>
          <w:rFonts w:ascii="Arial" w:hAnsi="Arial" w:cs="Arial"/>
          <w:sz w:val="24"/>
          <w:szCs w:val="24"/>
          <w:lang w:val="en-GB"/>
        </w:rPr>
        <w:t>49.2</w:t>
      </w:r>
      <w:r w:rsidR="00F021CC">
        <w:rPr>
          <w:rFonts w:ascii="Arial" w:hAnsi="Arial" w:cs="Arial"/>
          <w:sz w:val="24"/>
          <w:szCs w:val="24"/>
          <w:lang w:val="en-GB"/>
        </w:rPr>
        <w:t>-</w:t>
      </w:r>
      <w:r w:rsidR="00F021CC" w:rsidRPr="00F021CC">
        <w:rPr>
          <w:rFonts w:ascii="Arial" w:hAnsi="Arial" w:cs="Arial"/>
          <w:sz w:val="24"/>
          <w:szCs w:val="24"/>
          <w:lang w:val="en-GB"/>
        </w:rPr>
        <w:t>104</w:t>
      </w:r>
      <w:r w:rsidR="00F021CC">
        <w:rPr>
          <w:rFonts w:ascii="Arial" w:hAnsi="Arial" w:cs="Arial"/>
          <w:sz w:val="24"/>
          <w:szCs w:val="24"/>
          <w:lang w:val="en-GB"/>
        </w:rPr>
        <w:t xml:space="preserve">.0) and </w:t>
      </w:r>
      <w:r w:rsidR="00F021CC" w:rsidRPr="00F021CC">
        <w:rPr>
          <w:rFonts w:ascii="Arial" w:hAnsi="Arial" w:cs="Arial"/>
          <w:sz w:val="24"/>
          <w:szCs w:val="24"/>
          <w:lang w:val="en-GB"/>
        </w:rPr>
        <w:t xml:space="preserve">58.5 </w:t>
      </w:r>
      <w:r w:rsidR="00F021CC">
        <w:rPr>
          <w:rFonts w:ascii="Arial" w:hAnsi="Arial" w:cs="Arial"/>
          <w:sz w:val="24"/>
          <w:szCs w:val="24"/>
          <w:lang w:val="en-GB"/>
        </w:rPr>
        <w:t xml:space="preserve">(IQR </w:t>
      </w:r>
      <w:r w:rsidR="00F021CC" w:rsidRPr="00F021CC">
        <w:rPr>
          <w:rFonts w:ascii="Arial" w:hAnsi="Arial" w:cs="Arial"/>
          <w:sz w:val="24"/>
          <w:szCs w:val="24"/>
          <w:lang w:val="en-GB"/>
        </w:rPr>
        <w:t>30.8</w:t>
      </w:r>
      <w:r w:rsidR="00F021CC">
        <w:rPr>
          <w:rFonts w:ascii="Arial" w:hAnsi="Arial" w:cs="Arial"/>
          <w:sz w:val="24"/>
          <w:szCs w:val="24"/>
          <w:lang w:val="en-GB"/>
        </w:rPr>
        <w:t>-</w:t>
      </w:r>
      <w:r w:rsidR="00F021CC" w:rsidRPr="00F021CC">
        <w:rPr>
          <w:rFonts w:ascii="Arial" w:hAnsi="Arial" w:cs="Arial"/>
          <w:sz w:val="24"/>
          <w:szCs w:val="24"/>
          <w:lang w:val="en-GB"/>
        </w:rPr>
        <w:t>76.8</w:t>
      </w:r>
      <w:r w:rsidR="00F021CC">
        <w:rPr>
          <w:rFonts w:ascii="Arial" w:hAnsi="Arial" w:cs="Arial"/>
          <w:sz w:val="24"/>
          <w:szCs w:val="24"/>
          <w:lang w:val="en-GB"/>
        </w:rPr>
        <w:t>), respectively between both groups (</w:t>
      </w:r>
      <w:r w:rsidR="00F021CC" w:rsidRPr="00975740">
        <w:rPr>
          <w:rFonts w:ascii="Arial" w:hAnsi="Arial" w:cs="Arial"/>
          <w:i/>
          <w:sz w:val="24"/>
          <w:szCs w:val="24"/>
          <w:lang w:val="en-GB"/>
        </w:rPr>
        <w:t>P</w:t>
      </w:r>
      <w:r w:rsidR="00F021CC">
        <w:rPr>
          <w:rFonts w:ascii="Arial" w:hAnsi="Arial" w:cs="Arial"/>
          <w:sz w:val="24"/>
          <w:szCs w:val="24"/>
          <w:lang w:val="en-GB"/>
        </w:rPr>
        <w:t xml:space="preserve">=0.022). </w:t>
      </w:r>
      <w:r w:rsidR="00676D47" w:rsidRPr="004B4B2E">
        <w:rPr>
          <w:rFonts w:ascii="Arial" w:hAnsi="Arial" w:cs="Arial"/>
          <w:sz w:val="24"/>
          <w:szCs w:val="24"/>
          <w:lang w:val="en-GB"/>
        </w:rPr>
        <w:t xml:space="preserve">There were no differences in clinical characteristics between </w:t>
      </w:r>
      <w:r w:rsidR="00F021CC">
        <w:rPr>
          <w:rFonts w:ascii="Arial" w:hAnsi="Arial" w:cs="Arial"/>
          <w:sz w:val="24"/>
          <w:szCs w:val="24"/>
          <w:lang w:val="en-GB"/>
        </w:rPr>
        <w:t xml:space="preserve">patients with and without persistent acid reflux </w:t>
      </w:r>
      <w:r w:rsidR="00676D47" w:rsidRPr="004B4B2E">
        <w:rPr>
          <w:rFonts w:ascii="Arial" w:hAnsi="Arial" w:cs="Arial"/>
          <w:sz w:val="24"/>
          <w:szCs w:val="24"/>
          <w:lang w:val="en-GB"/>
        </w:rPr>
        <w:t xml:space="preserve">including </w:t>
      </w:r>
      <w:r w:rsidRPr="004B4B2E">
        <w:rPr>
          <w:rFonts w:ascii="Arial" w:hAnsi="Arial" w:cs="Arial"/>
          <w:sz w:val="24"/>
          <w:szCs w:val="24"/>
          <w:lang w:val="en-GB"/>
        </w:rPr>
        <w:t xml:space="preserve">age, gender, BMI, PPI regimen, </w:t>
      </w:r>
      <w:r w:rsidR="00254458" w:rsidRPr="004B4B2E">
        <w:rPr>
          <w:rFonts w:ascii="Arial" w:hAnsi="Arial" w:cs="Arial"/>
          <w:sz w:val="24"/>
          <w:szCs w:val="24"/>
          <w:lang w:val="en-GB"/>
        </w:rPr>
        <w:t xml:space="preserve">the </w:t>
      </w:r>
      <w:r w:rsidRPr="004B4B2E">
        <w:rPr>
          <w:rFonts w:ascii="Arial" w:hAnsi="Arial" w:cs="Arial"/>
          <w:noProof/>
          <w:sz w:val="24"/>
          <w:szCs w:val="24"/>
          <w:lang w:val="en-GB"/>
        </w:rPr>
        <w:t>presence</w:t>
      </w:r>
      <w:r w:rsidRPr="004B4B2E">
        <w:rPr>
          <w:rFonts w:ascii="Arial" w:hAnsi="Arial" w:cs="Arial"/>
          <w:sz w:val="24"/>
          <w:szCs w:val="24"/>
          <w:lang w:val="en-GB"/>
        </w:rPr>
        <w:t xml:space="preserve"> of </w:t>
      </w:r>
      <w:r w:rsidR="00254458" w:rsidRPr="004B4B2E">
        <w:rPr>
          <w:rFonts w:ascii="Arial" w:hAnsi="Arial" w:cs="Arial"/>
          <w:sz w:val="24"/>
          <w:szCs w:val="24"/>
          <w:lang w:val="en-GB"/>
        </w:rPr>
        <w:t xml:space="preserve">a </w:t>
      </w:r>
      <w:r w:rsidRPr="004B4B2E">
        <w:rPr>
          <w:rFonts w:ascii="Arial" w:hAnsi="Arial" w:cs="Arial"/>
          <w:noProof/>
          <w:sz w:val="24"/>
          <w:szCs w:val="24"/>
          <w:lang w:val="en-GB"/>
        </w:rPr>
        <w:t>hiatus</w:t>
      </w:r>
      <w:r w:rsidRPr="004B4B2E">
        <w:rPr>
          <w:rFonts w:ascii="Arial" w:hAnsi="Arial" w:cs="Arial"/>
          <w:sz w:val="24"/>
          <w:szCs w:val="24"/>
          <w:lang w:val="en-GB"/>
        </w:rPr>
        <w:t xml:space="preserve"> hernia and BE</w:t>
      </w:r>
      <w:r w:rsidR="00093E0B" w:rsidRPr="004B4B2E">
        <w:rPr>
          <w:rFonts w:ascii="Arial" w:hAnsi="Arial" w:cs="Arial"/>
          <w:sz w:val="24"/>
          <w:szCs w:val="24"/>
          <w:lang w:val="en-GB"/>
        </w:rPr>
        <w:t xml:space="preserve">. </w:t>
      </w:r>
      <w:r w:rsidR="00B34B2F" w:rsidRPr="004B4B2E">
        <w:rPr>
          <w:rFonts w:ascii="Arial" w:hAnsi="Arial" w:cs="Arial"/>
          <w:sz w:val="24"/>
          <w:szCs w:val="24"/>
          <w:lang w:val="en-GB"/>
        </w:rPr>
        <w:t>Based on the results of 24-hour pH-</w:t>
      </w:r>
      <w:r w:rsidR="0004052C" w:rsidRPr="004B4B2E">
        <w:rPr>
          <w:rFonts w:ascii="Arial" w:hAnsi="Arial" w:cs="Arial"/>
          <w:sz w:val="24"/>
          <w:szCs w:val="24"/>
          <w:lang w:val="en-GB"/>
        </w:rPr>
        <w:t xml:space="preserve">impedance </w:t>
      </w:r>
      <w:r w:rsidR="00B34B2F" w:rsidRPr="004B4B2E">
        <w:rPr>
          <w:rFonts w:ascii="Arial" w:hAnsi="Arial" w:cs="Arial"/>
          <w:sz w:val="24"/>
          <w:szCs w:val="24"/>
          <w:lang w:val="en-GB"/>
        </w:rPr>
        <w:t xml:space="preserve">monitoring and the clinical presentation, </w:t>
      </w:r>
      <w:r w:rsidR="008C2D07">
        <w:rPr>
          <w:rFonts w:ascii="Arial" w:hAnsi="Arial" w:cs="Arial"/>
          <w:sz w:val="24"/>
          <w:szCs w:val="24"/>
          <w:lang w:val="en-GB"/>
        </w:rPr>
        <w:t>patients were further subdivided in</w:t>
      </w:r>
      <w:r w:rsidR="0040295C">
        <w:rPr>
          <w:rFonts w:ascii="Arial" w:hAnsi="Arial" w:cs="Arial"/>
          <w:sz w:val="24"/>
          <w:szCs w:val="24"/>
          <w:lang w:val="en-GB"/>
        </w:rPr>
        <w:t>to</w:t>
      </w:r>
      <w:r w:rsidR="008C2D07">
        <w:rPr>
          <w:rFonts w:ascii="Arial" w:hAnsi="Arial" w:cs="Arial"/>
          <w:sz w:val="24"/>
          <w:szCs w:val="24"/>
          <w:lang w:val="en-GB"/>
        </w:rPr>
        <w:t xml:space="preserve"> 4 groups (Figure 1): </w:t>
      </w:r>
      <w:proofErr w:type="spellStart"/>
      <w:r w:rsidR="008C2D07" w:rsidRPr="00B42BFF">
        <w:rPr>
          <w:rFonts w:ascii="Arial" w:hAnsi="Arial" w:cs="Arial"/>
          <w:i/>
          <w:sz w:val="24"/>
          <w:szCs w:val="24"/>
          <w:lang w:val="en-GB"/>
        </w:rPr>
        <w:t>i</w:t>
      </w:r>
      <w:proofErr w:type="spellEnd"/>
      <w:r w:rsidR="008C2D07">
        <w:rPr>
          <w:rFonts w:ascii="Arial" w:hAnsi="Arial" w:cs="Arial"/>
          <w:sz w:val="24"/>
          <w:szCs w:val="24"/>
          <w:lang w:val="en-GB"/>
        </w:rPr>
        <w:t>.</w:t>
      </w:r>
      <w:r w:rsidR="00FD7091" w:rsidRPr="00FD7091">
        <w:rPr>
          <w:rFonts w:ascii="Arial" w:hAnsi="Arial" w:cs="Arial"/>
          <w:sz w:val="24"/>
          <w:szCs w:val="24"/>
          <w:lang w:val="en-GB"/>
        </w:rPr>
        <w:t xml:space="preserve"> </w:t>
      </w:r>
      <w:r w:rsidR="00FD7091" w:rsidRPr="004B4B2E">
        <w:rPr>
          <w:rFonts w:ascii="Arial" w:hAnsi="Arial" w:cs="Arial"/>
          <w:sz w:val="24"/>
          <w:szCs w:val="24"/>
          <w:lang w:val="en-GB"/>
        </w:rPr>
        <w:t>functional heartburn (moderate/severe symptoms in the presence of negative SI/SAP and normal AET)</w:t>
      </w:r>
      <w:r w:rsidR="008C2D07">
        <w:rPr>
          <w:rFonts w:ascii="Arial" w:hAnsi="Arial" w:cs="Arial"/>
          <w:sz w:val="24"/>
          <w:szCs w:val="24"/>
          <w:lang w:val="en-GB"/>
        </w:rPr>
        <w:t xml:space="preserve"> </w:t>
      </w:r>
      <w:r w:rsidR="008C2D07" w:rsidRPr="00B42BFF">
        <w:rPr>
          <w:rFonts w:ascii="Arial" w:hAnsi="Arial" w:cs="Arial"/>
          <w:i/>
          <w:sz w:val="24"/>
          <w:szCs w:val="24"/>
          <w:lang w:val="en-GB"/>
        </w:rPr>
        <w:t>ii</w:t>
      </w:r>
      <w:r w:rsidR="008C2D07">
        <w:rPr>
          <w:rFonts w:ascii="Arial" w:hAnsi="Arial" w:cs="Arial"/>
          <w:sz w:val="24"/>
          <w:szCs w:val="24"/>
          <w:lang w:val="en-GB"/>
        </w:rPr>
        <w:t>.</w:t>
      </w:r>
      <w:r w:rsidR="00007D37">
        <w:rPr>
          <w:rFonts w:ascii="Arial" w:hAnsi="Arial" w:cs="Arial"/>
          <w:sz w:val="24"/>
          <w:szCs w:val="24"/>
          <w:lang w:val="en-GB"/>
        </w:rPr>
        <w:t>,</w:t>
      </w:r>
      <w:r w:rsidR="00FD7091" w:rsidRPr="004B4B2E">
        <w:rPr>
          <w:rFonts w:ascii="Arial" w:hAnsi="Arial" w:cs="Arial"/>
          <w:sz w:val="24"/>
          <w:szCs w:val="24"/>
          <w:lang w:val="en-GB"/>
        </w:rPr>
        <w:t xml:space="preserve"> esophageal hypersensitivity (moderate to severe symptoms, positive SI or SAP and normal AET)</w:t>
      </w:r>
      <w:r w:rsidR="00FD7091">
        <w:rPr>
          <w:rFonts w:ascii="Arial" w:hAnsi="Arial" w:cs="Arial"/>
          <w:sz w:val="24"/>
          <w:szCs w:val="24"/>
          <w:lang w:val="en-GB"/>
        </w:rPr>
        <w:t xml:space="preserve">, </w:t>
      </w:r>
      <w:r w:rsidR="008C2D07">
        <w:rPr>
          <w:rFonts w:ascii="Arial" w:hAnsi="Arial" w:cs="Arial"/>
          <w:sz w:val="24"/>
          <w:szCs w:val="24"/>
          <w:lang w:val="en-GB"/>
        </w:rPr>
        <w:t>iii. GERD in remission (no/minimal symptoms and normal AET) and</w:t>
      </w:r>
      <w:r w:rsidR="00007D37">
        <w:rPr>
          <w:rFonts w:ascii="Arial" w:hAnsi="Arial" w:cs="Arial"/>
          <w:sz w:val="24"/>
          <w:szCs w:val="24"/>
          <w:lang w:val="en-GB"/>
        </w:rPr>
        <w:t xml:space="preserve"> </w:t>
      </w:r>
      <w:r w:rsidR="008C2D07">
        <w:rPr>
          <w:rFonts w:ascii="Arial" w:hAnsi="Arial" w:cs="Arial"/>
          <w:sz w:val="24"/>
          <w:szCs w:val="24"/>
          <w:lang w:val="en-GB"/>
        </w:rPr>
        <w:t>iv. persistent acid reflux (any symptom score and abnormal AET)</w:t>
      </w:r>
      <w:r w:rsidR="00655ADB">
        <w:rPr>
          <w:rFonts w:ascii="Arial" w:hAnsi="Arial" w:cs="Arial"/>
          <w:sz w:val="24"/>
          <w:szCs w:val="24"/>
          <w:lang w:val="en-GB"/>
        </w:rPr>
        <w:t>.</w:t>
      </w:r>
    </w:p>
    <w:p w14:paraId="36C28F39" w14:textId="0C0D9C9E" w:rsidR="00597BD9" w:rsidRPr="00745AEB" w:rsidRDefault="004E5A82" w:rsidP="001B3D49">
      <w:pPr>
        <w:pStyle w:val="ListParagraph"/>
        <w:numPr>
          <w:ilvl w:val="1"/>
          <w:numId w:val="3"/>
        </w:numPr>
        <w:spacing w:line="480" w:lineRule="auto"/>
        <w:jc w:val="both"/>
        <w:rPr>
          <w:rFonts w:ascii="Arial" w:hAnsi="Arial" w:cs="Arial"/>
          <w:b/>
          <w:sz w:val="24"/>
          <w:szCs w:val="24"/>
          <w:lang w:val="en-GB"/>
        </w:rPr>
      </w:pPr>
      <w:r w:rsidRPr="00745AEB">
        <w:rPr>
          <w:rFonts w:ascii="Arial" w:hAnsi="Arial" w:cs="Arial"/>
          <w:sz w:val="24"/>
          <w:szCs w:val="24"/>
          <w:lang w:val="en-GB"/>
        </w:rPr>
        <w:t xml:space="preserve"> </w:t>
      </w:r>
      <w:r w:rsidR="00C211AA">
        <w:rPr>
          <w:rFonts w:ascii="Arial" w:hAnsi="Arial" w:cs="Arial"/>
          <w:b/>
          <w:sz w:val="24"/>
          <w:szCs w:val="24"/>
          <w:lang w:val="en-GB"/>
        </w:rPr>
        <w:t>S</w:t>
      </w:r>
      <w:r w:rsidR="00597BD9" w:rsidRPr="00745AEB">
        <w:rPr>
          <w:rFonts w:ascii="Arial" w:hAnsi="Arial" w:cs="Arial"/>
          <w:b/>
          <w:sz w:val="24"/>
          <w:szCs w:val="24"/>
          <w:lang w:val="en-GB"/>
        </w:rPr>
        <w:t xml:space="preserve">ymptoms </w:t>
      </w:r>
    </w:p>
    <w:p w14:paraId="047F5EB4" w14:textId="0390DD11" w:rsidR="00966D16" w:rsidRDefault="00597BD9" w:rsidP="00FE181A">
      <w:pPr>
        <w:spacing w:line="480" w:lineRule="auto"/>
        <w:jc w:val="both"/>
        <w:rPr>
          <w:rFonts w:ascii="Arial" w:hAnsi="Arial" w:cs="Arial"/>
          <w:color w:val="000000" w:themeColor="text1"/>
          <w:sz w:val="24"/>
          <w:szCs w:val="24"/>
          <w:lang w:val="en-GB"/>
        </w:rPr>
      </w:pPr>
      <w:r w:rsidRPr="004B4B2E">
        <w:rPr>
          <w:rFonts w:ascii="Arial" w:hAnsi="Arial" w:cs="Arial"/>
          <w:sz w:val="24"/>
          <w:szCs w:val="24"/>
          <w:lang w:val="en-GB"/>
        </w:rPr>
        <w:t xml:space="preserve">The </w:t>
      </w:r>
      <w:r w:rsidR="00043C44" w:rsidRPr="004B4B2E">
        <w:rPr>
          <w:rFonts w:ascii="Arial" w:hAnsi="Arial" w:cs="Arial"/>
          <w:sz w:val="24"/>
          <w:szCs w:val="24"/>
          <w:lang w:val="en-GB"/>
        </w:rPr>
        <w:t xml:space="preserve">overall </w:t>
      </w:r>
      <w:r w:rsidR="00830331">
        <w:rPr>
          <w:rFonts w:ascii="Arial" w:hAnsi="Arial" w:cs="Arial"/>
          <w:sz w:val="24"/>
          <w:szCs w:val="24"/>
          <w:lang w:val="en-GB"/>
        </w:rPr>
        <w:t>median</w:t>
      </w:r>
      <w:r w:rsidR="00830331" w:rsidRPr="004B4B2E">
        <w:rPr>
          <w:rFonts w:ascii="Arial" w:hAnsi="Arial" w:cs="Arial"/>
          <w:sz w:val="24"/>
          <w:szCs w:val="24"/>
          <w:lang w:val="en-GB"/>
        </w:rPr>
        <w:t xml:space="preserve"> </w:t>
      </w:r>
      <w:r w:rsidRPr="004B4B2E">
        <w:rPr>
          <w:rFonts w:ascii="Arial" w:hAnsi="Arial" w:cs="Arial"/>
          <w:sz w:val="24"/>
          <w:szCs w:val="24"/>
          <w:lang w:val="en-GB"/>
        </w:rPr>
        <w:t xml:space="preserve">severity of symptoms in </w:t>
      </w:r>
      <w:r w:rsidR="00BD00FB">
        <w:rPr>
          <w:rFonts w:ascii="Arial" w:hAnsi="Arial" w:cs="Arial"/>
          <w:sz w:val="24"/>
          <w:szCs w:val="24"/>
          <w:lang w:val="en-GB"/>
        </w:rPr>
        <w:t xml:space="preserve">all </w:t>
      </w:r>
      <w:r w:rsidR="00830331">
        <w:rPr>
          <w:rFonts w:ascii="Arial" w:hAnsi="Arial" w:cs="Arial"/>
          <w:sz w:val="24"/>
          <w:szCs w:val="24"/>
          <w:lang w:val="en-GB"/>
        </w:rPr>
        <w:t>patients with normal and abnormal AETs was 2.2</w:t>
      </w:r>
      <w:r w:rsidRPr="004B4B2E">
        <w:rPr>
          <w:rFonts w:ascii="Arial" w:hAnsi="Arial" w:cs="Arial"/>
          <w:sz w:val="24"/>
          <w:szCs w:val="24"/>
          <w:lang w:val="en-GB"/>
        </w:rPr>
        <w:t xml:space="preserve"> (</w:t>
      </w:r>
      <w:r w:rsidR="00830331">
        <w:rPr>
          <w:rFonts w:ascii="Arial" w:hAnsi="Arial" w:cs="Arial"/>
          <w:sz w:val="24"/>
          <w:szCs w:val="24"/>
          <w:lang w:val="en-GB"/>
        </w:rPr>
        <w:t>IQR 1.6-3.3)</w:t>
      </w:r>
      <w:r w:rsidRPr="004B4B2E">
        <w:rPr>
          <w:rFonts w:ascii="Arial" w:hAnsi="Arial" w:cs="Arial"/>
          <w:sz w:val="24"/>
          <w:szCs w:val="24"/>
          <w:lang w:val="en-GB"/>
        </w:rPr>
        <w:t xml:space="preserve"> and </w:t>
      </w:r>
      <w:r w:rsidR="00830331">
        <w:rPr>
          <w:rFonts w:ascii="Arial" w:hAnsi="Arial" w:cs="Arial"/>
          <w:sz w:val="24"/>
          <w:szCs w:val="24"/>
          <w:lang w:val="en-GB"/>
        </w:rPr>
        <w:t>2.6</w:t>
      </w:r>
      <w:r w:rsidRPr="004B4B2E">
        <w:rPr>
          <w:rFonts w:ascii="Arial" w:hAnsi="Arial" w:cs="Arial"/>
          <w:sz w:val="24"/>
          <w:szCs w:val="24"/>
          <w:lang w:val="en-GB"/>
        </w:rPr>
        <w:t xml:space="preserve"> (</w:t>
      </w:r>
      <w:r w:rsidR="00830331">
        <w:rPr>
          <w:rFonts w:ascii="Arial" w:hAnsi="Arial" w:cs="Arial"/>
          <w:sz w:val="24"/>
          <w:szCs w:val="24"/>
          <w:lang w:val="en-GB"/>
        </w:rPr>
        <w:t>IQR 1.5-3.5)</w:t>
      </w:r>
      <w:r w:rsidRPr="004B4B2E">
        <w:rPr>
          <w:rFonts w:ascii="Arial" w:hAnsi="Arial" w:cs="Arial"/>
          <w:sz w:val="24"/>
          <w:szCs w:val="24"/>
          <w:lang w:val="en-GB"/>
        </w:rPr>
        <w:t>, respectively</w:t>
      </w:r>
      <w:r w:rsidR="00FB560E" w:rsidRPr="004B4B2E">
        <w:rPr>
          <w:rFonts w:ascii="Arial" w:hAnsi="Arial" w:cs="Arial"/>
          <w:sz w:val="24"/>
          <w:szCs w:val="24"/>
          <w:lang w:val="en-GB"/>
        </w:rPr>
        <w:t xml:space="preserve"> (</w:t>
      </w:r>
      <w:r w:rsidR="005D33ED" w:rsidRPr="004B4B2E">
        <w:rPr>
          <w:rFonts w:ascii="Arial" w:hAnsi="Arial" w:cs="Arial"/>
          <w:i/>
          <w:sz w:val="24"/>
          <w:szCs w:val="24"/>
          <w:lang w:val="en-GB"/>
        </w:rPr>
        <w:t>P</w:t>
      </w:r>
      <w:r w:rsidR="005D33ED" w:rsidRPr="004B4B2E">
        <w:rPr>
          <w:rFonts w:ascii="Arial" w:hAnsi="Arial" w:cs="Arial"/>
          <w:sz w:val="24"/>
          <w:szCs w:val="24"/>
          <w:lang w:val="en-GB"/>
        </w:rPr>
        <w:t>=</w:t>
      </w:r>
      <w:r w:rsidR="00830331" w:rsidRPr="00830331">
        <w:rPr>
          <w:rFonts w:ascii="Arial" w:hAnsi="Arial" w:cs="Arial"/>
          <w:sz w:val="24"/>
          <w:szCs w:val="24"/>
          <w:lang w:val="en-GB"/>
        </w:rPr>
        <w:t>.52</w:t>
      </w:r>
      <w:r w:rsidR="00830331">
        <w:rPr>
          <w:rFonts w:ascii="Arial" w:hAnsi="Arial" w:cs="Arial"/>
          <w:sz w:val="24"/>
          <w:szCs w:val="24"/>
          <w:lang w:val="en-GB"/>
        </w:rPr>
        <w:t>6</w:t>
      </w:r>
      <w:r w:rsidRPr="004B4B2E">
        <w:rPr>
          <w:rFonts w:ascii="Arial" w:hAnsi="Arial" w:cs="Arial"/>
          <w:sz w:val="24"/>
          <w:szCs w:val="24"/>
          <w:lang w:val="en-GB"/>
        </w:rPr>
        <w:t>)</w:t>
      </w:r>
      <w:r w:rsidR="005D33ED" w:rsidRPr="004B4B2E">
        <w:rPr>
          <w:rFonts w:ascii="Arial" w:hAnsi="Arial" w:cs="Arial"/>
          <w:sz w:val="24"/>
          <w:szCs w:val="24"/>
          <w:lang w:val="en-GB"/>
        </w:rPr>
        <w:t xml:space="preserve">. </w:t>
      </w:r>
      <w:r w:rsidR="00756EE2">
        <w:rPr>
          <w:rFonts w:ascii="Arial" w:hAnsi="Arial" w:cs="Arial"/>
          <w:sz w:val="24"/>
          <w:szCs w:val="24"/>
          <w:lang w:val="en-GB"/>
        </w:rPr>
        <w:t xml:space="preserve">Three patients had missing questionnaire scores. </w:t>
      </w:r>
      <w:r w:rsidR="005D33ED" w:rsidRPr="004B4B2E">
        <w:rPr>
          <w:rFonts w:ascii="Arial" w:hAnsi="Arial" w:cs="Arial"/>
          <w:sz w:val="24"/>
          <w:szCs w:val="24"/>
          <w:lang w:val="en-GB"/>
        </w:rPr>
        <w:t>None of the 6 symptoms included in the RDQ questi</w:t>
      </w:r>
      <w:r w:rsidR="00923ACA" w:rsidRPr="004B4B2E">
        <w:rPr>
          <w:rFonts w:ascii="Arial" w:hAnsi="Arial" w:cs="Arial"/>
          <w:sz w:val="24"/>
          <w:szCs w:val="24"/>
          <w:lang w:val="en-GB"/>
        </w:rPr>
        <w:t xml:space="preserve">onnaire </w:t>
      </w:r>
      <w:r w:rsidR="005D33ED" w:rsidRPr="004B4B2E">
        <w:rPr>
          <w:rFonts w:ascii="Arial" w:hAnsi="Arial" w:cs="Arial"/>
          <w:sz w:val="24"/>
          <w:szCs w:val="24"/>
          <w:lang w:val="en-GB"/>
        </w:rPr>
        <w:t>was predictive for persistent acid reflux in a multivariable logistic regression model (</w:t>
      </w:r>
      <w:r w:rsidR="005D33ED" w:rsidRPr="004B4B2E">
        <w:rPr>
          <w:rFonts w:ascii="Arial" w:hAnsi="Arial" w:cs="Arial"/>
          <w:i/>
          <w:sz w:val="24"/>
          <w:szCs w:val="24"/>
          <w:lang w:val="en-GB"/>
        </w:rPr>
        <w:t>P</w:t>
      </w:r>
      <w:r w:rsidR="005D33ED" w:rsidRPr="004B4B2E">
        <w:rPr>
          <w:rFonts w:ascii="Arial" w:hAnsi="Arial" w:cs="Arial"/>
          <w:sz w:val="24"/>
          <w:szCs w:val="24"/>
          <w:lang w:val="en-GB"/>
        </w:rPr>
        <w:t>=</w:t>
      </w:r>
      <w:r w:rsidR="00830331" w:rsidRPr="00830331">
        <w:rPr>
          <w:rFonts w:ascii="Arial" w:hAnsi="Arial" w:cs="Arial"/>
          <w:sz w:val="24"/>
          <w:szCs w:val="24"/>
          <w:lang w:val="en-GB"/>
        </w:rPr>
        <w:t>.797</w:t>
      </w:r>
      <w:r w:rsidR="005D33ED" w:rsidRPr="004B4B2E">
        <w:rPr>
          <w:rFonts w:ascii="Arial" w:hAnsi="Arial" w:cs="Arial"/>
          <w:sz w:val="24"/>
          <w:szCs w:val="24"/>
          <w:lang w:val="en-GB"/>
        </w:rPr>
        <w:t xml:space="preserve">). </w:t>
      </w:r>
      <w:r w:rsidR="00043C44" w:rsidRPr="004B4B2E">
        <w:rPr>
          <w:rFonts w:ascii="Arial" w:hAnsi="Arial" w:cs="Arial"/>
          <w:sz w:val="24"/>
          <w:szCs w:val="24"/>
          <w:lang w:val="en-GB"/>
        </w:rPr>
        <w:t xml:space="preserve">The symptoms scores for each group are presented in supplementary table 1. </w:t>
      </w:r>
      <w:r w:rsidR="00961557">
        <w:rPr>
          <w:rFonts w:ascii="Arial" w:hAnsi="Arial" w:cs="Arial"/>
          <w:sz w:val="24"/>
          <w:szCs w:val="24"/>
          <w:lang w:val="en-GB"/>
        </w:rPr>
        <w:t xml:space="preserve">Also, we did not find significant difference in the median symptom score among </w:t>
      </w:r>
      <w:r w:rsidR="00966D16">
        <w:rPr>
          <w:rFonts w:ascii="Arial" w:hAnsi="Arial" w:cs="Arial"/>
          <w:sz w:val="24"/>
          <w:szCs w:val="24"/>
          <w:lang w:val="en-GB"/>
        </w:rPr>
        <w:t xml:space="preserve">patients with esophageal hypersensitivity, functional heartburn and GERD with </w:t>
      </w:r>
      <w:r w:rsidR="00F54C5B">
        <w:rPr>
          <w:rFonts w:ascii="Arial" w:hAnsi="Arial" w:cs="Arial"/>
          <w:sz w:val="24"/>
          <w:szCs w:val="24"/>
          <w:lang w:val="en-GB"/>
        </w:rPr>
        <w:t>persistent acid reflux</w:t>
      </w:r>
      <w:r w:rsidR="00CA34FF">
        <w:rPr>
          <w:rFonts w:ascii="Arial" w:hAnsi="Arial" w:cs="Arial"/>
          <w:sz w:val="24"/>
          <w:szCs w:val="24"/>
          <w:lang w:val="en-GB"/>
        </w:rPr>
        <w:t xml:space="preserve"> </w:t>
      </w:r>
      <w:r w:rsidR="0040295C">
        <w:rPr>
          <w:rFonts w:ascii="Arial" w:hAnsi="Arial" w:cs="Arial"/>
          <w:sz w:val="24"/>
          <w:szCs w:val="24"/>
          <w:lang w:val="en-GB"/>
        </w:rPr>
        <w:t>(Figure 2</w:t>
      </w:r>
      <w:r w:rsidR="00966D16">
        <w:rPr>
          <w:rFonts w:ascii="Arial" w:hAnsi="Arial" w:cs="Arial"/>
          <w:sz w:val="24"/>
          <w:szCs w:val="24"/>
          <w:lang w:val="en-GB"/>
        </w:rPr>
        <w:t>A)</w:t>
      </w:r>
      <w:r w:rsidR="0040295C">
        <w:rPr>
          <w:rFonts w:ascii="Arial" w:hAnsi="Arial" w:cs="Arial"/>
          <w:sz w:val="24"/>
          <w:szCs w:val="24"/>
          <w:lang w:val="en-GB"/>
        </w:rPr>
        <w:t xml:space="preserve">. </w:t>
      </w:r>
      <w:r w:rsidR="00AB5A91" w:rsidRPr="004B4B2E">
        <w:rPr>
          <w:rFonts w:ascii="Arial" w:hAnsi="Arial" w:cs="Arial"/>
          <w:sz w:val="24"/>
          <w:szCs w:val="24"/>
          <w:lang w:val="en-GB"/>
        </w:rPr>
        <w:t xml:space="preserve">Patients with Barrett’s esophagus had </w:t>
      </w:r>
      <w:r w:rsidR="00FB560E" w:rsidRPr="004B4B2E">
        <w:rPr>
          <w:rFonts w:ascii="Arial" w:hAnsi="Arial" w:cs="Arial"/>
          <w:sz w:val="24"/>
          <w:szCs w:val="24"/>
          <w:lang w:val="en-GB"/>
        </w:rPr>
        <w:t xml:space="preserve">significantly lower </w:t>
      </w:r>
      <w:r w:rsidR="00DB6B09">
        <w:rPr>
          <w:rFonts w:ascii="Arial" w:hAnsi="Arial" w:cs="Arial"/>
          <w:sz w:val="24"/>
          <w:szCs w:val="24"/>
          <w:lang w:val="en-GB"/>
        </w:rPr>
        <w:t>median</w:t>
      </w:r>
      <w:r w:rsidR="00DB6B09" w:rsidRPr="004B4B2E">
        <w:rPr>
          <w:rFonts w:ascii="Arial" w:hAnsi="Arial" w:cs="Arial"/>
          <w:sz w:val="24"/>
          <w:szCs w:val="24"/>
          <w:lang w:val="en-GB"/>
        </w:rPr>
        <w:t xml:space="preserve"> </w:t>
      </w:r>
      <w:r w:rsidR="00FB560E" w:rsidRPr="004B4B2E">
        <w:rPr>
          <w:rFonts w:ascii="Arial" w:hAnsi="Arial" w:cs="Arial"/>
          <w:sz w:val="24"/>
          <w:szCs w:val="24"/>
          <w:lang w:val="en-GB"/>
        </w:rPr>
        <w:t xml:space="preserve">severity of symptoms as compared to patients without Barrett’s </w:t>
      </w:r>
      <w:r w:rsidR="00A52D67">
        <w:rPr>
          <w:rFonts w:ascii="Arial" w:hAnsi="Arial" w:cs="Arial"/>
          <w:sz w:val="24"/>
          <w:szCs w:val="24"/>
          <w:lang w:val="en-GB"/>
        </w:rPr>
        <w:t>[1.0 (IQR1.0-1.8) vs. 2.5 (IQR1.0-4.0)</w:t>
      </w:r>
      <w:r w:rsidR="00A52D67">
        <w:rPr>
          <w:rFonts w:ascii="Arial" w:hAnsi="Arial" w:cs="Arial"/>
          <w:i/>
          <w:sz w:val="24"/>
          <w:szCs w:val="24"/>
          <w:lang w:val="en-GB"/>
        </w:rPr>
        <w:t xml:space="preserve">, </w:t>
      </w:r>
      <w:r w:rsidR="00FB560E" w:rsidRPr="004B4B2E">
        <w:rPr>
          <w:rFonts w:ascii="Arial" w:hAnsi="Arial" w:cs="Arial"/>
          <w:i/>
          <w:sz w:val="24"/>
          <w:szCs w:val="24"/>
          <w:lang w:val="en-GB"/>
        </w:rPr>
        <w:t>P</w:t>
      </w:r>
      <w:r w:rsidR="00FB560E" w:rsidRPr="004B4B2E">
        <w:rPr>
          <w:rFonts w:ascii="Arial" w:hAnsi="Arial" w:cs="Arial"/>
          <w:sz w:val="24"/>
          <w:szCs w:val="24"/>
          <w:lang w:val="en-GB"/>
        </w:rPr>
        <w:t>=.0</w:t>
      </w:r>
      <w:r w:rsidR="00A52D67">
        <w:rPr>
          <w:rFonts w:ascii="Arial" w:hAnsi="Arial" w:cs="Arial"/>
          <w:sz w:val="24"/>
          <w:szCs w:val="24"/>
          <w:lang w:val="en-GB"/>
        </w:rPr>
        <w:t>11</w:t>
      </w:r>
      <w:r w:rsidR="00FB560E" w:rsidRPr="004B4B2E">
        <w:rPr>
          <w:rFonts w:ascii="Arial" w:hAnsi="Arial" w:cs="Arial"/>
          <w:sz w:val="24"/>
          <w:szCs w:val="24"/>
          <w:lang w:val="en-GB"/>
        </w:rPr>
        <w:t>)</w:t>
      </w:r>
      <w:r w:rsidR="006E3433" w:rsidRPr="004B4B2E">
        <w:rPr>
          <w:rFonts w:ascii="Arial" w:hAnsi="Arial" w:cs="Arial"/>
          <w:sz w:val="24"/>
          <w:szCs w:val="24"/>
          <w:lang w:val="en-GB"/>
        </w:rPr>
        <w:t>, despite no difference in PPI regimens (</w:t>
      </w:r>
      <w:r w:rsidR="006E3433" w:rsidRPr="004B4B2E">
        <w:rPr>
          <w:rFonts w:ascii="Arial" w:hAnsi="Arial" w:cs="Arial"/>
          <w:i/>
          <w:sz w:val="24"/>
          <w:szCs w:val="24"/>
          <w:lang w:val="en-GB"/>
        </w:rPr>
        <w:t>P</w:t>
      </w:r>
      <w:r w:rsidR="006E3433" w:rsidRPr="004B4B2E">
        <w:rPr>
          <w:rFonts w:ascii="Arial" w:hAnsi="Arial" w:cs="Arial"/>
          <w:sz w:val="24"/>
          <w:szCs w:val="24"/>
          <w:lang w:val="en-GB"/>
        </w:rPr>
        <w:t>=.8</w:t>
      </w:r>
      <w:r w:rsidR="00DB6B09">
        <w:rPr>
          <w:rFonts w:ascii="Arial" w:hAnsi="Arial" w:cs="Arial"/>
          <w:sz w:val="24"/>
          <w:szCs w:val="24"/>
          <w:lang w:val="en-GB"/>
        </w:rPr>
        <w:t>83</w:t>
      </w:r>
      <w:r w:rsidR="006E3433" w:rsidRPr="004B4B2E">
        <w:rPr>
          <w:rFonts w:ascii="Arial" w:hAnsi="Arial" w:cs="Arial"/>
          <w:sz w:val="24"/>
          <w:szCs w:val="24"/>
          <w:lang w:val="en-GB"/>
        </w:rPr>
        <w:t>)</w:t>
      </w:r>
      <w:r w:rsidR="00BD00FB">
        <w:rPr>
          <w:rFonts w:ascii="Arial" w:hAnsi="Arial" w:cs="Arial"/>
          <w:sz w:val="24"/>
          <w:szCs w:val="24"/>
          <w:lang w:val="en-GB"/>
        </w:rPr>
        <w:t xml:space="preserve">; </w:t>
      </w:r>
      <w:r w:rsidR="00B320E6" w:rsidRPr="004B4B2E">
        <w:rPr>
          <w:rFonts w:ascii="Arial" w:hAnsi="Arial" w:cs="Arial"/>
          <w:sz w:val="24"/>
          <w:szCs w:val="24"/>
          <w:lang w:val="en-GB"/>
        </w:rPr>
        <w:t xml:space="preserve">Figure </w:t>
      </w:r>
      <w:r w:rsidR="0040295C">
        <w:rPr>
          <w:rFonts w:ascii="Arial" w:hAnsi="Arial" w:cs="Arial"/>
          <w:sz w:val="24"/>
          <w:szCs w:val="24"/>
          <w:lang w:val="en-GB"/>
        </w:rPr>
        <w:t>2</w:t>
      </w:r>
      <w:r w:rsidR="00A52D67">
        <w:rPr>
          <w:rFonts w:ascii="Arial" w:hAnsi="Arial" w:cs="Arial"/>
          <w:sz w:val="24"/>
          <w:szCs w:val="24"/>
          <w:lang w:val="en-GB"/>
        </w:rPr>
        <w:t>B</w:t>
      </w:r>
      <w:r w:rsidR="00B320E6" w:rsidRPr="004B4B2E">
        <w:rPr>
          <w:rFonts w:ascii="Arial" w:hAnsi="Arial" w:cs="Arial"/>
          <w:sz w:val="24"/>
          <w:szCs w:val="24"/>
          <w:lang w:val="en-GB"/>
        </w:rPr>
        <w:t>.</w:t>
      </w:r>
      <w:bookmarkStart w:id="1" w:name="_Hlk10154315"/>
      <w:r w:rsidR="00FE181A" w:rsidRPr="00FE181A">
        <w:rPr>
          <w:rFonts w:ascii="Arial" w:hAnsi="Arial" w:cs="Arial"/>
          <w:color w:val="000000" w:themeColor="text1"/>
          <w:sz w:val="24"/>
          <w:szCs w:val="24"/>
          <w:lang w:val="en-GB"/>
        </w:rPr>
        <w:t xml:space="preserve"> </w:t>
      </w:r>
      <w:r w:rsidR="00966D16">
        <w:rPr>
          <w:rFonts w:ascii="Arial" w:hAnsi="Arial" w:cs="Arial"/>
          <w:color w:val="000000" w:themeColor="text1"/>
          <w:sz w:val="24"/>
          <w:szCs w:val="24"/>
          <w:lang w:val="en-GB"/>
        </w:rPr>
        <w:t>There was a trend for p</w:t>
      </w:r>
      <w:r w:rsidR="00FE181A">
        <w:rPr>
          <w:rFonts w:ascii="Arial" w:hAnsi="Arial" w:cs="Arial"/>
          <w:color w:val="000000" w:themeColor="text1"/>
          <w:sz w:val="24"/>
          <w:szCs w:val="24"/>
          <w:lang w:val="en-GB"/>
        </w:rPr>
        <w:t xml:space="preserve">atients with higher symptom </w:t>
      </w:r>
      <w:r w:rsidR="00FE181A">
        <w:rPr>
          <w:rFonts w:ascii="Arial" w:hAnsi="Arial" w:cs="Arial"/>
          <w:color w:val="000000" w:themeColor="text1"/>
          <w:sz w:val="24"/>
          <w:szCs w:val="24"/>
          <w:lang w:val="en-GB"/>
        </w:rPr>
        <w:lastRenderedPageBreak/>
        <w:t xml:space="preserve">burden </w:t>
      </w:r>
      <w:r w:rsidR="00966D16">
        <w:rPr>
          <w:rFonts w:ascii="Arial" w:hAnsi="Arial" w:cs="Arial"/>
          <w:color w:val="000000" w:themeColor="text1"/>
          <w:sz w:val="24"/>
          <w:szCs w:val="24"/>
          <w:lang w:val="en-GB"/>
        </w:rPr>
        <w:t xml:space="preserve">to have </w:t>
      </w:r>
      <w:r w:rsidR="00FE181A">
        <w:rPr>
          <w:rFonts w:ascii="Arial" w:hAnsi="Arial" w:cs="Arial"/>
          <w:color w:val="000000" w:themeColor="text1"/>
          <w:sz w:val="24"/>
          <w:szCs w:val="24"/>
          <w:lang w:val="en-GB"/>
        </w:rPr>
        <w:t>lower gastric pH</w:t>
      </w:r>
      <w:r w:rsidR="00966D16">
        <w:rPr>
          <w:rFonts w:ascii="Arial" w:hAnsi="Arial" w:cs="Arial"/>
          <w:color w:val="000000" w:themeColor="text1"/>
          <w:sz w:val="24"/>
          <w:szCs w:val="24"/>
          <w:lang w:val="en-GB"/>
        </w:rPr>
        <w:t xml:space="preserve">, but this difference did not reach statistical significance. Namely patients </w:t>
      </w:r>
      <w:r w:rsidR="00FE181A">
        <w:rPr>
          <w:rFonts w:ascii="Arial" w:hAnsi="Arial" w:cs="Arial"/>
          <w:color w:val="000000" w:themeColor="text1"/>
          <w:sz w:val="24"/>
          <w:szCs w:val="24"/>
          <w:lang w:val="en-GB"/>
        </w:rPr>
        <w:t xml:space="preserve">with no/minimal symptoms </w:t>
      </w:r>
      <w:r w:rsidR="00FE181A" w:rsidRPr="001B287D">
        <w:rPr>
          <w:rFonts w:ascii="Arial" w:hAnsi="Arial" w:cs="Arial"/>
          <w:color w:val="000000" w:themeColor="text1"/>
          <w:sz w:val="24"/>
          <w:szCs w:val="24"/>
          <w:lang w:val="en-GB"/>
        </w:rPr>
        <w:t>(n=4</w:t>
      </w:r>
      <w:r w:rsidR="00FE181A">
        <w:rPr>
          <w:rFonts w:ascii="Arial" w:hAnsi="Arial" w:cs="Arial"/>
          <w:color w:val="000000" w:themeColor="text1"/>
          <w:sz w:val="24"/>
          <w:szCs w:val="24"/>
          <w:lang w:val="en-GB"/>
        </w:rPr>
        <w:t>9</w:t>
      </w:r>
      <w:r w:rsidR="00FE181A" w:rsidRPr="001B287D">
        <w:rPr>
          <w:rFonts w:ascii="Arial" w:hAnsi="Arial" w:cs="Arial"/>
          <w:color w:val="000000" w:themeColor="text1"/>
          <w:sz w:val="24"/>
          <w:szCs w:val="24"/>
          <w:lang w:val="en-GB"/>
        </w:rPr>
        <w:t>)</w:t>
      </w:r>
      <w:r w:rsidR="00FE181A">
        <w:rPr>
          <w:rFonts w:ascii="Arial" w:hAnsi="Arial" w:cs="Arial"/>
          <w:color w:val="000000" w:themeColor="text1"/>
          <w:sz w:val="24"/>
          <w:szCs w:val="24"/>
          <w:lang w:val="en-GB"/>
        </w:rPr>
        <w:t xml:space="preserve">, moderate symptoms </w:t>
      </w:r>
      <w:r w:rsidR="00FE181A" w:rsidRPr="00897497">
        <w:rPr>
          <w:rFonts w:ascii="Arial" w:hAnsi="Arial" w:cs="Arial"/>
          <w:color w:val="000000" w:themeColor="text1"/>
          <w:sz w:val="24"/>
          <w:szCs w:val="24"/>
          <w:lang w:val="en-GB"/>
        </w:rPr>
        <w:t>(n=</w:t>
      </w:r>
      <w:r w:rsidR="00FE181A">
        <w:rPr>
          <w:rFonts w:ascii="Arial" w:hAnsi="Arial" w:cs="Arial"/>
          <w:color w:val="000000" w:themeColor="text1"/>
          <w:sz w:val="24"/>
          <w:szCs w:val="24"/>
          <w:lang w:val="en-GB"/>
        </w:rPr>
        <w:t>29</w:t>
      </w:r>
      <w:r w:rsidR="00FE181A" w:rsidRPr="00897497">
        <w:rPr>
          <w:rFonts w:ascii="Arial" w:hAnsi="Arial" w:cs="Arial"/>
          <w:color w:val="000000" w:themeColor="text1"/>
          <w:sz w:val="24"/>
          <w:szCs w:val="24"/>
          <w:lang w:val="en-GB"/>
        </w:rPr>
        <w:t xml:space="preserve">) </w:t>
      </w:r>
      <w:r w:rsidR="00FE181A">
        <w:rPr>
          <w:rFonts w:ascii="Arial" w:hAnsi="Arial" w:cs="Arial"/>
          <w:color w:val="000000" w:themeColor="text1"/>
          <w:sz w:val="24"/>
          <w:szCs w:val="24"/>
          <w:lang w:val="en-GB"/>
        </w:rPr>
        <w:t xml:space="preserve">and severe symptoms </w:t>
      </w:r>
      <w:r w:rsidR="00FE181A" w:rsidRPr="00D667AF">
        <w:rPr>
          <w:rFonts w:ascii="Arial" w:hAnsi="Arial" w:cs="Arial"/>
          <w:color w:val="000000" w:themeColor="text1"/>
          <w:sz w:val="24"/>
          <w:szCs w:val="24"/>
          <w:lang w:val="en-GB"/>
        </w:rPr>
        <w:t>(n=</w:t>
      </w:r>
      <w:r w:rsidR="00FE181A">
        <w:rPr>
          <w:rFonts w:ascii="Arial" w:hAnsi="Arial" w:cs="Arial"/>
          <w:color w:val="000000" w:themeColor="text1"/>
          <w:sz w:val="24"/>
          <w:szCs w:val="24"/>
          <w:lang w:val="en-GB"/>
        </w:rPr>
        <w:t>11</w:t>
      </w:r>
      <w:r w:rsidR="00FE181A" w:rsidRPr="00D667AF">
        <w:rPr>
          <w:rFonts w:ascii="Arial" w:hAnsi="Arial" w:cs="Arial"/>
          <w:color w:val="000000" w:themeColor="text1"/>
          <w:sz w:val="24"/>
          <w:szCs w:val="24"/>
          <w:lang w:val="en-GB"/>
        </w:rPr>
        <w:t>)</w:t>
      </w:r>
      <w:r w:rsidR="00FE181A">
        <w:rPr>
          <w:rFonts w:ascii="Arial" w:hAnsi="Arial" w:cs="Arial"/>
          <w:color w:val="000000" w:themeColor="text1"/>
          <w:sz w:val="24"/>
          <w:szCs w:val="24"/>
          <w:lang w:val="en-GB"/>
        </w:rPr>
        <w:t xml:space="preserve"> had a median gastric pH of 6.8 (IQR 5.1-7.2), 6.1 (IQR 4.5-7.0) and 5.6 (IQR 5.3-6.8), respectively. </w:t>
      </w:r>
    </w:p>
    <w:bookmarkEnd w:id="1"/>
    <w:p w14:paraId="4BE17D82" w14:textId="11FAAC00" w:rsidR="00093E0B" w:rsidRPr="004B4B2E" w:rsidRDefault="00093E0B">
      <w:pPr>
        <w:spacing w:line="480" w:lineRule="auto"/>
        <w:jc w:val="both"/>
        <w:rPr>
          <w:rFonts w:ascii="Arial" w:hAnsi="Arial" w:cs="Arial"/>
          <w:b/>
          <w:sz w:val="24"/>
          <w:szCs w:val="24"/>
          <w:lang w:val="en-GB"/>
        </w:rPr>
      </w:pPr>
      <w:r w:rsidRPr="00966D16">
        <w:rPr>
          <w:rFonts w:ascii="Arial" w:hAnsi="Arial" w:cs="Arial"/>
          <w:b/>
          <w:color w:val="000000" w:themeColor="text1"/>
          <w:sz w:val="24"/>
          <w:szCs w:val="24"/>
          <w:lang w:val="en-GB"/>
        </w:rPr>
        <w:t>3.</w:t>
      </w:r>
      <w:r w:rsidR="00FE181A">
        <w:rPr>
          <w:rFonts w:ascii="Arial" w:hAnsi="Arial" w:cs="Arial"/>
          <w:b/>
          <w:color w:val="000000" w:themeColor="text1"/>
          <w:sz w:val="24"/>
          <w:szCs w:val="24"/>
          <w:lang w:val="en-GB"/>
        </w:rPr>
        <w:t>3</w:t>
      </w:r>
      <w:r w:rsidRPr="00966D16">
        <w:rPr>
          <w:rFonts w:ascii="Arial" w:hAnsi="Arial" w:cs="Arial"/>
          <w:b/>
          <w:color w:val="000000" w:themeColor="text1"/>
          <w:sz w:val="24"/>
          <w:szCs w:val="24"/>
          <w:lang w:val="en-GB"/>
        </w:rPr>
        <w:t xml:space="preserve"> </w:t>
      </w:r>
      <w:proofErr w:type="spellStart"/>
      <w:r w:rsidR="00C211AA" w:rsidRPr="00966D16">
        <w:rPr>
          <w:rFonts w:ascii="Arial" w:hAnsi="Arial" w:cs="Arial"/>
          <w:b/>
          <w:color w:val="000000" w:themeColor="text1"/>
          <w:sz w:val="24"/>
          <w:szCs w:val="24"/>
          <w:lang w:val="en-GB"/>
        </w:rPr>
        <w:t>EndoFaster</w:t>
      </w:r>
      <w:proofErr w:type="spellEnd"/>
      <w:r w:rsidR="00C211AA" w:rsidRPr="00966D16">
        <w:rPr>
          <w:rFonts w:ascii="Arial" w:hAnsi="Arial" w:cs="Arial"/>
          <w:b/>
          <w:color w:val="000000" w:themeColor="text1"/>
          <w:sz w:val="24"/>
          <w:szCs w:val="24"/>
          <w:lang w:val="en-GB"/>
        </w:rPr>
        <w:t xml:space="preserve"> </w:t>
      </w:r>
      <w:r w:rsidR="00C80A34" w:rsidRPr="00966D16">
        <w:rPr>
          <w:rFonts w:ascii="Arial" w:hAnsi="Arial" w:cs="Arial"/>
          <w:b/>
          <w:color w:val="000000" w:themeColor="text1"/>
          <w:sz w:val="24"/>
          <w:szCs w:val="24"/>
          <w:lang w:val="en-GB"/>
        </w:rPr>
        <w:t xml:space="preserve">gastric pH </w:t>
      </w:r>
      <w:r w:rsidR="00FE181A">
        <w:rPr>
          <w:rFonts w:ascii="Arial" w:hAnsi="Arial" w:cs="Arial"/>
          <w:b/>
          <w:sz w:val="24"/>
          <w:szCs w:val="24"/>
          <w:lang w:val="en-GB"/>
        </w:rPr>
        <w:t>a</w:t>
      </w:r>
      <w:r w:rsidR="000E07A2" w:rsidRPr="00745AEB">
        <w:rPr>
          <w:rFonts w:ascii="Arial" w:hAnsi="Arial" w:cs="Arial"/>
          <w:b/>
          <w:sz w:val="24"/>
          <w:szCs w:val="24"/>
          <w:lang w:val="en-GB"/>
        </w:rPr>
        <w:t xml:space="preserve">nd </w:t>
      </w:r>
      <w:r w:rsidR="001E79D1" w:rsidRPr="004B4B2E">
        <w:rPr>
          <w:rFonts w:ascii="Arial" w:hAnsi="Arial" w:cs="Arial"/>
          <w:b/>
          <w:sz w:val="24"/>
          <w:szCs w:val="24"/>
          <w:lang w:val="en-GB"/>
        </w:rPr>
        <w:t>24-hour pH-</w:t>
      </w:r>
      <w:r w:rsidR="005A6797" w:rsidRPr="004B4B2E">
        <w:rPr>
          <w:rFonts w:ascii="Arial" w:hAnsi="Arial" w:cs="Arial"/>
          <w:b/>
          <w:sz w:val="24"/>
          <w:szCs w:val="24"/>
          <w:lang w:val="en-GB"/>
        </w:rPr>
        <w:t>impedance</w:t>
      </w:r>
    </w:p>
    <w:p w14:paraId="03CF9B92" w14:textId="1491F422" w:rsidR="00A6463C" w:rsidRPr="004B4B2E" w:rsidRDefault="001C2051" w:rsidP="001B3D49">
      <w:pPr>
        <w:spacing w:line="480" w:lineRule="auto"/>
        <w:jc w:val="both"/>
        <w:rPr>
          <w:rFonts w:ascii="Arial" w:hAnsi="Arial" w:cs="Arial"/>
          <w:sz w:val="24"/>
          <w:szCs w:val="24"/>
          <w:lang w:val="en-GB"/>
        </w:rPr>
      </w:pPr>
      <w:r w:rsidRPr="004B4B2E">
        <w:rPr>
          <w:rFonts w:ascii="Arial" w:hAnsi="Arial" w:cs="Arial"/>
          <w:sz w:val="24"/>
          <w:szCs w:val="24"/>
          <w:lang w:val="en-GB"/>
        </w:rPr>
        <w:t xml:space="preserve">Firstly, </w:t>
      </w:r>
      <w:r w:rsidR="009B4A98">
        <w:rPr>
          <w:rFonts w:ascii="Arial" w:hAnsi="Arial" w:cs="Arial"/>
          <w:sz w:val="24"/>
          <w:szCs w:val="24"/>
          <w:lang w:val="en-GB"/>
        </w:rPr>
        <w:t xml:space="preserve">using the Spearman method, </w:t>
      </w:r>
      <w:r w:rsidRPr="004B4B2E">
        <w:rPr>
          <w:rFonts w:ascii="Arial" w:hAnsi="Arial" w:cs="Arial"/>
          <w:sz w:val="24"/>
          <w:szCs w:val="24"/>
          <w:lang w:val="en-GB"/>
        </w:rPr>
        <w:t xml:space="preserve">we </w:t>
      </w:r>
      <w:proofErr w:type="spellStart"/>
      <w:r w:rsidR="00974B4C" w:rsidRPr="004B4B2E">
        <w:rPr>
          <w:rFonts w:ascii="Arial" w:hAnsi="Arial" w:cs="Arial"/>
          <w:sz w:val="24"/>
          <w:szCs w:val="24"/>
          <w:lang w:val="en-GB"/>
        </w:rPr>
        <w:t>analyzed</w:t>
      </w:r>
      <w:proofErr w:type="spellEnd"/>
      <w:r w:rsidR="00974B4C" w:rsidRPr="004B4B2E">
        <w:rPr>
          <w:rFonts w:ascii="Arial" w:hAnsi="Arial" w:cs="Arial"/>
          <w:sz w:val="24"/>
          <w:szCs w:val="24"/>
          <w:lang w:val="en-GB"/>
        </w:rPr>
        <w:t xml:space="preserve"> the </w:t>
      </w:r>
      <w:r w:rsidR="009B4A98">
        <w:rPr>
          <w:rFonts w:ascii="Arial" w:hAnsi="Arial" w:cs="Arial"/>
          <w:sz w:val="24"/>
          <w:szCs w:val="24"/>
          <w:lang w:val="en-GB"/>
        </w:rPr>
        <w:t>correlation</w:t>
      </w:r>
      <w:r w:rsidR="009B4A98" w:rsidRPr="004B4B2E">
        <w:rPr>
          <w:rFonts w:ascii="Arial" w:hAnsi="Arial" w:cs="Arial"/>
          <w:sz w:val="24"/>
          <w:szCs w:val="24"/>
          <w:lang w:val="en-GB"/>
        </w:rPr>
        <w:t xml:space="preserve"> </w:t>
      </w:r>
      <w:r w:rsidR="00974B4C" w:rsidRPr="004B4B2E">
        <w:rPr>
          <w:rFonts w:ascii="Arial" w:hAnsi="Arial" w:cs="Arial"/>
          <w:sz w:val="24"/>
          <w:szCs w:val="24"/>
          <w:lang w:val="en-GB"/>
        </w:rPr>
        <w:t>between</w:t>
      </w:r>
      <w:r w:rsidR="0077562D" w:rsidRPr="004B4B2E">
        <w:rPr>
          <w:rFonts w:ascii="Arial" w:hAnsi="Arial" w:cs="Arial"/>
          <w:sz w:val="24"/>
          <w:szCs w:val="24"/>
          <w:lang w:val="en-GB"/>
        </w:rPr>
        <w:t xml:space="preserve"> one-point </w:t>
      </w:r>
      <w:r w:rsidR="00A030EB">
        <w:rPr>
          <w:rFonts w:ascii="Arial" w:hAnsi="Arial" w:cs="Arial"/>
          <w:sz w:val="24"/>
          <w:szCs w:val="24"/>
          <w:lang w:val="en-GB"/>
        </w:rPr>
        <w:t>gastric pH</w:t>
      </w:r>
      <w:r w:rsidR="0077562D" w:rsidRPr="004B4B2E">
        <w:rPr>
          <w:rFonts w:ascii="Arial" w:hAnsi="Arial" w:cs="Arial"/>
          <w:sz w:val="24"/>
          <w:szCs w:val="24"/>
          <w:lang w:val="en-GB"/>
        </w:rPr>
        <w:t xml:space="preserve"> measured by </w:t>
      </w:r>
      <w:proofErr w:type="spellStart"/>
      <w:r w:rsidR="0077562D" w:rsidRPr="004B4B2E">
        <w:rPr>
          <w:rFonts w:ascii="Arial" w:hAnsi="Arial" w:cs="Arial"/>
          <w:sz w:val="24"/>
          <w:szCs w:val="24"/>
          <w:lang w:val="en-GB"/>
        </w:rPr>
        <w:t>EndoFaster</w:t>
      </w:r>
      <w:proofErr w:type="spellEnd"/>
      <w:r w:rsidR="0077562D" w:rsidRPr="004B4B2E">
        <w:rPr>
          <w:rFonts w:ascii="Arial" w:hAnsi="Arial" w:cs="Arial"/>
          <w:sz w:val="24"/>
          <w:szCs w:val="24"/>
          <w:lang w:val="en-GB"/>
        </w:rPr>
        <w:t xml:space="preserve"> and the gastric acid exposure time (pH&lt;4 %time) measured </w:t>
      </w:r>
      <w:r w:rsidR="006C7FC2" w:rsidRPr="004B4B2E">
        <w:rPr>
          <w:rFonts w:ascii="Arial" w:hAnsi="Arial" w:cs="Arial"/>
          <w:sz w:val="24"/>
          <w:szCs w:val="24"/>
          <w:lang w:val="en-GB"/>
        </w:rPr>
        <w:t xml:space="preserve">by the gastric sensor </w:t>
      </w:r>
      <w:r w:rsidR="0077562D" w:rsidRPr="004B4B2E">
        <w:rPr>
          <w:rFonts w:ascii="Arial" w:hAnsi="Arial" w:cs="Arial"/>
          <w:sz w:val="24"/>
          <w:szCs w:val="24"/>
          <w:lang w:val="en-GB"/>
        </w:rPr>
        <w:t>during 24-h</w:t>
      </w:r>
      <w:r w:rsidR="006C7FC2" w:rsidRPr="004B4B2E">
        <w:rPr>
          <w:rFonts w:ascii="Arial" w:hAnsi="Arial" w:cs="Arial"/>
          <w:sz w:val="24"/>
          <w:szCs w:val="24"/>
          <w:lang w:val="en-GB"/>
        </w:rPr>
        <w:t>our</w:t>
      </w:r>
      <w:r w:rsidR="0077562D" w:rsidRPr="004B4B2E">
        <w:rPr>
          <w:rFonts w:ascii="Arial" w:hAnsi="Arial" w:cs="Arial"/>
          <w:sz w:val="24"/>
          <w:szCs w:val="24"/>
          <w:lang w:val="en-GB"/>
        </w:rPr>
        <w:t xml:space="preserve"> pH</w:t>
      </w:r>
      <w:r w:rsidR="006C7FC2" w:rsidRPr="004B4B2E">
        <w:rPr>
          <w:rFonts w:ascii="Arial" w:hAnsi="Arial" w:cs="Arial"/>
          <w:sz w:val="24"/>
          <w:szCs w:val="24"/>
          <w:lang w:val="en-GB"/>
        </w:rPr>
        <w:t>-</w:t>
      </w:r>
      <w:r w:rsidR="0077562D" w:rsidRPr="004B4B2E">
        <w:rPr>
          <w:rFonts w:ascii="Arial" w:hAnsi="Arial" w:cs="Arial"/>
          <w:sz w:val="24"/>
          <w:szCs w:val="24"/>
          <w:lang w:val="en-GB"/>
        </w:rPr>
        <w:t>impedance</w:t>
      </w:r>
      <w:r w:rsidRPr="004B4B2E">
        <w:rPr>
          <w:rFonts w:ascii="Arial" w:hAnsi="Arial" w:cs="Arial"/>
          <w:sz w:val="24"/>
          <w:szCs w:val="24"/>
          <w:lang w:val="en-GB"/>
        </w:rPr>
        <w:t xml:space="preserve"> monitoring</w:t>
      </w:r>
      <w:r w:rsidR="009B4A98">
        <w:rPr>
          <w:rFonts w:ascii="Arial" w:hAnsi="Arial" w:cs="Arial"/>
          <w:sz w:val="24"/>
          <w:szCs w:val="24"/>
          <w:lang w:val="en-GB"/>
        </w:rPr>
        <w:t xml:space="preserve"> using. There was a statistically significant</w:t>
      </w:r>
      <w:r w:rsidR="00D5434C" w:rsidRPr="004B4B2E">
        <w:rPr>
          <w:rFonts w:ascii="Arial" w:hAnsi="Arial" w:cs="Arial"/>
          <w:sz w:val="24"/>
          <w:szCs w:val="24"/>
          <w:lang w:val="en-GB"/>
        </w:rPr>
        <w:t xml:space="preserve"> </w:t>
      </w:r>
      <w:r w:rsidR="0077562D" w:rsidRPr="004B4B2E">
        <w:rPr>
          <w:rFonts w:ascii="Arial" w:hAnsi="Arial" w:cs="Arial"/>
          <w:sz w:val="24"/>
          <w:szCs w:val="24"/>
          <w:lang w:val="en-GB"/>
        </w:rPr>
        <w:t>negative</w:t>
      </w:r>
      <w:r w:rsidR="008D1377" w:rsidRPr="004B4B2E">
        <w:rPr>
          <w:rFonts w:ascii="Arial" w:hAnsi="Arial" w:cs="Arial"/>
          <w:sz w:val="24"/>
          <w:szCs w:val="24"/>
          <w:lang w:val="en-GB"/>
        </w:rPr>
        <w:t xml:space="preserve"> relationship </w:t>
      </w:r>
      <w:r w:rsidR="00D5434C" w:rsidRPr="004B4B2E">
        <w:rPr>
          <w:rFonts w:ascii="Arial" w:hAnsi="Arial" w:cs="Arial"/>
          <w:sz w:val="24"/>
          <w:szCs w:val="24"/>
          <w:lang w:val="en-GB"/>
        </w:rPr>
        <w:t xml:space="preserve">between </w:t>
      </w:r>
      <w:proofErr w:type="spellStart"/>
      <w:r w:rsidR="00D5434C" w:rsidRPr="004B4B2E">
        <w:rPr>
          <w:rFonts w:ascii="Arial" w:hAnsi="Arial" w:cs="Arial"/>
          <w:sz w:val="24"/>
          <w:szCs w:val="24"/>
          <w:lang w:val="en-GB"/>
        </w:rPr>
        <w:t>Endofaster</w:t>
      </w:r>
      <w:proofErr w:type="spellEnd"/>
      <w:r w:rsidR="00D5434C" w:rsidRPr="004B4B2E">
        <w:rPr>
          <w:rFonts w:ascii="Arial" w:hAnsi="Arial" w:cs="Arial"/>
          <w:sz w:val="24"/>
          <w:szCs w:val="24"/>
          <w:lang w:val="en-GB"/>
        </w:rPr>
        <w:t xml:space="preserve"> </w:t>
      </w:r>
      <w:r w:rsidR="00A030EB">
        <w:rPr>
          <w:rFonts w:ascii="Arial" w:hAnsi="Arial" w:cs="Arial"/>
          <w:sz w:val="24"/>
          <w:szCs w:val="24"/>
          <w:lang w:val="en-GB"/>
        </w:rPr>
        <w:t>gastric pH</w:t>
      </w:r>
      <w:r w:rsidR="00D5434C" w:rsidRPr="004B4B2E">
        <w:rPr>
          <w:rFonts w:ascii="Arial" w:hAnsi="Arial" w:cs="Arial"/>
          <w:sz w:val="24"/>
          <w:szCs w:val="24"/>
          <w:lang w:val="en-GB"/>
        </w:rPr>
        <w:t xml:space="preserve"> and 24-hour </w:t>
      </w:r>
      <w:r w:rsidRPr="004B4B2E">
        <w:rPr>
          <w:rFonts w:ascii="Arial" w:hAnsi="Arial" w:cs="Arial"/>
          <w:sz w:val="24"/>
          <w:szCs w:val="24"/>
          <w:lang w:val="en-GB"/>
        </w:rPr>
        <w:t>gastric AET</w:t>
      </w:r>
      <w:r w:rsidR="00D5434C" w:rsidRPr="004B4B2E">
        <w:rPr>
          <w:rFonts w:ascii="Arial" w:hAnsi="Arial" w:cs="Arial"/>
          <w:sz w:val="24"/>
          <w:szCs w:val="24"/>
          <w:lang w:val="en-GB"/>
        </w:rPr>
        <w:t xml:space="preserve"> </w:t>
      </w:r>
      <w:r w:rsidR="008D1377" w:rsidRPr="004B4B2E">
        <w:rPr>
          <w:rFonts w:ascii="Arial" w:hAnsi="Arial" w:cs="Arial"/>
          <w:sz w:val="24"/>
          <w:szCs w:val="24"/>
          <w:lang w:val="en-GB"/>
        </w:rPr>
        <w:t>(</w:t>
      </w:r>
      <w:r w:rsidR="009B4A98">
        <w:rPr>
          <w:rFonts w:ascii="Arial" w:hAnsi="Arial" w:cs="Arial"/>
          <w:i/>
          <w:sz w:val="24"/>
          <w:szCs w:val="24"/>
          <w:lang w:val="en-GB"/>
        </w:rPr>
        <w:t>R= -0.29, p=.004</w:t>
      </w:r>
      <w:r w:rsidR="00863913" w:rsidRPr="004B4B2E">
        <w:rPr>
          <w:rFonts w:ascii="Arial" w:hAnsi="Arial" w:cs="Arial"/>
          <w:sz w:val="24"/>
          <w:szCs w:val="24"/>
          <w:lang w:val="en-GB"/>
        </w:rPr>
        <w:t>)</w:t>
      </w:r>
      <w:r w:rsidR="00443893" w:rsidRPr="004B4B2E">
        <w:rPr>
          <w:rFonts w:ascii="Arial" w:hAnsi="Arial" w:cs="Arial"/>
          <w:sz w:val="24"/>
          <w:szCs w:val="24"/>
          <w:lang w:val="en-GB"/>
        </w:rPr>
        <w:t xml:space="preserve"> (</w:t>
      </w:r>
      <w:r w:rsidR="00C730F3" w:rsidRPr="004B4B2E">
        <w:rPr>
          <w:rFonts w:ascii="Arial" w:hAnsi="Arial" w:cs="Arial"/>
          <w:sz w:val="24"/>
          <w:szCs w:val="24"/>
          <w:lang w:val="en-GB"/>
        </w:rPr>
        <w:t xml:space="preserve">Figure </w:t>
      </w:r>
      <w:r w:rsidR="0040295C">
        <w:rPr>
          <w:rFonts w:ascii="Arial" w:hAnsi="Arial" w:cs="Arial"/>
          <w:sz w:val="24"/>
          <w:szCs w:val="24"/>
          <w:lang w:val="en-GB"/>
        </w:rPr>
        <w:t>3</w:t>
      </w:r>
      <w:r w:rsidR="00443893" w:rsidRPr="004B4B2E">
        <w:rPr>
          <w:rFonts w:ascii="Arial" w:hAnsi="Arial" w:cs="Arial"/>
          <w:sz w:val="24"/>
          <w:szCs w:val="24"/>
          <w:lang w:val="en-GB"/>
        </w:rPr>
        <w:t>)</w:t>
      </w:r>
      <w:r w:rsidR="00C730F3" w:rsidRPr="004B4B2E">
        <w:rPr>
          <w:rFonts w:ascii="Arial" w:hAnsi="Arial" w:cs="Arial"/>
          <w:sz w:val="24"/>
          <w:szCs w:val="24"/>
          <w:lang w:val="en-GB"/>
        </w:rPr>
        <w:t xml:space="preserve">. </w:t>
      </w:r>
    </w:p>
    <w:p w14:paraId="03EF6783" w14:textId="049C9E02" w:rsidR="00780A1A" w:rsidRPr="004B4B2E" w:rsidRDefault="00863913" w:rsidP="001B3D49">
      <w:pPr>
        <w:spacing w:line="480" w:lineRule="auto"/>
        <w:jc w:val="both"/>
        <w:rPr>
          <w:rFonts w:ascii="Arial" w:hAnsi="Arial" w:cs="Arial"/>
          <w:sz w:val="24"/>
          <w:szCs w:val="24"/>
          <w:lang w:val="en-GB"/>
        </w:rPr>
      </w:pPr>
      <w:r w:rsidRPr="004B4B2E">
        <w:rPr>
          <w:rFonts w:ascii="Arial" w:hAnsi="Arial" w:cs="Arial"/>
          <w:sz w:val="24"/>
          <w:szCs w:val="24"/>
          <w:lang w:val="en-GB"/>
        </w:rPr>
        <w:t>S</w:t>
      </w:r>
      <w:r w:rsidR="00974B4C" w:rsidRPr="004B4B2E">
        <w:rPr>
          <w:rFonts w:ascii="Arial" w:hAnsi="Arial" w:cs="Arial"/>
          <w:sz w:val="24"/>
          <w:szCs w:val="24"/>
          <w:lang w:val="en-GB"/>
        </w:rPr>
        <w:t xml:space="preserve">econdly, </w:t>
      </w:r>
      <w:r w:rsidR="00457681" w:rsidRPr="004B4B2E">
        <w:rPr>
          <w:rFonts w:ascii="Arial" w:hAnsi="Arial" w:cs="Arial"/>
          <w:sz w:val="24"/>
          <w:szCs w:val="24"/>
          <w:lang w:val="en-GB"/>
        </w:rPr>
        <w:t xml:space="preserve">we have </w:t>
      </w:r>
      <w:proofErr w:type="spellStart"/>
      <w:r w:rsidR="00457681" w:rsidRPr="004B4B2E">
        <w:rPr>
          <w:rFonts w:ascii="Arial" w:hAnsi="Arial" w:cs="Arial"/>
          <w:sz w:val="24"/>
          <w:szCs w:val="24"/>
          <w:lang w:val="en-GB"/>
        </w:rPr>
        <w:t>analyzed</w:t>
      </w:r>
      <w:proofErr w:type="spellEnd"/>
      <w:r w:rsidR="00457681" w:rsidRPr="004B4B2E">
        <w:rPr>
          <w:rFonts w:ascii="Arial" w:hAnsi="Arial" w:cs="Arial"/>
          <w:sz w:val="24"/>
          <w:szCs w:val="24"/>
          <w:lang w:val="en-GB"/>
        </w:rPr>
        <w:t xml:space="preserve"> </w:t>
      </w:r>
      <w:r w:rsidR="006C7FC2" w:rsidRPr="004B4B2E">
        <w:rPr>
          <w:rFonts w:ascii="Arial" w:hAnsi="Arial" w:cs="Arial"/>
          <w:sz w:val="24"/>
          <w:szCs w:val="24"/>
          <w:lang w:val="en-GB"/>
        </w:rPr>
        <w:t xml:space="preserve">the </w:t>
      </w:r>
      <w:r w:rsidR="005F175F" w:rsidRPr="004B4B2E">
        <w:rPr>
          <w:rFonts w:ascii="Arial" w:hAnsi="Arial" w:cs="Arial"/>
          <w:sz w:val="24"/>
          <w:szCs w:val="24"/>
          <w:lang w:val="en-GB"/>
        </w:rPr>
        <w:t>relationship</w:t>
      </w:r>
      <w:r w:rsidR="006C7FC2" w:rsidRPr="004B4B2E">
        <w:rPr>
          <w:rFonts w:ascii="Arial" w:hAnsi="Arial" w:cs="Arial"/>
          <w:sz w:val="24"/>
          <w:szCs w:val="24"/>
          <w:lang w:val="en-GB"/>
        </w:rPr>
        <w:t xml:space="preserve"> of single point</w:t>
      </w:r>
      <w:r w:rsidR="009B4A98">
        <w:rPr>
          <w:rFonts w:ascii="Arial" w:hAnsi="Arial" w:cs="Arial"/>
          <w:sz w:val="24"/>
          <w:szCs w:val="24"/>
          <w:lang w:val="en-GB"/>
        </w:rPr>
        <w:t xml:space="preserve"> </w:t>
      </w:r>
      <w:r w:rsidR="006C7FC2" w:rsidRPr="004B4B2E">
        <w:rPr>
          <w:rFonts w:ascii="Arial" w:hAnsi="Arial" w:cs="Arial"/>
          <w:sz w:val="24"/>
          <w:szCs w:val="24"/>
          <w:lang w:val="en-GB"/>
        </w:rPr>
        <w:t>gastric pH</w:t>
      </w:r>
      <w:r w:rsidR="00457681" w:rsidRPr="004B4B2E">
        <w:rPr>
          <w:rFonts w:ascii="Arial" w:hAnsi="Arial" w:cs="Arial"/>
          <w:sz w:val="24"/>
          <w:szCs w:val="24"/>
          <w:lang w:val="en-GB"/>
        </w:rPr>
        <w:t xml:space="preserve"> </w:t>
      </w:r>
      <w:r w:rsidR="005F175F" w:rsidRPr="004B4B2E">
        <w:rPr>
          <w:rFonts w:ascii="Arial" w:hAnsi="Arial" w:cs="Arial"/>
          <w:sz w:val="24"/>
          <w:szCs w:val="24"/>
          <w:lang w:val="en-GB"/>
        </w:rPr>
        <w:t xml:space="preserve">and the 24-hour </w:t>
      </w:r>
      <w:r w:rsidR="00FF0464">
        <w:rPr>
          <w:rFonts w:ascii="Arial" w:hAnsi="Arial" w:cs="Arial"/>
          <w:sz w:val="24"/>
          <w:szCs w:val="24"/>
          <w:lang w:val="en-GB"/>
        </w:rPr>
        <w:t xml:space="preserve">total </w:t>
      </w:r>
      <w:r w:rsidR="00C730F3" w:rsidRPr="00745AEB">
        <w:rPr>
          <w:rFonts w:ascii="Arial" w:hAnsi="Arial" w:cs="Arial"/>
          <w:sz w:val="24"/>
          <w:szCs w:val="24"/>
          <w:lang w:val="en-GB"/>
        </w:rPr>
        <w:t xml:space="preserve">esophageal </w:t>
      </w:r>
      <w:r w:rsidR="005F175F" w:rsidRPr="00745AEB">
        <w:rPr>
          <w:rFonts w:ascii="Arial" w:hAnsi="Arial" w:cs="Arial"/>
          <w:sz w:val="24"/>
          <w:szCs w:val="24"/>
          <w:lang w:val="en-GB"/>
        </w:rPr>
        <w:t>AET</w:t>
      </w:r>
      <w:r w:rsidR="00975740">
        <w:rPr>
          <w:rFonts w:ascii="Arial" w:hAnsi="Arial" w:cs="Arial"/>
          <w:sz w:val="24"/>
          <w:szCs w:val="24"/>
          <w:lang w:val="en-GB"/>
        </w:rPr>
        <w:t>. We found</w:t>
      </w:r>
      <w:r w:rsidR="00975740" w:rsidRPr="004B4B2E">
        <w:rPr>
          <w:rFonts w:ascii="Arial" w:hAnsi="Arial" w:cs="Arial"/>
          <w:sz w:val="24"/>
          <w:szCs w:val="24"/>
          <w:lang w:val="en-GB"/>
        </w:rPr>
        <w:t xml:space="preserve"> a significant difference </w:t>
      </w:r>
      <w:r w:rsidR="00975740">
        <w:rPr>
          <w:rFonts w:ascii="Arial" w:hAnsi="Arial" w:cs="Arial"/>
          <w:sz w:val="24"/>
          <w:szCs w:val="24"/>
          <w:lang w:val="en-GB"/>
        </w:rPr>
        <w:t>(</w:t>
      </w:r>
      <w:r w:rsidR="00975740" w:rsidRPr="004B4B2E">
        <w:rPr>
          <w:rFonts w:ascii="Arial" w:hAnsi="Arial" w:cs="Arial"/>
          <w:i/>
          <w:sz w:val="24"/>
          <w:szCs w:val="24"/>
          <w:lang w:val="en-GB"/>
        </w:rPr>
        <w:t>P</w:t>
      </w:r>
      <w:r w:rsidR="00975740">
        <w:rPr>
          <w:rFonts w:ascii="Arial" w:hAnsi="Arial" w:cs="Arial"/>
          <w:sz w:val="24"/>
          <w:szCs w:val="24"/>
          <w:lang w:val="en-GB"/>
        </w:rPr>
        <w:t xml:space="preserve">=0.032) </w:t>
      </w:r>
      <w:r w:rsidR="00975740" w:rsidRPr="004B4B2E">
        <w:rPr>
          <w:rFonts w:ascii="Arial" w:hAnsi="Arial" w:cs="Arial"/>
          <w:sz w:val="24"/>
          <w:szCs w:val="24"/>
          <w:lang w:val="en-GB"/>
        </w:rPr>
        <w:t xml:space="preserve">between </w:t>
      </w:r>
      <w:r w:rsidR="00975740">
        <w:rPr>
          <w:rFonts w:ascii="Arial" w:hAnsi="Arial" w:cs="Arial"/>
          <w:sz w:val="24"/>
          <w:szCs w:val="24"/>
          <w:lang w:val="en-GB"/>
        </w:rPr>
        <w:t>median</w:t>
      </w:r>
      <w:r w:rsidR="00975740" w:rsidRPr="004B4B2E">
        <w:rPr>
          <w:rFonts w:ascii="Arial" w:hAnsi="Arial" w:cs="Arial"/>
          <w:sz w:val="24"/>
          <w:szCs w:val="24"/>
          <w:lang w:val="en-GB"/>
        </w:rPr>
        <w:t xml:space="preserve"> values of </w:t>
      </w:r>
      <w:r w:rsidR="00975740">
        <w:rPr>
          <w:rFonts w:ascii="Arial" w:hAnsi="Arial" w:cs="Arial"/>
          <w:sz w:val="24"/>
          <w:szCs w:val="24"/>
          <w:lang w:val="en-GB"/>
        </w:rPr>
        <w:t>gastric pH</w:t>
      </w:r>
      <w:r w:rsidR="00975740" w:rsidRPr="004B4B2E">
        <w:rPr>
          <w:rFonts w:ascii="Arial" w:hAnsi="Arial" w:cs="Arial"/>
          <w:sz w:val="24"/>
          <w:szCs w:val="24"/>
          <w:lang w:val="en-GB"/>
        </w:rPr>
        <w:t xml:space="preserve"> measured with </w:t>
      </w:r>
      <w:proofErr w:type="spellStart"/>
      <w:r w:rsidR="00975740" w:rsidRPr="004B4B2E">
        <w:rPr>
          <w:rFonts w:ascii="Arial" w:hAnsi="Arial" w:cs="Arial"/>
          <w:sz w:val="24"/>
          <w:szCs w:val="24"/>
          <w:lang w:val="en-GB"/>
        </w:rPr>
        <w:t>EndoFaster</w:t>
      </w:r>
      <w:proofErr w:type="spellEnd"/>
      <w:r w:rsidR="00975740" w:rsidRPr="004B4B2E">
        <w:rPr>
          <w:rFonts w:ascii="Arial" w:hAnsi="Arial" w:cs="Arial"/>
          <w:sz w:val="24"/>
          <w:szCs w:val="24"/>
          <w:lang w:val="en-GB"/>
        </w:rPr>
        <w:t xml:space="preserve"> </w:t>
      </w:r>
      <w:r w:rsidR="00975740">
        <w:rPr>
          <w:rFonts w:ascii="Arial" w:hAnsi="Arial" w:cs="Arial"/>
          <w:sz w:val="24"/>
          <w:szCs w:val="24"/>
          <w:lang w:val="en-GB"/>
        </w:rPr>
        <w:t>between patients with pathological and normal AET</w:t>
      </w:r>
      <w:r w:rsidR="00F54C5B">
        <w:rPr>
          <w:rFonts w:ascii="Arial" w:hAnsi="Arial" w:cs="Arial"/>
          <w:sz w:val="24"/>
          <w:szCs w:val="24"/>
          <w:lang w:val="en-GB"/>
        </w:rPr>
        <w:t>s</w:t>
      </w:r>
      <w:r w:rsidR="00975740">
        <w:rPr>
          <w:rFonts w:ascii="Arial" w:hAnsi="Arial" w:cs="Arial"/>
          <w:sz w:val="24"/>
          <w:szCs w:val="24"/>
          <w:lang w:val="en-GB"/>
        </w:rPr>
        <w:t xml:space="preserve">, which were 5.8 (IQR </w:t>
      </w:r>
      <w:r w:rsidR="00975740" w:rsidRPr="00D8081D">
        <w:rPr>
          <w:rFonts w:ascii="Arial" w:hAnsi="Arial" w:cs="Arial"/>
          <w:sz w:val="24"/>
          <w:szCs w:val="24"/>
          <w:lang w:val="en-GB"/>
        </w:rPr>
        <w:t>2.7</w:t>
      </w:r>
      <w:r w:rsidR="00975740">
        <w:rPr>
          <w:rFonts w:ascii="Arial" w:hAnsi="Arial" w:cs="Arial"/>
          <w:sz w:val="24"/>
          <w:szCs w:val="24"/>
          <w:lang w:val="en-GB"/>
        </w:rPr>
        <w:t>-</w:t>
      </w:r>
      <w:r w:rsidR="00975740" w:rsidRPr="00D8081D">
        <w:rPr>
          <w:rFonts w:ascii="Arial" w:hAnsi="Arial" w:cs="Arial"/>
          <w:sz w:val="24"/>
          <w:szCs w:val="24"/>
          <w:lang w:val="en-GB"/>
        </w:rPr>
        <w:t>7</w:t>
      </w:r>
      <w:r w:rsidR="00975740">
        <w:rPr>
          <w:rFonts w:ascii="Arial" w:hAnsi="Arial" w:cs="Arial"/>
          <w:sz w:val="24"/>
          <w:szCs w:val="24"/>
          <w:lang w:val="en-GB"/>
        </w:rPr>
        <w:t xml:space="preserve">.0) and 6.6 (IQR </w:t>
      </w:r>
      <w:r w:rsidR="00975740" w:rsidRPr="00D8081D">
        <w:rPr>
          <w:rFonts w:ascii="Arial" w:hAnsi="Arial" w:cs="Arial"/>
          <w:sz w:val="24"/>
          <w:szCs w:val="24"/>
          <w:lang w:val="en-GB"/>
        </w:rPr>
        <w:t>5.5</w:t>
      </w:r>
      <w:r w:rsidR="00975740">
        <w:rPr>
          <w:rFonts w:ascii="Arial" w:hAnsi="Arial" w:cs="Arial"/>
          <w:sz w:val="24"/>
          <w:szCs w:val="24"/>
          <w:lang w:val="en-GB"/>
        </w:rPr>
        <w:t>-</w:t>
      </w:r>
      <w:r w:rsidR="00975740" w:rsidRPr="00D8081D">
        <w:rPr>
          <w:rFonts w:ascii="Arial" w:hAnsi="Arial" w:cs="Arial"/>
          <w:sz w:val="24"/>
          <w:szCs w:val="24"/>
          <w:lang w:val="en-GB"/>
        </w:rPr>
        <w:t>7.2</w:t>
      </w:r>
      <w:r w:rsidR="0040295C">
        <w:rPr>
          <w:rFonts w:ascii="Arial" w:hAnsi="Arial" w:cs="Arial"/>
          <w:sz w:val="24"/>
          <w:szCs w:val="24"/>
          <w:lang w:val="en-GB"/>
        </w:rPr>
        <w:t>), respectively (Figure 4</w:t>
      </w:r>
      <w:r w:rsidR="00975740">
        <w:rPr>
          <w:rFonts w:ascii="Arial" w:hAnsi="Arial" w:cs="Arial"/>
          <w:sz w:val="24"/>
          <w:szCs w:val="24"/>
          <w:lang w:val="en-GB"/>
        </w:rPr>
        <w:t>).</w:t>
      </w:r>
      <w:r w:rsidR="00780A1A" w:rsidRPr="00745AEB">
        <w:rPr>
          <w:rFonts w:ascii="Arial" w:hAnsi="Arial" w:cs="Arial"/>
          <w:sz w:val="24"/>
          <w:szCs w:val="24"/>
          <w:lang w:val="en-GB"/>
        </w:rPr>
        <w:t xml:space="preserve"> </w:t>
      </w:r>
      <w:r w:rsidR="00975740">
        <w:rPr>
          <w:rFonts w:ascii="Arial" w:hAnsi="Arial" w:cs="Arial"/>
          <w:sz w:val="24"/>
          <w:szCs w:val="24"/>
          <w:lang w:val="en-GB"/>
        </w:rPr>
        <w:t xml:space="preserve">We therefore created </w:t>
      </w:r>
      <w:r w:rsidR="005F175F" w:rsidRPr="004B4B2E">
        <w:rPr>
          <w:rFonts w:ascii="Arial" w:hAnsi="Arial" w:cs="Arial"/>
          <w:sz w:val="24"/>
          <w:szCs w:val="24"/>
          <w:lang w:val="en-GB"/>
        </w:rPr>
        <w:t xml:space="preserve">a </w:t>
      </w:r>
      <w:r w:rsidR="00043C44" w:rsidRPr="004B4B2E">
        <w:rPr>
          <w:rFonts w:ascii="Arial" w:hAnsi="Arial" w:cs="Arial"/>
          <w:sz w:val="24"/>
          <w:szCs w:val="24"/>
          <w:lang w:val="en-GB"/>
        </w:rPr>
        <w:t xml:space="preserve">multivariable linear </w:t>
      </w:r>
      <w:r w:rsidR="00457681" w:rsidRPr="004B4B2E">
        <w:rPr>
          <w:rFonts w:ascii="Arial" w:hAnsi="Arial" w:cs="Arial"/>
          <w:sz w:val="24"/>
          <w:szCs w:val="24"/>
          <w:lang w:val="en-GB"/>
        </w:rPr>
        <w:t>regression model adjusted for age, gender, BMI, PPI classifier, the presence of BE and hiatus hernia</w:t>
      </w:r>
      <w:r w:rsidR="008C2D07">
        <w:rPr>
          <w:rFonts w:ascii="Arial" w:hAnsi="Arial" w:cs="Arial"/>
          <w:sz w:val="24"/>
          <w:szCs w:val="24"/>
          <w:lang w:val="en-GB"/>
        </w:rPr>
        <w:t xml:space="preserve"> to predict </w:t>
      </w:r>
      <w:r w:rsidR="00780A1A" w:rsidRPr="004B4B2E">
        <w:rPr>
          <w:rFonts w:ascii="Arial" w:hAnsi="Arial" w:cs="Arial"/>
          <w:sz w:val="24"/>
          <w:szCs w:val="24"/>
          <w:lang w:val="en-GB"/>
        </w:rPr>
        <w:t>AET</w:t>
      </w:r>
      <w:r w:rsidR="008C2D07">
        <w:rPr>
          <w:rFonts w:ascii="Arial" w:hAnsi="Arial" w:cs="Arial"/>
          <w:sz w:val="24"/>
          <w:szCs w:val="24"/>
          <w:lang w:val="en-GB"/>
        </w:rPr>
        <w:t xml:space="preserve">. We </w:t>
      </w:r>
      <w:r w:rsidR="00780A1A" w:rsidRPr="004B4B2E">
        <w:rPr>
          <w:rFonts w:ascii="Arial" w:hAnsi="Arial" w:cs="Arial"/>
          <w:sz w:val="24"/>
          <w:szCs w:val="24"/>
          <w:lang w:val="en-GB"/>
        </w:rPr>
        <w:t xml:space="preserve">found that </w:t>
      </w:r>
      <w:proofErr w:type="spellStart"/>
      <w:r w:rsidR="00780A1A" w:rsidRPr="004B4B2E">
        <w:rPr>
          <w:rFonts w:ascii="Arial" w:hAnsi="Arial" w:cs="Arial"/>
          <w:sz w:val="24"/>
          <w:szCs w:val="24"/>
          <w:lang w:val="en-GB"/>
        </w:rPr>
        <w:t>EndoFaster</w:t>
      </w:r>
      <w:proofErr w:type="spellEnd"/>
      <w:r w:rsidR="00780A1A" w:rsidRPr="004B4B2E">
        <w:rPr>
          <w:rFonts w:ascii="Arial" w:hAnsi="Arial" w:cs="Arial"/>
          <w:sz w:val="24"/>
          <w:szCs w:val="24"/>
          <w:lang w:val="en-GB"/>
        </w:rPr>
        <w:t xml:space="preserve"> </w:t>
      </w:r>
      <w:r w:rsidR="00A030EB">
        <w:rPr>
          <w:rFonts w:ascii="Arial" w:hAnsi="Arial" w:cs="Arial"/>
          <w:sz w:val="24"/>
          <w:szCs w:val="24"/>
          <w:lang w:val="en-GB"/>
        </w:rPr>
        <w:t>gastric pH</w:t>
      </w:r>
      <w:r w:rsidR="00780A1A" w:rsidRPr="004B4B2E">
        <w:rPr>
          <w:rFonts w:ascii="Arial" w:hAnsi="Arial" w:cs="Arial"/>
          <w:sz w:val="24"/>
          <w:szCs w:val="24"/>
          <w:lang w:val="en-GB"/>
        </w:rPr>
        <w:t xml:space="preserve"> (</w:t>
      </w:r>
      <w:r w:rsidR="00504D20">
        <w:rPr>
          <w:rFonts w:ascii="Arial" w:hAnsi="Arial" w:cs="Arial"/>
          <w:sz w:val="24"/>
          <w:szCs w:val="24"/>
          <w:lang w:val="en-GB"/>
        </w:rPr>
        <w:t>beta</w:t>
      </w:r>
      <w:r w:rsidR="00780A1A" w:rsidRPr="004B4B2E">
        <w:rPr>
          <w:rFonts w:ascii="Arial" w:hAnsi="Arial" w:cs="Arial"/>
          <w:sz w:val="24"/>
          <w:szCs w:val="24"/>
          <w:lang w:val="en-GB"/>
        </w:rPr>
        <w:t xml:space="preserve">= -0.9, </w:t>
      </w:r>
      <w:r w:rsidR="00780A1A" w:rsidRPr="004B4B2E">
        <w:rPr>
          <w:rFonts w:ascii="Arial" w:hAnsi="Arial" w:cs="Arial"/>
          <w:i/>
          <w:sz w:val="24"/>
          <w:szCs w:val="24"/>
          <w:lang w:val="en-GB"/>
        </w:rPr>
        <w:t>P</w:t>
      </w:r>
      <w:r w:rsidR="00780A1A" w:rsidRPr="004B4B2E">
        <w:rPr>
          <w:rFonts w:ascii="Arial" w:hAnsi="Arial" w:cs="Arial"/>
          <w:sz w:val="24"/>
          <w:szCs w:val="24"/>
          <w:lang w:val="en-GB"/>
        </w:rPr>
        <w:t>=.04</w:t>
      </w:r>
      <w:r w:rsidR="00504D20">
        <w:rPr>
          <w:rFonts w:ascii="Arial" w:hAnsi="Arial" w:cs="Arial"/>
          <w:sz w:val="24"/>
          <w:szCs w:val="24"/>
          <w:lang w:val="en-GB"/>
        </w:rPr>
        <w:t>5</w:t>
      </w:r>
      <w:r w:rsidR="00780A1A" w:rsidRPr="004B4B2E">
        <w:rPr>
          <w:rFonts w:ascii="Arial" w:hAnsi="Arial" w:cs="Arial"/>
          <w:sz w:val="24"/>
          <w:szCs w:val="24"/>
          <w:lang w:val="en-GB"/>
        </w:rPr>
        <w:t>), PPI classifier (</w:t>
      </w:r>
      <w:r w:rsidR="00504D20">
        <w:rPr>
          <w:rFonts w:ascii="Arial" w:hAnsi="Arial" w:cs="Arial"/>
          <w:sz w:val="24"/>
          <w:szCs w:val="24"/>
          <w:lang w:val="en-GB"/>
        </w:rPr>
        <w:t>beta</w:t>
      </w:r>
      <w:r w:rsidR="00780A1A" w:rsidRPr="004B4B2E">
        <w:rPr>
          <w:rFonts w:ascii="Arial" w:hAnsi="Arial" w:cs="Arial"/>
          <w:sz w:val="24"/>
          <w:szCs w:val="24"/>
          <w:lang w:val="en-GB"/>
        </w:rPr>
        <w:t>= 2.</w:t>
      </w:r>
      <w:r w:rsidR="00504D20">
        <w:rPr>
          <w:rFonts w:ascii="Arial" w:hAnsi="Arial" w:cs="Arial"/>
          <w:sz w:val="24"/>
          <w:szCs w:val="24"/>
          <w:lang w:val="en-GB"/>
        </w:rPr>
        <w:t>5</w:t>
      </w:r>
      <w:r w:rsidR="00780A1A" w:rsidRPr="004B4B2E">
        <w:rPr>
          <w:rFonts w:ascii="Arial" w:hAnsi="Arial" w:cs="Arial"/>
          <w:sz w:val="24"/>
          <w:szCs w:val="24"/>
          <w:lang w:val="en-GB"/>
        </w:rPr>
        <w:t xml:space="preserve">, </w:t>
      </w:r>
      <w:r w:rsidR="00780A1A" w:rsidRPr="004B4B2E">
        <w:rPr>
          <w:rFonts w:ascii="Arial" w:hAnsi="Arial" w:cs="Arial"/>
          <w:i/>
          <w:sz w:val="24"/>
          <w:szCs w:val="24"/>
          <w:lang w:val="en-GB"/>
        </w:rPr>
        <w:t>P</w:t>
      </w:r>
      <w:r w:rsidR="00780A1A" w:rsidRPr="004B4B2E">
        <w:rPr>
          <w:rFonts w:ascii="Arial" w:hAnsi="Arial" w:cs="Arial"/>
          <w:sz w:val="24"/>
          <w:szCs w:val="24"/>
          <w:lang w:val="en-GB"/>
        </w:rPr>
        <w:t>=.0</w:t>
      </w:r>
      <w:r w:rsidR="00504D20">
        <w:rPr>
          <w:rFonts w:ascii="Arial" w:hAnsi="Arial" w:cs="Arial"/>
          <w:sz w:val="24"/>
          <w:szCs w:val="24"/>
          <w:lang w:val="en-GB"/>
        </w:rPr>
        <w:t>37</w:t>
      </w:r>
      <w:r w:rsidR="00780A1A" w:rsidRPr="004B4B2E">
        <w:rPr>
          <w:rFonts w:ascii="Arial" w:hAnsi="Arial" w:cs="Arial"/>
          <w:sz w:val="24"/>
          <w:szCs w:val="24"/>
          <w:lang w:val="en-GB"/>
        </w:rPr>
        <w:t xml:space="preserve">) and presence of </w:t>
      </w:r>
      <w:r w:rsidR="00443893" w:rsidRPr="004B4B2E">
        <w:rPr>
          <w:rFonts w:ascii="Arial" w:hAnsi="Arial" w:cs="Arial"/>
          <w:sz w:val="24"/>
          <w:szCs w:val="24"/>
          <w:lang w:val="en-GB"/>
        </w:rPr>
        <w:t>BE</w:t>
      </w:r>
      <w:r w:rsidR="00780A1A" w:rsidRPr="004B4B2E">
        <w:rPr>
          <w:rFonts w:ascii="Arial" w:hAnsi="Arial" w:cs="Arial"/>
          <w:sz w:val="24"/>
          <w:szCs w:val="24"/>
          <w:lang w:val="en-GB"/>
        </w:rPr>
        <w:t xml:space="preserve"> (</w:t>
      </w:r>
      <w:r w:rsidR="00504D20">
        <w:rPr>
          <w:rFonts w:ascii="Arial" w:hAnsi="Arial" w:cs="Arial"/>
          <w:sz w:val="24"/>
          <w:szCs w:val="24"/>
          <w:lang w:val="en-GB"/>
        </w:rPr>
        <w:t>beta</w:t>
      </w:r>
      <w:r w:rsidR="00780A1A" w:rsidRPr="004B4B2E">
        <w:rPr>
          <w:rFonts w:ascii="Arial" w:hAnsi="Arial" w:cs="Arial"/>
          <w:sz w:val="24"/>
          <w:szCs w:val="24"/>
          <w:lang w:val="en-GB"/>
        </w:rPr>
        <w:t>= 5.</w:t>
      </w:r>
      <w:r w:rsidR="00504D20">
        <w:rPr>
          <w:rFonts w:ascii="Arial" w:hAnsi="Arial" w:cs="Arial"/>
          <w:sz w:val="24"/>
          <w:szCs w:val="24"/>
          <w:lang w:val="en-GB"/>
        </w:rPr>
        <w:t>6</w:t>
      </w:r>
      <w:r w:rsidR="00780A1A" w:rsidRPr="004B4B2E">
        <w:rPr>
          <w:rFonts w:ascii="Arial" w:hAnsi="Arial" w:cs="Arial"/>
          <w:sz w:val="24"/>
          <w:szCs w:val="24"/>
          <w:lang w:val="en-GB"/>
        </w:rPr>
        <w:t xml:space="preserve">, </w:t>
      </w:r>
      <w:r w:rsidR="00780A1A" w:rsidRPr="004B4B2E">
        <w:rPr>
          <w:rFonts w:ascii="Arial" w:hAnsi="Arial" w:cs="Arial"/>
          <w:i/>
          <w:sz w:val="24"/>
          <w:szCs w:val="24"/>
          <w:lang w:val="en-GB"/>
        </w:rPr>
        <w:t>P</w:t>
      </w:r>
      <w:r w:rsidR="00780A1A" w:rsidRPr="004B4B2E">
        <w:rPr>
          <w:rFonts w:ascii="Arial" w:hAnsi="Arial" w:cs="Arial"/>
          <w:sz w:val="24"/>
          <w:szCs w:val="24"/>
          <w:lang w:val="en-GB"/>
        </w:rPr>
        <w:t>=.</w:t>
      </w:r>
      <w:r w:rsidR="00504D20">
        <w:rPr>
          <w:rFonts w:ascii="Arial" w:hAnsi="Arial" w:cs="Arial"/>
          <w:sz w:val="24"/>
          <w:szCs w:val="24"/>
          <w:lang w:val="en-GB"/>
        </w:rPr>
        <w:t>011</w:t>
      </w:r>
      <w:r w:rsidR="00780A1A" w:rsidRPr="004B4B2E">
        <w:rPr>
          <w:rFonts w:ascii="Arial" w:hAnsi="Arial" w:cs="Arial"/>
          <w:sz w:val="24"/>
          <w:szCs w:val="24"/>
          <w:lang w:val="en-GB"/>
        </w:rPr>
        <w:t>)</w:t>
      </w:r>
      <w:r w:rsidR="00780A1A" w:rsidRPr="004B4B2E">
        <w:rPr>
          <w:lang w:val="en-GB"/>
        </w:rPr>
        <w:t xml:space="preserve"> </w:t>
      </w:r>
      <w:r w:rsidR="00780A1A" w:rsidRPr="004B4B2E">
        <w:rPr>
          <w:rFonts w:ascii="Arial" w:hAnsi="Arial" w:cs="Arial"/>
          <w:sz w:val="24"/>
          <w:szCs w:val="24"/>
          <w:lang w:val="en-GB"/>
        </w:rPr>
        <w:t>were significant predictors. The overall model fit was</w:t>
      </w:r>
      <w:r w:rsidR="00443893" w:rsidRPr="004B4B2E">
        <w:rPr>
          <w:rFonts w:ascii="Arial" w:hAnsi="Arial" w:cs="Arial"/>
          <w:sz w:val="24"/>
          <w:szCs w:val="24"/>
          <w:lang w:val="en-GB"/>
        </w:rPr>
        <w:t xml:space="preserve">, however, </w:t>
      </w:r>
      <w:r w:rsidR="00C730F3" w:rsidRPr="004B4B2E">
        <w:rPr>
          <w:rFonts w:ascii="Arial" w:hAnsi="Arial" w:cs="Arial"/>
          <w:sz w:val="24"/>
          <w:szCs w:val="24"/>
          <w:lang w:val="en-GB"/>
        </w:rPr>
        <w:t xml:space="preserve">only </w:t>
      </w:r>
      <w:r w:rsidR="00780A1A" w:rsidRPr="004B4B2E">
        <w:rPr>
          <w:rFonts w:ascii="Arial" w:hAnsi="Arial" w:cs="Arial"/>
          <w:sz w:val="24"/>
          <w:szCs w:val="24"/>
          <w:lang w:val="en-GB"/>
        </w:rPr>
        <w:t>modest (adjusted R</w:t>
      </w:r>
      <w:r w:rsidR="00780A1A" w:rsidRPr="004B4B2E">
        <w:rPr>
          <w:rFonts w:ascii="Arial" w:hAnsi="Arial" w:cs="Arial"/>
          <w:sz w:val="24"/>
          <w:szCs w:val="24"/>
          <w:vertAlign w:val="superscript"/>
          <w:lang w:val="en-GB"/>
        </w:rPr>
        <w:t>2</w:t>
      </w:r>
      <w:r w:rsidR="00780A1A" w:rsidRPr="004B4B2E">
        <w:rPr>
          <w:rFonts w:ascii="Arial" w:hAnsi="Arial" w:cs="Arial"/>
          <w:sz w:val="24"/>
          <w:szCs w:val="24"/>
          <w:lang w:val="en-GB"/>
        </w:rPr>
        <w:t xml:space="preserve"> = 11.0</w:t>
      </w:r>
      <w:r w:rsidR="005726C4" w:rsidRPr="004B4B2E">
        <w:rPr>
          <w:rFonts w:ascii="Arial" w:hAnsi="Arial" w:cs="Arial"/>
          <w:sz w:val="24"/>
          <w:szCs w:val="24"/>
          <w:lang w:val="en-GB"/>
        </w:rPr>
        <w:t>%) (</w:t>
      </w:r>
      <w:r w:rsidR="00780A1A" w:rsidRPr="004B4B2E">
        <w:rPr>
          <w:rFonts w:ascii="Arial" w:hAnsi="Arial" w:cs="Arial"/>
          <w:sz w:val="24"/>
          <w:szCs w:val="24"/>
          <w:lang w:val="en-GB"/>
        </w:rPr>
        <w:t xml:space="preserve">Supplementary </w:t>
      </w:r>
      <w:r w:rsidR="00443893" w:rsidRPr="004B4B2E">
        <w:rPr>
          <w:rFonts w:ascii="Arial" w:hAnsi="Arial" w:cs="Arial"/>
          <w:noProof/>
          <w:sz w:val="24"/>
          <w:szCs w:val="24"/>
          <w:lang w:val="en-GB"/>
        </w:rPr>
        <w:t>T</w:t>
      </w:r>
      <w:r w:rsidR="00780A1A" w:rsidRPr="004B4B2E">
        <w:rPr>
          <w:rFonts w:ascii="Arial" w:hAnsi="Arial" w:cs="Arial"/>
          <w:noProof/>
          <w:sz w:val="24"/>
          <w:szCs w:val="24"/>
          <w:lang w:val="en-GB"/>
        </w:rPr>
        <w:t>able</w:t>
      </w:r>
      <w:r w:rsidR="001C2051" w:rsidRPr="004B4B2E">
        <w:rPr>
          <w:rFonts w:ascii="Arial" w:hAnsi="Arial" w:cs="Arial"/>
          <w:sz w:val="24"/>
          <w:szCs w:val="24"/>
          <w:lang w:val="en-GB"/>
        </w:rPr>
        <w:t xml:space="preserve"> </w:t>
      </w:r>
      <w:r w:rsidR="00043C44" w:rsidRPr="004B4B2E">
        <w:rPr>
          <w:rFonts w:ascii="Arial" w:hAnsi="Arial" w:cs="Arial"/>
          <w:sz w:val="24"/>
          <w:szCs w:val="24"/>
          <w:lang w:val="en-GB"/>
        </w:rPr>
        <w:t>2</w:t>
      </w:r>
      <w:r w:rsidR="00780A1A" w:rsidRPr="004B4B2E">
        <w:rPr>
          <w:rFonts w:ascii="Arial" w:hAnsi="Arial" w:cs="Arial"/>
          <w:sz w:val="24"/>
          <w:szCs w:val="24"/>
          <w:lang w:val="en-GB"/>
        </w:rPr>
        <w:t xml:space="preserve">). </w:t>
      </w:r>
    </w:p>
    <w:p w14:paraId="7A129D8D" w14:textId="02DD9564" w:rsidR="00941796" w:rsidRPr="004B4B2E" w:rsidRDefault="00966D16" w:rsidP="001B3D49">
      <w:pPr>
        <w:spacing w:line="480" w:lineRule="auto"/>
        <w:jc w:val="both"/>
        <w:rPr>
          <w:rFonts w:ascii="Arial" w:hAnsi="Arial" w:cs="Arial"/>
          <w:sz w:val="24"/>
          <w:szCs w:val="24"/>
          <w:lang w:val="en-GB"/>
        </w:rPr>
      </w:pPr>
      <w:r>
        <w:rPr>
          <w:rFonts w:ascii="Arial" w:hAnsi="Arial" w:cs="Arial"/>
          <w:sz w:val="24"/>
          <w:szCs w:val="24"/>
          <w:lang w:val="en-GB"/>
        </w:rPr>
        <w:t xml:space="preserve">When we used </w:t>
      </w:r>
      <w:proofErr w:type="spellStart"/>
      <w:r w:rsidR="00780A1A" w:rsidRPr="004B4B2E">
        <w:rPr>
          <w:rFonts w:ascii="Arial" w:hAnsi="Arial" w:cs="Arial"/>
          <w:sz w:val="24"/>
          <w:szCs w:val="24"/>
          <w:lang w:val="en-GB"/>
        </w:rPr>
        <w:t>EndoFaster</w:t>
      </w:r>
      <w:proofErr w:type="spellEnd"/>
      <w:r w:rsidR="00780A1A" w:rsidRPr="004B4B2E">
        <w:rPr>
          <w:rFonts w:ascii="Arial" w:hAnsi="Arial" w:cs="Arial"/>
          <w:sz w:val="24"/>
          <w:szCs w:val="24"/>
          <w:lang w:val="en-GB"/>
        </w:rPr>
        <w:t xml:space="preserve"> </w:t>
      </w:r>
      <w:r w:rsidR="00A030EB">
        <w:rPr>
          <w:rFonts w:ascii="Arial" w:hAnsi="Arial" w:cs="Arial"/>
          <w:sz w:val="24"/>
          <w:szCs w:val="24"/>
          <w:lang w:val="en-GB"/>
        </w:rPr>
        <w:t>gastric pH</w:t>
      </w:r>
      <w:r w:rsidR="00780A1A" w:rsidRPr="004B4B2E">
        <w:rPr>
          <w:rFonts w:ascii="Arial" w:hAnsi="Arial" w:cs="Arial"/>
          <w:sz w:val="24"/>
          <w:szCs w:val="24"/>
          <w:lang w:val="en-GB"/>
        </w:rPr>
        <w:t xml:space="preserve"> as a single predictor of persistent acid reflux (</w:t>
      </w:r>
      <w:r w:rsidR="00C730F3" w:rsidRPr="004B4B2E">
        <w:rPr>
          <w:rFonts w:ascii="Arial" w:hAnsi="Arial" w:cs="Arial"/>
          <w:sz w:val="24"/>
          <w:szCs w:val="24"/>
          <w:lang w:val="en-GB"/>
        </w:rPr>
        <w:t>“</w:t>
      </w:r>
      <w:r w:rsidR="00504D20">
        <w:rPr>
          <w:rFonts w:ascii="Arial" w:hAnsi="Arial" w:cs="Arial"/>
          <w:sz w:val="24"/>
          <w:szCs w:val="24"/>
          <w:lang w:val="en-GB"/>
        </w:rPr>
        <w:t>normal AET</w:t>
      </w:r>
      <w:r w:rsidR="00C730F3" w:rsidRPr="004B4B2E">
        <w:rPr>
          <w:rFonts w:ascii="Arial" w:hAnsi="Arial" w:cs="Arial"/>
          <w:sz w:val="24"/>
          <w:szCs w:val="24"/>
          <w:lang w:val="en-GB"/>
        </w:rPr>
        <w:t>”</w:t>
      </w:r>
      <w:r w:rsidR="00780A1A" w:rsidRPr="004B4B2E">
        <w:rPr>
          <w:rFonts w:ascii="Arial" w:hAnsi="Arial" w:cs="Arial"/>
          <w:sz w:val="24"/>
          <w:szCs w:val="24"/>
          <w:lang w:val="en-GB"/>
        </w:rPr>
        <w:t xml:space="preserve"> vs </w:t>
      </w:r>
      <w:r w:rsidR="00C730F3" w:rsidRPr="004B4B2E">
        <w:rPr>
          <w:rFonts w:ascii="Arial" w:hAnsi="Arial" w:cs="Arial"/>
          <w:sz w:val="24"/>
          <w:szCs w:val="24"/>
          <w:lang w:val="en-GB"/>
        </w:rPr>
        <w:t>“</w:t>
      </w:r>
      <w:r w:rsidR="00504D20">
        <w:rPr>
          <w:rFonts w:ascii="Arial" w:hAnsi="Arial" w:cs="Arial"/>
          <w:sz w:val="24"/>
          <w:szCs w:val="24"/>
          <w:lang w:val="en-GB"/>
        </w:rPr>
        <w:t>abnormal AET</w:t>
      </w:r>
      <w:r w:rsidR="00C730F3" w:rsidRPr="004B4B2E">
        <w:rPr>
          <w:rFonts w:ascii="Arial" w:hAnsi="Arial" w:cs="Arial"/>
          <w:sz w:val="24"/>
          <w:szCs w:val="24"/>
          <w:lang w:val="en-GB"/>
        </w:rPr>
        <w:t>”</w:t>
      </w:r>
      <w:r w:rsidR="00780A1A" w:rsidRPr="004B4B2E">
        <w:rPr>
          <w:rFonts w:ascii="Arial" w:hAnsi="Arial" w:cs="Arial"/>
          <w:sz w:val="24"/>
          <w:szCs w:val="24"/>
          <w:lang w:val="en-GB"/>
        </w:rPr>
        <w:t>) using the ROC curves analysis</w:t>
      </w:r>
      <w:r>
        <w:rPr>
          <w:rFonts w:ascii="Arial" w:hAnsi="Arial" w:cs="Arial"/>
          <w:sz w:val="24"/>
          <w:szCs w:val="24"/>
          <w:lang w:val="en-GB"/>
        </w:rPr>
        <w:t>, w</w:t>
      </w:r>
      <w:r w:rsidR="00780A1A" w:rsidRPr="004B4B2E">
        <w:rPr>
          <w:rFonts w:ascii="Arial" w:hAnsi="Arial" w:cs="Arial"/>
          <w:sz w:val="24"/>
          <w:szCs w:val="24"/>
          <w:lang w:val="en-GB"/>
        </w:rPr>
        <w:t xml:space="preserve">e found that the </w:t>
      </w:r>
      <w:r w:rsidR="0040610B">
        <w:rPr>
          <w:rFonts w:ascii="Arial" w:hAnsi="Arial" w:cs="Arial"/>
          <w:sz w:val="24"/>
          <w:szCs w:val="24"/>
          <w:lang w:val="en-GB"/>
        </w:rPr>
        <w:t xml:space="preserve">best </w:t>
      </w:r>
      <w:r w:rsidR="00780A1A" w:rsidRPr="0040610B">
        <w:rPr>
          <w:rFonts w:ascii="Arial" w:hAnsi="Arial" w:cs="Arial"/>
          <w:sz w:val="24"/>
          <w:szCs w:val="24"/>
          <w:lang w:val="en-GB"/>
        </w:rPr>
        <w:t xml:space="preserve">threshold of </w:t>
      </w:r>
      <w:r w:rsidR="00A030EB">
        <w:rPr>
          <w:rFonts w:ascii="Arial" w:hAnsi="Arial" w:cs="Arial"/>
          <w:sz w:val="24"/>
          <w:szCs w:val="24"/>
          <w:lang w:val="en-GB"/>
        </w:rPr>
        <w:t>gastric pH</w:t>
      </w:r>
      <w:r w:rsidR="00780A1A" w:rsidRPr="0040610B">
        <w:rPr>
          <w:rFonts w:ascii="Arial" w:hAnsi="Arial" w:cs="Arial"/>
          <w:sz w:val="24"/>
          <w:szCs w:val="24"/>
          <w:lang w:val="en-GB"/>
        </w:rPr>
        <w:t xml:space="preserve"> </w:t>
      </w:r>
      <w:r w:rsidR="0040610B">
        <w:rPr>
          <w:rFonts w:ascii="Arial" w:hAnsi="Arial" w:cs="Arial"/>
          <w:sz w:val="24"/>
          <w:szCs w:val="24"/>
          <w:lang w:val="en-GB"/>
        </w:rPr>
        <w:t xml:space="preserve">to diagnose persistent acid reflux was pH </w:t>
      </w:r>
      <w:r w:rsidR="00780A1A" w:rsidRPr="0040610B">
        <w:rPr>
          <w:rFonts w:ascii="Arial" w:hAnsi="Arial" w:cs="Arial"/>
          <w:sz w:val="24"/>
          <w:szCs w:val="24"/>
          <w:lang w:val="en-GB"/>
        </w:rPr>
        <w:t xml:space="preserve">5.05, </w:t>
      </w:r>
      <w:r w:rsidR="001168EC" w:rsidRPr="0040610B">
        <w:rPr>
          <w:rFonts w:ascii="Arial" w:hAnsi="Arial" w:cs="Arial"/>
          <w:sz w:val="24"/>
          <w:szCs w:val="24"/>
          <w:lang w:val="en-GB"/>
        </w:rPr>
        <w:t xml:space="preserve">with a sensitivity, specificity, positive predictive value and negative predictive value </w:t>
      </w:r>
      <w:r w:rsidR="00D23EBB" w:rsidRPr="0040610B">
        <w:rPr>
          <w:rFonts w:ascii="Arial" w:hAnsi="Arial" w:cs="Arial"/>
          <w:sz w:val="24"/>
          <w:szCs w:val="24"/>
          <w:lang w:val="en-GB"/>
        </w:rPr>
        <w:t xml:space="preserve">of </w:t>
      </w:r>
      <w:r w:rsidR="00332CFE">
        <w:rPr>
          <w:rFonts w:ascii="Arial" w:hAnsi="Arial" w:cs="Arial"/>
          <w:sz w:val="24"/>
          <w:szCs w:val="24"/>
          <w:lang w:val="en-GB"/>
        </w:rPr>
        <w:t>43</w:t>
      </w:r>
      <w:r w:rsidR="00D23EBB" w:rsidRPr="0040610B">
        <w:rPr>
          <w:rFonts w:ascii="Arial" w:hAnsi="Arial" w:cs="Arial"/>
          <w:sz w:val="24"/>
          <w:szCs w:val="24"/>
          <w:lang w:val="en-GB"/>
        </w:rPr>
        <w:t>.</w:t>
      </w:r>
      <w:r w:rsidR="00332CFE">
        <w:rPr>
          <w:rFonts w:ascii="Arial" w:hAnsi="Arial" w:cs="Arial"/>
          <w:sz w:val="24"/>
          <w:szCs w:val="24"/>
          <w:lang w:val="en-GB"/>
        </w:rPr>
        <w:t>2</w:t>
      </w:r>
      <w:r w:rsidR="001168EC" w:rsidRPr="0040610B">
        <w:rPr>
          <w:rFonts w:ascii="Arial" w:hAnsi="Arial" w:cs="Arial"/>
          <w:sz w:val="24"/>
          <w:szCs w:val="24"/>
          <w:lang w:val="en-GB"/>
        </w:rPr>
        <w:t xml:space="preserve">%, </w:t>
      </w:r>
      <w:r w:rsidR="001168EC" w:rsidRPr="0040610B">
        <w:rPr>
          <w:rFonts w:ascii="Arial" w:hAnsi="Arial" w:cs="Arial"/>
          <w:sz w:val="24"/>
          <w:szCs w:val="24"/>
          <w:lang w:val="en-GB"/>
        </w:rPr>
        <w:lastRenderedPageBreak/>
        <w:t>8</w:t>
      </w:r>
      <w:r w:rsidR="00332CFE">
        <w:rPr>
          <w:rFonts w:ascii="Arial" w:hAnsi="Arial" w:cs="Arial"/>
          <w:sz w:val="24"/>
          <w:szCs w:val="24"/>
          <w:lang w:val="en-GB"/>
        </w:rPr>
        <w:t>7</w:t>
      </w:r>
      <w:r w:rsidR="001168EC" w:rsidRPr="0040610B">
        <w:rPr>
          <w:rFonts w:ascii="Arial" w:hAnsi="Arial" w:cs="Arial"/>
          <w:sz w:val="24"/>
          <w:szCs w:val="24"/>
          <w:lang w:val="en-GB"/>
        </w:rPr>
        <w:t>.</w:t>
      </w:r>
      <w:r w:rsidR="00332CFE">
        <w:rPr>
          <w:rFonts w:ascii="Arial" w:hAnsi="Arial" w:cs="Arial"/>
          <w:sz w:val="24"/>
          <w:szCs w:val="24"/>
          <w:lang w:val="en-GB"/>
        </w:rPr>
        <w:t>5</w:t>
      </w:r>
      <w:r w:rsidR="001168EC" w:rsidRPr="0040610B">
        <w:rPr>
          <w:rFonts w:ascii="Arial" w:hAnsi="Arial" w:cs="Arial"/>
          <w:sz w:val="24"/>
          <w:szCs w:val="24"/>
          <w:lang w:val="en-GB"/>
        </w:rPr>
        <w:t xml:space="preserve">%, </w:t>
      </w:r>
      <w:r w:rsidR="00332CFE">
        <w:rPr>
          <w:rFonts w:ascii="Arial" w:hAnsi="Arial" w:cs="Arial"/>
          <w:sz w:val="24"/>
          <w:szCs w:val="24"/>
          <w:lang w:val="en-GB"/>
        </w:rPr>
        <w:t>76</w:t>
      </w:r>
      <w:r w:rsidR="001168EC" w:rsidRPr="0040610B">
        <w:rPr>
          <w:rFonts w:ascii="Arial" w:hAnsi="Arial" w:cs="Arial"/>
          <w:sz w:val="24"/>
          <w:szCs w:val="24"/>
          <w:lang w:val="en-GB"/>
        </w:rPr>
        <w:t>.</w:t>
      </w:r>
      <w:r w:rsidR="00332CFE">
        <w:rPr>
          <w:rFonts w:ascii="Arial" w:hAnsi="Arial" w:cs="Arial"/>
          <w:sz w:val="24"/>
          <w:szCs w:val="24"/>
          <w:lang w:val="en-GB"/>
        </w:rPr>
        <w:t>0</w:t>
      </w:r>
      <w:r w:rsidR="001168EC" w:rsidRPr="0040610B">
        <w:rPr>
          <w:rFonts w:ascii="Arial" w:hAnsi="Arial" w:cs="Arial"/>
          <w:sz w:val="24"/>
          <w:szCs w:val="24"/>
          <w:lang w:val="en-GB"/>
        </w:rPr>
        <w:t>%</w:t>
      </w:r>
      <w:r w:rsidR="00443893" w:rsidRPr="0040610B">
        <w:rPr>
          <w:rFonts w:ascii="Arial" w:hAnsi="Arial" w:cs="Arial"/>
          <w:sz w:val="24"/>
          <w:szCs w:val="24"/>
          <w:lang w:val="en-GB"/>
        </w:rPr>
        <w:t>,</w:t>
      </w:r>
      <w:r w:rsidR="001168EC" w:rsidRPr="0040610B">
        <w:rPr>
          <w:rFonts w:ascii="Arial" w:hAnsi="Arial" w:cs="Arial"/>
          <w:sz w:val="24"/>
          <w:szCs w:val="24"/>
          <w:lang w:val="en-GB"/>
        </w:rPr>
        <w:t xml:space="preserve"> </w:t>
      </w:r>
      <w:r w:rsidR="001168EC" w:rsidRPr="0040610B">
        <w:rPr>
          <w:rFonts w:ascii="Arial" w:hAnsi="Arial" w:cs="Arial"/>
          <w:noProof/>
          <w:sz w:val="24"/>
          <w:szCs w:val="24"/>
          <w:lang w:val="en-GB"/>
        </w:rPr>
        <w:t>and</w:t>
      </w:r>
      <w:r w:rsidR="001168EC" w:rsidRPr="0040610B">
        <w:rPr>
          <w:rFonts w:ascii="Arial" w:hAnsi="Arial" w:cs="Arial"/>
          <w:sz w:val="24"/>
          <w:szCs w:val="24"/>
          <w:lang w:val="en-GB"/>
        </w:rPr>
        <w:t xml:space="preserve"> 6</w:t>
      </w:r>
      <w:r w:rsidR="00332CFE">
        <w:rPr>
          <w:rFonts w:ascii="Arial" w:hAnsi="Arial" w:cs="Arial"/>
          <w:sz w:val="24"/>
          <w:szCs w:val="24"/>
          <w:lang w:val="en-GB"/>
        </w:rPr>
        <w:t>2</w:t>
      </w:r>
      <w:r w:rsidR="001168EC" w:rsidRPr="0040610B">
        <w:rPr>
          <w:rFonts w:ascii="Arial" w:hAnsi="Arial" w:cs="Arial"/>
          <w:sz w:val="24"/>
          <w:szCs w:val="24"/>
          <w:lang w:val="en-GB"/>
        </w:rPr>
        <w:t>.</w:t>
      </w:r>
      <w:r w:rsidR="00332CFE">
        <w:rPr>
          <w:rFonts w:ascii="Arial" w:hAnsi="Arial" w:cs="Arial"/>
          <w:sz w:val="24"/>
          <w:szCs w:val="24"/>
          <w:lang w:val="en-GB"/>
        </w:rPr>
        <w:t>7</w:t>
      </w:r>
      <w:r w:rsidR="001168EC" w:rsidRPr="0040610B">
        <w:rPr>
          <w:rFonts w:ascii="Arial" w:hAnsi="Arial" w:cs="Arial"/>
          <w:sz w:val="24"/>
          <w:szCs w:val="24"/>
          <w:lang w:val="en-GB"/>
        </w:rPr>
        <w:t xml:space="preserve">%, respectively. The </w:t>
      </w:r>
      <w:r w:rsidR="00941796" w:rsidRPr="0040610B">
        <w:rPr>
          <w:rFonts w:ascii="Arial" w:hAnsi="Arial" w:cs="Arial"/>
          <w:sz w:val="24"/>
          <w:szCs w:val="24"/>
          <w:lang w:val="en-GB"/>
        </w:rPr>
        <w:t>area under the ROC curve (</w:t>
      </w:r>
      <w:r w:rsidR="001168EC" w:rsidRPr="0040610B">
        <w:rPr>
          <w:rFonts w:ascii="Arial" w:hAnsi="Arial" w:cs="Arial"/>
          <w:sz w:val="24"/>
          <w:szCs w:val="24"/>
          <w:lang w:val="en-GB"/>
        </w:rPr>
        <w:t>AUC</w:t>
      </w:r>
      <w:r w:rsidR="00941796" w:rsidRPr="0040610B">
        <w:rPr>
          <w:rFonts w:ascii="Arial" w:hAnsi="Arial" w:cs="Arial"/>
          <w:sz w:val="24"/>
          <w:szCs w:val="24"/>
          <w:lang w:val="en-GB"/>
        </w:rPr>
        <w:t>)</w:t>
      </w:r>
      <w:r w:rsidR="001168EC" w:rsidRPr="0040610B">
        <w:rPr>
          <w:rFonts w:ascii="Arial" w:hAnsi="Arial" w:cs="Arial"/>
          <w:sz w:val="24"/>
          <w:szCs w:val="24"/>
          <w:lang w:val="en-GB"/>
        </w:rPr>
        <w:t xml:space="preserve"> was </w:t>
      </w:r>
      <w:r w:rsidR="00332CFE">
        <w:rPr>
          <w:rFonts w:ascii="Arial" w:hAnsi="Arial" w:cs="Arial"/>
          <w:sz w:val="24"/>
          <w:szCs w:val="24"/>
          <w:lang w:val="en-GB"/>
        </w:rPr>
        <w:t>63</w:t>
      </w:r>
      <w:r w:rsidR="00D23EBB" w:rsidRPr="0040610B">
        <w:rPr>
          <w:rFonts w:ascii="Arial" w:hAnsi="Arial" w:cs="Arial"/>
          <w:sz w:val="24"/>
          <w:szCs w:val="24"/>
          <w:lang w:val="en-GB"/>
        </w:rPr>
        <w:t>.</w:t>
      </w:r>
      <w:r w:rsidR="00332CFE">
        <w:rPr>
          <w:rFonts w:ascii="Arial" w:hAnsi="Arial" w:cs="Arial"/>
          <w:sz w:val="24"/>
          <w:szCs w:val="24"/>
          <w:lang w:val="en-GB"/>
        </w:rPr>
        <w:t>0</w:t>
      </w:r>
      <w:r w:rsidR="00D23EBB" w:rsidRPr="0040610B">
        <w:rPr>
          <w:rFonts w:ascii="Arial" w:hAnsi="Arial" w:cs="Arial"/>
          <w:sz w:val="24"/>
          <w:szCs w:val="24"/>
          <w:lang w:val="en-GB"/>
        </w:rPr>
        <w:t xml:space="preserve">% (95%CI </w:t>
      </w:r>
      <w:r w:rsidR="00332CFE">
        <w:rPr>
          <w:rFonts w:ascii="Arial" w:hAnsi="Arial" w:cs="Arial"/>
          <w:sz w:val="24"/>
          <w:szCs w:val="24"/>
          <w:lang w:val="en-GB"/>
        </w:rPr>
        <w:t>51</w:t>
      </w:r>
      <w:r w:rsidR="00D23EBB" w:rsidRPr="0040610B">
        <w:rPr>
          <w:rFonts w:ascii="Arial" w:hAnsi="Arial" w:cs="Arial"/>
          <w:sz w:val="24"/>
          <w:szCs w:val="24"/>
          <w:lang w:val="en-GB"/>
        </w:rPr>
        <w:t>.</w:t>
      </w:r>
      <w:r w:rsidR="00332CFE">
        <w:rPr>
          <w:rFonts w:ascii="Arial" w:hAnsi="Arial" w:cs="Arial"/>
          <w:sz w:val="24"/>
          <w:szCs w:val="24"/>
          <w:lang w:val="en-GB"/>
        </w:rPr>
        <w:t>3</w:t>
      </w:r>
      <w:r w:rsidR="00D23EBB" w:rsidRPr="0040610B">
        <w:rPr>
          <w:rFonts w:ascii="Arial" w:hAnsi="Arial" w:cs="Arial"/>
          <w:sz w:val="24"/>
          <w:szCs w:val="24"/>
          <w:lang w:val="en-GB"/>
        </w:rPr>
        <w:t>-7</w:t>
      </w:r>
      <w:r w:rsidR="00332CFE">
        <w:rPr>
          <w:rFonts w:ascii="Arial" w:hAnsi="Arial" w:cs="Arial"/>
          <w:sz w:val="24"/>
          <w:szCs w:val="24"/>
          <w:lang w:val="en-GB"/>
        </w:rPr>
        <w:t>4</w:t>
      </w:r>
      <w:r w:rsidR="00D23EBB" w:rsidRPr="0040610B">
        <w:rPr>
          <w:rFonts w:ascii="Arial" w:hAnsi="Arial" w:cs="Arial"/>
          <w:sz w:val="24"/>
          <w:szCs w:val="24"/>
          <w:lang w:val="en-GB"/>
        </w:rPr>
        <w:t>.</w:t>
      </w:r>
      <w:r w:rsidR="00332CFE">
        <w:rPr>
          <w:rFonts w:ascii="Arial" w:hAnsi="Arial" w:cs="Arial"/>
          <w:sz w:val="24"/>
          <w:szCs w:val="24"/>
          <w:lang w:val="en-GB"/>
        </w:rPr>
        <w:t>7</w:t>
      </w:r>
      <w:r w:rsidR="00D23EBB" w:rsidRPr="0040610B">
        <w:rPr>
          <w:rFonts w:ascii="Arial" w:hAnsi="Arial" w:cs="Arial"/>
          <w:sz w:val="24"/>
          <w:szCs w:val="24"/>
          <w:lang w:val="en-GB"/>
        </w:rPr>
        <w:t>%)</w:t>
      </w:r>
      <w:r w:rsidR="00C730F3" w:rsidRPr="0040610B">
        <w:rPr>
          <w:rFonts w:ascii="Arial" w:hAnsi="Arial" w:cs="Arial"/>
          <w:sz w:val="24"/>
          <w:szCs w:val="24"/>
          <w:lang w:val="en-GB"/>
        </w:rPr>
        <w:t xml:space="preserve"> as shown in </w:t>
      </w:r>
      <w:r w:rsidR="00D23EBB" w:rsidRPr="0040610B">
        <w:rPr>
          <w:rFonts w:ascii="Arial" w:hAnsi="Arial" w:cs="Arial"/>
          <w:sz w:val="24"/>
          <w:szCs w:val="24"/>
          <w:lang w:val="en-GB"/>
        </w:rPr>
        <w:t>Figure</w:t>
      </w:r>
      <w:r w:rsidR="00C730F3" w:rsidRPr="0040610B">
        <w:rPr>
          <w:rFonts w:ascii="Arial" w:hAnsi="Arial" w:cs="Arial"/>
          <w:sz w:val="24"/>
          <w:szCs w:val="24"/>
          <w:lang w:val="en-GB"/>
        </w:rPr>
        <w:t xml:space="preserve"> </w:t>
      </w:r>
      <w:r w:rsidR="00564662">
        <w:rPr>
          <w:rFonts w:ascii="Arial" w:hAnsi="Arial" w:cs="Arial"/>
          <w:sz w:val="24"/>
          <w:szCs w:val="24"/>
          <w:lang w:val="en-GB"/>
        </w:rPr>
        <w:t>5</w:t>
      </w:r>
      <w:r w:rsidR="008A7B8C">
        <w:rPr>
          <w:rFonts w:ascii="Arial" w:hAnsi="Arial" w:cs="Arial"/>
          <w:sz w:val="24"/>
          <w:szCs w:val="24"/>
          <w:lang w:val="en-GB"/>
        </w:rPr>
        <w:t>A</w:t>
      </w:r>
      <w:r w:rsidR="00C730F3" w:rsidRPr="0040610B">
        <w:rPr>
          <w:rFonts w:ascii="Arial" w:hAnsi="Arial" w:cs="Arial"/>
          <w:sz w:val="24"/>
          <w:szCs w:val="24"/>
          <w:lang w:val="en-GB"/>
        </w:rPr>
        <w:t xml:space="preserve">. </w:t>
      </w:r>
      <w:r w:rsidR="00941796" w:rsidRPr="0040610B">
        <w:rPr>
          <w:rFonts w:ascii="Arial" w:hAnsi="Arial" w:cs="Arial"/>
          <w:sz w:val="24"/>
          <w:szCs w:val="24"/>
          <w:lang w:val="en-GB"/>
        </w:rPr>
        <w:t xml:space="preserve">The positive likelihood ratio (PLR) was </w:t>
      </w:r>
      <w:r w:rsidR="00332CFE">
        <w:rPr>
          <w:rFonts w:ascii="Arial" w:hAnsi="Arial" w:cs="Arial"/>
          <w:sz w:val="24"/>
          <w:szCs w:val="24"/>
          <w:lang w:val="en-GB"/>
        </w:rPr>
        <w:t>3.46</w:t>
      </w:r>
      <w:r w:rsidR="00941796" w:rsidRPr="0040610B">
        <w:rPr>
          <w:rFonts w:ascii="Arial" w:hAnsi="Arial" w:cs="Arial"/>
          <w:sz w:val="24"/>
          <w:szCs w:val="24"/>
          <w:lang w:val="en-GB"/>
        </w:rPr>
        <w:t xml:space="preserve"> and the negative likelihood ratio (NLR) was 0.</w:t>
      </w:r>
      <w:r w:rsidR="00332CFE">
        <w:rPr>
          <w:rFonts w:ascii="Arial" w:hAnsi="Arial" w:cs="Arial"/>
          <w:sz w:val="24"/>
          <w:szCs w:val="24"/>
          <w:lang w:val="en-GB"/>
        </w:rPr>
        <w:t>65</w:t>
      </w:r>
      <w:r w:rsidR="004E5A82" w:rsidRPr="0040610B">
        <w:rPr>
          <w:rFonts w:ascii="Arial" w:hAnsi="Arial" w:cs="Arial"/>
          <w:sz w:val="24"/>
          <w:szCs w:val="24"/>
          <w:lang w:val="en-GB"/>
        </w:rPr>
        <w:t xml:space="preserve"> yielding a post-test possibility of persistent acid reflux of </w:t>
      </w:r>
      <w:r w:rsidR="00332CFE">
        <w:rPr>
          <w:rFonts w:ascii="Arial" w:hAnsi="Arial" w:cs="Arial"/>
          <w:sz w:val="24"/>
          <w:szCs w:val="24"/>
          <w:lang w:val="en-GB"/>
        </w:rPr>
        <w:t>76</w:t>
      </w:r>
      <w:r w:rsidR="004E5A82" w:rsidRPr="0040610B">
        <w:rPr>
          <w:rFonts w:ascii="Arial" w:hAnsi="Arial" w:cs="Arial"/>
          <w:sz w:val="24"/>
          <w:szCs w:val="24"/>
          <w:lang w:val="en-GB"/>
        </w:rPr>
        <w:t>.</w:t>
      </w:r>
      <w:r w:rsidR="00332CFE">
        <w:rPr>
          <w:rFonts w:ascii="Arial" w:hAnsi="Arial" w:cs="Arial"/>
          <w:sz w:val="24"/>
          <w:szCs w:val="24"/>
          <w:lang w:val="en-GB"/>
        </w:rPr>
        <w:t>1</w:t>
      </w:r>
      <w:r w:rsidR="004E5A82" w:rsidRPr="0040610B">
        <w:rPr>
          <w:rFonts w:ascii="Arial" w:hAnsi="Arial" w:cs="Arial"/>
          <w:sz w:val="24"/>
          <w:szCs w:val="24"/>
          <w:lang w:val="en-GB"/>
        </w:rPr>
        <w:t>% for a positive test (</w:t>
      </w:r>
      <w:proofErr w:type="spellStart"/>
      <w:r w:rsidR="004E5A82" w:rsidRPr="0040610B">
        <w:rPr>
          <w:rFonts w:ascii="Arial" w:hAnsi="Arial" w:cs="Arial"/>
          <w:sz w:val="24"/>
          <w:szCs w:val="24"/>
          <w:lang w:val="en-GB"/>
        </w:rPr>
        <w:t>EndoFaster</w:t>
      </w:r>
      <w:proofErr w:type="spellEnd"/>
      <w:r w:rsidR="004E5A82" w:rsidRPr="0040610B">
        <w:rPr>
          <w:rFonts w:ascii="Arial" w:hAnsi="Arial" w:cs="Arial"/>
          <w:sz w:val="24"/>
          <w:szCs w:val="24"/>
          <w:lang w:val="en-GB"/>
        </w:rPr>
        <w:t xml:space="preserve"> </w:t>
      </w:r>
      <w:r w:rsidR="00A030EB">
        <w:rPr>
          <w:rFonts w:ascii="Arial" w:hAnsi="Arial" w:cs="Arial"/>
          <w:sz w:val="24"/>
          <w:szCs w:val="24"/>
          <w:lang w:val="en-GB"/>
        </w:rPr>
        <w:t>gastric pH</w:t>
      </w:r>
      <w:r w:rsidR="004E5A82" w:rsidRPr="0040610B">
        <w:rPr>
          <w:rFonts w:ascii="Arial" w:hAnsi="Arial" w:cs="Arial"/>
          <w:sz w:val="24"/>
          <w:szCs w:val="24"/>
          <w:lang w:val="en-GB"/>
        </w:rPr>
        <w:t xml:space="preserve"> </w:t>
      </w:r>
      <w:r w:rsidR="00523409" w:rsidRPr="00745AEB">
        <w:rPr>
          <w:rFonts w:ascii="Arial" w:hAnsi="Arial" w:cs="Arial"/>
          <w:sz w:val="24"/>
          <w:szCs w:val="24"/>
          <w:lang w:val="en-GB"/>
        </w:rPr>
        <w:t>&lt;</w:t>
      </w:r>
      <w:r w:rsidR="004E5A82" w:rsidRPr="00745AEB">
        <w:rPr>
          <w:rFonts w:ascii="Arial" w:hAnsi="Arial" w:cs="Arial"/>
          <w:sz w:val="24"/>
          <w:szCs w:val="24"/>
          <w:lang w:val="en-GB"/>
        </w:rPr>
        <w:t xml:space="preserve">5.05) and a </w:t>
      </w:r>
      <w:r w:rsidR="00332CFE">
        <w:rPr>
          <w:rFonts w:ascii="Arial" w:hAnsi="Arial" w:cs="Arial"/>
          <w:sz w:val="24"/>
          <w:szCs w:val="24"/>
          <w:lang w:val="en-GB"/>
        </w:rPr>
        <w:t>37</w:t>
      </w:r>
      <w:r w:rsidR="004E5A82" w:rsidRPr="00745AEB">
        <w:rPr>
          <w:rFonts w:ascii="Arial" w:hAnsi="Arial" w:cs="Arial"/>
          <w:sz w:val="24"/>
          <w:szCs w:val="24"/>
          <w:lang w:val="en-GB"/>
        </w:rPr>
        <w:t>.</w:t>
      </w:r>
      <w:r w:rsidR="00332CFE">
        <w:rPr>
          <w:rFonts w:ascii="Arial" w:hAnsi="Arial" w:cs="Arial"/>
          <w:sz w:val="24"/>
          <w:szCs w:val="24"/>
          <w:lang w:val="en-GB"/>
        </w:rPr>
        <w:t>5</w:t>
      </w:r>
      <w:r w:rsidR="004E5A82" w:rsidRPr="00745AEB">
        <w:rPr>
          <w:rFonts w:ascii="Arial" w:hAnsi="Arial" w:cs="Arial"/>
          <w:sz w:val="24"/>
          <w:szCs w:val="24"/>
          <w:lang w:val="en-GB"/>
        </w:rPr>
        <w:t xml:space="preserve">% possibility of persistent acid reflux after a negative </w:t>
      </w:r>
      <w:r w:rsidR="004E5A82" w:rsidRPr="004B4B2E">
        <w:rPr>
          <w:rFonts w:ascii="Arial" w:hAnsi="Arial" w:cs="Arial"/>
          <w:sz w:val="24"/>
          <w:szCs w:val="24"/>
          <w:lang w:val="en-GB"/>
        </w:rPr>
        <w:t>test (</w:t>
      </w:r>
      <w:proofErr w:type="spellStart"/>
      <w:r w:rsidR="004E5A82" w:rsidRPr="004B4B2E">
        <w:rPr>
          <w:rFonts w:ascii="Arial" w:hAnsi="Arial" w:cs="Arial"/>
          <w:sz w:val="24"/>
          <w:szCs w:val="24"/>
          <w:lang w:val="en-GB"/>
        </w:rPr>
        <w:t>EndoFaster</w:t>
      </w:r>
      <w:proofErr w:type="spellEnd"/>
      <w:r w:rsidR="004E5A82" w:rsidRPr="004B4B2E">
        <w:rPr>
          <w:rFonts w:ascii="Arial" w:hAnsi="Arial" w:cs="Arial"/>
          <w:sz w:val="24"/>
          <w:szCs w:val="24"/>
          <w:lang w:val="en-GB"/>
        </w:rPr>
        <w:t xml:space="preserve"> </w:t>
      </w:r>
      <w:r w:rsidR="00A030EB">
        <w:rPr>
          <w:rFonts w:ascii="Arial" w:hAnsi="Arial" w:cs="Arial"/>
          <w:sz w:val="24"/>
          <w:szCs w:val="24"/>
          <w:lang w:val="en-GB"/>
        </w:rPr>
        <w:t>gastric pH</w:t>
      </w:r>
      <w:r w:rsidR="004E5A82" w:rsidRPr="004B4B2E">
        <w:rPr>
          <w:rFonts w:ascii="Arial" w:hAnsi="Arial" w:cs="Arial"/>
          <w:sz w:val="24"/>
          <w:szCs w:val="24"/>
          <w:lang w:val="en-GB"/>
        </w:rPr>
        <w:t xml:space="preserve"> </w:t>
      </w:r>
      <w:r w:rsidR="00523409" w:rsidRPr="004B4B2E">
        <w:rPr>
          <w:rFonts w:ascii="Arial" w:hAnsi="Arial" w:cs="Arial"/>
          <w:sz w:val="24"/>
          <w:szCs w:val="24"/>
          <w:lang w:val="en-GB"/>
        </w:rPr>
        <w:t>≥</w:t>
      </w:r>
      <w:r w:rsidR="004E5A82" w:rsidRPr="004B4B2E">
        <w:rPr>
          <w:rFonts w:ascii="Arial" w:hAnsi="Arial" w:cs="Arial"/>
          <w:sz w:val="24"/>
          <w:szCs w:val="24"/>
          <w:lang w:val="en-GB"/>
        </w:rPr>
        <w:t xml:space="preserve">5.05), </w:t>
      </w:r>
      <w:r w:rsidR="00941796" w:rsidRPr="004B4B2E">
        <w:rPr>
          <w:rFonts w:ascii="Arial" w:hAnsi="Arial" w:cs="Arial"/>
          <w:sz w:val="24"/>
          <w:szCs w:val="24"/>
          <w:lang w:val="en-GB"/>
        </w:rPr>
        <w:t>as demonstrated in the Fagan's nomogram in Fig</w:t>
      </w:r>
      <w:r w:rsidR="00185B79" w:rsidRPr="004B4B2E">
        <w:rPr>
          <w:rFonts w:ascii="Arial" w:hAnsi="Arial" w:cs="Arial"/>
          <w:sz w:val="24"/>
          <w:szCs w:val="24"/>
          <w:lang w:val="en-GB"/>
        </w:rPr>
        <w:t xml:space="preserve">ure </w:t>
      </w:r>
      <w:r w:rsidR="00564662">
        <w:rPr>
          <w:rFonts w:ascii="Arial" w:hAnsi="Arial" w:cs="Arial"/>
          <w:sz w:val="24"/>
          <w:szCs w:val="24"/>
          <w:lang w:val="en-GB"/>
        </w:rPr>
        <w:t>5</w:t>
      </w:r>
      <w:r w:rsidR="008A7B8C">
        <w:rPr>
          <w:rFonts w:ascii="Arial" w:hAnsi="Arial" w:cs="Arial"/>
          <w:sz w:val="24"/>
          <w:szCs w:val="24"/>
          <w:lang w:val="en-GB"/>
        </w:rPr>
        <w:t>B</w:t>
      </w:r>
      <w:r w:rsidR="00941796" w:rsidRPr="004B4B2E">
        <w:rPr>
          <w:rFonts w:ascii="Arial" w:hAnsi="Arial" w:cs="Arial"/>
          <w:sz w:val="24"/>
          <w:szCs w:val="24"/>
          <w:lang w:val="en-GB"/>
        </w:rPr>
        <w:t>.</w:t>
      </w:r>
    </w:p>
    <w:p w14:paraId="145357B7" w14:textId="7A1A33DD" w:rsidR="0054333F" w:rsidRPr="004B4B2E" w:rsidRDefault="0054333F" w:rsidP="001B3D49">
      <w:pPr>
        <w:spacing w:line="480" w:lineRule="auto"/>
        <w:jc w:val="both"/>
        <w:rPr>
          <w:rFonts w:ascii="Arial" w:hAnsi="Arial" w:cs="Arial"/>
          <w:sz w:val="24"/>
          <w:szCs w:val="24"/>
          <w:lang w:val="en-GB"/>
        </w:rPr>
      </w:pPr>
      <w:r w:rsidRPr="004B4B2E">
        <w:rPr>
          <w:rFonts w:ascii="Arial" w:hAnsi="Arial" w:cs="Arial"/>
          <w:b/>
          <w:sz w:val="24"/>
          <w:szCs w:val="24"/>
          <w:lang w:val="en-GB"/>
        </w:rPr>
        <w:t>Sensitivity analysis using conventional cut-off for pathological acid exposure</w:t>
      </w:r>
    </w:p>
    <w:p w14:paraId="0AC52D98" w14:textId="5C76B02D" w:rsidR="0054333F" w:rsidRPr="00745AEB" w:rsidRDefault="0054333F" w:rsidP="001B3D49">
      <w:pPr>
        <w:spacing w:line="480" w:lineRule="auto"/>
        <w:jc w:val="both"/>
        <w:rPr>
          <w:rFonts w:ascii="Arial" w:hAnsi="Arial" w:cs="Arial"/>
          <w:b/>
          <w:sz w:val="24"/>
          <w:szCs w:val="24"/>
          <w:lang w:val="en-GB"/>
        </w:rPr>
      </w:pPr>
      <w:r w:rsidRPr="004B4B2E">
        <w:rPr>
          <w:rFonts w:ascii="Arial" w:hAnsi="Arial" w:cs="Arial"/>
          <w:sz w:val="24"/>
          <w:szCs w:val="24"/>
          <w:lang w:val="en-GB"/>
        </w:rPr>
        <w:t>Using the standard cut-off of 4% for pathological esophageal AET</w:t>
      </w:r>
      <w:r w:rsidR="00CC2B1A">
        <w:rPr>
          <w:rFonts w:ascii="Arial" w:hAnsi="Arial" w:cs="Arial"/>
          <w:sz w:val="24"/>
          <w:szCs w:val="24"/>
          <w:lang w:val="en-GB"/>
        </w:rPr>
        <w:t xml:space="preserve"> 16 patients had abnormal AET (17.4%) and 76 had normal AET (82.6%). </w:t>
      </w:r>
      <w:r w:rsidR="00523409" w:rsidRPr="004B4B2E">
        <w:rPr>
          <w:rFonts w:ascii="Arial" w:hAnsi="Arial" w:cs="Arial"/>
          <w:sz w:val="24"/>
          <w:szCs w:val="24"/>
          <w:lang w:val="en-GB"/>
        </w:rPr>
        <w:t xml:space="preserve">Like in the modified cut-off parameter, there was no difference in clinical </w:t>
      </w:r>
      <w:r w:rsidR="00332CFE">
        <w:rPr>
          <w:rFonts w:ascii="Arial" w:hAnsi="Arial" w:cs="Arial"/>
          <w:sz w:val="24"/>
          <w:szCs w:val="24"/>
          <w:lang w:val="en-GB"/>
        </w:rPr>
        <w:t>characteristics</w:t>
      </w:r>
      <w:r w:rsidR="00332CFE" w:rsidRPr="004B4B2E">
        <w:rPr>
          <w:rFonts w:ascii="Arial" w:hAnsi="Arial" w:cs="Arial"/>
          <w:sz w:val="24"/>
          <w:szCs w:val="24"/>
          <w:lang w:val="en-GB"/>
        </w:rPr>
        <w:t xml:space="preserve"> </w:t>
      </w:r>
      <w:r w:rsidR="00523409" w:rsidRPr="004B4B2E">
        <w:rPr>
          <w:rFonts w:ascii="Arial" w:hAnsi="Arial" w:cs="Arial"/>
          <w:sz w:val="24"/>
          <w:szCs w:val="24"/>
          <w:lang w:val="en-GB"/>
        </w:rPr>
        <w:t>between</w:t>
      </w:r>
      <w:r w:rsidR="00CC2B1A">
        <w:rPr>
          <w:rFonts w:ascii="Arial" w:hAnsi="Arial" w:cs="Arial"/>
          <w:sz w:val="24"/>
          <w:szCs w:val="24"/>
          <w:lang w:val="en-GB"/>
        </w:rPr>
        <w:t xml:space="preserve"> patients with and without persistent acid reflux</w:t>
      </w:r>
      <w:r w:rsidR="00523409" w:rsidRPr="004B4B2E">
        <w:rPr>
          <w:rFonts w:ascii="Arial" w:hAnsi="Arial" w:cs="Arial"/>
          <w:sz w:val="24"/>
          <w:szCs w:val="24"/>
          <w:lang w:val="en-GB"/>
        </w:rPr>
        <w:t xml:space="preserve">, including age, gender, BMI, presence of BE and hiatus hernia. The </w:t>
      </w:r>
      <w:r w:rsidR="00CC2B1A">
        <w:rPr>
          <w:rFonts w:ascii="Arial" w:hAnsi="Arial" w:cs="Arial"/>
          <w:sz w:val="24"/>
          <w:szCs w:val="24"/>
          <w:lang w:val="en-GB"/>
        </w:rPr>
        <w:t>abnormal AET group</w:t>
      </w:r>
      <w:r w:rsidR="00523409" w:rsidRPr="004B4B2E">
        <w:rPr>
          <w:rFonts w:ascii="Arial" w:hAnsi="Arial" w:cs="Arial"/>
          <w:sz w:val="24"/>
          <w:szCs w:val="24"/>
          <w:lang w:val="en-GB"/>
        </w:rPr>
        <w:t xml:space="preserve">, however, </w:t>
      </w:r>
      <w:r w:rsidR="00CC2B1A">
        <w:rPr>
          <w:rFonts w:ascii="Arial" w:hAnsi="Arial" w:cs="Arial"/>
          <w:sz w:val="24"/>
          <w:szCs w:val="24"/>
          <w:lang w:val="en-GB"/>
        </w:rPr>
        <w:t xml:space="preserve">had been taking </w:t>
      </w:r>
      <w:r w:rsidR="00523409" w:rsidRPr="0040610B">
        <w:rPr>
          <w:rFonts w:ascii="Arial" w:hAnsi="Arial" w:cs="Arial"/>
          <w:sz w:val="24"/>
          <w:szCs w:val="24"/>
          <w:lang w:val="en-GB"/>
        </w:rPr>
        <w:t xml:space="preserve">significantly </w:t>
      </w:r>
      <w:r w:rsidR="00B572EB">
        <w:rPr>
          <w:rFonts w:ascii="Arial" w:hAnsi="Arial" w:cs="Arial"/>
          <w:sz w:val="24"/>
          <w:szCs w:val="24"/>
          <w:lang w:val="en-GB"/>
        </w:rPr>
        <w:t>lower</w:t>
      </w:r>
      <w:r w:rsidR="00B572EB" w:rsidRPr="0040610B">
        <w:rPr>
          <w:rFonts w:ascii="Arial" w:hAnsi="Arial" w:cs="Arial"/>
          <w:sz w:val="24"/>
          <w:szCs w:val="24"/>
          <w:lang w:val="en-GB"/>
        </w:rPr>
        <w:t xml:space="preserve"> </w:t>
      </w:r>
      <w:r w:rsidR="00523409" w:rsidRPr="0040610B">
        <w:rPr>
          <w:rFonts w:ascii="Arial" w:hAnsi="Arial" w:cs="Arial"/>
          <w:sz w:val="24"/>
          <w:szCs w:val="24"/>
          <w:lang w:val="en-GB"/>
        </w:rPr>
        <w:t>doses of PPI</w:t>
      </w:r>
      <w:r w:rsidR="008A7B8C">
        <w:rPr>
          <w:rFonts w:ascii="Arial" w:hAnsi="Arial" w:cs="Arial"/>
          <w:sz w:val="24"/>
          <w:szCs w:val="24"/>
          <w:lang w:val="en-GB"/>
        </w:rPr>
        <w:t>s</w:t>
      </w:r>
      <w:r w:rsidR="00B572EB">
        <w:rPr>
          <w:rFonts w:ascii="Arial" w:hAnsi="Arial" w:cs="Arial"/>
          <w:sz w:val="24"/>
          <w:szCs w:val="24"/>
          <w:lang w:val="en-GB"/>
        </w:rPr>
        <w:t xml:space="preserve"> than patients with normal AETs</w:t>
      </w:r>
      <w:r w:rsidR="00321362" w:rsidRPr="00745AEB">
        <w:rPr>
          <w:rFonts w:ascii="Arial" w:hAnsi="Arial" w:cs="Arial"/>
          <w:sz w:val="24"/>
          <w:szCs w:val="24"/>
          <w:lang w:val="en-GB"/>
        </w:rPr>
        <w:t xml:space="preserve">, </w:t>
      </w:r>
      <w:r w:rsidR="00B572EB">
        <w:rPr>
          <w:rFonts w:ascii="Arial" w:hAnsi="Arial" w:cs="Arial"/>
          <w:sz w:val="24"/>
          <w:szCs w:val="24"/>
          <w:lang w:val="en-GB"/>
        </w:rPr>
        <w:t>with a</w:t>
      </w:r>
      <w:r w:rsidR="00523409" w:rsidRPr="00745AEB">
        <w:rPr>
          <w:rFonts w:ascii="Arial" w:hAnsi="Arial" w:cs="Arial"/>
          <w:sz w:val="24"/>
          <w:szCs w:val="24"/>
          <w:lang w:val="en-GB"/>
        </w:rPr>
        <w:t xml:space="preserve"> median PPI classifier score </w:t>
      </w:r>
      <w:proofErr w:type="gramStart"/>
      <w:r w:rsidR="00B572EB">
        <w:rPr>
          <w:rFonts w:ascii="Arial" w:hAnsi="Arial" w:cs="Arial"/>
          <w:sz w:val="24"/>
          <w:szCs w:val="24"/>
          <w:lang w:val="en-GB"/>
        </w:rPr>
        <w:t xml:space="preserve">of </w:t>
      </w:r>
      <w:r w:rsidR="00B572EB" w:rsidRPr="00745AEB">
        <w:rPr>
          <w:rFonts w:ascii="Arial" w:hAnsi="Arial" w:cs="Arial"/>
          <w:sz w:val="24"/>
          <w:szCs w:val="24"/>
          <w:lang w:val="en-GB"/>
        </w:rPr>
        <w:t xml:space="preserve"> </w:t>
      </w:r>
      <w:r w:rsidR="00523409" w:rsidRPr="00745AEB">
        <w:rPr>
          <w:rFonts w:ascii="Arial" w:hAnsi="Arial" w:cs="Arial"/>
          <w:sz w:val="24"/>
          <w:szCs w:val="24"/>
          <w:lang w:val="en-GB"/>
        </w:rPr>
        <w:t>2.0</w:t>
      </w:r>
      <w:proofErr w:type="gramEnd"/>
      <w:r w:rsidR="00523409" w:rsidRPr="00745AEB">
        <w:rPr>
          <w:rFonts w:ascii="Arial" w:hAnsi="Arial" w:cs="Arial"/>
          <w:sz w:val="24"/>
          <w:szCs w:val="24"/>
          <w:lang w:val="en-GB"/>
        </w:rPr>
        <w:t xml:space="preserve"> (IQR 1.0-2.0)</w:t>
      </w:r>
      <w:r w:rsidR="00B572EB">
        <w:rPr>
          <w:rFonts w:ascii="Arial" w:hAnsi="Arial" w:cs="Arial"/>
          <w:sz w:val="24"/>
          <w:szCs w:val="24"/>
          <w:lang w:val="en-GB"/>
        </w:rPr>
        <w:t xml:space="preserve"> and </w:t>
      </w:r>
      <w:r w:rsidR="00321362" w:rsidRPr="004B4B2E">
        <w:rPr>
          <w:rFonts w:ascii="Arial" w:hAnsi="Arial" w:cs="Arial"/>
          <w:sz w:val="24"/>
          <w:szCs w:val="24"/>
          <w:lang w:val="en-GB"/>
        </w:rPr>
        <w:t xml:space="preserve"> </w:t>
      </w:r>
      <w:r w:rsidR="00523409" w:rsidRPr="004B4B2E">
        <w:rPr>
          <w:rFonts w:ascii="Arial" w:hAnsi="Arial" w:cs="Arial"/>
          <w:sz w:val="24"/>
          <w:szCs w:val="24"/>
          <w:lang w:val="en-GB"/>
        </w:rPr>
        <w:t>3.0</w:t>
      </w:r>
      <w:r w:rsidR="00321362" w:rsidRPr="004B4B2E">
        <w:rPr>
          <w:rFonts w:ascii="Arial" w:hAnsi="Arial" w:cs="Arial"/>
          <w:sz w:val="24"/>
          <w:szCs w:val="24"/>
          <w:lang w:val="en-GB"/>
        </w:rPr>
        <w:t xml:space="preserve"> </w:t>
      </w:r>
      <w:r w:rsidR="00B572EB">
        <w:rPr>
          <w:rFonts w:ascii="Arial" w:hAnsi="Arial" w:cs="Arial"/>
          <w:sz w:val="24"/>
          <w:szCs w:val="24"/>
          <w:lang w:val="en-GB"/>
        </w:rPr>
        <w:t>(</w:t>
      </w:r>
      <w:r w:rsidR="00523409" w:rsidRPr="004B4B2E">
        <w:rPr>
          <w:rFonts w:ascii="Arial" w:hAnsi="Arial" w:cs="Arial"/>
          <w:sz w:val="24"/>
          <w:szCs w:val="24"/>
          <w:lang w:val="en-GB"/>
        </w:rPr>
        <w:t>IQR 2.0-3.0)</w:t>
      </w:r>
      <w:r w:rsidR="00B572EB">
        <w:rPr>
          <w:rFonts w:ascii="Arial" w:hAnsi="Arial" w:cs="Arial"/>
          <w:sz w:val="24"/>
          <w:szCs w:val="24"/>
          <w:lang w:val="en-GB"/>
        </w:rPr>
        <w:t>, respectively</w:t>
      </w:r>
      <w:r w:rsidR="00523409" w:rsidRPr="004B4B2E">
        <w:rPr>
          <w:rFonts w:ascii="Arial" w:hAnsi="Arial" w:cs="Arial"/>
          <w:sz w:val="24"/>
          <w:szCs w:val="24"/>
          <w:lang w:val="en-GB"/>
        </w:rPr>
        <w:t xml:space="preserve"> (</w:t>
      </w:r>
      <w:r w:rsidR="00321362" w:rsidRPr="004B4B2E">
        <w:rPr>
          <w:rFonts w:ascii="Arial" w:hAnsi="Arial" w:cs="Arial"/>
          <w:i/>
          <w:sz w:val="24"/>
          <w:szCs w:val="24"/>
          <w:lang w:val="en-GB"/>
        </w:rPr>
        <w:t>P</w:t>
      </w:r>
      <w:r w:rsidR="00321362" w:rsidRPr="004B4B2E">
        <w:rPr>
          <w:rFonts w:ascii="Arial" w:hAnsi="Arial" w:cs="Arial"/>
          <w:sz w:val="24"/>
          <w:szCs w:val="24"/>
          <w:lang w:val="en-GB"/>
        </w:rPr>
        <w:t>=.00</w:t>
      </w:r>
      <w:r w:rsidR="00822737">
        <w:rPr>
          <w:rFonts w:ascii="Arial" w:hAnsi="Arial" w:cs="Arial"/>
          <w:sz w:val="24"/>
          <w:szCs w:val="24"/>
          <w:lang w:val="en-GB"/>
        </w:rPr>
        <w:t>3</w:t>
      </w:r>
      <w:r w:rsidR="00523409" w:rsidRPr="004B4B2E">
        <w:rPr>
          <w:rFonts w:ascii="Arial" w:hAnsi="Arial" w:cs="Arial"/>
          <w:sz w:val="24"/>
          <w:szCs w:val="24"/>
          <w:lang w:val="en-GB"/>
        </w:rPr>
        <w:t>)</w:t>
      </w:r>
      <w:r w:rsidR="00321362" w:rsidRPr="004B4B2E">
        <w:rPr>
          <w:rFonts w:ascii="Arial" w:hAnsi="Arial" w:cs="Arial"/>
          <w:sz w:val="24"/>
          <w:szCs w:val="24"/>
          <w:lang w:val="en-GB"/>
        </w:rPr>
        <w:t>. W</w:t>
      </w:r>
      <w:r w:rsidRPr="004B4B2E">
        <w:rPr>
          <w:rFonts w:ascii="Arial" w:hAnsi="Arial" w:cs="Arial"/>
          <w:sz w:val="24"/>
          <w:szCs w:val="24"/>
          <w:lang w:val="en-GB"/>
        </w:rPr>
        <w:t>hen the 24-h AET was predicted</w:t>
      </w:r>
      <w:r w:rsidR="001D79EE">
        <w:rPr>
          <w:rFonts w:ascii="Arial" w:hAnsi="Arial" w:cs="Arial"/>
          <w:sz w:val="24"/>
          <w:szCs w:val="24"/>
          <w:lang w:val="en-GB"/>
        </w:rPr>
        <w:t xml:space="preserve"> in a multivariable regression model, t</w:t>
      </w:r>
      <w:r w:rsidR="00321362" w:rsidRPr="004B4B2E">
        <w:rPr>
          <w:rFonts w:ascii="Arial" w:hAnsi="Arial" w:cs="Arial"/>
          <w:sz w:val="24"/>
          <w:szCs w:val="24"/>
          <w:lang w:val="en-GB"/>
        </w:rPr>
        <w:t xml:space="preserve">he </w:t>
      </w:r>
      <w:proofErr w:type="spellStart"/>
      <w:r w:rsidR="00077620">
        <w:rPr>
          <w:rFonts w:ascii="Arial" w:hAnsi="Arial" w:cs="Arial"/>
          <w:sz w:val="24"/>
          <w:szCs w:val="24"/>
          <w:lang w:val="en-GB"/>
        </w:rPr>
        <w:t>EndoFaster</w:t>
      </w:r>
      <w:proofErr w:type="spellEnd"/>
      <w:r w:rsidR="00077620">
        <w:rPr>
          <w:rFonts w:ascii="Arial" w:hAnsi="Arial" w:cs="Arial"/>
          <w:sz w:val="24"/>
          <w:szCs w:val="24"/>
          <w:lang w:val="en-GB"/>
        </w:rPr>
        <w:t xml:space="preserve"> </w:t>
      </w:r>
      <w:r w:rsidR="00A030EB">
        <w:rPr>
          <w:rFonts w:ascii="Arial" w:hAnsi="Arial" w:cs="Arial"/>
          <w:sz w:val="24"/>
          <w:szCs w:val="24"/>
          <w:lang w:val="en-GB"/>
        </w:rPr>
        <w:t>gastric pH</w:t>
      </w:r>
      <w:r w:rsidR="00321362" w:rsidRPr="004B4B2E">
        <w:rPr>
          <w:rFonts w:ascii="Arial" w:hAnsi="Arial" w:cs="Arial"/>
          <w:sz w:val="24"/>
          <w:szCs w:val="24"/>
          <w:lang w:val="en-GB"/>
        </w:rPr>
        <w:t xml:space="preserve"> parameter </w:t>
      </w:r>
      <w:r w:rsidR="00321362" w:rsidRPr="00745AEB">
        <w:rPr>
          <w:rFonts w:ascii="Arial" w:hAnsi="Arial" w:cs="Arial"/>
          <w:sz w:val="24"/>
          <w:szCs w:val="24"/>
          <w:lang w:val="en-GB"/>
        </w:rPr>
        <w:t>was not useful as a predictor of persistent acid reflux in the conventional cut-off cohort (</w:t>
      </w:r>
      <w:r w:rsidR="00321362" w:rsidRPr="00745AEB">
        <w:rPr>
          <w:rFonts w:ascii="Arial" w:hAnsi="Arial" w:cs="Arial"/>
          <w:i/>
          <w:sz w:val="24"/>
          <w:szCs w:val="24"/>
          <w:lang w:val="en-GB"/>
        </w:rPr>
        <w:t>P</w:t>
      </w:r>
      <w:r w:rsidR="00321362" w:rsidRPr="00745AEB">
        <w:rPr>
          <w:rFonts w:ascii="Arial" w:hAnsi="Arial" w:cs="Arial"/>
          <w:sz w:val="24"/>
          <w:szCs w:val="24"/>
          <w:lang w:val="en-GB"/>
        </w:rPr>
        <w:t>=.</w:t>
      </w:r>
      <w:r w:rsidR="00822737">
        <w:rPr>
          <w:rFonts w:ascii="Arial" w:hAnsi="Arial" w:cs="Arial"/>
          <w:sz w:val="24"/>
          <w:szCs w:val="24"/>
          <w:lang w:val="en-GB"/>
        </w:rPr>
        <w:t>1</w:t>
      </w:r>
      <w:r w:rsidR="00321362" w:rsidRPr="00745AEB">
        <w:rPr>
          <w:rFonts w:ascii="Arial" w:hAnsi="Arial" w:cs="Arial"/>
          <w:sz w:val="24"/>
          <w:szCs w:val="24"/>
          <w:lang w:val="en-GB"/>
        </w:rPr>
        <w:t>0</w:t>
      </w:r>
      <w:r w:rsidR="00822737">
        <w:rPr>
          <w:rFonts w:ascii="Arial" w:hAnsi="Arial" w:cs="Arial"/>
          <w:sz w:val="24"/>
          <w:szCs w:val="24"/>
          <w:lang w:val="en-GB"/>
        </w:rPr>
        <w:t>2</w:t>
      </w:r>
      <w:r w:rsidR="00321362" w:rsidRPr="00745AEB">
        <w:rPr>
          <w:rFonts w:ascii="Arial" w:hAnsi="Arial" w:cs="Arial"/>
          <w:sz w:val="24"/>
          <w:szCs w:val="24"/>
          <w:lang w:val="en-GB"/>
        </w:rPr>
        <w:t>).</w:t>
      </w:r>
    </w:p>
    <w:p w14:paraId="03038360" w14:textId="6E6A9AE5" w:rsidR="006D2F4F" w:rsidRPr="004B4B2E" w:rsidRDefault="006D2F4F" w:rsidP="001B3D49">
      <w:pPr>
        <w:spacing w:line="480" w:lineRule="auto"/>
        <w:jc w:val="both"/>
        <w:rPr>
          <w:rFonts w:ascii="Arial" w:hAnsi="Arial" w:cs="Arial"/>
          <w:b/>
          <w:sz w:val="24"/>
          <w:szCs w:val="24"/>
          <w:lang w:val="en-GB"/>
        </w:rPr>
      </w:pPr>
      <w:r w:rsidRPr="004B4B2E">
        <w:rPr>
          <w:rFonts w:ascii="Arial" w:hAnsi="Arial" w:cs="Arial"/>
          <w:b/>
          <w:sz w:val="24"/>
          <w:szCs w:val="24"/>
          <w:lang w:val="en-GB"/>
        </w:rPr>
        <w:t>Discussion</w:t>
      </w:r>
    </w:p>
    <w:p w14:paraId="1B46AE5E" w14:textId="52D3E4C2" w:rsidR="00346E4C" w:rsidRPr="004B4B2E" w:rsidRDefault="003E257A" w:rsidP="001B3D49">
      <w:pPr>
        <w:spacing w:line="480" w:lineRule="auto"/>
        <w:jc w:val="both"/>
        <w:rPr>
          <w:rFonts w:ascii="Arial" w:hAnsi="Arial" w:cs="Arial"/>
          <w:sz w:val="24"/>
          <w:szCs w:val="24"/>
          <w:lang w:val="en-GB"/>
        </w:rPr>
      </w:pPr>
      <w:r w:rsidRPr="004B4B2E">
        <w:rPr>
          <w:rFonts w:ascii="Arial" w:hAnsi="Arial" w:cs="Arial"/>
          <w:sz w:val="24"/>
          <w:szCs w:val="24"/>
          <w:lang w:val="en-GB"/>
        </w:rPr>
        <w:t>In this prospective</w:t>
      </w:r>
      <w:r w:rsidR="00951B43" w:rsidRPr="004B4B2E">
        <w:rPr>
          <w:rFonts w:ascii="Arial" w:hAnsi="Arial" w:cs="Arial"/>
          <w:sz w:val="24"/>
          <w:szCs w:val="24"/>
          <w:lang w:val="en-GB"/>
        </w:rPr>
        <w:t xml:space="preserve"> </w:t>
      </w:r>
      <w:r w:rsidRPr="004B4B2E">
        <w:rPr>
          <w:rFonts w:ascii="Arial" w:hAnsi="Arial" w:cs="Arial"/>
          <w:sz w:val="24"/>
          <w:szCs w:val="24"/>
          <w:lang w:val="en-GB"/>
        </w:rPr>
        <w:t>single-</w:t>
      </w:r>
      <w:proofErr w:type="spellStart"/>
      <w:r w:rsidRPr="004B4B2E">
        <w:rPr>
          <w:rFonts w:ascii="Arial" w:hAnsi="Arial" w:cs="Arial"/>
          <w:sz w:val="24"/>
          <w:szCs w:val="24"/>
          <w:lang w:val="en-GB"/>
        </w:rPr>
        <w:t>center</w:t>
      </w:r>
      <w:proofErr w:type="spellEnd"/>
      <w:r w:rsidRPr="004B4B2E">
        <w:rPr>
          <w:rFonts w:ascii="Arial" w:hAnsi="Arial" w:cs="Arial"/>
          <w:sz w:val="24"/>
          <w:szCs w:val="24"/>
          <w:lang w:val="en-GB"/>
        </w:rPr>
        <w:t xml:space="preserve"> study we have </w:t>
      </w:r>
      <w:r w:rsidR="0064680A" w:rsidRPr="004B4B2E">
        <w:rPr>
          <w:rFonts w:ascii="Arial" w:hAnsi="Arial" w:cs="Arial"/>
          <w:sz w:val="24"/>
          <w:szCs w:val="24"/>
          <w:lang w:val="en-GB"/>
        </w:rPr>
        <w:t>shown that</w:t>
      </w:r>
      <w:r w:rsidR="00346E4C" w:rsidRPr="004B4B2E">
        <w:rPr>
          <w:rFonts w:ascii="Arial" w:hAnsi="Arial" w:cs="Arial"/>
          <w:sz w:val="24"/>
          <w:szCs w:val="24"/>
          <w:lang w:val="en-GB"/>
        </w:rPr>
        <w:t xml:space="preserve"> </w:t>
      </w:r>
      <w:r w:rsidR="001D79EE" w:rsidRPr="004B4B2E">
        <w:rPr>
          <w:rFonts w:ascii="Arial" w:hAnsi="Arial" w:cs="Arial"/>
          <w:sz w:val="24"/>
          <w:szCs w:val="24"/>
          <w:lang w:val="en-GB"/>
        </w:rPr>
        <w:t>clinical parameters</w:t>
      </w:r>
      <w:r w:rsidR="001D79EE">
        <w:rPr>
          <w:rFonts w:ascii="Arial" w:hAnsi="Arial" w:cs="Arial"/>
          <w:sz w:val="24"/>
          <w:szCs w:val="24"/>
          <w:lang w:val="en-GB"/>
        </w:rPr>
        <w:t xml:space="preserve">, </w:t>
      </w:r>
      <w:r w:rsidR="001D79EE" w:rsidRPr="004B4B2E">
        <w:rPr>
          <w:rFonts w:ascii="Arial" w:hAnsi="Arial" w:cs="Arial"/>
          <w:sz w:val="24"/>
          <w:szCs w:val="24"/>
          <w:lang w:val="en-GB"/>
        </w:rPr>
        <w:t xml:space="preserve">including </w:t>
      </w:r>
      <w:r w:rsidR="001D79EE">
        <w:rPr>
          <w:rFonts w:ascii="Arial" w:hAnsi="Arial" w:cs="Arial"/>
          <w:sz w:val="24"/>
          <w:szCs w:val="24"/>
          <w:lang w:val="en-GB"/>
        </w:rPr>
        <w:t>severity and frequency</w:t>
      </w:r>
      <w:r w:rsidR="001D79EE" w:rsidRPr="004B4B2E">
        <w:rPr>
          <w:rFonts w:ascii="Arial" w:hAnsi="Arial" w:cs="Arial"/>
          <w:sz w:val="24"/>
          <w:szCs w:val="24"/>
          <w:lang w:val="en-GB"/>
        </w:rPr>
        <w:t xml:space="preserve"> of symptoms</w:t>
      </w:r>
      <w:r w:rsidR="001D79EE">
        <w:rPr>
          <w:rFonts w:ascii="Arial" w:hAnsi="Arial" w:cs="Arial"/>
          <w:sz w:val="24"/>
          <w:szCs w:val="24"/>
          <w:lang w:val="en-GB"/>
        </w:rPr>
        <w:t xml:space="preserve">, </w:t>
      </w:r>
      <w:r w:rsidRPr="004B4B2E">
        <w:rPr>
          <w:rFonts w:ascii="Arial" w:hAnsi="Arial" w:cs="Arial"/>
          <w:sz w:val="24"/>
          <w:szCs w:val="24"/>
          <w:lang w:val="en-GB"/>
        </w:rPr>
        <w:t xml:space="preserve">are not useful in predicting </w:t>
      </w:r>
      <w:r w:rsidR="005726C4" w:rsidRPr="004B4B2E">
        <w:rPr>
          <w:rFonts w:ascii="Arial" w:hAnsi="Arial" w:cs="Arial"/>
          <w:sz w:val="24"/>
          <w:szCs w:val="24"/>
          <w:lang w:val="en-GB"/>
        </w:rPr>
        <w:t>persistent acid reflux</w:t>
      </w:r>
      <w:r w:rsidR="001D79EE" w:rsidRPr="001D79EE">
        <w:rPr>
          <w:rFonts w:ascii="Arial" w:hAnsi="Arial" w:cs="Arial"/>
          <w:sz w:val="24"/>
          <w:szCs w:val="24"/>
          <w:lang w:val="en-GB"/>
        </w:rPr>
        <w:t xml:space="preserve"> </w:t>
      </w:r>
      <w:r w:rsidR="001D79EE">
        <w:rPr>
          <w:rFonts w:ascii="Arial" w:hAnsi="Arial" w:cs="Arial"/>
          <w:sz w:val="24"/>
          <w:szCs w:val="24"/>
          <w:lang w:val="en-GB"/>
        </w:rPr>
        <w:t>in patients taking PPIs</w:t>
      </w:r>
      <w:r w:rsidR="00786484" w:rsidRPr="004B4B2E">
        <w:rPr>
          <w:rFonts w:ascii="Arial" w:hAnsi="Arial" w:cs="Arial"/>
          <w:sz w:val="24"/>
          <w:szCs w:val="24"/>
          <w:lang w:val="en-GB"/>
        </w:rPr>
        <w:t xml:space="preserve">. </w:t>
      </w:r>
      <w:r w:rsidR="00314F10">
        <w:rPr>
          <w:rFonts w:ascii="Arial" w:hAnsi="Arial" w:cs="Arial"/>
          <w:sz w:val="24"/>
          <w:szCs w:val="24"/>
          <w:lang w:val="en-GB"/>
        </w:rPr>
        <w:t>G</w:t>
      </w:r>
      <w:r w:rsidR="00A030EB">
        <w:rPr>
          <w:rFonts w:ascii="Arial" w:hAnsi="Arial" w:cs="Arial"/>
          <w:sz w:val="24"/>
          <w:szCs w:val="24"/>
          <w:lang w:val="en-GB"/>
        </w:rPr>
        <w:t>astric pH</w:t>
      </w:r>
      <w:r w:rsidR="005726C4" w:rsidRPr="004B4B2E">
        <w:rPr>
          <w:rFonts w:ascii="Arial" w:hAnsi="Arial" w:cs="Arial"/>
          <w:sz w:val="24"/>
          <w:szCs w:val="24"/>
          <w:lang w:val="en-GB"/>
        </w:rPr>
        <w:t xml:space="preserve"> </w:t>
      </w:r>
      <w:r w:rsidR="00375B6C">
        <w:rPr>
          <w:rFonts w:ascii="Arial" w:hAnsi="Arial" w:cs="Arial"/>
          <w:sz w:val="24"/>
          <w:szCs w:val="24"/>
          <w:lang w:val="en-GB"/>
        </w:rPr>
        <w:t>measurement</w:t>
      </w:r>
      <w:r w:rsidR="00375B6C" w:rsidRPr="004B4B2E">
        <w:rPr>
          <w:rFonts w:ascii="Arial" w:hAnsi="Arial" w:cs="Arial"/>
          <w:sz w:val="24"/>
          <w:szCs w:val="24"/>
          <w:lang w:val="en-GB"/>
        </w:rPr>
        <w:t xml:space="preserve"> </w:t>
      </w:r>
      <w:r w:rsidR="009372BC">
        <w:rPr>
          <w:rFonts w:ascii="Arial" w:hAnsi="Arial" w:cs="Arial"/>
          <w:sz w:val="24"/>
          <w:szCs w:val="24"/>
          <w:lang w:val="en-GB"/>
        </w:rPr>
        <w:t>by</w:t>
      </w:r>
      <w:r w:rsidR="009372BC" w:rsidRPr="004B4B2E">
        <w:rPr>
          <w:rFonts w:ascii="Arial" w:hAnsi="Arial" w:cs="Arial"/>
          <w:sz w:val="24"/>
          <w:szCs w:val="24"/>
          <w:lang w:val="en-GB"/>
        </w:rPr>
        <w:t xml:space="preserve"> </w:t>
      </w:r>
      <w:proofErr w:type="spellStart"/>
      <w:r w:rsidR="009372BC" w:rsidRPr="004B4B2E">
        <w:rPr>
          <w:rFonts w:ascii="Arial" w:hAnsi="Arial" w:cs="Arial"/>
          <w:sz w:val="24"/>
          <w:szCs w:val="24"/>
          <w:lang w:val="en-GB"/>
        </w:rPr>
        <w:t>EndoFaster</w:t>
      </w:r>
      <w:proofErr w:type="spellEnd"/>
      <w:r w:rsidR="009372BC" w:rsidRPr="004B4B2E">
        <w:rPr>
          <w:rFonts w:ascii="Arial" w:hAnsi="Arial" w:cs="Arial"/>
          <w:sz w:val="24"/>
          <w:szCs w:val="24"/>
          <w:lang w:val="en-GB"/>
        </w:rPr>
        <w:t xml:space="preserve"> </w:t>
      </w:r>
      <w:r w:rsidR="005726C4" w:rsidRPr="004B4B2E">
        <w:rPr>
          <w:rFonts w:ascii="Arial" w:hAnsi="Arial" w:cs="Arial"/>
          <w:sz w:val="24"/>
          <w:szCs w:val="24"/>
          <w:lang w:val="en-GB"/>
        </w:rPr>
        <w:t xml:space="preserve">during routine endoscopy </w:t>
      </w:r>
      <w:r w:rsidR="00314F10">
        <w:rPr>
          <w:rFonts w:ascii="Arial" w:hAnsi="Arial" w:cs="Arial"/>
          <w:sz w:val="24"/>
          <w:szCs w:val="24"/>
          <w:lang w:val="en-GB"/>
        </w:rPr>
        <w:t>is a good estimate of 24-hour gastric acidity</w:t>
      </w:r>
      <w:r w:rsidR="00077620">
        <w:rPr>
          <w:rFonts w:ascii="Arial" w:hAnsi="Arial" w:cs="Arial"/>
          <w:sz w:val="24"/>
          <w:szCs w:val="24"/>
          <w:lang w:val="en-GB"/>
        </w:rPr>
        <w:t xml:space="preserve"> </w:t>
      </w:r>
      <w:r w:rsidR="00375B6C">
        <w:rPr>
          <w:rFonts w:ascii="Arial" w:hAnsi="Arial" w:cs="Arial"/>
          <w:sz w:val="24"/>
          <w:szCs w:val="24"/>
          <w:lang w:val="en-GB"/>
        </w:rPr>
        <w:t xml:space="preserve">and </w:t>
      </w:r>
      <w:r w:rsidR="00314F10">
        <w:rPr>
          <w:rFonts w:ascii="Arial" w:hAnsi="Arial" w:cs="Arial"/>
          <w:sz w:val="24"/>
          <w:szCs w:val="24"/>
          <w:lang w:val="en-GB"/>
        </w:rPr>
        <w:t xml:space="preserve">has a modest correlation </w:t>
      </w:r>
      <w:r w:rsidR="001A36EA">
        <w:rPr>
          <w:rFonts w:ascii="Arial" w:hAnsi="Arial" w:cs="Arial"/>
          <w:sz w:val="24"/>
          <w:szCs w:val="24"/>
          <w:lang w:val="en-GB"/>
        </w:rPr>
        <w:t xml:space="preserve">with </w:t>
      </w:r>
      <w:r w:rsidR="005726C4" w:rsidRPr="004B4B2E">
        <w:rPr>
          <w:rFonts w:ascii="Arial" w:hAnsi="Arial" w:cs="Arial"/>
          <w:sz w:val="24"/>
          <w:szCs w:val="24"/>
          <w:lang w:val="en-GB"/>
        </w:rPr>
        <w:t xml:space="preserve">24-hour </w:t>
      </w:r>
      <w:r w:rsidR="00375B6C">
        <w:rPr>
          <w:rFonts w:ascii="Arial" w:hAnsi="Arial" w:cs="Arial"/>
          <w:sz w:val="24"/>
          <w:szCs w:val="24"/>
          <w:lang w:val="en-GB"/>
        </w:rPr>
        <w:t xml:space="preserve">total </w:t>
      </w:r>
      <w:r w:rsidR="004E5A82" w:rsidRPr="004B4B2E">
        <w:rPr>
          <w:rFonts w:ascii="Arial" w:hAnsi="Arial" w:cs="Arial"/>
          <w:sz w:val="24"/>
          <w:szCs w:val="24"/>
          <w:lang w:val="en-GB"/>
        </w:rPr>
        <w:t xml:space="preserve">esophageal </w:t>
      </w:r>
      <w:r w:rsidR="0064680A" w:rsidRPr="004B4B2E">
        <w:rPr>
          <w:rFonts w:ascii="Arial" w:hAnsi="Arial" w:cs="Arial"/>
          <w:sz w:val="24"/>
          <w:szCs w:val="24"/>
          <w:lang w:val="en-GB"/>
        </w:rPr>
        <w:t>AET</w:t>
      </w:r>
      <w:r w:rsidR="005726C4" w:rsidRPr="004B4B2E">
        <w:rPr>
          <w:rFonts w:ascii="Arial" w:hAnsi="Arial" w:cs="Arial"/>
          <w:sz w:val="24"/>
          <w:szCs w:val="24"/>
          <w:lang w:val="en-GB"/>
        </w:rPr>
        <w:t>.</w:t>
      </w:r>
      <w:r w:rsidR="009F34D1">
        <w:rPr>
          <w:rFonts w:ascii="Arial" w:hAnsi="Arial" w:cs="Arial"/>
          <w:sz w:val="24"/>
          <w:szCs w:val="24"/>
          <w:lang w:val="en-GB"/>
        </w:rPr>
        <w:t xml:space="preserve"> </w:t>
      </w:r>
    </w:p>
    <w:p w14:paraId="702702C1" w14:textId="53F3A85B" w:rsidR="005A6EB9" w:rsidRDefault="007674C0" w:rsidP="001B3D49">
      <w:pPr>
        <w:spacing w:line="480" w:lineRule="auto"/>
        <w:jc w:val="both"/>
        <w:rPr>
          <w:rFonts w:ascii="Arial" w:hAnsi="Arial" w:cs="Arial"/>
          <w:sz w:val="24"/>
          <w:szCs w:val="24"/>
          <w:lang w:val="en-GB"/>
        </w:rPr>
      </w:pPr>
      <w:r>
        <w:rPr>
          <w:rFonts w:ascii="Arial" w:hAnsi="Arial" w:cs="Arial"/>
          <w:sz w:val="24"/>
          <w:szCs w:val="24"/>
          <w:lang w:val="en-GB"/>
        </w:rPr>
        <w:lastRenderedPageBreak/>
        <w:t xml:space="preserve">Patients </w:t>
      </w:r>
      <w:r w:rsidR="009B6BF8" w:rsidRPr="004B4B2E">
        <w:rPr>
          <w:rFonts w:ascii="Arial" w:hAnsi="Arial" w:cs="Arial"/>
          <w:sz w:val="24"/>
          <w:szCs w:val="24"/>
          <w:lang w:val="en-GB"/>
        </w:rPr>
        <w:t xml:space="preserve">with GERD </w:t>
      </w:r>
      <w:r w:rsidR="00F745AF">
        <w:rPr>
          <w:rFonts w:ascii="Arial" w:hAnsi="Arial" w:cs="Arial"/>
          <w:sz w:val="24"/>
          <w:szCs w:val="24"/>
          <w:lang w:val="en-GB"/>
        </w:rPr>
        <w:t>who</w:t>
      </w:r>
      <w:r w:rsidR="00F745AF" w:rsidRPr="004B4B2E">
        <w:rPr>
          <w:rFonts w:ascii="Arial" w:hAnsi="Arial" w:cs="Arial"/>
          <w:sz w:val="24"/>
          <w:szCs w:val="24"/>
          <w:lang w:val="en-GB"/>
        </w:rPr>
        <w:t xml:space="preserve"> </w:t>
      </w:r>
      <w:r w:rsidR="00314F10">
        <w:rPr>
          <w:rFonts w:ascii="Arial" w:hAnsi="Arial" w:cs="Arial"/>
          <w:sz w:val="24"/>
          <w:szCs w:val="24"/>
          <w:lang w:val="en-GB"/>
        </w:rPr>
        <w:t>have</w:t>
      </w:r>
      <w:r w:rsidR="00F745AF">
        <w:rPr>
          <w:rFonts w:ascii="Arial" w:hAnsi="Arial" w:cs="Arial"/>
          <w:sz w:val="24"/>
          <w:szCs w:val="24"/>
          <w:lang w:val="en-GB"/>
        </w:rPr>
        <w:t xml:space="preserve"> </w:t>
      </w:r>
      <w:r w:rsidR="00F745AF" w:rsidRPr="004B4B2E">
        <w:rPr>
          <w:rFonts w:ascii="Arial" w:hAnsi="Arial" w:cs="Arial"/>
          <w:sz w:val="24"/>
          <w:szCs w:val="24"/>
          <w:lang w:val="en-GB"/>
        </w:rPr>
        <w:t xml:space="preserve">partial </w:t>
      </w:r>
      <w:r>
        <w:rPr>
          <w:rFonts w:ascii="Arial" w:hAnsi="Arial" w:cs="Arial"/>
          <w:sz w:val="24"/>
          <w:szCs w:val="24"/>
          <w:lang w:val="en-GB"/>
        </w:rPr>
        <w:t xml:space="preserve">or no </w:t>
      </w:r>
      <w:r w:rsidR="00F745AF" w:rsidRPr="004B4B2E">
        <w:rPr>
          <w:rFonts w:ascii="Arial" w:hAnsi="Arial" w:cs="Arial"/>
          <w:sz w:val="24"/>
          <w:szCs w:val="24"/>
          <w:lang w:val="en-GB"/>
        </w:rPr>
        <w:t xml:space="preserve">response </w:t>
      </w:r>
      <w:r>
        <w:rPr>
          <w:rFonts w:ascii="Arial" w:hAnsi="Arial" w:cs="Arial"/>
          <w:sz w:val="24"/>
          <w:szCs w:val="24"/>
          <w:lang w:val="en-GB"/>
        </w:rPr>
        <w:t>to</w:t>
      </w:r>
      <w:r w:rsidR="00FB560E" w:rsidRPr="004B4B2E">
        <w:rPr>
          <w:rFonts w:ascii="Arial" w:hAnsi="Arial" w:cs="Arial"/>
          <w:sz w:val="24"/>
          <w:szCs w:val="24"/>
          <w:lang w:val="en-GB"/>
        </w:rPr>
        <w:t xml:space="preserve"> </w:t>
      </w:r>
      <w:r w:rsidR="009B6BF8" w:rsidRPr="004B4B2E">
        <w:rPr>
          <w:rFonts w:ascii="Arial" w:hAnsi="Arial" w:cs="Arial"/>
          <w:sz w:val="24"/>
          <w:szCs w:val="24"/>
          <w:lang w:val="en-GB"/>
        </w:rPr>
        <w:t>PPI treat</w:t>
      </w:r>
      <w:r w:rsidR="00FB560E" w:rsidRPr="004B4B2E">
        <w:rPr>
          <w:rFonts w:ascii="Arial" w:hAnsi="Arial" w:cs="Arial"/>
          <w:sz w:val="24"/>
          <w:szCs w:val="24"/>
          <w:lang w:val="en-GB"/>
        </w:rPr>
        <w:t xml:space="preserve">ment </w:t>
      </w:r>
      <w:r w:rsidR="00F745AF">
        <w:rPr>
          <w:rFonts w:ascii="Arial" w:hAnsi="Arial" w:cs="Arial"/>
          <w:sz w:val="24"/>
          <w:szCs w:val="24"/>
          <w:lang w:val="en-GB"/>
        </w:rPr>
        <w:t xml:space="preserve">represent a particularly difficult category, </w:t>
      </w:r>
      <w:r w:rsidR="008A7B8C">
        <w:rPr>
          <w:rFonts w:ascii="Arial" w:hAnsi="Arial" w:cs="Arial"/>
          <w:sz w:val="24"/>
          <w:szCs w:val="24"/>
          <w:lang w:val="en-GB"/>
        </w:rPr>
        <w:t>since the</w:t>
      </w:r>
      <w:r>
        <w:rPr>
          <w:rFonts w:ascii="Arial" w:hAnsi="Arial" w:cs="Arial"/>
          <w:sz w:val="24"/>
          <w:szCs w:val="24"/>
          <w:lang w:val="en-GB"/>
        </w:rPr>
        <w:t xml:space="preserve"> lack of response to PPI is a negative predictor of success</w:t>
      </w:r>
      <w:r w:rsidR="00314F10">
        <w:rPr>
          <w:rFonts w:ascii="Arial" w:hAnsi="Arial" w:cs="Arial"/>
          <w:sz w:val="24"/>
          <w:szCs w:val="24"/>
          <w:lang w:val="en-GB"/>
        </w:rPr>
        <w:t xml:space="preserve"> of</w:t>
      </w:r>
      <w:r>
        <w:rPr>
          <w:rFonts w:ascii="Arial" w:hAnsi="Arial" w:cs="Arial"/>
          <w:sz w:val="24"/>
          <w:szCs w:val="24"/>
          <w:lang w:val="en-GB"/>
        </w:rPr>
        <w:t xml:space="preserve"> anti-reflux</w:t>
      </w:r>
      <w:r w:rsidR="00CA34FF">
        <w:rPr>
          <w:rFonts w:ascii="Arial" w:hAnsi="Arial" w:cs="Arial"/>
          <w:sz w:val="24"/>
          <w:szCs w:val="24"/>
          <w:lang w:val="en-GB"/>
        </w:rPr>
        <w:t xml:space="preserve"> surger</w:t>
      </w:r>
      <w:r w:rsidR="00314F10">
        <w:rPr>
          <w:rFonts w:ascii="Arial" w:hAnsi="Arial" w:cs="Arial"/>
          <w:sz w:val="24"/>
          <w:szCs w:val="24"/>
          <w:lang w:val="en-GB"/>
        </w:rPr>
        <w:t>y, which, based on randomised trials has similar rate of symptomatic remission to PPI</w:t>
      </w:r>
      <w:r w:rsidR="008A7B8C">
        <w:rPr>
          <w:rFonts w:ascii="Arial" w:hAnsi="Arial" w:cs="Arial"/>
          <w:sz w:val="24"/>
          <w:szCs w:val="24"/>
          <w:lang w:val="en-GB"/>
        </w:rPr>
        <w:t>s</w:t>
      </w:r>
      <w:r w:rsidR="009B6BF8" w:rsidRPr="004B4B2E">
        <w:rPr>
          <w:rFonts w:ascii="Arial" w:hAnsi="Arial" w:cs="Arial"/>
          <w:sz w:val="24"/>
          <w:szCs w:val="24"/>
          <w:lang w:val="en-GB"/>
        </w:rPr>
        <w:fldChar w:fldCharType="begin" w:fldLock="1"/>
      </w:r>
      <w:r w:rsidR="00373F6D">
        <w:rPr>
          <w:rFonts w:ascii="Arial" w:hAnsi="Arial" w:cs="Arial"/>
          <w:sz w:val="24"/>
          <w:szCs w:val="24"/>
          <w:lang w:val="en-GB"/>
        </w:rPr>
        <w:instrText>ADDIN CSL_CITATION {"citationItems":[{"id":"ITEM-1","itemData":{"DOI":"10.1111/j.1442-2050.2006.00619.x","ISBN":"1120-8694 (Print)\\n1120-8694 (Linking)","ISSN":"11208694","PMID":"17069586","author":[{"dropping-particle":"","family":"Richter","given":"Joel E.","non-dropping-particle":"","parse-names":false,"suffix":""}],"container-title":"Diseases of the Esophagus","id":"ITEM-1","issue":"6","issued":{"date-parts":[["2006","12","1"]]},"page":"443-447","publisher":"Oxford University Press","title":"The patient with refractory gastroesophageal reflux disease","type":"article","volume":"19"},"uris":["http://www.mendeley.com/documents/?uuid=4e375e7c-50c2-358c-90e9-5bd727630f58"]}],"mendeley":{"formattedCitation":"&lt;sup&gt;13&lt;/sup&gt;","plainTextFormattedCitation":"13","previouslyFormattedCitation":"&lt;sup&gt;13&lt;/sup&gt;"},"properties":{"noteIndex":0},"schema":"https://github.com/citation-style-language/schema/raw/master/csl-citation.json"}</w:instrText>
      </w:r>
      <w:r w:rsidR="009B6BF8" w:rsidRPr="004B4B2E">
        <w:rPr>
          <w:rFonts w:ascii="Arial" w:hAnsi="Arial" w:cs="Arial"/>
          <w:sz w:val="24"/>
          <w:szCs w:val="24"/>
          <w:lang w:val="en-GB"/>
        </w:rPr>
        <w:fldChar w:fldCharType="separate"/>
      </w:r>
      <w:r w:rsidR="00373F6D" w:rsidRPr="00373F6D">
        <w:rPr>
          <w:rFonts w:ascii="Arial" w:hAnsi="Arial" w:cs="Arial"/>
          <w:noProof/>
          <w:sz w:val="24"/>
          <w:szCs w:val="24"/>
          <w:vertAlign w:val="superscript"/>
          <w:lang w:val="en-GB"/>
        </w:rPr>
        <w:t>13</w:t>
      </w:r>
      <w:r w:rsidR="009B6BF8" w:rsidRPr="004B4B2E">
        <w:rPr>
          <w:rFonts w:ascii="Arial" w:hAnsi="Arial" w:cs="Arial"/>
          <w:sz w:val="24"/>
          <w:szCs w:val="24"/>
          <w:lang w:val="en-GB"/>
        </w:rPr>
        <w:fldChar w:fldCharType="end"/>
      </w:r>
      <w:r w:rsidR="00F54C5B">
        <w:rPr>
          <w:rFonts w:ascii="Arial" w:hAnsi="Arial" w:cs="Arial"/>
          <w:sz w:val="24"/>
          <w:szCs w:val="24"/>
          <w:vertAlign w:val="superscript"/>
          <w:lang w:val="en-GB"/>
        </w:rPr>
        <w:t>,</w:t>
      </w:r>
      <w:r w:rsidR="00FB560E" w:rsidRPr="004B4B2E">
        <w:rPr>
          <w:rFonts w:ascii="Arial" w:hAnsi="Arial" w:cs="Arial"/>
          <w:sz w:val="24"/>
          <w:szCs w:val="24"/>
          <w:lang w:val="en-GB"/>
        </w:rPr>
        <w:fldChar w:fldCharType="begin" w:fldLock="1"/>
      </w:r>
      <w:r w:rsidR="00373F6D">
        <w:rPr>
          <w:rFonts w:ascii="Arial" w:hAnsi="Arial" w:cs="Arial"/>
          <w:sz w:val="24"/>
          <w:szCs w:val="24"/>
          <w:lang w:val="en-GB"/>
        </w:rPr>
        <w:instrText>ADDIN CSL_CITATION {"citationItems":[{"id":"ITEM-1","itemData":{"DOI":"10.1016/S1542-3565(04)00288-5","ISBN":"1542-3565 (Print)\\r1542-3565 (Linking)","ISSN":"15423565","PMID":"15290657","abstract":"Background &amp; Aims: Little information is available about the efficacy of proton pump inhibitors (PPIs) in patients with nonerosive reflux disease (NERD). We aimed to synthesize available data and determine the effectiveness of PPIs on symptom resolution in patients with NERD. Methods: A systematic review of the literature identified studies reporting the effects of PPIs in patients with NERD. Heartburn resolution data were pooled across studies. The effectiveness of PPI therapy in inducing complete heartburn resolution was compared in patients with NERD vs. erosive esophagitis (EE). Results: Seven trials evaluating heartburn resolution in NERD were identified. Higher proportions of patients reported achieving sufficient heartburn resolution compared with complete heartburn resolution. The effect of PPIs on sufficient heartburn resolution was observed sooner than was complete heartburn resolution. Therapeutic gain of PPI therapy over placebo ranged from 30% to 35% for sufficient heartburn control and from 25% to 30% for complete heartburn control. Pooled response rates at 4 weeks were significantly higher for patients with EE compared with NERD (56% vs. 37%, P &lt; 0.0001). Conclusions: PPIs provide a more modest therapeutic gain in patients with NERD as compared with those with EE. A trend in increased therapeutic gain for NERD patients was shown throughout the 4 weeks, suggesting that 4 weeks of follow-up evaluation may be insufficient to show full therapeutic gain in this patient population.","author":[{"dropping-particle":"","family":"Dean","given":"Bonnie B.","non-dropping-particle":"","parse-names":false,"suffix":""},{"dropping-particle":"","family":"Gano","given":"Anacleto D.","non-dropping-particle":"","parse-names":false,"suffix":""},{"dropping-particle":"","family":"Knight","given":"Kevin","non-dropping-particle":"","parse-names":false,"suffix":""},{"dropping-particle":"","family":"Ofman","given":"Joshua J.","non-dropping-particle":"","parse-names":false,"suffix":""},{"dropping-particle":"","family":"Fass","given":"Ronnie","non-dropping-particle":"","parse-names":false,"suffix":""}],"container-title":"Clinical Gastroenterology and Hepatology","id":"ITEM-1","issue":"8","issued":{"date-parts":[["2004","8","1"]]},"page":"656-664","publisher":"W.B. Saunders","title":"Effectiveness of proton pump inhibitors in nonerosive reflux disease","type":"article","volume":"2"},"uris":["http://www.mendeley.com/documents/?uuid=8d925532-dc46-34e5-82cd-fd263fa6b8ad"]}],"mendeley":{"formattedCitation":"&lt;sup&gt;14&lt;/sup&gt;","plainTextFormattedCitation":"14","previouslyFormattedCitation":"&lt;sup&gt;14&lt;/sup&gt;"},"properties":{"noteIndex":0},"schema":"https://github.com/citation-style-language/schema/raw/master/csl-citation.json"}</w:instrText>
      </w:r>
      <w:r w:rsidR="00FB560E" w:rsidRPr="004B4B2E">
        <w:rPr>
          <w:rFonts w:ascii="Arial" w:hAnsi="Arial" w:cs="Arial"/>
          <w:sz w:val="24"/>
          <w:szCs w:val="24"/>
          <w:lang w:val="en-GB"/>
        </w:rPr>
        <w:fldChar w:fldCharType="separate"/>
      </w:r>
      <w:r w:rsidR="00373F6D" w:rsidRPr="00373F6D">
        <w:rPr>
          <w:rFonts w:ascii="Arial" w:hAnsi="Arial" w:cs="Arial"/>
          <w:noProof/>
          <w:sz w:val="24"/>
          <w:szCs w:val="24"/>
          <w:vertAlign w:val="superscript"/>
          <w:lang w:val="en-GB"/>
        </w:rPr>
        <w:t>14</w:t>
      </w:r>
      <w:r w:rsidR="00FB560E" w:rsidRPr="004B4B2E">
        <w:rPr>
          <w:rFonts w:ascii="Arial" w:hAnsi="Arial" w:cs="Arial"/>
          <w:sz w:val="24"/>
          <w:szCs w:val="24"/>
          <w:lang w:val="en-GB"/>
        </w:rPr>
        <w:fldChar w:fldCharType="end"/>
      </w:r>
      <w:r w:rsidR="00FB560E" w:rsidRPr="004B4B2E">
        <w:rPr>
          <w:rFonts w:ascii="Arial" w:hAnsi="Arial" w:cs="Arial"/>
          <w:sz w:val="24"/>
          <w:szCs w:val="24"/>
          <w:lang w:val="en-GB"/>
        </w:rPr>
        <w:t>.</w:t>
      </w:r>
      <w:r>
        <w:rPr>
          <w:rFonts w:ascii="Arial" w:hAnsi="Arial" w:cs="Arial"/>
          <w:sz w:val="24"/>
          <w:szCs w:val="24"/>
          <w:lang w:val="en-GB"/>
        </w:rPr>
        <w:t xml:space="preserve"> </w:t>
      </w:r>
      <w:r w:rsidR="0048601B" w:rsidRPr="004B4B2E">
        <w:rPr>
          <w:rFonts w:ascii="Arial" w:hAnsi="Arial" w:cs="Arial"/>
          <w:sz w:val="24"/>
          <w:szCs w:val="24"/>
          <w:lang w:val="en-GB"/>
        </w:rPr>
        <w:t>The definition and mechanisms behind PPI-refractory GERD are not fully understood.</w:t>
      </w:r>
      <w:r w:rsidR="005B4A30" w:rsidRPr="004B4B2E">
        <w:rPr>
          <w:rFonts w:ascii="Arial" w:hAnsi="Arial" w:cs="Arial"/>
          <w:sz w:val="24"/>
          <w:szCs w:val="24"/>
          <w:lang w:val="en-GB"/>
        </w:rPr>
        <w:t xml:space="preserve"> It is debatable whether </w:t>
      </w:r>
      <w:r w:rsidR="00443893" w:rsidRPr="004B4B2E">
        <w:rPr>
          <w:rFonts w:ascii="Arial" w:hAnsi="Arial" w:cs="Arial"/>
          <w:sz w:val="24"/>
          <w:szCs w:val="24"/>
          <w:lang w:val="en-GB"/>
        </w:rPr>
        <w:t xml:space="preserve">a </w:t>
      </w:r>
      <w:r w:rsidR="005B4A30" w:rsidRPr="0040610B">
        <w:rPr>
          <w:rFonts w:ascii="Arial" w:hAnsi="Arial" w:cs="Arial"/>
          <w:noProof/>
          <w:sz w:val="24"/>
          <w:szCs w:val="24"/>
          <w:lang w:val="en-GB"/>
        </w:rPr>
        <w:t>lack</w:t>
      </w:r>
      <w:r w:rsidR="005B4A30" w:rsidRPr="0040610B">
        <w:rPr>
          <w:rFonts w:ascii="Arial" w:hAnsi="Arial" w:cs="Arial"/>
          <w:sz w:val="24"/>
          <w:szCs w:val="24"/>
          <w:lang w:val="en-GB"/>
        </w:rPr>
        <w:t xml:space="preserve"> of response </w:t>
      </w:r>
      <w:r w:rsidR="00590D5C" w:rsidRPr="00745AEB">
        <w:rPr>
          <w:rFonts w:ascii="Arial" w:hAnsi="Arial" w:cs="Arial"/>
          <w:sz w:val="24"/>
          <w:szCs w:val="24"/>
          <w:lang w:val="en-GB"/>
        </w:rPr>
        <w:t xml:space="preserve">to the treatment </w:t>
      </w:r>
      <w:r w:rsidR="005B4A30" w:rsidRPr="00745AEB">
        <w:rPr>
          <w:rFonts w:ascii="Arial" w:hAnsi="Arial" w:cs="Arial"/>
          <w:sz w:val="24"/>
          <w:szCs w:val="24"/>
          <w:lang w:val="en-GB"/>
        </w:rPr>
        <w:t xml:space="preserve">should be defined by the </w:t>
      </w:r>
      <w:r w:rsidR="00F81B5D">
        <w:rPr>
          <w:rFonts w:ascii="Arial" w:hAnsi="Arial" w:cs="Arial"/>
          <w:sz w:val="24"/>
          <w:szCs w:val="24"/>
          <w:lang w:val="en-GB"/>
        </w:rPr>
        <w:t xml:space="preserve">presence of residual </w:t>
      </w:r>
      <w:r w:rsidR="005B4A30" w:rsidRPr="00745AEB">
        <w:rPr>
          <w:rFonts w:ascii="Arial" w:hAnsi="Arial" w:cs="Arial"/>
          <w:sz w:val="24"/>
          <w:szCs w:val="24"/>
          <w:lang w:val="en-GB"/>
        </w:rPr>
        <w:t xml:space="preserve">symptoms or </w:t>
      </w:r>
      <w:r w:rsidR="00F81B5D">
        <w:rPr>
          <w:rFonts w:ascii="Arial" w:hAnsi="Arial" w:cs="Arial"/>
          <w:sz w:val="24"/>
          <w:szCs w:val="24"/>
          <w:lang w:val="en-GB"/>
        </w:rPr>
        <w:t xml:space="preserve">rather by the </w:t>
      </w:r>
      <w:r w:rsidR="005B4A30" w:rsidRPr="00745AEB">
        <w:rPr>
          <w:rFonts w:ascii="Arial" w:hAnsi="Arial" w:cs="Arial"/>
          <w:sz w:val="24"/>
          <w:szCs w:val="24"/>
          <w:lang w:val="en-GB"/>
        </w:rPr>
        <w:t xml:space="preserve">evidence of persistent reflux in physiology studies. Previous studies </w:t>
      </w:r>
      <w:r w:rsidR="005B4A30" w:rsidRPr="004B4B2E">
        <w:rPr>
          <w:rFonts w:ascii="Arial" w:hAnsi="Arial" w:cs="Arial"/>
          <w:noProof/>
          <w:sz w:val="24"/>
          <w:szCs w:val="24"/>
          <w:lang w:val="en-GB"/>
        </w:rPr>
        <w:t>ha</w:t>
      </w:r>
      <w:r w:rsidR="00443893" w:rsidRPr="004B4B2E">
        <w:rPr>
          <w:rFonts w:ascii="Arial" w:hAnsi="Arial" w:cs="Arial"/>
          <w:noProof/>
          <w:sz w:val="24"/>
          <w:szCs w:val="24"/>
          <w:lang w:val="en-GB"/>
        </w:rPr>
        <w:t>ve</w:t>
      </w:r>
      <w:r w:rsidR="005B4A30" w:rsidRPr="004B4B2E">
        <w:rPr>
          <w:rFonts w:ascii="Arial" w:hAnsi="Arial" w:cs="Arial"/>
          <w:sz w:val="24"/>
          <w:szCs w:val="24"/>
          <w:lang w:val="en-GB"/>
        </w:rPr>
        <w:t xml:space="preserve"> shown</w:t>
      </w:r>
      <w:r w:rsidR="00314F10">
        <w:rPr>
          <w:rFonts w:ascii="Arial" w:hAnsi="Arial" w:cs="Arial"/>
          <w:sz w:val="24"/>
          <w:szCs w:val="24"/>
          <w:lang w:val="en-GB"/>
        </w:rPr>
        <w:t xml:space="preserve"> symptoms and persistent acid reflux do not correlate well, with up to one third of </w:t>
      </w:r>
      <w:r w:rsidR="00314F10" w:rsidRPr="004B4B2E">
        <w:rPr>
          <w:rFonts w:ascii="Arial" w:hAnsi="Arial" w:cs="Arial"/>
          <w:sz w:val="24"/>
          <w:szCs w:val="24"/>
          <w:lang w:val="en-GB"/>
        </w:rPr>
        <w:t xml:space="preserve">patients on 40mg esomeprazole daily treatment </w:t>
      </w:r>
      <w:r w:rsidR="00314F10">
        <w:rPr>
          <w:rFonts w:ascii="Arial" w:hAnsi="Arial" w:cs="Arial"/>
          <w:sz w:val="24"/>
          <w:szCs w:val="24"/>
          <w:lang w:val="en-GB"/>
        </w:rPr>
        <w:t xml:space="preserve">having </w:t>
      </w:r>
      <w:r w:rsidR="00314F10" w:rsidRPr="004B4B2E">
        <w:rPr>
          <w:rFonts w:ascii="Arial" w:hAnsi="Arial" w:cs="Arial"/>
          <w:sz w:val="24"/>
          <w:szCs w:val="24"/>
          <w:lang w:val="en-GB"/>
        </w:rPr>
        <w:t>evidence of persistent acid reflux</w:t>
      </w:r>
      <w:r w:rsidR="005B4A30" w:rsidRPr="004B4B2E">
        <w:rPr>
          <w:rFonts w:ascii="Arial" w:hAnsi="Arial" w:cs="Arial"/>
          <w:sz w:val="24"/>
          <w:szCs w:val="24"/>
          <w:lang w:val="en-GB"/>
        </w:rPr>
        <w:fldChar w:fldCharType="begin" w:fldLock="1"/>
      </w:r>
      <w:r w:rsidR="00373F6D">
        <w:rPr>
          <w:rFonts w:ascii="Arial" w:hAnsi="Arial" w:cs="Arial"/>
          <w:sz w:val="24"/>
          <w:szCs w:val="24"/>
          <w:lang w:val="en-GB"/>
        </w:rPr>
        <w:instrText>ADDIN CSL_CITATION {"citationItems":[{"id":"ITEM-1","itemData":{"DOI":"10.1111/nmo.12666","ISBN":"3126953999","ISSN":"13652982","PMID":"26337396","abstract":"BACKGROUND Genesis of persistent gastro-esophageal reflux symptoms despite proton pump inhibitor (PPI) therapy is not fully understood. We aimed at determining reflux patterns on 24-h pH-impedance monitoring performed on PPI and correlating impedance patterns and symptom occurrence in PPI non-responders. METHODS Seventy-eight PPI non-responder patients underwent 24-h pH-impedance monitoring on PPI. Reflux impedance characterization included gastric and supragastric belches and proximal extent of reflux. Symptoms were considered associated with reflux if occurring within 5 min after a reflux event. Patients were classified into three groups: persistent acid reflux (acid esophageal exposure [AET] &gt;5% of time), reflux sensitivity (AET &lt;5%, symptom index [SI] ≥50%), and functional symptoms (AET &lt;5%, SI &lt;50%). Dominant impedance pattern was determined for each patient. KEY RESULTS Seven patients (9%) had persistent acid reflux, 28 (36%) reflux sensitivity, and 43 (55%) functional symptoms. A total of 4296 reflux events were identified (median per patient 45 [range 4-221]). Although liquid reflux was the most common pattern in all groups, patients with reflux sensitivity and functional symptoms had much more variability in their pattern profile with a large proportion being associated with gastric and supragastric belching. Only 417 reflux events (9.7%) were associated with symptoms. Reflux with a supragastric component and proximal extent were more likely to be associated with symptoms. CONCLUSIONS &amp; INFERENCES The impedance reflux profile in PPI non-responders was heterogeneous and the majority of reflux events were not associated with symptoms. Thus, the treatment of PPI non-responders should focus on mechanisms beyond reflux, such as visceral hypersensitivity and hypervigilance.","author":[{"dropping-particle":"","family":"Roman","given":"Sabine","non-dropping-particle":"","parse-names":false,"suffix":""},{"dropping-particle":"","family":"Keefer","given":"Laurie","non-dropping-particle":"","parse-names":false,"suffix":""},{"dropping-particle":"","family":"Imam","given":"Hala","non-dropping-particle":"","parse-names":false,"suffix":""},{"dropping-particle":"","family":"Korrapati","given":"Praneet","non-dropping-particle":"","parse-names":false,"suffix":""},{"dropping-particle":"","family":"Mogni","given":"Benjamin","non-dropping-particle":"","parse-names":false,"suffix":""},{"dropping-particle":"","family":"Eident","given":"Kate","non-dropping-particle":"","parse-names":false,"suffix":""},{"dropping-particle":"","family":"Friesen","given":"Laurel","non-dropping-particle":"","parse-names":false,"suffix":""},{"dropping-particle":"","family":"Kahrilas","given":"Peter J","non-dropping-particle":"","parse-names":false,"suffix":""},{"dropping-particle":"","family":"Martinovich","given":"Zoran","non-dropping-particle":"","parse-names":false,"suffix":""},{"dropping-particle":"","family":"Pandolfino","given":"John E.","non-dropping-particle":"","parse-names":false,"suffix":""}],"container-title":"Neurogastroenterology and Motility","id":"ITEM-1","issue":"11","issued":{"date-parts":[["2015"]]},"page":"1667-1674","title":"Majority of symptoms in esophageal reflux PPI non-responders are not related to reflux","type":"article-journal","volume":"27"},"uris":["http://www.mendeley.com/documents/?uuid=b4e3b1f8-8fd8-3fb0-814a-9bbdd42a48b2"]}],"mendeley":{"formattedCitation":"&lt;sup&gt;15&lt;/sup&gt;","plainTextFormattedCitation":"15","previouslyFormattedCitation":"&lt;sup&gt;15&lt;/sup&gt;"},"properties":{"noteIndex":0},"schema":"https://github.com/citation-style-language/schema/raw/master/csl-citation.json"}</w:instrText>
      </w:r>
      <w:r w:rsidR="005B4A30" w:rsidRPr="004B4B2E">
        <w:rPr>
          <w:rFonts w:ascii="Arial" w:hAnsi="Arial" w:cs="Arial"/>
          <w:sz w:val="24"/>
          <w:szCs w:val="24"/>
          <w:lang w:val="en-GB"/>
        </w:rPr>
        <w:fldChar w:fldCharType="separate"/>
      </w:r>
      <w:r w:rsidR="00373F6D" w:rsidRPr="00373F6D">
        <w:rPr>
          <w:rFonts w:ascii="Arial" w:hAnsi="Arial" w:cs="Arial"/>
          <w:noProof/>
          <w:sz w:val="24"/>
          <w:szCs w:val="24"/>
          <w:vertAlign w:val="superscript"/>
          <w:lang w:val="en-GB"/>
        </w:rPr>
        <w:t>15</w:t>
      </w:r>
      <w:r w:rsidR="005B4A30" w:rsidRPr="004B4B2E">
        <w:rPr>
          <w:rFonts w:ascii="Arial" w:hAnsi="Arial" w:cs="Arial"/>
          <w:sz w:val="24"/>
          <w:szCs w:val="24"/>
          <w:lang w:val="en-GB"/>
        </w:rPr>
        <w:fldChar w:fldCharType="end"/>
      </w:r>
      <w:r w:rsidR="00F54C5B">
        <w:rPr>
          <w:rFonts w:ascii="Arial" w:hAnsi="Arial" w:cs="Arial"/>
          <w:sz w:val="24"/>
          <w:szCs w:val="24"/>
          <w:vertAlign w:val="superscript"/>
          <w:lang w:val="en-GB"/>
        </w:rPr>
        <w:t>,</w:t>
      </w:r>
      <w:r w:rsidR="005B4A30" w:rsidRPr="004B4B2E">
        <w:rPr>
          <w:rFonts w:ascii="Arial" w:hAnsi="Arial" w:cs="Arial"/>
          <w:sz w:val="24"/>
          <w:szCs w:val="24"/>
          <w:lang w:val="en-GB"/>
        </w:rPr>
        <w:fldChar w:fldCharType="begin" w:fldLock="1"/>
      </w:r>
      <w:r w:rsidR="00373F6D">
        <w:rPr>
          <w:rFonts w:ascii="Arial" w:hAnsi="Arial" w:cs="Arial"/>
          <w:sz w:val="24"/>
          <w:szCs w:val="24"/>
          <w:lang w:val="en-GB"/>
        </w:rPr>
        <w:instrText>ADDIN CSL_CITATION {"citationItems":[{"id":"ITEM-1","itemData":{"DOI":"10.1159/000221146","ISSN":"1421-9867","PMID":"19641320","abstract":"BACKGROUND/AIMS Combined pH-metry/multichannel intraluminal impedance (pH/MII) measurement enables to measure gastroesophageal reflux despite ongoing proton pump inhibitor therapy. The aim of our study was to evaluate the influence of an escalating medical anti-reflux therapy with 40 mg esomeprazole, 80 mg esomeprazole and 80 mg esomeprazole plus baclofen for the treatment of refractory pathological reflux as determined by pH/MII. METHODS Symptomatic patients under 40 mg esomeprazole were screened by pH/MII. Patients with normal values in pH/MII were excluded; all others received 2 x 40 mg esomeprazole for another 4 weeks. Thereafter, the treatment effect was controlled by pH/MII. In the case of persistent pathological reflux, therapy was further escalated by adding baclofen and controlled after 3 months by pH/MII. RESULTS 45/138 (32.6%) patients showed pathological pH/MII despite ongoing therapy with 40 mg esomeprazole. In these, a significant reduction in liquid/mixed reflux events was observed after administering 2 x 40 mg (mean: 118.3 vs. mean: 66.6; p &lt; 0.001), and pH/MII turned to normal in 32/45 (71.1%). Baclofen was additionally administered to 7/13 patients, which did not lead to a remarkable reduction in reflux events. CONCLUSION In patients with abnormal pH/MII and persistent symptoms under 40 mg esomeprazole, we observed a significant reduction in liquid/mixed reflux events after increasing proton pump inhibitor dose up to 80 mg esomeprazole. Further escalation of therapy with baclofen has shown inconclusive results.","author":[{"dropping-particle":"","family":"Bajbouj","given":"Monther","non-dropping-particle":"","parse-names":false,"suffix":""},{"dropping-particle":"","family":"Becker","given":"Valentin","non-dropping-particle":"","parse-names":false,"suffix":""},{"dropping-particle":"","family":"Phillip","given":"Veit","non-dropping-particle":"","parse-names":false,"suffix":""},{"dropping-particle":"","family":"Wilhelm","given":"Dirk","non-dropping-particle":"","parse-names":false,"suffix":""},{"dropping-particle":"","family":"Schmid","given":"Roland M.","non-dropping-particle":"","parse-names":false,"suffix":""},{"dropping-particle":"","family":"Meining","given":"Alexander","non-dropping-particle":"","parse-names":false,"suffix":""}],"container-title":"Digestion","id":"ITEM-1","issue":"2","issued":{"date-parts":[["2009"]]},"page":"112-118","publisher":"Karger Publishers","title":"High-Dose Esomeprazole for Treatment of Symptomatic Refractory Gastroesophageal Reflux Disease &amp;amp;ndash; A Prospective pH-Metry/Impedance-Controlled Study","type":"article-journal","volume":"80"},"uris":["http://www.mendeley.com/documents/?uuid=1a914727-e1e1-304b-96ee-215d8bd80325"]}],"mendeley":{"formattedCitation":"&lt;sup&gt;16&lt;/sup&gt;","plainTextFormattedCitation":"16","previouslyFormattedCitation":"&lt;sup&gt;16&lt;/sup&gt;"},"properties":{"noteIndex":0},"schema":"https://github.com/citation-style-language/schema/raw/master/csl-citation.json"}</w:instrText>
      </w:r>
      <w:r w:rsidR="005B4A30" w:rsidRPr="004B4B2E">
        <w:rPr>
          <w:rFonts w:ascii="Arial" w:hAnsi="Arial" w:cs="Arial"/>
          <w:sz w:val="24"/>
          <w:szCs w:val="24"/>
          <w:lang w:val="en-GB"/>
        </w:rPr>
        <w:fldChar w:fldCharType="separate"/>
      </w:r>
      <w:r w:rsidR="00373F6D" w:rsidRPr="00373F6D">
        <w:rPr>
          <w:rFonts w:ascii="Arial" w:hAnsi="Arial" w:cs="Arial"/>
          <w:noProof/>
          <w:sz w:val="24"/>
          <w:szCs w:val="24"/>
          <w:vertAlign w:val="superscript"/>
          <w:lang w:val="en-GB"/>
        </w:rPr>
        <w:t>16</w:t>
      </w:r>
      <w:r w:rsidR="005B4A30" w:rsidRPr="004B4B2E">
        <w:rPr>
          <w:rFonts w:ascii="Arial" w:hAnsi="Arial" w:cs="Arial"/>
          <w:sz w:val="24"/>
          <w:szCs w:val="24"/>
          <w:lang w:val="en-GB"/>
        </w:rPr>
        <w:fldChar w:fldCharType="end"/>
      </w:r>
      <w:r w:rsidR="005B4A30" w:rsidRPr="004B4B2E">
        <w:rPr>
          <w:rFonts w:ascii="Arial" w:hAnsi="Arial" w:cs="Arial"/>
          <w:sz w:val="24"/>
          <w:szCs w:val="24"/>
          <w:lang w:val="en-GB"/>
        </w:rPr>
        <w:t xml:space="preserve">. </w:t>
      </w:r>
      <w:r w:rsidR="005A6EB9">
        <w:rPr>
          <w:rFonts w:ascii="Arial" w:hAnsi="Arial" w:cs="Arial"/>
          <w:sz w:val="24"/>
          <w:szCs w:val="24"/>
          <w:lang w:val="en-GB"/>
        </w:rPr>
        <w:t xml:space="preserve">In </w:t>
      </w:r>
      <w:r w:rsidR="005B4A30" w:rsidRPr="004B4B2E">
        <w:rPr>
          <w:rFonts w:ascii="Arial" w:hAnsi="Arial" w:cs="Arial"/>
          <w:sz w:val="24"/>
          <w:szCs w:val="24"/>
          <w:lang w:val="en-GB"/>
        </w:rPr>
        <w:t>our study</w:t>
      </w:r>
      <w:r w:rsidR="008A7B8C">
        <w:rPr>
          <w:rFonts w:ascii="Arial" w:hAnsi="Arial" w:cs="Arial"/>
          <w:sz w:val="24"/>
          <w:szCs w:val="24"/>
          <w:lang w:val="en-GB"/>
        </w:rPr>
        <w:t>,</w:t>
      </w:r>
      <w:r w:rsidR="005B4A30" w:rsidRPr="004B4B2E">
        <w:rPr>
          <w:rFonts w:ascii="Arial" w:hAnsi="Arial" w:cs="Arial"/>
          <w:sz w:val="24"/>
          <w:szCs w:val="24"/>
          <w:lang w:val="en-GB"/>
        </w:rPr>
        <w:t xml:space="preserve"> </w:t>
      </w:r>
      <w:r w:rsidR="005A6EB9">
        <w:rPr>
          <w:rFonts w:ascii="Arial" w:hAnsi="Arial" w:cs="Arial"/>
          <w:sz w:val="24"/>
          <w:szCs w:val="24"/>
          <w:lang w:val="en-GB"/>
        </w:rPr>
        <w:t xml:space="preserve">the </w:t>
      </w:r>
      <w:r w:rsidR="00375B6C">
        <w:rPr>
          <w:rFonts w:ascii="Arial" w:hAnsi="Arial" w:cs="Arial"/>
          <w:sz w:val="24"/>
          <w:szCs w:val="24"/>
          <w:lang w:val="en-GB"/>
        </w:rPr>
        <w:t xml:space="preserve">overall </w:t>
      </w:r>
      <w:r w:rsidR="005A6EB9">
        <w:rPr>
          <w:rFonts w:ascii="Arial" w:hAnsi="Arial" w:cs="Arial"/>
          <w:sz w:val="24"/>
          <w:szCs w:val="24"/>
          <w:lang w:val="en-GB"/>
        </w:rPr>
        <w:t xml:space="preserve">proportion of </w:t>
      </w:r>
      <w:r w:rsidR="00375B6C">
        <w:rPr>
          <w:rFonts w:ascii="Arial" w:hAnsi="Arial" w:cs="Arial"/>
          <w:sz w:val="24"/>
          <w:szCs w:val="24"/>
          <w:lang w:val="en-GB"/>
        </w:rPr>
        <w:t xml:space="preserve">patients with abnormal AET </w:t>
      </w:r>
      <w:r w:rsidR="005A6EB9">
        <w:rPr>
          <w:rFonts w:ascii="Arial" w:hAnsi="Arial" w:cs="Arial"/>
          <w:sz w:val="24"/>
          <w:szCs w:val="24"/>
          <w:lang w:val="en-GB"/>
        </w:rPr>
        <w:t xml:space="preserve">was </w:t>
      </w:r>
      <w:r w:rsidR="00375B6C" w:rsidRPr="00375B6C">
        <w:rPr>
          <w:rFonts w:ascii="Arial" w:hAnsi="Arial" w:cs="Arial"/>
          <w:sz w:val="24"/>
          <w:szCs w:val="24"/>
          <w:lang w:val="en-GB"/>
        </w:rPr>
        <w:t>47.8%</w:t>
      </w:r>
      <w:r>
        <w:rPr>
          <w:rFonts w:ascii="Arial" w:hAnsi="Arial" w:cs="Arial"/>
          <w:sz w:val="24"/>
          <w:szCs w:val="24"/>
          <w:lang w:val="en-GB"/>
        </w:rPr>
        <w:t>.</w:t>
      </w:r>
      <w:r w:rsidR="00375B6C">
        <w:rPr>
          <w:rFonts w:ascii="Arial" w:hAnsi="Arial" w:cs="Arial"/>
          <w:sz w:val="24"/>
          <w:szCs w:val="24"/>
          <w:lang w:val="en-GB"/>
        </w:rPr>
        <w:t xml:space="preserve"> This high proportion most </w:t>
      </w:r>
      <w:r w:rsidR="00F81B5D">
        <w:rPr>
          <w:rFonts w:ascii="Arial" w:hAnsi="Arial" w:cs="Arial"/>
          <w:sz w:val="24"/>
          <w:szCs w:val="24"/>
          <w:lang w:val="en-GB"/>
        </w:rPr>
        <w:t xml:space="preserve">likely </w:t>
      </w:r>
      <w:r w:rsidR="005A6EB9">
        <w:rPr>
          <w:rFonts w:ascii="Arial" w:hAnsi="Arial" w:cs="Arial"/>
          <w:sz w:val="24"/>
          <w:szCs w:val="24"/>
          <w:lang w:val="en-GB"/>
        </w:rPr>
        <w:t xml:space="preserve">depends on the fact that we used </w:t>
      </w:r>
      <w:r w:rsidR="005B4A30" w:rsidRPr="004B4B2E">
        <w:rPr>
          <w:rFonts w:ascii="Arial" w:hAnsi="Arial" w:cs="Arial"/>
          <w:sz w:val="24"/>
          <w:szCs w:val="24"/>
          <w:lang w:val="en-GB"/>
        </w:rPr>
        <w:t xml:space="preserve">a </w:t>
      </w:r>
      <w:r w:rsidR="00F81B5D">
        <w:rPr>
          <w:rFonts w:ascii="Arial" w:hAnsi="Arial" w:cs="Arial"/>
          <w:sz w:val="24"/>
          <w:szCs w:val="24"/>
          <w:lang w:val="en-GB"/>
        </w:rPr>
        <w:t>less</w:t>
      </w:r>
      <w:r w:rsidR="005A6EB9">
        <w:rPr>
          <w:rFonts w:ascii="Arial" w:hAnsi="Arial" w:cs="Arial"/>
          <w:sz w:val="24"/>
          <w:szCs w:val="24"/>
          <w:lang w:val="en-GB"/>
        </w:rPr>
        <w:t xml:space="preserve"> </w:t>
      </w:r>
      <w:r w:rsidR="005B4A30" w:rsidRPr="004B4B2E">
        <w:rPr>
          <w:rFonts w:ascii="Arial" w:hAnsi="Arial" w:cs="Arial"/>
          <w:sz w:val="24"/>
          <w:szCs w:val="24"/>
          <w:lang w:val="en-GB"/>
        </w:rPr>
        <w:t>stringent</w:t>
      </w:r>
      <w:r w:rsidR="00D81265">
        <w:rPr>
          <w:rFonts w:ascii="Arial" w:hAnsi="Arial" w:cs="Arial"/>
          <w:sz w:val="24"/>
          <w:szCs w:val="24"/>
          <w:lang w:val="en-GB"/>
        </w:rPr>
        <w:t>, but validated</w:t>
      </w:r>
      <w:r w:rsidR="005B4A30" w:rsidRPr="004B4B2E">
        <w:rPr>
          <w:rFonts w:ascii="Arial" w:hAnsi="Arial" w:cs="Arial"/>
          <w:sz w:val="24"/>
          <w:szCs w:val="24"/>
          <w:lang w:val="en-GB"/>
        </w:rPr>
        <w:t xml:space="preserve"> cut-off </w:t>
      </w:r>
      <w:r w:rsidR="00185B79" w:rsidRPr="004B4B2E">
        <w:rPr>
          <w:rFonts w:ascii="Arial" w:hAnsi="Arial" w:cs="Arial"/>
          <w:sz w:val="24"/>
          <w:szCs w:val="24"/>
          <w:lang w:val="en-GB"/>
        </w:rPr>
        <w:t xml:space="preserve">value </w:t>
      </w:r>
      <w:r w:rsidR="005B4A30" w:rsidRPr="0040610B">
        <w:rPr>
          <w:rFonts w:ascii="Arial" w:hAnsi="Arial" w:cs="Arial"/>
          <w:sz w:val="24"/>
          <w:szCs w:val="24"/>
          <w:lang w:val="en-GB"/>
        </w:rPr>
        <w:t xml:space="preserve">of 1.3%, which is </w:t>
      </w:r>
      <w:r w:rsidR="00443893" w:rsidRPr="0040610B">
        <w:rPr>
          <w:rFonts w:ascii="Arial" w:hAnsi="Arial" w:cs="Arial"/>
          <w:sz w:val="24"/>
          <w:szCs w:val="24"/>
          <w:lang w:val="en-GB"/>
        </w:rPr>
        <w:t>an adjusted</w:t>
      </w:r>
      <w:r w:rsidR="00185B79" w:rsidRPr="00745AEB">
        <w:rPr>
          <w:rFonts w:ascii="Arial" w:hAnsi="Arial" w:cs="Arial"/>
          <w:sz w:val="24"/>
          <w:szCs w:val="24"/>
          <w:lang w:val="en-GB"/>
        </w:rPr>
        <w:t xml:space="preserve"> value </w:t>
      </w:r>
      <w:r w:rsidR="005B4A30" w:rsidRPr="00745AEB">
        <w:rPr>
          <w:rFonts w:ascii="Arial" w:hAnsi="Arial" w:cs="Arial"/>
          <w:sz w:val="24"/>
          <w:szCs w:val="24"/>
          <w:lang w:val="en-GB"/>
        </w:rPr>
        <w:t>for a</w:t>
      </w:r>
      <w:r w:rsidR="005A6EB9">
        <w:rPr>
          <w:rFonts w:ascii="Arial" w:hAnsi="Arial" w:cs="Arial"/>
          <w:sz w:val="24"/>
          <w:szCs w:val="24"/>
          <w:lang w:val="en-GB"/>
        </w:rPr>
        <w:t xml:space="preserve"> study </w:t>
      </w:r>
      <w:proofErr w:type="gramStart"/>
      <w:r w:rsidR="005B4A30" w:rsidRPr="00745AEB">
        <w:rPr>
          <w:rFonts w:ascii="Arial" w:hAnsi="Arial" w:cs="Arial"/>
          <w:sz w:val="24"/>
          <w:szCs w:val="24"/>
          <w:lang w:val="en-GB"/>
        </w:rPr>
        <w:t>on-PPI</w:t>
      </w:r>
      <w:r w:rsidR="008A7B8C">
        <w:rPr>
          <w:rFonts w:ascii="Arial" w:hAnsi="Arial" w:cs="Arial"/>
          <w:sz w:val="24"/>
          <w:szCs w:val="24"/>
          <w:lang w:val="en-GB"/>
        </w:rPr>
        <w:t>s</w:t>
      </w:r>
      <w:proofErr w:type="gramEnd"/>
      <w:r w:rsidR="005B4A30" w:rsidRPr="00745AEB">
        <w:rPr>
          <w:rFonts w:ascii="Arial" w:hAnsi="Arial" w:cs="Arial"/>
          <w:sz w:val="24"/>
          <w:szCs w:val="24"/>
          <w:lang w:val="en-GB"/>
        </w:rPr>
        <w:t xml:space="preserve">. </w:t>
      </w:r>
      <w:r w:rsidR="00162BF6">
        <w:rPr>
          <w:rFonts w:ascii="Arial" w:hAnsi="Arial" w:cs="Arial"/>
          <w:sz w:val="24"/>
          <w:szCs w:val="24"/>
          <w:lang w:val="en-GB"/>
        </w:rPr>
        <w:t>In fact, i</w:t>
      </w:r>
      <w:r w:rsidR="00F81B5D">
        <w:rPr>
          <w:rFonts w:ascii="Arial" w:hAnsi="Arial" w:cs="Arial"/>
          <w:sz w:val="24"/>
          <w:szCs w:val="24"/>
          <w:lang w:val="en-GB"/>
        </w:rPr>
        <w:t xml:space="preserve">n patients on PPI esophageal AET between 1.3% and 4% could cause residual symptoms and </w:t>
      </w:r>
      <w:r>
        <w:rPr>
          <w:rFonts w:ascii="Arial" w:hAnsi="Arial" w:cs="Arial"/>
          <w:sz w:val="24"/>
          <w:szCs w:val="24"/>
          <w:lang w:val="en-GB"/>
        </w:rPr>
        <w:t xml:space="preserve">indicate </w:t>
      </w:r>
      <w:r w:rsidR="00F81B5D">
        <w:rPr>
          <w:rFonts w:ascii="Arial" w:hAnsi="Arial" w:cs="Arial"/>
          <w:sz w:val="24"/>
          <w:szCs w:val="24"/>
          <w:lang w:val="en-GB"/>
        </w:rPr>
        <w:t>that dose adjustment should be recommended</w:t>
      </w:r>
      <w:r w:rsidR="00A030EB">
        <w:rPr>
          <w:rFonts w:ascii="Arial" w:hAnsi="Arial" w:cs="Arial"/>
          <w:sz w:val="24"/>
          <w:szCs w:val="24"/>
          <w:lang w:val="en-GB"/>
        </w:rPr>
        <w:fldChar w:fldCharType="begin" w:fldLock="1"/>
      </w:r>
      <w:r w:rsidR="00373F6D">
        <w:rPr>
          <w:rFonts w:ascii="Arial" w:hAnsi="Arial" w:cs="Arial"/>
          <w:sz w:val="24"/>
          <w:szCs w:val="24"/>
          <w:lang w:val="en-GB"/>
        </w:rPr>
        <w:instrText>ADDIN CSL_CITATION {"citationItems":[{"id":"ITEM-1","itemData":{"DOI":"10.1186/1471-230X-8-15","ISSN":"1471-230X","PMID":"18498663","abstract":"BACKGROUND A Stanford University study reported that in asymptomatic GERD patients who were being treated with a proton pump inhibitor (PPI), 50% had pathologic esophageal acid exposure. AIM We considered the possibility that the high prevalence of pathologic esophageal reflux might simply have resulted from calculating acidity as time pH &lt; 4. METHODS We calculated integrated acidity and time pH &lt; 4 from the 49 recordings of 24-hour gastric and esophageal pH from the Stanford study as well as from another study of 57 GERD subjects, 26 of whom were treated for 8 days with 20 mg omeprazole or 20 mg rabeprazole in a 2-way crossover fashion. RESULTS The prevalence of pathologic 24-hour esophageal reflux in both studies was significantly higher when measured as time pH &lt; 4 than when measured as integrated acidity. This difference was entirely attributable to a difference between the two measures during the nocturnal period. Nocturnal gastric acid breakthrough was not a useful predictor of pathologic nocturnal esophageal reflux. CONCLUSION In GERD subjects treated with a PPI, measuring time esophageal pH &lt; 4 will significantly overestimate the prevalence of pathologic esophageal acid exposure over 24 hours and during the nocturnal period.","author":[{"dropping-particle":"","family":"Gerson","given":"Lauren B","non-dropping-particle":"","parse-names":false,"suffix":""},{"dropping-particle":"","family":"Triadafilopoulos","given":"George","non-dropping-particle":"","parse-names":false,"suffix":""},{"dropping-particle":"","family":"Sahbaie","given":"Peyman","non-dropping-particle":"","parse-names":false,"suffix":""},{"dropping-particle":"","family":"Young","given":"Winston","non-dropping-particle":"","parse-names":false,"suffix":""},{"dropping-particle":"","family":"Sloan","given":"Sheldon","non-dropping-particle":"","parse-names":false,"suffix":""},{"dropping-particle":"","family":"Robinson","given":"Malcolm","non-dropping-particle":"","parse-names":false,"suffix":""},{"dropping-particle":"","family":"Miner","given":"Philip B","non-dropping-particle":"","parse-names":false,"suffix":""},{"dropping-particle":"","family":"Gardner","given":"Jerry D","non-dropping-particle":"","parse-names":false,"suffix":""},{"dropping-particle":"","family":"Gardner","given":"Jerry D","non-dropping-particle":"","parse-names":false,"suffix":""}],"container-title":"BMC gastroenterology","id":"ITEM-1","issued":{"date-parts":[["2008","5","23"]]},"page":"15","publisher":"BioMed Central","title":"Time esophageal pH &amp;lt; 4 overestimates the prevalence of pathologic esophageal reflux in subjects with gastroesophageal reflux disease treated with proton pump inhibitors.","type":"article-journal","volume":"8"},"uris":["http://www.mendeley.com/documents/?uuid=e40ae606-3c2d-3be5-97d6-d3fa8fd560f6"]}],"mendeley":{"formattedCitation":"&lt;sup&gt;17&lt;/sup&gt;","plainTextFormattedCitation":"17","previouslyFormattedCitation":"&lt;sup&gt;17&lt;/sup&gt;"},"properties":{"noteIndex":0},"schema":"https://github.com/citation-style-language/schema/raw/master/csl-citation.json"}</w:instrText>
      </w:r>
      <w:r w:rsidR="00A030EB">
        <w:rPr>
          <w:rFonts w:ascii="Arial" w:hAnsi="Arial" w:cs="Arial"/>
          <w:sz w:val="24"/>
          <w:szCs w:val="24"/>
          <w:lang w:val="en-GB"/>
        </w:rPr>
        <w:fldChar w:fldCharType="separate"/>
      </w:r>
      <w:r w:rsidR="00373F6D" w:rsidRPr="00373F6D">
        <w:rPr>
          <w:rFonts w:ascii="Arial" w:hAnsi="Arial" w:cs="Arial"/>
          <w:noProof/>
          <w:sz w:val="24"/>
          <w:szCs w:val="24"/>
          <w:vertAlign w:val="superscript"/>
          <w:lang w:val="en-GB"/>
        </w:rPr>
        <w:t>17</w:t>
      </w:r>
      <w:r w:rsidR="00A030EB">
        <w:rPr>
          <w:rFonts w:ascii="Arial" w:hAnsi="Arial" w:cs="Arial"/>
          <w:sz w:val="24"/>
          <w:szCs w:val="24"/>
          <w:lang w:val="en-GB"/>
        </w:rPr>
        <w:fldChar w:fldCharType="end"/>
      </w:r>
      <w:r w:rsidR="00F81B5D">
        <w:rPr>
          <w:rFonts w:ascii="Arial" w:hAnsi="Arial" w:cs="Arial"/>
          <w:sz w:val="24"/>
          <w:szCs w:val="24"/>
          <w:lang w:val="en-GB"/>
        </w:rPr>
        <w:t xml:space="preserve">. </w:t>
      </w:r>
      <w:r w:rsidR="009372BC">
        <w:rPr>
          <w:rFonts w:ascii="Arial" w:hAnsi="Arial" w:cs="Arial"/>
          <w:sz w:val="24"/>
          <w:szCs w:val="24"/>
          <w:lang w:val="en-GB"/>
        </w:rPr>
        <w:t>Previous studies performed</w:t>
      </w:r>
      <w:r w:rsidR="005B4A30" w:rsidRPr="00745AEB">
        <w:rPr>
          <w:rFonts w:ascii="Arial" w:hAnsi="Arial" w:cs="Arial"/>
          <w:sz w:val="24"/>
          <w:szCs w:val="24"/>
          <w:lang w:val="en-GB"/>
        </w:rPr>
        <w:t xml:space="preserve"> in </w:t>
      </w:r>
      <w:r w:rsidR="0048601B" w:rsidRPr="00745AEB">
        <w:rPr>
          <w:rFonts w:ascii="Arial" w:hAnsi="Arial" w:cs="Arial"/>
          <w:sz w:val="24"/>
          <w:szCs w:val="24"/>
          <w:lang w:val="en-GB"/>
        </w:rPr>
        <w:t xml:space="preserve">asymptomatic patients with </w:t>
      </w:r>
      <w:r w:rsidR="008A7B8C">
        <w:rPr>
          <w:rFonts w:ascii="Arial" w:hAnsi="Arial" w:cs="Arial"/>
          <w:sz w:val="24"/>
          <w:szCs w:val="24"/>
          <w:lang w:val="en-GB"/>
        </w:rPr>
        <w:t>Barrett’s esophagus</w:t>
      </w:r>
      <w:r w:rsidR="0048601B" w:rsidRPr="004B4B2E">
        <w:rPr>
          <w:rFonts w:ascii="Arial" w:hAnsi="Arial" w:cs="Arial"/>
          <w:sz w:val="24"/>
          <w:szCs w:val="24"/>
          <w:lang w:val="en-GB"/>
        </w:rPr>
        <w:t xml:space="preserve"> during PPI </w:t>
      </w:r>
      <w:r w:rsidR="0048601B" w:rsidRPr="004B4B2E">
        <w:rPr>
          <w:rFonts w:ascii="Arial" w:hAnsi="Arial" w:cs="Arial"/>
          <w:noProof/>
          <w:sz w:val="24"/>
          <w:szCs w:val="24"/>
          <w:lang w:val="en-GB"/>
        </w:rPr>
        <w:t>therapy</w:t>
      </w:r>
      <w:r w:rsidR="005B4A30" w:rsidRPr="004B4B2E">
        <w:rPr>
          <w:rFonts w:ascii="Arial" w:hAnsi="Arial" w:cs="Arial"/>
          <w:sz w:val="24"/>
          <w:szCs w:val="24"/>
          <w:lang w:val="en-GB"/>
        </w:rPr>
        <w:t xml:space="preserve"> showed that </w:t>
      </w:r>
      <w:r w:rsidR="0048601B" w:rsidRPr="004B4B2E">
        <w:rPr>
          <w:rFonts w:ascii="Arial" w:hAnsi="Arial" w:cs="Arial"/>
          <w:sz w:val="24"/>
          <w:szCs w:val="24"/>
          <w:lang w:val="en-GB"/>
        </w:rPr>
        <w:t xml:space="preserve">over </w:t>
      </w:r>
      <w:r w:rsidR="0048601B" w:rsidRPr="004B4B2E">
        <w:rPr>
          <w:rFonts w:ascii="Arial" w:hAnsi="Arial" w:cs="Arial"/>
          <w:noProof/>
          <w:sz w:val="24"/>
          <w:szCs w:val="24"/>
          <w:lang w:val="en-GB"/>
        </w:rPr>
        <w:t>two</w:t>
      </w:r>
      <w:r w:rsidR="00443893" w:rsidRPr="004B4B2E">
        <w:rPr>
          <w:rFonts w:ascii="Arial" w:hAnsi="Arial" w:cs="Arial"/>
          <w:noProof/>
          <w:sz w:val="24"/>
          <w:szCs w:val="24"/>
          <w:lang w:val="en-GB"/>
        </w:rPr>
        <w:t>-</w:t>
      </w:r>
      <w:r w:rsidR="0048601B" w:rsidRPr="004B4B2E">
        <w:rPr>
          <w:rFonts w:ascii="Arial" w:hAnsi="Arial" w:cs="Arial"/>
          <w:noProof/>
          <w:sz w:val="24"/>
          <w:szCs w:val="24"/>
          <w:lang w:val="en-GB"/>
        </w:rPr>
        <w:t>thirds</w:t>
      </w:r>
      <w:r w:rsidR="0048601B" w:rsidRPr="004B4B2E">
        <w:rPr>
          <w:rFonts w:ascii="Arial" w:hAnsi="Arial" w:cs="Arial"/>
          <w:sz w:val="24"/>
          <w:szCs w:val="24"/>
          <w:lang w:val="en-GB"/>
        </w:rPr>
        <w:t xml:space="preserve"> of patients had evidence of persistent acid reflux on 24-h</w:t>
      </w:r>
      <w:r w:rsidR="00590D5C" w:rsidRPr="004B4B2E">
        <w:rPr>
          <w:rFonts w:ascii="Arial" w:hAnsi="Arial" w:cs="Arial"/>
          <w:sz w:val="24"/>
          <w:szCs w:val="24"/>
          <w:lang w:val="en-GB"/>
        </w:rPr>
        <w:t>our</w:t>
      </w:r>
      <w:r w:rsidR="0048601B" w:rsidRPr="004B4B2E">
        <w:rPr>
          <w:rFonts w:ascii="Arial" w:hAnsi="Arial" w:cs="Arial"/>
          <w:sz w:val="24"/>
          <w:szCs w:val="24"/>
          <w:lang w:val="en-GB"/>
        </w:rPr>
        <w:t xml:space="preserve"> pH-impedance testing</w:t>
      </w:r>
      <w:r w:rsidR="0048601B" w:rsidRPr="004B4B2E">
        <w:rPr>
          <w:rFonts w:ascii="Arial" w:hAnsi="Arial" w:cs="Arial"/>
          <w:sz w:val="24"/>
          <w:szCs w:val="24"/>
          <w:lang w:val="en-GB"/>
        </w:rPr>
        <w:fldChar w:fldCharType="begin" w:fldLock="1"/>
      </w:r>
      <w:r w:rsidR="00373F6D">
        <w:rPr>
          <w:rFonts w:ascii="Arial" w:hAnsi="Arial" w:cs="Arial"/>
          <w:sz w:val="24"/>
          <w:szCs w:val="24"/>
          <w:lang w:val="en-GB"/>
        </w:rPr>
        <w:instrText>ADDIN CSL_CITATION {"citationItems":[{"id":"ITEM-1","itemData":{"DOI":"10.1001/archsurg.139.5.547","ISBN":"0004-0010 (Print)\\r0004-0010 (Linking)","ISSN":"00040010","PMID":"15136356","abstract":"HYPOTHESIS: Symptom control does not reflect elimination of abnormal acid reflux or abnormal bile reflux in patients with long-segment Barrett esophagus receiving proton pump inhibitors (PPIs). DESIGN: Prospective survey. SETTING: University hospital. PATIENTS: Thirty-two patients with long-segment Barrett esophagus who were asymptomatic with PPIs. MAIN OUTCOME MEASURES: Twenty-four-hour ambulatory pH and bile reflux monitoring while continuing PPIs. RESULTS: Abnormal acid reflux (pH &lt;4 for 11.9% [interquartile range, 6.8%-19.6%) of 24 hours] persisted in 15 patients (47%) who could not be distinguished from those with normal acid reflux (pH &lt;4 for &lt;4.5% of 24 hours) by any endoscopic, manometric, or therapeutic characteristic. Abnormal bile reflux (absorbance &gt;0.14 for 8.7% [interquartile range, 3.9%-8.7%] of 24 hours) was detected in 11 (48%) of 23 patients, such that both normal bile reflux (absorbance &gt;0.14 for &lt;1.8% of 24 hours) and normal acid reflux were observed in only 8 patients (35%). There was no association between abnormal acid reflux and abnormal bile reflux. CONCLUSIONS: Despite symptom control with PPIs, both acid reflux and bile reflux were controlled in only one third of patients. Posttherapeutic monitoring of acid and bile reflux is recommended in future clinical trials of PPI treatment vs laparoscopic antireflux surgery.","author":[{"dropping-particle":"","family":"Sarela","given":"Abeezar I.","non-dropping-particle":"","parse-names":false,"suffix":""},{"dropping-particle":"","family":"Hick","given":"David G.","non-dropping-particle":"","parse-names":false,"suffix":""},{"dropping-particle":"","family":"Verbeke","given":"Caroline S.","non-dropping-particle":"","parse-names":false,"suffix":""},{"dropping-particle":"","family":"Casey","given":"John F.","non-dropping-particle":"","parse-names":false,"suffix":""},{"dropping-particle":"","family":"Guillou","given":"Pierre J.","non-dropping-particle":"","parse-names":false,"suffix":""},{"dropping-particle":"","family":"Clark","given":"Geoffrey W. B.","non-dropping-particle":"","parse-names":false,"suffix":""}],"container-title":"Archives of Surgery","id":"ITEM-1","issue":"5","issued":{"date-parts":[["2004","5","5"]]},"page":"547-551","publisher":"American Medical Association","title":"Persistent Acid and Bile Reflux in Asymptomatic Patients with Barrett Esophagus Receiving Proton Pump Inhibitor Therapy","type":"article","volume":"139"},"uris":["http://www.mendeley.com/documents/?uuid=aa254dbd-30fb-3eaf-8757-73026b24aafd"]}],"mendeley":{"formattedCitation":"&lt;sup&gt;18&lt;/sup&gt;","plainTextFormattedCitation":"18","previouslyFormattedCitation":"&lt;sup&gt;18&lt;/sup&gt;"},"properties":{"noteIndex":0},"schema":"https://github.com/citation-style-language/schema/raw/master/csl-citation.json"}</w:instrText>
      </w:r>
      <w:r w:rsidR="0048601B" w:rsidRPr="004B4B2E">
        <w:rPr>
          <w:rFonts w:ascii="Arial" w:hAnsi="Arial" w:cs="Arial"/>
          <w:sz w:val="24"/>
          <w:szCs w:val="24"/>
          <w:lang w:val="en-GB"/>
        </w:rPr>
        <w:fldChar w:fldCharType="separate"/>
      </w:r>
      <w:r w:rsidR="00373F6D" w:rsidRPr="00373F6D">
        <w:rPr>
          <w:rFonts w:ascii="Arial" w:hAnsi="Arial" w:cs="Arial"/>
          <w:noProof/>
          <w:sz w:val="24"/>
          <w:szCs w:val="24"/>
          <w:vertAlign w:val="superscript"/>
          <w:lang w:val="en-GB"/>
        </w:rPr>
        <w:t>18</w:t>
      </w:r>
      <w:r w:rsidR="0048601B" w:rsidRPr="004B4B2E">
        <w:rPr>
          <w:rFonts w:ascii="Arial" w:hAnsi="Arial" w:cs="Arial"/>
          <w:sz w:val="24"/>
          <w:szCs w:val="24"/>
          <w:lang w:val="en-GB"/>
        </w:rPr>
        <w:fldChar w:fldCharType="end"/>
      </w:r>
      <w:r w:rsidR="0048601B" w:rsidRPr="004B4B2E">
        <w:rPr>
          <w:rFonts w:ascii="Arial" w:hAnsi="Arial" w:cs="Arial"/>
          <w:sz w:val="24"/>
          <w:szCs w:val="24"/>
          <w:lang w:val="en-GB"/>
        </w:rPr>
        <w:t xml:space="preserve">. </w:t>
      </w:r>
      <w:r w:rsidR="00474891" w:rsidRPr="004B4B2E">
        <w:rPr>
          <w:rFonts w:ascii="Arial" w:hAnsi="Arial" w:cs="Arial"/>
          <w:sz w:val="24"/>
          <w:szCs w:val="24"/>
          <w:lang w:val="en-GB"/>
        </w:rPr>
        <w:t>In our study, w</w:t>
      </w:r>
      <w:r w:rsidR="0048601B" w:rsidRPr="004B4B2E">
        <w:rPr>
          <w:rFonts w:ascii="Arial" w:hAnsi="Arial" w:cs="Arial"/>
          <w:sz w:val="24"/>
          <w:szCs w:val="24"/>
          <w:lang w:val="en-GB"/>
        </w:rPr>
        <w:t xml:space="preserve">e have shown that the presence of </w:t>
      </w:r>
      <w:r w:rsidR="008A7B8C">
        <w:rPr>
          <w:rFonts w:ascii="Arial" w:hAnsi="Arial" w:cs="Arial"/>
          <w:sz w:val="24"/>
          <w:szCs w:val="24"/>
          <w:lang w:val="en-GB"/>
        </w:rPr>
        <w:t>Barrett’s esophagus</w:t>
      </w:r>
      <w:r w:rsidR="0048601B" w:rsidRPr="004B4B2E">
        <w:rPr>
          <w:rFonts w:ascii="Arial" w:hAnsi="Arial" w:cs="Arial"/>
          <w:sz w:val="24"/>
          <w:szCs w:val="24"/>
          <w:lang w:val="en-GB"/>
        </w:rPr>
        <w:t xml:space="preserve"> </w:t>
      </w:r>
      <w:r w:rsidR="005B4A30" w:rsidRPr="004B4B2E">
        <w:rPr>
          <w:rFonts w:ascii="Arial" w:hAnsi="Arial" w:cs="Arial"/>
          <w:sz w:val="24"/>
          <w:szCs w:val="24"/>
          <w:lang w:val="en-GB"/>
        </w:rPr>
        <w:t>is</w:t>
      </w:r>
      <w:r w:rsidR="0048601B" w:rsidRPr="004B4B2E">
        <w:rPr>
          <w:rFonts w:ascii="Arial" w:hAnsi="Arial" w:cs="Arial"/>
          <w:sz w:val="24"/>
          <w:szCs w:val="24"/>
          <w:lang w:val="en-GB"/>
        </w:rPr>
        <w:t xml:space="preserve"> significantly correlated with the persistent acid reflux</w:t>
      </w:r>
      <w:r w:rsidR="005B4A30" w:rsidRPr="004B4B2E">
        <w:rPr>
          <w:rFonts w:ascii="Arial" w:hAnsi="Arial" w:cs="Arial"/>
          <w:sz w:val="24"/>
          <w:szCs w:val="24"/>
          <w:lang w:val="en-GB"/>
        </w:rPr>
        <w:t xml:space="preserve"> </w:t>
      </w:r>
      <w:r w:rsidR="0048601B" w:rsidRPr="004B4B2E">
        <w:rPr>
          <w:rFonts w:ascii="Arial" w:hAnsi="Arial" w:cs="Arial"/>
          <w:sz w:val="24"/>
          <w:szCs w:val="24"/>
          <w:lang w:val="en-GB"/>
        </w:rPr>
        <w:t xml:space="preserve">despite </w:t>
      </w:r>
      <w:r w:rsidR="00443893" w:rsidRPr="004B4B2E">
        <w:rPr>
          <w:rFonts w:ascii="Arial" w:hAnsi="Arial" w:cs="Arial"/>
          <w:sz w:val="24"/>
          <w:szCs w:val="24"/>
          <w:lang w:val="en-GB"/>
        </w:rPr>
        <w:t xml:space="preserve">having a </w:t>
      </w:r>
      <w:r w:rsidR="00443893" w:rsidRPr="0040610B">
        <w:rPr>
          <w:rFonts w:ascii="Arial" w:hAnsi="Arial" w:cs="Arial"/>
          <w:noProof/>
          <w:sz w:val="24"/>
          <w:szCs w:val="24"/>
          <w:lang w:val="en-GB"/>
        </w:rPr>
        <w:t>significantly</w:t>
      </w:r>
      <w:r w:rsidR="00443893" w:rsidRPr="0040610B">
        <w:rPr>
          <w:rFonts w:ascii="Arial" w:hAnsi="Arial" w:cs="Arial"/>
          <w:sz w:val="24"/>
          <w:szCs w:val="24"/>
          <w:lang w:val="en-GB"/>
        </w:rPr>
        <w:t xml:space="preserve"> lower degree of symptoms </w:t>
      </w:r>
      <w:r w:rsidR="0048601B" w:rsidRPr="00745AEB">
        <w:rPr>
          <w:rFonts w:ascii="Arial" w:hAnsi="Arial" w:cs="Arial"/>
          <w:sz w:val="24"/>
          <w:szCs w:val="24"/>
          <w:lang w:val="en-GB"/>
        </w:rPr>
        <w:t xml:space="preserve">as compared to patients without </w:t>
      </w:r>
      <w:r w:rsidR="008A7B8C">
        <w:rPr>
          <w:rFonts w:ascii="Arial" w:hAnsi="Arial" w:cs="Arial"/>
          <w:sz w:val="24"/>
          <w:szCs w:val="24"/>
          <w:lang w:val="en-GB"/>
        </w:rPr>
        <w:t>this condition</w:t>
      </w:r>
      <w:r w:rsidR="00375B6C">
        <w:rPr>
          <w:rFonts w:ascii="Arial" w:hAnsi="Arial" w:cs="Arial"/>
          <w:sz w:val="24"/>
          <w:szCs w:val="24"/>
          <w:lang w:val="en-GB"/>
        </w:rPr>
        <w:t xml:space="preserve">. </w:t>
      </w:r>
      <w:r w:rsidR="00F81B5D">
        <w:rPr>
          <w:rFonts w:ascii="Arial" w:hAnsi="Arial" w:cs="Arial"/>
          <w:sz w:val="24"/>
          <w:szCs w:val="24"/>
          <w:lang w:val="en-GB"/>
        </w:rPr>
        <w:t xml:space="preserve">This could relate </w:t>
      </w:r>
      <w:r w:rsidR="00F349A5">
        <w:rPr>
          <w:rFonts w:ascii="Arial" w:hAnsi="Arial" w:cs="Arial"/>
          <w:sz w:val="24"/>
          <w:szCs w:val="24"/>
          <w:lang w:val="en-GB"/>
        </w:rPr>
        <w:t>to</w:t>
      </w:r>
      <w:r w:rsidR="00F81B5D">
        <w:rPr>
          <w:rFonts w:ascii="Arial" w:hAnsi="Arial" w:cs="Arial"/>
          <w:sz w:val="24"/>
          <w:szCs w:val="24"/>
          <w:lang w:val="en-GB"/>
        </w:rPr>
        <w:t xml:space="preserve"> the fact that </w:t>
      </w:r>
      <w:r w:rsidR="008A7B8C">
        <w:rPr>
          <w:rFonts w:ascii="Arial" w:hAnsi="Arial" w:cs="Arial"/>
          <w:sz w:val="24"/>
          <w:szCs w:val="24"/>
          <w:lang w:val="en-GB"/>
        </w:rPr>
        <w:t>Barrett’s</w:t>
      </w:r>
      <w:r w:rsidR="00F81B5D">
        <w:rPr>
          <w:rFonts w:ascii="Arial" w:hAnsi="Arial" w:cs="Arial"/>
          <w:sz w:val="24"/>
          <w:szCs w:val="24"/>
          <w:lang w:val="en-GB"/>
        </w:rPr>
        <w:t xml:space="preserve"> metaplasia is an adaptive mechanism </w:t>
      </w:r>
      <w:r w:rsidR="00F349A5">
        <w:rPr>
          <w:rFonts w:ascii="Arial" w:hAnsi="Arial" w:cs="Arial"/>
          <w:sz w:val="24"/>
          <w:szCs w:val="24"/>
          <w:lang w:val="en-GB"/>
        </w:rPr>
        <w:t xml:space="preserve">in individuals with acid reflux </w:t>
      </w:r>
      <w:r w:rsidR="00F81B5D">
        <w:rPr>
          <w:rFonts w:ascii="Arial" w:hAnsi="Arial" w:cs="Arial"/>
          <w:sz w:val="24"/>
          <w:szCs w:val="24"/>
          <w:lang w:val="en-GB"/>
        </w:rPr>
        <w:t xml:space="preserve">to reduce burden of symptoms. </w:t>
      </w:r>
    </w:p>
    <w:p w14:paraId="180E6CC3" w14:textId="09521707" w:rsidR="003F5B9A" w:rsidRPr="004B4B2E" w:rsidRDefault="00CA34FF" w:rsidP="003F5B9A">
      <w:pPr>
        <w:spacing w:line="480" w:lineRule="auto"/>
        <w:jc w:val="both"/>
        <w:rPr>
          <w:rFonts w:ascii="Arial" w:hAnsi="Arial" w:cs="Arial"/>
          <w:sz w:val="24"/>
          <w:szCs w:val="24"/>
          <w:lang w:val="en-GB"/>
        </w:rPr>
      </w:pPr>
      <w:r>
        <w:rPr>
          <w:rFonts w:ascii="Arial" w:hAnsi="Arial" w:cs="Arial"/>
          <w:sz w:val="24"/>
          <w:szCs w:val="24"/>
          <w:lang w:val="en-GB"/>
        </w:rPr>
        <w:t>A</w:t>
      </w:r>
      <w:r w:rsidR="005A6EB9">
        <w:rPr>
          <w:rFonts w:ascii="Arial" w:hAnsi="Arial" w:cs="Arial"/>
          <w:sz w:val="24"/>
          <w:szCs w:val="24"/>
          <w:lang w:val="en-GB"/>
        </w:rPr>
        <w:t xml:space="preserve"> proportion of patients who do not fully respond to PPI</w:t>
      </w:r>
      <w:r w:rsidR="008A7B8C">
        <w:rPr>
          <w:rFonts w:ascii="Arial" w:hAnsi="Arial" w:cs="Arial"/>
          <w:sz w:val="24"/>
          <w:szCs w:val="24"/>
          <w:lang w:val="en-GB"/>
        </w:rPr>
        <w:t>s</w:t>
      </w:r>
      <w:r w:rsidR="005A6EB9">
        <w:rPr>
          <w:rFonts w:ascii="Arial" w:hAnsi="Arial" w:cs="Arial"/>
          <w:sz w:val="24"/>
          <w:szCs w:val="24"/>
          <w:lang w:val="en-GB"/>
        </w:rPr>
        <w:t xml:space="preserve"> have either esophageal hypersensitivity or functional heartburn. These patients have lower threshold for nociception in response to physiological reflux episodes or other triggering stimuli. The gold standard for diagnosing these pathological entities is </w:t>
      </w:r>
      <w:r w:rsidR="00474891" w:rsidRPr="004B4B2E">
        <w:rPr>
          <w:rFonts w:ascii="Arial" w:hAnsi="Arial" w:cs="Arial"/>
          <w:sz w:val="24"/>
          <w:szCs w:val="24"/>
          <w:lang w:val="en-GB"/>
        </w:rPr>
        <w:t xml:space="preserve">24-hour </w:t>
      </w:r>
      <w:r w:rsidR="00590D5C" w:rsidRPr="004B4B2E">
        <w:rPr>
          <w:rFonts w:ascii="Arial" w:hAnsi="Arial" w:cs="Arial"/>
          <w:sz w:val="24"/>
          <w:szCs w:val="24"/>
          <w:lang w:val="en-GB"/>
        </w:rPr>
        <w:t>pH</w:t>
      </w:r>
      <w:r w:rsidR="00474891" w:rsidRPr="004B4B2E">
        <w:rPr>
          <w:rFonts w:ascii="Arial" w:hAnsi="Arial" w:cs="Arial"/>
          <w:sz w:val="24"/>
          <w:szCs w:val="24"/>
          <w:lang w:val="en-GB"/>
        </w:rPr>
        <w:t>-</w:t>
      </w:r>
      <w:r w:rsidR="00590D5C" w:rsidRPr="004B4B2E">
        <w:rPr>
          <w:rFonts w:ascii="Arial" w:hAnsi="Arial" w:cs="Arial"/>
          <w:sz w:val="24"/>
          <w:szCs w:val="24"/>
          <w:lang w:val="en-GB"/>
        </w:rPr>
        <w:t>impedance</w:t>
      </w:r>
      <w:r w:rsidR="005A6EB9">
        <w:rPr>
          <w:rFonts w:ascii="Arial" w:hAnsi="Arial" w:cs="Arial"/>
          <w:sz w:val="24"/>
          <w:szCs w:val="24"/>
          <w:lang w:val="en-GB"/>
        </w:rPr>
        <w:t xml:space="preserve">. </w:t>
      </w:r>
      <w:r w:rsidR="00216536">
        <w:rPr>
          <w:rFonts w:ascii="Arial" w:hAnsi="Arial" w:cs="Arial"/>
          <w:sz w:val="24"/>
          <w:szCs w:val="24"/>
          <w:lang w:val="en-GB"/>
        </w:rPr>
        <w:lastRenderedPageBreak/>
        <w:t>H</w:t>
      </w:r>
      <w:r w:rsidR="00474891" w:rsidRPr="004B4B2E">
        <w:rPr>
          <w:rFonts w:ascii="Arial" w:hAnsi="Arial" w:cs="Arial"/>
          <w:sz w:val="24"/>
          <w:szCs w:val="24"/>
          <w:lang w:val="en-GB"/>
        </w:rPr>
        <w:t xml:space="preserve">owever, </w:t>
      </w:r>
      <w:r w:rsidR="00216536">
        <w:rPr>
          <w:rFonts w:ascii="Arial" w:hAnsi="Arial" w:cs="Arial"/>
          <w:sz w:val="24"/>
          <w:szCs w:val="24"/>
          <w:lang w:val="en-GB"/>
        </w:rPr>
        <w:t xml:space="preserve">pH impedance test might </w:t>
      </w:r>
      <w:r w:rsidR="00742FA2">
        <w:rPr>
          <w:rFonts w:ascii="Arial" w:hAnsi="Arial" w:cs="Arial"/>
          <w:sz w:val="24"/>
          <w:szCs w:val="24"/>
          <w:lang w:val="en-GB"/>
        </w:rPr>
        <w:t xml:space="preserve">have </w:t>
      </w:r>
      <w:r w:rsidR="00742FA2" w:rsidRPr="004B4B2E">
        <w:rPr>
          <w:rFonts w:ascii="Arial" w:hAnsi="Arial" w:cs="Arial"/>
          <w:sz w:val="24"/>
          <w:szCs w:val="24"/>
          <w:lang w:val="en-GB"/>
        </w:rPr>
        <w:t>limited</w:t>
      </w:r>
      <w:r w:rsidR="00474891" w:rsidRPr="004B4B2E">
        <w:rPr>
          <w:rFonts w:ascii="Arial" w:hAnsi="Arial" w:cs="Arial"/>
          <w:sz w:val="24"/>
          <w:szCs w:val="24"/>
          <w:lang w:val="en-GB"/>
        </w:rPr>
        <w:t xml:space="preserve"> availability </w:t>
      </w:r>
      <w:r w:rsidR="00216536">
        <w:rPr>
          <w:rFonts w:ascii="Arial" w:hAnsi="Arial" w:cs="Arial"/>
          <w:sz w:val="24"/>
          <w:szCs w:val="24"/>
          <w:lang w:val="en-GB"/>
        </w:rPr>
        <w:t>in clinical practice</w:t>
      </w:r>
      <w:r w:rsidR="00B572EB">
        <w:rPr>
          <w:rFonts w:ascii="Arial" w:hAnsi="Arial" w:cs="Arial"/>
          <w:sz w:val="24"/>
          <w:szCs w:val="24"/>
          <w:lang w:val="en-GB"/>
        </w:rPr>
        <w:t xml:space="preserve"> and requires two additional visits to the hospital with related</w:t>
      </w:r>
      <w:r w:rsidR="007674C0">
        <w:rPr>
          <w:rFonts w:ascii="Arial" w:hAnsi="Arial" w:cs="Arial"/>
          <w:sz w:val="24"/>
          <w:szCs w:val="24"/>
          <w:lang w:val="en-GB"/>
        </w:rPr>
        <w:t xml:space="preserve"> to increased </w:t>
      </w:r>
      <w:r w:rsidR="00B572EB">
        <w:rPr>
          <w:rFonts w:ascii="Arial" w:hAnsi="Arial" w:cs="Arial"/>
          <w:sz w:val="24"/>
          <w:szCs w:val="24"/>
          <w:lang w:val="en-GB"/>
        </w:rPr>
        <w:t xml:space="preserve">indirect costs. In addition, </w:t>
      </w:r>
      <w:r w:rsidR="00216536">
        <w:rPr>
          <w:rFonts w:ascii="Arial" w:hAnsi="Arial" w:cs="Arial"/>
          <w:sz w:val="24"/>
          <w:szCs w:val="24"/>
          <w:lang w:val="en-GB"/>
        </w:rPr>
        <w:t xml:space="preserve">some patients do not tolerate </w:t>
      </w:r>
      <w:r w:rsidR="00F81B5D">
        <w:rPr>
          <w:rFonts w:ascii="Arial" w:hAnsi="Arial" w:cs="Arial"/>
          <w:sz w:val="24"/>
          <w:szCs w:val="24"/>
          <w:lang w:val="en-GB"/>
        </w:rPr>
        <w:t xml:space="preserve">a </w:t>
      </w:r>
      <w:proofErr w:type="spellStart"/>
      <w:r w:rsidR="00216536">
        <w:rPr>
          <w:rFonts w:ascii="Arial" w:hAnsi="Arial" w:cs="Arial"/>
          <w:sz w:val="24"/>
          <w:szCs w:val="24"/>
          <w:lang w:val="en-GB"/>
        </w:rPr>
        <w:t>transnasal</w:t>
      </w:r>
      <w:proofErr w:type="spellEnd"/>
      <w:r w:rsidR="00216536">
        <w:rPr>
          <w:rFonts w:ascii="Arial" w:hAnsi="Arial" w:cs="Arial"/>
          <w:sz w:val="24"/>
          <w:szCs w:val="24"/>
          <w:lang w:val="en-GB"/>
        </w:rPr>
        <w:t xml:space="preserve"> catheter.</w:t>
      </w:r>
      <w:r w:rsidR="009372BC">
        <w:rPr>
          <w:rFonts w:ascii="Arial" w:hAnsi="Arial" w:cs="Arial"/>
          <w:sz w:val="24"/>
          <w:szCs w:val="24"/>
          <w:lang w:val="en-GB"/>
        </w:rPr>
        <w:t xml:space="preserve"> </w:t>
      </w:r>
      <w:r w:rsidR="003F5B9A">
        <w:rPr>
          <w:rFonts w:ascii="Arial" w:hAnsi="Arial" w:cs="Arial"/>
          <w:sz w:val="24"/>
          <w:szCs w:val="24"/>
          <w:lang w:val="en-GB"/>
        </w:rPr>
        <w:t xml:space="preserve">The clinical utility of our findings could be speculated as follows. </w:t>
      </w:r>
      <w:r w:rsidR="003F5B9A" w:rsidRPr="004B4B2E">
        <w:rPr>
          <w:rFonts w:ascii="Arial" w:hAnsi="Arial" w:cs="Arial"/>
          <w:sz w:val="24"/>
          <w:szCs w:val="24"/>
          <w:lang w:val="en-GB"/>
        </w:rPr>
        <w:t xml:space="preserve">Using </w:t>
      </w:r>
      <w:r w:rsidR="003F5B9A" w:rsidRPr="004B4B2E">
        <w:rPr>
          <w:rFonts w:ascii="Arial" w:hAnsi="Arial" w:cs="Arial"/>
          <w:noProof/>
          <w:sz w:val="24"/>
          <w:szCs w:val="24"/>
          <w:lang w:val="en-GB"/>
        </w:rPr>
        <w:t>the best</w:t>
      </w:r>
      <w:r w:rsidR="003F5B9A" w:rsidRPr="004B4B2E">
        <w:rPr>
          <w:rFonts w:ascii="Arial" w:hAnsi="Arial" w:cs="Arial"/>
          <w:sz w:val="24"/>
          <w:szCs w:val="24"/>
          <w:lang w:val="en-GB"/>
        </w:rPr>
        <w:t xml:space="preserve"> cut-off pH value of 5.05, single-point gastric acidity can predict persistent acid reflux with a sensitivity of</w:t>
      </w:r>
      <w:r w:rsidR="009372BC">
        <w:rPr>
          <w:rFonts w:ascii="Arial" w:hAnsi="Arial" w:cs="Arial"/>
          <w:sz w:val="24"/>
          <w:szCs w:val="24"/>
          <w:lang w:val="en-GB"/>
        </w:rPr>
        <w:t xml:space="preserve"> </w:t>
      </w:r>
      <w:r w:rsidR="009372BC" w:rsidRPr="009372BC">
        <w:rPr>
          <w:rFonts w:ascii="Arial" w:hAnsi="Arial" w:cs="Arial"/>
          <w:sz w:val="24"/>
          <w:szCs w:val="24"/>
          <w:lang w:val="en-GB"/>
        </w:rPr>
        <w:t>43.2%</w:t>
      </w:r>
      <w:r w:rsidR="003F5B9A" w:rsidRPr="004B4B2E">
        <w:rPr>
          <w:rFonts w:ascii="Arial" w:hAnsi="Arial" w:cs="Arial"/>
          <w:sz w:val="24"/>
          <w:szCs w:val="24"/>
          <w:lang w:val="en-GB"/>
        </w:rPr>
        <w:t xml:space="preserve"> and a specificity of </w:t>
      </w:r>
      <w:r w:rsidR="009372BC" w:rsidRPr="009372BC">
        <w:rPr>
          <w:rFonts w:ascii="Arial" w:hAnsi="Arial" w:cs="Arial"/>
          <w:sz w:val="24"/>
          <w:szCs w:val="24"/>
          <w:lang w:val="en-GB"/>
        </w:rPr>
        <w:t>87.5%</w:t>
      </w:r>
      <w:r w:rsidR="003F5B9A" w:rsidRPr="004B4B2E">
        <w:rPr>
          <w:rFonts w:ascii="Arial" w:hAnsi="Arial" w:cs="Arial"/>
          <w:sz w:val="24"/>
          <w:szCs w:val="24"/>
          <w:lang w:val="en-GB"/>
        </w:rPr>
        <w:t xml:space="preserve">. </w:t>
      </w:r>
      <w:r w:rsidR="00F87502">
        <w:rPr>
          <w:rFonts w:ascii="Arial" w:hAnsi="Arial" w:cs="Arial"/>
          <w:sz w:val="24"/>
          <w:szCs w:val="24"/>
          <w:lang w:val="en-GB"/>
        </w:rPr>
        <w:t xml:space="preserve">Despite low </w:t>
      </w:r>
      <w:r w:rsidR="003F5B9A">
        <w:rPr>
          <w:rFonts w:ascii="Arial" w:hAnsi="Arial" w:cs="Arial"/>
          <w:sz w:val="24"/>
          <w:szCs w:val="24"/>
          <w:lang w:val="en-GB"/>
        </w:rPr>
        <w:t>sensitivity</w:t>
      </w:r>
      <w:r w:rsidR="003F5B9A" w:rsidRPr="004B4B2E">
        <w:rPr>
          <w:rFonts w:ascii="Arial" w:hAnsi="Arial" w:cs="Arial"/>
          <w:sz w:val="24"/>
          <w:szCs w:val="24"/>
          <w:lang w:val="en-GB"/>
        </w:rPr>
        <w:t xml:space="preserve">, </w:t>
      </w:r>
      <w:r w:rsidR="003F5B9A">
        <w:rPr>
          <w:rFonts w:ascii="Arial" w:hAnsi="Arial" w:cs="Arial"/>
          <w:sz w:val="24"/>
          <w:szCs w:val="24"/>
          <w:lang w:val="en-GB"/>
        </w:rPr>
        <w:t xml:space="preserve">the </w:t>
      </w:r>
      <w:r w:rsidR="003F5B9A" w:rsidRPr="004B4B2E">
        <w:rPr>
          <w:rFonts w:ascii="Arial" w:hAnsi="Arial" w:cs="Arial"/>
          <w:sz w:val="24"/>
          <w:szCs w:val="24"/>
          <w:lang w:val="en-GB"/>
        </w:rPr>
        <w:t xml:space="preserve">high specificity </w:t>
      </w:r>
      <w:r w:rsidR="003F5B9A">
        <w:rPr>
          <w:rFonts w:ascii="Arial" w:hAnsi="Arial" w:cs="Arial"/>
          <w:sz w:val="24"/>
          <w:szCs w:val="24"/>
          <w:lang w:val="en-GB"/>
        </w:rPr>
        <w:t>indicates that patients</w:t>
      </w:r>
      <w:r w:rsidR="003F5B9A" w:rsidRPr="004B4B2E">
        <w:rPr>
          <w:rFonts w:ascii="Arial" w:hAnsi="Arial" w:cs="Arial"/>
          <w:sz w:val="24"/>
          <w:szCs w:val="24"/>
          <w:lang w:val="en-GB"/>
        </w:rPr>
        <w:t xml:space="preserve"> with a </w:t>
      </w:r>
      <w:r w:rsidR="00A030EB">
        <w:rPr>
          <w:rFonts w:ascii="Arial" w:hAnsi="Arial" w:cs="Arial"/>
          <w:sz w:val="24"/>
          <w:szCs w:val="24"/>
          <w:lang w:val="en-GB"/>
        </w:rPr>
        <w:t>gastric pH</w:t>
      </w:r>
      <w:r w:rsidR="003F5B9A" w:rsidRPr="004B4B2E">
        <w:rPr>
          <w:rFonts w:ascii="Arial" w:hAnsi="Arial" w:cs="Arial"/>
          <w:sz w:val="24"/>
          <w:szCs w:val="24"/>
          <w:lang w:val="en-GB"/>
        </w:rPr>
        <w:t xml:space="preserve"> </w:t>
      </w:r>
      <w:r w:rsidR="003F5B9A">
        <w:rPr>
          <w:rFonts w:ascii="Arial" w:hAnsi="Arial" w:cs="Arial"/>
          <w:sz w:val="24"/>
          <w:szCs w:val="24"/>
          <w:lang w:val="en-GB"/>
        </w:rPr>
        <w:t xml:space="preserve">higher </w:t>
      </w:r>
      <w:r w:rsidR="003F5B9A" w:rsidRPr="004B4B2E">
        <w:rPr>
          <w:rFonts w:ascii="Arial" w:hAnsi="Arial" w:cs="Arial"/>
          <w:sz w:val="24"/>
          <w:szCs w:val="24"/>
          <w:lang w:val="en-GB"/>
        </w:rPr>
        <w:t xml:space="preserve">than 5.05 </w:t>
      </w:r>
      <w:r w:rsidR="003F5B9A">
        <w:rPr>
          <w:rFonts w:ascii="Arial" w:hAnsi="Arial" w:cs="Arial"/>
          <w:sz w:val="24"/>
          <w:szCs w:val="24"/>
          <w:lang w:val="en-GB"/>
        </w:rPr>
        <w:t>are</w:t>
      </w:r>
      <w:r w:rsidR="003F5B9A" w:rsidRPr="004B4B2E">
        <w:rPr>
          <w:rFonts w:ascii="Arial" w:hAnsi="Arial" w:cs="Arial"/>
          <w:sz w:val="24"/>
          <w:szCs w:val="24"/>
          <w:lang w:val="en-GB"/>
        </w:rPr>
        <w:t xml:space="preserve"> </w:t>
      </w:r>
      <w:r w:rsidR="003F5B9A">
        <w:rPr>
          <w:rFonts w:ascii="Arial" w:hAnsi="Arial" w:cs="Arial"/>
          <w:sz w:val="24"/>
          <w:szCs w:val="24"/>
          <w:lang w:val="en-GB"/>
        </w:rPr>
        <w:t>un</w:t>
      </w:r>
      <w:r w:rsidR="003F5B9A" w:rsidRPr="004B4B2E">
        <w:rPr>
          <w:rFonts w:ascii="Arial" w:hAnsi="Arial" w:cs="Arial"/>
          <w:sz w:val="24"/>
          <w:szCs w:val="24"/>
          <w:lang w:val="en-GB"/>
        </w:rPr>
        <w:t xml:space="preserve">likely </w:t>
      </w:r>
      <w:r w:rsidR="003F5B9A">
        <w:rPr>
          <w:rFonts w:ascii="Arial" w:hAnsi="Arial" w:cs="Arial"/>
          <w:sz w:val="24"/>
          <w:szCs w:val="24"/>
          <w:lang w:val="en-GB"/>
        </w:rPr>
        <w:t xml:space="preserve">to </w:t>
      </w:r>
      <w:r w:rsidR="003F5B9A" w:rsidRPr="004B4B2E">
        <w:rPr>
          <w:rFonts w:ascii="Arial" w:hAnsi="Arial" w:cs="Arial"/>
          <w:sz w:val="24"/>
          <w:szCs w:val="24"/>
          <w:lang w:val="en-GB"/>
        </w:rPr>
        <w:t>have persistent acid reflux</w:t>
      </w:r>
      <w:r w:rsidR="003F5B9A">
        <w:rPr>
          <w:rFonts w:ascii="Arial" w:hAnsi="Arial" w:cs="Arial"/>
          <w:sz w:val="24"/>
          <w:szCs w:val="24"/>
          <w:lang w:val="en-GB"/>
        </w:rPr>
        <w:t xml:space="preserve">. </w:t>
      </w:r>
      <w:r w:rsidR="009372BC">
        <w:rPr>
          <w:rFonts w:ascii="Arial" w:hAnsi="Arial" w:cs="Arial"/>
          <w:sz w:val="24"/>
          <w:szCs w:val="24"/>
          <w:lang w:val="en-GB"/>
        </w:rPr>
        <w:t>L</w:t>
      </w:r>
      <w:r w:rsidR="003F5B9A">
        <w:rPr>
          <w:rFonts w:ascii="Arial" w:hAnsi="Arial" w:cs="Arial"/>
          <w:sz w:val="24"/>
          <w:szCs w:val="24"/>
          <w:lang w:val="en-GB"/>
        </w:rPr>
        <w:t xml:space="preserve">ow gastric pH at the time of endoscopy </w:t>
      </w:r>
      <w:r w:rsidR="003F5B9A" w:rsidRPr="004B4B2E">
        <w:rPr>
          <w:rFonts w:ascii="Arial" w:hAnsi="Arial" w:cs="Arial"/>
          <w:sz w:val="24"/>
          <w:szCs w:val="24"/>
          <w:lang w:val="en-GB"/>
        </w:rPr>
        <w:t xml:space="preserve">in patients on PPI therapy </w:t>
      </w:r>
      <w:r w:rsidR="003F5B9A">
        <w:rPr>
          <w:rFonts w:ascii="Arial" w:hAnsi="Arial" w:cs="Arial"/>
          <w:sz w:val="24"/>
          <w:szCs w:val="24"/>
          <w:lang w:val="en-GB"/>
        </w:rPr>
        <w:t xml:space="preserve">with persistent symptoms may </w:t>
      </w:r>
      <w:r w:rsidR="003F5B9A" w:rsidRPr="004B4B2E">
        <w:rPr>
          <w:rFonts w:ascii="Arial" w:hAnsi="Arial" w:cs="Arial"/>
          <w:sz w:val="24"/>
          <w:szCs w:val="24"/>
          <w:lang w:val="en-GB"/>
        </w:rPr>
        <w:t xml:space="preserve">indicate a </w:t>
      </w:r>
      <w:r w:rsidR="003F5B9A">
        <w:rPr>
          <w:rFonts w:ascii="Arial" w:hAnsi="Arial" w:cs="Arial"/>
          <w:sz w:val="24"/>
          <w:szCs w:val="24"/>
          <w:lang w:val="en-GB"/>
        </w:rPr>
        <w:t>suboptimal</w:t>
      </w:r>
      <w:r w:rsidR="003F5B9A" w:rsidRPr="004B4B2E">
        <w:rPr>
          <w:rFonts w:ascii="Arial" w:hAnsi="Arial" w:cs="Arial"/>
          <w:sz w:val="24"/>
          <w:szCs w:val="24"/>
          <w:lang w:val="en-GB"/>
        </w:rPr>
        <w:t xml:space="preserve"> pharmacological response, </w:t>
      </w:r>
      <w:r w:rsidR="003F5B9A">
        <w:rPr>
          <w:rFonts w:ascii="Arial" w:hAnsi="Arial" w:cs="Arial"/>
          <w:sz w:val="24"/>
          <w:szCs w:val="24"/>
          <w:lang w:val="en-GB"/>
        </w:rPr>
        <w:t xml:space="preserve">suggesting that </w:t>
      </w:r>
      <w:r w:rsidR="003F5B9A" w:rsidRPr="004B4B2E">
        <w:rPr>
          <w:rFonts w:ascii="Arial" w:hAnsi="Arial" w:cs="Arial"/>
          <w:sz w:val="24"/>
          <w:szCs w:val="24"/>
          <w:lang w:val="en-GB"/>
        </w:rPr>
        <w:t>increasing the dose of medication</w:t>
      </w:r>
      <w:r w:rsidR="003F5B9A">
        <w:rPr>
          <w:rFonts w:ascii="Arial" w:hAnsi="Arial" w:cs="Arial"/>
          <w:sz w:val="24"/>
          <w:szCs w:val="24"/>
          <w:lang w:val="en-GB"/>
        </w:rPr>
        <w:t xml:space="preserve"> should be attempted</w:t>
      </w:r>
      <w:r w:rsidR="003F5B9A" w:rsidRPr="004B4B2E">
        <w:rPr>
          <w:rFonts w:ascii="Arial" w:hAnsi="Arial" w:cs="Arial"/>
          <w:sz w:val="24"/>
          <w:szCs w:val="24"/>
          <w:lang w:val="en-GB"/>
        </w:rPr>
        <w:t>, rather than referring the patient for further testing</w:t>
      </w:r>
      <w:r w:rsidR="00F349A5">
        <w:rPr>
          <w:rFonts w:ascii="Arial" w:hAnsi="Arial" w:cs="Arial"/>
          <w:sz w:val="24"/>
          <w:szCs w:val="24"/>
          <w:lang w:val="en-GB"/>
        </w:rPr>
        <w:t xml:space="preserve"> </w:t>
      </w:r>
      <w:r w:rsidR="009372BC">
        <w:rPr>
          <w:rFonts w:ascii="Arial" w:hAnsi="Arial" w:cs="Arial"/>
          <w:sz w:val="24"/>
          <w:szCs w:val="24"/>
          <w:lang w:val="en-GB"/>
        </w:rPr>
        <w:t xml:space="preserve">(24hour pH impedance) </w:t>
      </w:r>
      <w:r w:rsidR="00F349A5">
        <w:rPr>
          <w:rFonts w:ascii="Arial" w:hAnsi="Arial" w:cs="Arial"/>
          <w:sz w:val="24"/>
          <w:szCs w:val="24"/>
          <w:lang w:val="en-GB"/>
        </w:rPr>
        <w:t>in first instance</w:t>
      </w:r>
      <w:r w:rsidR="003F5B9A" w:rsidRPr="004B4B2E">
        <w:rPr>
          <w:rFonts w:ascii="Arial" w:hAnsi="Arial" w:cs="Arial"/>
          <w:sz w:val="24"/>
          <w:szCs w:val="24"/>
          <w:lang w:val="en-GB"/>
        </w:rPr>
        <w:t>.</w:t>
      </w:r>
    </w:p>
    <w:p w14:paraId="66015736" w14:textId="62919D48" w:rsidR="0064680A" w:rsidRPr="004B4B2E" w:rsidRDefault="004E5A82" w:rsidP="001B3D49">
      <w:pPr>
        <w:spacing w:line="480" w:lineRule="auto"/>
        <w:jc w:val="both"/>
        <w:rPr>
          <w:rFonts w:ascii="Arial" w:hAnsi="Arial" w:cs="Arial"/>
          <w:sz w:val="24"/>
          <w:szCs w:val="24"/>
          <w:lang w:val="en-GB"/>
        </w:rPr>
      </w:pPr>
      <w:r w:rsidRPr="004B4B2E">
        <w:rPr>
          <w:rFonts w:ascii="Arial" w:hAnsi="Arial" w:cs="Arial"/>
          <w:sz w:val="24"/>
          <w:szCs w:val="24"/>
          <w:lang w:val="en-GB"/>
        </w:rPr>
        <w:t xml:space="preserve">Our study has limitations. </w:t>
      </w:r>
      <w:r w:rsidR="00CA34FF">
        <w:rPr>
          <w:rFonts w:ascii="Arial" w:hAnsi="Arial" w:cs="Arial"/>
          <w:sz w:val="24"/>
          <w:szCs w:val="24"/>
          <w:lang w:val="en-GB"/>
        </w:rPr>
        <w:t xml:space="preserve">This was a </w:t>
      </w:r>
      <w:r w:rsidRPr="004B4B2E">
        <w:rPr>
          <w:rFonts w:ascii="Arial" w:hAnsi="Arial" w:cs="Arial"/>
          <w:sz w:val="24"/>
          <w:szCs w:val="24"/>
          <w:lang w:val="en-GB"/>
        </w:rPr>
        <w:t xml:space="preserve">single </w:t>
      </w:r>
      <w:proofErr w:type="spellStart"/>
      <w:r w:rsidRPr="004B4B2E">
        <w:rPr>
          <w:rFonts w:ascii="Arial" w:hAnsi="Arial" w:cs="Arial"/>
          <w:sz w:val="24"/>
          <w:szCs w:val="24"/>
          <w:lang w:val="en-GB"/>
        </w:rPr>
        <w:t>center</w:t>
      </w:r>
      <w:proofErr w:type="spellEnd"/>
      <w:r w:rsidRPr="004B4B2E">
        <w:rPr>
          <w:rFonts w:ascii="Arial" w:hAnsi="Arial" w:cs="Arial"/>
          <w:sz w:val="24"/>
          <w:szCs w:val="24"/>
          <w:lang w:val="en-GB"/>
        </w:rPr>
        <w:t xml:space="preserve"> </w:t>
      </w:r>
      <w:r w:rsidR="00CA34FF">
        <w:rPr>
          <w:rFonts w:ascii="Arial" w:hAnsi="Arial" w:cs="Arial"/>
          <w:sz w:val="24"/>
          <w:szCs w:val="24"/>
          <w:lang w:val="en-GB"/>
        </w:rPr>
        <w:t xml:space="preserve">study, with </w:t>
      </w:r>
      <w:r w:rsidRPr="004B4B2E">
        <w:rPr>
          <w:rFonts w:ascii="Arial" w:hAnsi="Arial" w:cs="Arial"/>
          <w:sz w:val="24"/>
          <w:szCs w:val="24"/>
          <w:lang w:val="en-GB"/>
        </w:rPr>
        <w:t xml:space="preserve">relatively small </w:t>
      </w:r>
      <w:r w:rsidR="00CA34FF">
        <w:rPr>
          <w:rFonts w:ascii="Arial" w:hAnsi="Arial" w:cs="Arial"/>
          <w:sz w:val="24"/>
          <w:szCs w:val="24"/>
          <w:lang w:val="en-GB"/>
        </w:rPr>
        <w:t xml:space="preserve">sample size </w:t>
      </w:r>
      <w:r w:rsidRPr="004B4B2E">
        <w:rPr>
          <w:rFonts w:ascii="Arial" w:hAnsi="Arial" w:cs="Arial"/>
          <w:sz w:val="24"/>
          <w:szCs w:val="24"/>
          <w:lang w:val="en-GB"/>
        </w:rPr>
        <w:t>(n=9</w:t>
      </w:r>
      <w:r w:rsidR="009372BC">
        <w:rPr>
          <w:rFonts w:ascii="Arial" w:hAnsi="Arial" w:cs="Arial"/>
          <w:sz w:val="24"/>
          <w:szCs w:val="24"/>
          <w:lang w:val="en-GB"/>
        </w:rPr>
        <w:t>2</w:t>
      </w:r>
      <w:r w:rsidRPr="004B4B2E">
        <w:rPr>
          <w:rFonts w:ascii="Arial" w:hAnsi="Arial" w:cs="Arial"/>
          <w:sz w:val="24"/>
          <w:szCs w:val="24"/>
          <w:lang w:val="en-GB"/>
        </w:rPr>
        <w:t>).</w:t>
      </w:r>
      <w:r w:rsidR="00590D5C" w:rsidRPr="004B4B2E">
        <w:rPr>
          <w:rFonts w:ascii="Arial" w:hAnsi="Arial" w:cs="Arial"/>
          <w:sz w:val="24"/>
          <w:szCs w:val="24"/>
          <w:lang w:val="en-GB"/>
        </w:rPr>
        <w:t xml:space="preserve"> </w:t>
      </w:r>
      <w:r w:rsidR="003F5B9A">
        <w:rPr>
          <w:rFonts w:ascii="Arial" w:hAnsi="Arial" w:cs="Arial"/>
          <w:sz w:val="24"/>
          <w:szCs w:val="24"/>
          <w:lang w:val="en-GB"/>
        </w:rPr>
        <w:t xml:space="preserve">Given the lack of previous data on </w:t>
      </w:r>
      <w:r w:rsidR="00742FA2">
        <w:rPr>
          <w:rFonts w:ascii="Arial" w:hAnsi="Arial" w:cs="Arial"/>
          <w:sz w:val="24"/>
          <w:szCs w:val="24"/>
          <w:lang w:val="en-GB"/>
        </w:rPr>
        <w:t>accuracy of</w:t>
      </w:r>
      <w:r w:rsidR="003F5B9A">
        <w:rPr>
          <w:rFonts w:ascii="Arial" w:hAnsi="Arial" w:cs="Arial"/>
          <w:sz w:val="24"/>
          <w:szCs w:val="24"/>
          <w:lang w:val="en-GB"/>
        </w:rPr>
        <w:t xml:space="preserve"> real time gastric pH </w:t>
      </w:r>
      <w:r w:rsidR="00F349A5">
        <w:rPr>
          <w:rFonts w:ascii="Arial" w:hAnsi="Arial" w:cs="Arial"/>
          <w:sz w:val="24"/>
          <w:szCs w:val="24"/>
          <w:lang w:val="en-GB"/>
        </w:rPr>
        <w:t xml:space="preserve">measurement </w:t>
      </w:r>
      <w:r w:rsidR="003F5B9A">
        <w:rPr>
          <w:rFonts w:ascii="Arial" w:hAnsi="Arial" w:cs="Arial"/>
          <w:sz w:val="24"/>
          <w:szCs w:val="24"/>
          <w:lang w:val="en-GB"/>
        </w:rPr>
        <w:t xml:space="preserve">in prediction of esophageal AET, a formal sample size was not possible. </w:t>
      </w:r>
      <w:r w:rsidR="00590D5C" w:rsidRPr="004B4B2E">
        <w:rPr>
          <w:rFonts w:ascii="Arial" w:hAnsi="Arial" w:cs="Arial"/>
          <w:sz w:val="24"/>
          <w:szCs w:val="24"/>
          <w:lang w:val="en-GB"/>
        </w:rPr>
        <w:t>We did not use a predefined, un</w:t>
      </w:r>
      <w:r w:rsidR="00474891" w:rsidRPr="004B4B2E">
        <w:rPr>
          <w:rFonts w:ascii="Arial" w:hAnsi="Arial" w:cs="Arial"/>
          <w:sz w:val="24"/>
          <w:szCs w:val="24"/>
          <w:lang w:val="en-GB"/>
        </w:rPr>
        <w:t>i</w:t>
      </w:r>
      <w:r w:rsidR="00590D5C" w:rsidRPr="004B4B2E">
        <w:rPr>
          <w:rFonts w:ascii="Arial" w:hAnsi="Arial" w:cs="Arial"/>
          <w:sz w:val="24"/>
          <w:szCs w:val="24"/>
          <w:lang w:val="en-GB"/>
        </w:rPr>
        <w:t xml:space="preserve">form regimen of PPI treatment, which may confound the </w:t>
      </w:r>
      <w:r w:rsidR="00590D5C" w:rsidRPr="004B4B2E">
        <w:rPr>
          <w:rFonts w:ascii="Arial" w:hAnsi="Arial" w:cs="Arial"/>
          <w:noProof/>
          <w:sz w:val="24"/>
          <w:szCs w:val="24"/>
          <w:lang w:val="en-GB"/>
        </w:rPr>
        <w:t>compar</w:t>
      </w:r>
      <w:r w:rsidR="00443893" w:rsidRPr="004B4B2E">
        <w:rPr>
          <w:rFonts w:ascii="Arial" w:hAnsi="Arial" w:cs="Arial"/>
          <w:noProof/>
          <w:sz w:val="24"/>
          <w:szCs w:val="24"/>
          <w:lang w:val="en-GB"/>
        </w:rPr>
        <w:t>ative</w:t>
      </w:r>
      <w:r w:rsidR="00590D5C" w:rsidRPr="004B4B2E">
        <w:rPr>
          <w:rFonts w:ascii="Arial" w:hAnsi="Arial" w:cs="Arial"/>
          <w:sz w:val="24"/>
          <w:szCs w:val="24"/>
          <w:lang w:val="en-GB"/>
        </w:rPr>
        <w:t xml:space="preserve"> analyses. We have, however, </w:t>
      </w:r>
      <w:r w:rsidR="00443893" w:rsidRPr="004B4B2E">
        <w:rPr>
          <w:rFonts w:ascii="Arial" w:hAnsi="Arial" w:cs="Arial"/>
          <w:sz w:val="24"/>
          <w:szCs w:val="24"/>
          <w:lang w:val="en-GB"/>
        </w:rPr>
        <w:t xml:space="preserve">established a dedicated PPI scoring system to group each individual patient into </w:t>
      </w:r>
      <w:r w:rsidR="00F349A5">
        <w:rPr>
          <w:rFonts w:ascii="Arial" w:hAnsi="Arial" w:cs="Arial"/>
          <w:sz w:val="24"/>
          <w:szCs w:val="24"/>
          <w:lang w:val="en-GB"/>
        </w:rPr>
        <w:t>categories</w:t>
      </w:r>
      <w:r w:rsidR="00F349A5" w:rsidRPr="004B4B2E">
        <w:rPr>
          <w:rFonts w:ascii="Arial" w:hAnsi="Arial" w:cs="Arial"/>
          <w:sz w:val="24"/>
          <w:szCs w:val="24"/>
          <w:lang w:val="en-GB"/>
        </w:rPr>
        <w:t xml:space="preserve"> </w:t>
      </w:r>
      <w:r w:rsidR="00443893" w:rsidRPr="004B4B2E">
        <w:rPr>
          <w:rFonts w:ascii="Arial" w:hAnsi="Arial" w:cs="Arial"/>
          <w:sz w:val="24"/>
          <w:szCs w:val="24"/>
          <w:lang w:val="en-GB"/>
        </w:rPr>
        <w:t xml:space="preserve">with comparable PPI daily dose. All regression analyses in this study were </w:t>
      </w:r>
      <w:r w:rsidR="00590D5C" w:rsidRPr="004B4B2E">
        <w:rPr>
          <w:rFonts w:ascii="Arial" w:hAnsi="Arial" w:cs="Arial"/>
          <w:sz w:val="24"/>
          <w:szCs w:val="24"/>
          <w:lang w:val="en-GB"/>
        </w:rPr>
        <w:t xml:space="preserve">adjusted for the PPI regimen. </w:t>
      </w:r>
      <w:r w:rsidR="009372BC">
        <w:rPr>
          <w:rFonts w:ascii="Arial" w:hAnsi="Arial" w:cs="Arial"/>
          <w:sz w:val="24"/>
          <w:szCs w:val="24"/>
          <w:lang w:val="en-GB"/>
        </w:rPr>
        <w:t>Moreover, we did not perform pH impedance assessment off PPIs in patients included in our study</w:t>
      </w:r>
      <w:r w:rsidR="00A90611">
        <w:rPr>
          <w:rFonts w:ascii="Arial" w:hAnsi="Arial" w:cs="Arial"/>
          <w:sz w:val="24"/>
          <w:szCs w:val="24"/>
          <w:lang w:val="en-GB"/>
        </w:rPr>
        <w:t xml:space="preserve"> nor did we perform baseline high resolution manometry</w:t>
      </w:r>
      <w:r w:rsidR="009372BC">
        <w:rPr>
          <w:rFonts w:ascii="Arial" w:hAnsi="Arial" w:cs="Arial"/>
          <w:sz w:val="24"/>
          <w:szCs w:val="24"/>
          <w:lang w:val="en-GB"/>
        </w:rPr>
        <w:t>.</w:t>
      </w:r>
      <w:r w:rsidR="001B7B89">
        <w:rPr>
          <w:rFonts w:ascii="Arial" w:hAnsi="Arial" w:cs="Arial"/>
          <w:sz w:val="24"/>
          <w:szCs w:val="24"/>
          <w:lang w:val="en-GB"/>
        </w:rPr>
        <w:t xml:space="preserve"> </w:t>
      </w:r>
      <w:bookmarkStart w:id="2" w:name="_Hlk18660994"/>
      <w:r w:rsidR="001B7B89">
        <w:rPr>
          <w:rFonts w:ascii="Arial" w:hAnsi="Arial" w:cs="Arial"/>
          <w:sz w:val="24"/>
          <w:szCs w:val="24"/>
          <w:lang w:val="en-GB"/>
        </w:rPr>
        <w:t>In standard clinical practice this is useful to locate the lower esophageal sphincter</w:t>
      </w:r>
      <w:r w:rsidR="00A22271">
        <w:rPr>
          <w:rFonts w:ascii="Arial" w:hAnsi="Arial" w:cs="Arial"/>
          <w:sz w:val="24"/>
          <w:szCs w:val="24"/>
          <w:lang w:val="en-GB"/>
        </w:rPr>
        <w:t xml:space="preserve">, therefore we cannot technically exclude slight misplacement of the esophageal </w:t>
      </w:r>
      <w:r w:rsidR="001B7B89">
        <w:rPr>
          <w:rFonts w:ascii="Arial" w:hAnsi="Arial" w:cs="Arial"/>
          <w:sz w:val="24"/>
          <w:szCs w:val="24"/>
          <w:lang w:val="en-GB"/>
        </w:rPr>
        <w:t>pH sensor</w:t>
      </w:r>
      <w:r w:rsidR="00A22271">
        <w:rPr>
          <w:rFonts w:ascii="Arial" w:hAnsi="Arial" w:cs="Arial"/>
          <w:sz w:val="24"/>
          <w:szCs w:val="24"/>
          <w:lang w:val="en-GB"/>
        </w:rPr>
        <w:t xml:space="preserve"> in some patients</w:t>
      </w:r>
      <w:r w:rsidR="001B7B89">
        <w:rPr>
          <w:rFonts w:ascii="Arial" w:hAnsi="Arial" w:cs="Arial"/>
          <w:sz w:val="24"/>
          <w:szCs w:val="24"/>
          <w:lang w:val="en-GB"/>
        </w:rPr>
        <w:t>. In our study protocol, the pH impedance was designed to be done immediately after the endoscopy and it would have been impractical to perform manometry</w:t>
      </w:r>
      <w:r w:rsidR="00A22271">
        <w:rPr>
          <w:rFonts w:ascii="Arial" w:hAnsi="Arial" w:cs="Arial"/>
          <w:sz w:val="24"/>
          <w:szCs w:val="24"/>
          <w:lang w:val="en-GB"/>
        </w:rPr>
        <w:t xml:space="preserve"> in the endoscopy room</w:t>
      </w:r>
      <w:r w:rsidR="001B7B89">
        <w:rPr>
          <w:rFonts w:ascii="Arial" w:hAnsi="Arial" w:cs="Arial"/>
          <w:sz w:val="24"/>
          <w:szCs w:val="24"/>
          <w:lang w:val="en-GB"/>
        </w:rPr>
        <w:t>. Hence</w:t>
      </w:r>
      <w:r w:rsidR="00B32252">
        <w:rPr>
          <w:rFonts w:ascii="Arial" w:hAnsi="Arial" w:cs="Arial"/>
          <w:sz w:val="24"/>
          <w:szCs w:val="24"/>
          <w:lang w:val="en-GB"/>
        </w:rPr>
        <w:t>,</w:t>
      </w:r>
      <w:r w:rsidR="001B7B89">
        <w:rPr>
          <w:rFonts w:ascii="Arial" w:hAnsi="Arial" w:cs="Arial"/>
          <w:sz w:val="24"/>
          <w:szCs w:val="24"/>
          <w:lang w:val="en-GB"/>
        </w:rPr>
        <w:t xml:space="preserve"> we used careful endoscopic measurement of the </w:t>
      </w:r>
      <w:r w:rsidR="00A22271">
        <w:rPr>
          <w:rFonts w:ascii="Arial" w:hAnsi="Arial" w:cs="Arial"/>
          <w:sz w:val="24"/>
          <w:szCs w:val="24"/>
          <w:lang w:val="en-GB"/>
        </w:rPr>
        <w:t xml:space="preserve">GEJ </w:t>
      </w:r>
      <w:proofErr w:type="gramStart"/>
      <w:r w:rsidR="00A22271">
        <w:rPr>
          <w:rFonts w:ascii="Arial" w:hAnsi="Arial" w:cs="Arial"/>
          <w:sz w:val="24"/>
          <w:szCs w:val="24"/>
          <w:lang w:val="en-GB"/>
        </w:rPr>
        <w:t>landmarks</w:t>
      </w:r>
      <w:proofErr w:type="gramEnd"/>
      <w:r w:rsidR="001B7B89">
        <w:rPr>
          <w:rFonts w:ascii="Arial" w:hAnsi="Arial" w:cs="Arial"/>
          <w:sz w:val="24"/>
          <w:szCs w:val="24"/>
          <w:lang w:val="en-GB"/>
        </w:rPr>
        <w:t xml:space="preserve"> </w:t>
      </w:r>
      <w:r w:rsidR="00A22271">
        <w:rPr>
          <w:rFonts w:ascii="Arial" w:hAnsi="Arial" w:cs="Arial"/>
          <w:sz w:val="24"/>
          <w:szCs w:val="24"/>
          <w:lang w:val="en-GB"/>
        </w:rPr>
        <w:t xml:space="preserve">and </w:t>
      </w:r>
      <w:r w:rsidR="00A22271">
        <w:rPr>
          <w:rFonts w:ascii="Arial" w:hAnsi="Arial" w:cs="Arial"/>
          <w:sz w:val="24"/>
          <w:szCs w:val="24"/>
          <w:lang w:val="en-GB"/>
        </w:rPr>
        <w:lastRenderedPageBreak/>
        <w:t xml:space="preserve">we accounted for the difference in the oral and </w:t>
      </w:r>
      <w:proofErr w:type="spellStart"/>
      <w:r w:rsidR="00A22271">
        <w:rPr>
          <w:rFonts w:ascii="Arial" w:hAnsi="Arial" w:cs="Arial"/>
          <w:sz w:val="24"/>
          <w:szCs w:val="24"/>
          <w:lang w:val="en-GB"/>
        </w:rPr>
        <w:t>transnasal</w:t>
      </w:r>
      <w:proofErr w:type="spellEnd"/>
      <w:r w:rsidR="00A22271">
        <w:rPr>
          <w:rFonts w:ascii="Arial" w:hAnsi="Arial" w:cs="Arial"/>
          <w:sz w:val="24"/>
          <w:szCs w:val="24"/>
          <w:lang w:val="en-GB"/>
        </w:rPr>
        <w:t xml:space="preserve"> route</w:t>
      </w:r>
      <w:r w:rsidR="00B32252">
        <w:rPr>
          <w:rFonts w:ascii="Arial" w:hAnsi="Arial" w:cs="Arial"/>
          <w:sz w:val="24"/>
          <w:szCs w:val="24"/>
          <w:lang w:val="en-GB"/>
        </w:rPr>
        <w:t>s</w:t>
      </w:r>
      <w:r w:rsidR="00A22271">
        <w:rPr>
          <w:rFonts w:ascii="Arial" w:hAnsi="Arial" w:cs="Arial"/>
          <w:sz w:val="24"/>
          <w:szCs w:val="24"/>
          <w:lang w:val="en-GB"/>
        </w:rPr>
        <w:t xml:space="preserve"> to minimise the risk of pH sensor misplacement.</w:t>
      </w:r>
      <w:r w:rsidR="009372BC">
        <w:rPr>
          <w:rFonts w:ascii="Arial" w:hAnsi="Arial" w:cs="Arial"/>
          <w:sz w:val="24"/>
          <w:szCs w:val="24"/>
          <w:lang w:val="en-GB"/>
        </w:rPr>
        <w:t xml:space="preserve"> </w:t>
      </w:r>
      <w:bookmarkEnd w:id="2"/>
      <w:r w:rsidR="000B7B8D">
        <w:rPr>
          <w:rFonts w:ascii="Arial" w:hAnsi="Arial" w:cs="Arial"/>
          <w:sz w:val="24"/>
          <w:szCs w:val="24"/>
          <w:lang w:val="en-GB"/>
        </w:rPr>
        <w:t xml:space="preserve">In </w:t>
      </w:r>
      <w:r w:rsidR="00742FA2">
        <w:rPr>
          <w:rFonts w:ascii="Arial" w:hAnsi="Arial" w:cs="Arial"/>
          <w:sz w:val="24"/>
          <w:szCs w:val="24"/>
          <w:lang w:val="en-GB"/>
        </w:rPr>
        <w:t>addition,</w:t>
      </w:r>
      <w:r w:rsidR="000B7B8D">
        <w:rPr>
          <w:rFonts w:ascii="Arial" w:hAnsi="Arial" w:cs="Arial"/>
          <w:sz w:val="24"/>
          <w:szCs w:val="24"/>
          <w:lang w:val="en-GB"/>
        </w:rPr>
        <w:t xml:space="preserve"> in our main analysis we used a modified cut</w:t>
      </w:r>
      <w:r w:rsidR="001D79EE">
        <w:rPr>
          <w:rFonts w:ascii="Arial" w:hAnsi="Arial" w:cs="Arial"/>
          <w:sz w:val="24"/>
          <w:szCs w:val="24"/>
          <w:lang w:val="en-GB"/>
        </w:rPr>
        <w:t>-</w:t>
      </w:r>
      <w:r w:rsidR="000B7B8D">
        <w:rPr>
          <w:rFonts w:ascii="Arial" w:hAnsi="Arial" w:cs="Arial"/>
          <w:sz w:val="24"/>
          <w:szCs w:val="24"/>
          <w:lang w:val="en-GB"/>
        </w:rPr>
        <w:t xml:space="preserve">off </w:t>
      </w:r>
      <w:r w:rsidR="00CD4654">
        <w:rPr>
          <w:rFonts w:ascii="Arial" w:hAnsi="Arial" w:cs="Arial"/>
          <w:sz w:val="24"/>
          <w:szCs w:val="24"/>
          <w:lang w:val="en-GB"/>
        </w:rPr>
        <w:t xml:space="preserve">of 1.3% total AET </w:t>
      </w:r>
      <w:r w:rsidR="000B7B8D">
        <w:rPr>
          <w:rFonts w:ascii="Arial" w:hAnsi="Arial" w:cs="Arial"/>
          <w:sz w:val="24"/>
          <w:szCs w:val="24"/>
          <w:lang w:val="en-GB"/>
        </w:rPr>
        <w:t xml:space="preserve">for assessment of residual esophageal acid exposure, which could result in an over-estimation of the rate of </w:t>
      </w:r>
      <w:r w:rsidR="00375B6C">
        <w:rPr>
          <w:rFonts w:ascii="Arial" w:hAnsi="Arial" w:cs="Arial"/>
          <w:sz w:val="24"/>
          <w:szCs w:val="24"/>
          <w:lang w:val="en-GB"/>
        </w:rPr>
        <w:t>persistent acid reflux</w:t>
      </w:r>
      <w:r w:rsidR="00F54C5B">
        <w:rPr>
          <w:rFonts w:ascii="Arial" w:hAnsi="Arial" w:cs="Arial"/>
          <w:sz w:val="24"/>
          <w:szCs w:val="24"/>
          <w:lang w:val="en-GB"/>
        </w:rPr>
        <w:t xml:space="preserve">. </w:t>
      </w:r>
      <w:r w:rsidR="00CA34FF">
        <w:rPr>
          <w:rFonts w:ascii="Arial" w:hAnsi="Arial" w:cs="Arial"/>
          <w:sz w:val="24"/>
          <w:szCs w:val="24"/>
          <w:lang w:val="en-GB"/>
        </w:rPr>
        <w:t xml:space="preserve">Moreover, </w:t>
      </w:r>
      <w:r w:rsidR="00375B6C">
        <w:rPr>
          <w:rFonts w:ascii="Arial" w:hAnsi="Arial" w:cs="Arial"/>
          <w:sz w:val="24"/>
          <w:szCs w:val="24"/>
          <w:lang w:val="en-GB"/>
        </w:rPr>
        <w:t xml:space="preserve">this cut-off for patients on various type of PPIs </w:t>
      </w:r>
      <w:proofErr w:type="gramStart"/>
      <w:r w:rsidR="00375B6C">
        <w:rPr>
          <w:rFonts w:ascii="Arial" w:hAnsi="Arial" w:cs="Arial"/>
          <w:sz w:val="24"/>
          <w:szCs w:val="24"/>
          <w:lang w:val="en-GB"/>
        </w:rPr>
        <w:t>can be seen as</w:t>
      </w:r>
      <w:proofErr w:type="gramEnd"/>
      <w:r w:rsidR="00375B6C">
        <w:rPr>
          <w:rFonts w:ascii="Arial" w:hAnsi="Arial" w:cs="Arial"/>
          <w:sz w:val="24"/>
          <w:szCs w:val="24"/>
          <w:lang w:val="en-GB"/>
        </w:rPr>
        <w:t xml:space="preserve"> a confounding factor. </w:t>
      </w:r>
      <w:r w:rsidR="00CD4654">
        <w:rPr>
          <w:rFonts w:ascii="Arial" w:hAnsi="Arial" w:cs="Arial"/>
          <w:sz w:val="24"/>
          <w:szCs w:val="24"/>
          <w:lang w:val="en-GB"/>
        </w:rPr>
        <w:t>Nevertheless, w</w:t>
      </w:r>
      <w:r w:rsidR="00375B6C">
        <w:rPr>
          <w:rFonts w:ascii="Arial" w:hAnsi="Arial" w:cs="Arial"/>
          <w:sz w:val="24"/>
          <w:szCs w:val="24"/>
          <w:lang w:val="en-GB"/>
        </w:rPr>
        <w:t>e have</w:t>
      </w:r>
      <w:r w:rsidR="00A90611">
        <w:rPr>
          <w:rFonts w:ascii="Arial" w:hAnsi="Arial" w:cs="Arial"/>
          <w:sz w:val="24"/>
          <w:szCs w:val="24"/>
          <w:lang w:val="en-GB"/>
        </w:rPr>
        <w:t xml:space="preserve"> </w:t>
      </w:r>
      <w:r w:rsidR="00CD4654">
        <w:rPr>
          <w:rFonts w:ascii="Arial" w:hAnsi="Arial" w:cs="Arial"/>
          <w:sz w:val="24"/>
          <w:szCs w:val="24"/>
          <w:lang w:val="en-GB"/>
        </w:rPr>
        <w:t xml:space="preserve">also </w:t>
      </w:r>
      <w:r w:rsidR="00375B6C">
        <w:rPr>
          <w:rFonts w:ascii="Arial" w:hAnsi="Arial" w:cs="Arial"/>
          <w:sz w:val="24"/>
          <w:szCs w:val="24"/>
          <w:lang w:val="en-GB"/>
        </w:rPr>
        <w:t xml:space="preserve">performed a sensitivity analysis with a standard cut-off value of total AET of 4%, however, the small numbers of patients with abnormal AET using this cut-off may limit the interpretation of the results.  </w:t>
      </w:r>
    </w:p>
    <w:p w14:paraId="6F97665F" w14:textId="2FC58AE6" w:rsidR="004E5A82" w:rsidRDefault="004E5A82" w:rsidP="001B3D49">
      <w:pPr>
        <w:spacing w:line="480" w:lineRule="auto"/>
        <w:jc w:val="both"/>
        <w:rPr>
          <w:rFonts w:ascii="Arial" w:hAnsi="Arial" w:cs="Arial"/>
          <w:sz w:val="24"/>
          <w:szCs w:val="24"/>
          <w:lang w:val="en-GB"/>
        </w:rPr>
      </w:pPr>
      <w:bookmarkStart w:id="3" w:name="_Hlk18661310"/>
      <w:r w:rsidRPr="004B4B2E">
        <w:rPr>
          <w:rFonts w:ascii="Arial" w:hAnsi="Arial" w:cs="Arial"/>
          <w:sz w:val="24"/>
          <w:szCs w:val="24"/>
          <w:lang w:val="en-GB"/>
        </w:rPr>
        <w:t xml:space="preserve">In conclusion, </w:t>
      </w:r>
      <w:r w:rsidR="00590D5C" w:rsidRPr="004B4B2E">
        <w:rPr>
          <w:rFonts w:ascii="Arial" w:hAnsi="Arial" w:cs="Arial"/>
          <w:sz w:val="24"/>
          <w:szCs w:val="24"/>
          <w:lang w:val="en-GB"/>
        </w:rPr>
        <w:t xml:space="preserve">real-time </w:t>
      </w:r>
      <w:r w:rsidR="00A030EB">
        <w:rPr>
          <w:rFonts w:ascii="Arial" w:hAnsi="Arial" w:cs="Arial"/>
          <w:sz w:val="24"/>
          <w:szCs w:val="24"/>
          <w:lang w:val="en-GB"/>
        </w:rPr>
        <w:t>gastric pH</w:t>
      </w:r>
      <w:r w:rsidR="00590D5C" w:rsidRPr="004B4B2E">
        <w:rPr>
          <w:rFonts w:ascii="Arial" w:hAnsi="Arial" w:cs="Arial"/>
          <w:sz w:val="24"/>
          <w:szCs w:val="24"/>
          <w:lang w:val="en-GB"/>
        </w:rPr>
        <w:t xml:space="preserve"> analysis with </w:t>
      </w:r>
      <w:proofErr w:type="spellStart"/>
      <w:r w:rsidR="00705FDB" w:rsidRPr="004B4B2E">
        <w:rPr>
          <w:rFonts w:ascii="Arial" w:hAnsi="Arial" w:cs="Arial"/>
          <w:sz w:val="24"/>
          <w:szCs w:val="24"/>
          <w:lang w:val="en-GB"/>
        </w:rPr>
        <w:t>EndoFaster</w:t>
      </w:r>
      <w:proofErr w:type="spellEnd"/>
      <w:r w:rsidR="00705FDB" w:rsidRPr="004B4B2E">
        <w:rPr>
          <w:rFonts w:ascii="Arial" w:hAnsi="Arial" w:cs="Arial"/>
          <w:sz w:val="24"/>
          <w:szCs w:val="24"/>
          <w:lang w:val="en-GB"/>
        </w:rPr>
        <w:t xml:space="preserve"> </w:t>
      </w:r>
      <w:r w:rsidR="00590D5C" w:rsidRPr="004B4B2E">
        <w:rPr>
          <w:rFonts w:ascii="Arial" w:hAnsi="Arial" w:cs="Arial"/>
          <w:sz w:val="24"/>
          <w:szCs w:val="24"/>
          <w:lang w:val="en-GB"/>
        </w:rPr>
        <w:t xml:space="preserve">device </w:t>
      </w:r>
      <w:r w:rsidRPr="004B4B2E">
        <w:rPr>
          <w:rFonts w:ascii="Arial" w:hAnsi="Arial" w:cs="Arial"/>
          <w:sz w:val="24"/>
          <w:szCs w:val="24"/>
          <w:lang w:val="en-GB"/>
        </w:rPr>
        <w:t>in patients on PPI</w:t>
      </w:r>
      <w:r w:rsidR="00F54C5B">
        <w:rPr>
          <w:rFonts w:ascii="Arial" w:hAnsi="Arial" w:cs="Arial"/>
          <w:sz w:val="24"/>
          <w:szCs w:val="24"/>
          <w:lang w:val="en-GB"/>
        </w:rPr>
        <w:t>s</w:t>
      </w:r>
      <w:r w:rsidRPr="004B4B2E">
        <w:rPr>
          <w:rFonts w:ascii="Arial" w:hAnsi="Arial" w:cs="Arial"/>
          <w:sz w:val="24"/>
          <w:szCs w:val="24"/>
          <w:lang w:val="en-GB"/>
        </w:rPr>
        <w:t xml:space="preserve"> treatment </w:t>
      </w:r>
      <w:r w:rsidR="00590D5C" w:rsidRPr="004B4B2E">
        <w:rPr>
          <w:rFonts w:ascii="Arial" w:hAnsi="Arial" w:cs="Arial"/>
          <w:sz w:val="24"/>
          <w:szCs w:val="24"/>
          <w:lang w:val="en-GB"/>
        </w:rPr>
        <w:t>may provide</w:t>
      </w:r>
      <w:r w:rsidR="006922C8" w:rsidRPr="004B4B2E">
        <w:rPr>
          <w:rFonts w:ascii="Arial" w:hAnsi="Arial" w:cs="Arial"/>
          <w:sz w:val="24"/>
          <w:szCs w:val="24"/>
          <w:lang w:val="en-GB"/>
        </w:rPr>
        <w:t xml:space="preserve"> information on persistent gastric acidity</w:t>
      </w:r>
      <w:r w:rsidR="002D6C68">
        <w:rPr>
          <w:rFonts w:ascii="Arial" w:hAnsi="Arial" w:cs="Arial"/>
          <w:sz w:val="24"/>
          <w:szCs w:val="24"/>
          <w:lang w:val="en-GB"/>
        </w:rPr>
        <w:t xml:space="preserve"> and have </w:t>
      </w:r>
      <w:r w:rsidR="00F349A5">
        <w:rPr>
          <w:rFonts w:ascii="Arial" w:hAnsi="Arial" w:cs="Arial"/>
          <w:sz w:val="24"/>
          <w:szCs w:val="24"/>
          <w:lang w:val="en-GB"/>
        </w:rPr>
        <w:t xml:space="preserve">a role </w:t>
      </w:r>
      <w:r w:rsidR="002D6C68">
        <w:rPr>
          <w:rFonts w:ascii="Arial" w:hAnsi="Arial" w:cs="Arial"/>
          <w:sz w:val="24"/>
          <w:szCs w:val="24"/>
          <w:lang w:val="en-GB"/>
        </w:rPr>
        <w:t xml:space="preserve">in </w:t>
      </w:r>
      <w:r w:rsidR="00A22271">
        <w:rPr>
          <w:rFonts w:ascii="Arial" w:hAnsi="Arial" w:cs="Arial"/>
          <w:sz w:val="24"/>
          <w:szCs w:val="24"/>
          <w:lang w:val="en-GB"/>
        </w:rPr>
        <w:t xml:space="preserve">the future to </w:t>
      </w:r>
      <w:r w:rsidR="002D6C68">
        <w:rPr>
          <w:rFonts w:ascii="Arial" w:hAnsi="Arial" w:cs="Arial"/>
          <w:sz w:val="24"/>
          <w:szCs w:val="24"/>
          <w:lang w:val="en-GB"/>
        </w:rPr>
        <w:t>guid</w:t>
      </w:r>
      <w:r w:rsidR="00A22271">
        <w:rPr>
          <w:rFonts w:ascii="Arial" w:hAnsi="Arial" w:cs="Arial"/>
          <w:sz w:val="24"/>
          <w:szCs w:val="24"/>
          <w:lang w:val="en-GB"/>
        </w:rPr>
        <w:t>e</w:t>
      </w:r>
      <w:r w:rsidR="002D6C68">
        <w:rPr>
          <w:rFonts w:ascii="Arial" w:hAnsi="Arial" w:cs="Arial"/>
          <w:sz w:val="24"/>
          <w:szCs w:val="24"/>
          <w:lang w:val="en-GB"/>
        </w:rPr>
        <w:t xml:space="preserve"> patient management</w:t>
      </w:r>
      <w:r w:rsidR="00F349A5">
        <w:rPr>
          <w:rFonts w:ascii="Arial" w:hAnsi="Arial" w:cs="Arial"/>
          <w:sz w:val="24"/>
          <w:szCs w:val="24"/>
          <w:lang w:val="en-GB"/>
        </w:rPr>
        <w:t>,</w:t>
      </w:r>
      <w:r w:rsidR="002D6C68">
        <w:rPr>
          <w:rFonts w:ascii="Arial" w:hAnsi="Arial" w:cs="Arial"/>
          <w:sz w:val="24"/>
          <w:szCs w:val="24"/>
          <w:lang w:val="en-GB"/>
        </w:rPr>
        <w:t xml:space="preserve"> particular</w:t>
      </w:r>
      <w:r w:rsidR="00F349A5">
        <w:rPr>
          <w:rFonts w:ascii="Arial" w:hAnsi="Arial" w:cs="Arial"/>
          <w:sz w:val="24"/>
          <w:szCs w:val="24"/>
          <w:lang w:val="en-GB"/>
        </w:rPr>
        <w:t>ly</w:t>
      </w:r>
      <w:r w:rsidR="002D6C68">
        <w:rPr>
          <w:rFonts w:ascii="Arial" w:hAnsi="Arial" w:cs="Arial"/>
          <w:sz w:val="24"/>
          <w:szCs w:val="24"/>
          <w:lang w:val="en-GB"/>
        </w:rPr>
        <w:t xml:space="preserve"> when pH impedance is </w:t>
      </w:r>
      <w:r w:rsidR="001D79EE">
        <w:rPr>
          <w:rFonts w:ascii="Arial" w:hAnsi="Arial" w:cs="Arial"/>
          <w:sz w:val="24"/>
          <w:szCs w:val="24"/>
          <w:lang w:val="en-GB"/>
        </w:rPr>
        <w:t>not</w:t>
      </w:r>
      <w:r w:rsidR="00F349A5">
        <w:rPr>
          <w:rFonts w:ascii="Arial" w:hAnsi="Arial" w:cs="Arial"/>
          <w:sz w:val="24"/>
          <w:szCs w:val="24"/>
          <w:lang w:val="en-GB"/>
        </w:rPr>
        <w:t xml:space="preserve"> available or tolerated</w:t>
      </w:r>
      <w:r w:rsidR="006922C8" w:rsidRPr="004B4B2E">
        <w:rPr>
          <w:rFonts w:ascii="Arial" w:hAnsi="Arial" w:cs="Arial"/>
          <w:sz w:val="24"/>
          <w:szCs w:val="24"/>
          <w:lang w:val="en-GB"/>
        </w:rPr>
        <w:t xml:space="preserve">. </w:t>
      </w:r>
      <w:r w:rsidR="00A22271">
        <w:rPr>
          <w:rFonts w:ascii="Arial" w:hAnsi="Arial" w:cs="Arial"/>
          <w:sz w:val="24"/>
          <w:szCs w:val="24"/>
          <w:lang w:val="en-GB"/>
        </w:rPr>
        <w:t>However, l</w:t>
      </w:r>
      <w:r w:rsidR="002D6C68">
        <w:rPr>
          <w:rFonts w:ascii="Arial" w:hAnsi="Arial" w:cs="Arial"/>
          <w:sz w:val="24"/>
          <w:szCs w:val="24"/>
          <w:lang w:val="en-GB"/>
        </w:rPr>
        <w:t xml:space="preserve">arger studies are required to </w:t>
      </w:r>
      <w:r w:rsidR="00A22271">
        <w:rPr>
          <w:rFonts w:ascii="Arial" w:hAnsi="Arial" w:cs="Arial"/>
          <w:sz w:val="24"/>
          <w:szCs w:val="24"/>
          <w:lang w:val="en-GB"/>
        </w:rPr>
        <w:t xml:space="preserve">confirm the findings of this study and </w:t>
      </w:r>
      <w:r w:rsidR="002D6C68">
        <w:rPr>
          <w:rFonts w:ascii="Arial" w:hAnsi="Arial" w:cs="Arial"/>
          <w:sz w:val="24"/>
          <w:szCs w:val="24"/>
          <w:lang w:val="en-GB"/>
        </w:rPr>
        <w:t>provide more guidance on the best diagnostic cut-off</w:t>
      </w:r>
      <w:r w:rsidR="006922C8" w:rsidRPr="004B4B2E">
        <w:rPr>
          <w:rFonts w:ascii="Arial" w:hAnsi="Arial" w:cs="Arial"/>
          <w:sz w:val="24"/>
          <w:szCs w:val="24"/>
          <w:lang w:val="en-GB"/>
        </w:rPr>
        <w:t xml:space="preserve">. </w:t>
      </w:r>
      <w:r w:rsidR="00A22271">
        <w:rPr>
          <w:rFonts w:ascii="Arial" w:hAnsi="Arial" w:cs="Arial"/>
          <w:sz w:val="24"/>
          <w:szCs w:val="24"/>
          <w:lang w:val="en-GB"/>
        </w:rPr>
        <w:t>Until then</w:t>
      </w:r>
      <w:proofErr w:type="gramStart"/>
      <w:r w:rsidR="00A22271">
        <w:rPr>
          <w:rFonts w:ascii="Arial" w:hAnsi="Arial" w:cs="Arial"/>
          <w:sz w:val="24"/>
          <w:szCs w:val="24"/>
          <w:lang w:val="en-GB"/>
        </w:rPr>
        <w:t xml:space="preserve">, </w:t>
      </w:r>
      <w:r w:rsidR="00F349A5">
        <w:rPr>
          <w:rFonts w:ascii="Arial" w:hAnsi="Arial" w:cs="Arial"/>
          <w:sz w:val="24"/>
          <w:szCs w:val="24"/>
          <w:lang w:val="en-GB"/>
        </w:rPr>
        <w:t>,</w:t>
      </w:r>
      <w:proofErr w:type="gramEnd"/>
      <w:r w:rsidR="00F349A5">
        <w:rPr>
          <w:rFonts w:ascii="Arial" w:hAnsi="Arial" w:cs="Arial"/>
          <w:sz w:val="24"/>
          <w:szCs w:val="24"/>
          <w:lang w:val="en-GB"/>
        </w:rPr>
        <w:t xml:space="preserve"> </w:t>
      </w:r>
      <w:r w:rsidR="00443893" w:rsidRPr="004B4B2E">
        <w:rPr>
          <w:rFonts w:ascii="Arial" w:hAnsi="Arial" w:cs="Arial"/>
          <w:sz w:val="24"/>
          <w:szCs w:val="24"/>
          <w:lang w:val="en-GB"/>
        </w:rPr>
        <w:t xml:space="preserve">the </w:t>
      </w:r>
      <w:r w:rsidR="006922C8" w:rsidRPr="004B4B2E">
        <w:rPr>
          <w:rFonts w:ascii="Arial" w:hAnsi="Arial" w:cs="Arial"/>
          <w:sz w:val="24"/>
          <w:szCs w:val="24"/>
          <w:lang w:val="en-GB"/>
        </w:rPr>
        <w:t xml:space="preserve">24-hour </w:t>
      </w:r>
      <w:r w:rsidR="00590D5C" w:rsidRPr="004B4B2E">
        <w:rPr>
          <w:rFonts w:ascii="Arial" w:hAnsi="Arial" w:cs="Arial"/>
          <w:sz w:val="24"/>
          <w:szCs w:val="24"/>
          <w:lang w:val="en-GB"/>
        </w:rPr>
        <w:t>pH</w:t>
      </w:r>
      <w:r w:rsidR="006922C8" w:rsidRPr="004B4B2E">
        <w:rPr>
          <w:rFonts w:ascii="Arial" w:hAnsi="Arial" w:cs="Arial"/>
          <w:sz w:val="24"/>
          <w:szCs w:val="24"/>
          <w:lang w:val="en-GB"/>
        </w:rPr>
        <w:t>-</w:t>
      </w:r>
      <w:r w:rsidR="00590D5C" w:rsidRPr="004B4B2E">
        <w:rPr>
          <w:rFonts w:ascii="Arial" w:hAnsi="Arial" w:cs="Arial"/>
          <w:sz w:val="24"/>
          <w:szCs w:val="24"/>
          <w:lang w:val="en-GB"/>
        </w:rPr>
        <w:t xml:space="preserve">impedance </w:t>
      </w:r>
      <w:r w:rsidR="00443893" w:rsidRPr="004B4B2E">
        <w:rPr>
          <w:rFonts w:ascii="Arial" w:hAnsi="Arial" w:cs="Arial"/>
          <w:sz w:val="24"/>
          <w:szCs w:val="24"/>
          <w:lang w:val="en-GB"/>
        </w:rPr>
        <w:t xml:space="preserve">test </w:t>
      </w:r>
      <w:r w:rsidR="00590D5C" w:rsidRPr="004B4B2E">
        <w:rPr>
          <w:rFonts w:ascii="Arial" w:hAnsi="Arial" w:cs="Arial"/>
          <w:sz w:val="24"/>
          <w:szCs w:val="24"/>
          <w:lang w:val="en-GB"/>
        </w:rPr>
        <w:t xml:space="preserve">remains </w:t>
      </w:r>
      <w:r w:rsidR="006922C8" w:rsidRPr="004B4B2E">
        <w:rPr>
          <w:rFonts w:ascii="Arial" w:hAnsi="Arial" w:cs="Arial"/>
          <w:sz w:val="24"/>
          <w:szCs w:val="24"/>
          <w:lang w:val="en-GB"/>
        </w:rPr>
        <w:t xml:space="preserve">the </w:t>
      </w:r>
      <w:r w:rsidR="00590D5C" w:rsidRPr="004B4B2E">
        <w:rPr>
          <w:rFonts w:ascii="Arial" w:hAnsi="Arial" w:cs="Arial"/>
          <w:sz w:val="24"/>
          <w:szCs w:val="24"/>
          <w:lang w:val="en-GB"/>
        </w:rPr>
        <w:t xml:space="preserve">gold standard to guide management of GERD and differential among the spectrum of GERD presentations including esophageal hypersensitivity and functional heartburn. </w:t>
      </w:r>
    </w:p>
    <w:bookmarkEnd w:id="3"/>
    <w:p w14:paraId="33679612" w14:textId="02543612" w:rsidR="009E3752" w:rsidRPr="00B572EB" w:rsidRDefault="009E3752" w:rsidP="001B3D49">
      <w:pPr>
        <w:spacing w:line="480" w:lineRule="auto"/>
        <w:jc w:val="both"/>
        <w:rPr>
          <w:rFonts w:ascii="Arial" w:hAnsi="Arial" w:cs="Arial"/>
          <w:b/>
          <w:sz w:val="24"/>
          <w:szCs w:val="24"/>
          <w:lang w:val="en-GB"/>
        </w:rPr>
      </w:pPr>
      <w:r w:rsidRPr="00B572EB">
        <w:rPr>
          <w:rFonts w:ascii="Arial" w:hAnsi="Arial" w:cs="Arial"/>
          <w:b/>
          <w:sz w:val="24"/>
          <w:szCs w:val="24"/>
          <w:lang w:val="en-GB"/>
        </w:rPr>
        <w:t>Funding</w:t>
      </w:r>
    </w:p>
    <w:p w14:paraId="44F190FE" w14:textId="3D956DA7" w:rsidR="009E3752" w:rsidRDefault="009E3752" w:rsidP="001B3D49">
      <w:pPr>
        <w:spacing w:line="480" w:lineRule="auto"/>
        <w:jc w:val="both"/>
        <w:rPr>
          <w:rFonts w:ascii="Arial" w:hAnsi="Arial" w:cs="Arial"/>
          <w:sz w:val="24"/>
          <w:szCs w:val="24"/>
          <w:lang w:val="en-GB"/>
        </w:rPr>
      </w:pPr>
      <w:r w:rsidRPr="00DE6E8D">
        <w:rPr>
          <w:rFonts w:ascii="Arial" w:hAnsi="Arial" w:cs="Arial"/>
          <w:sz w:val="24"/>
          <w:szCs w:val="24"/>
          <w:lang w:val="en-GB" w:eastAsia="pl-PL"/>
        </w:rPr>
        <w:t xml:space="preserve">The </w:t>
      </w:r>
      <w:proofErr w:type="spellStart"/>
      <w:r w:rsidRPr="00DE6E8D">
        <w:rPr>
          <w:rFonts w:ascii="Arial" w:hAnsi="Arial" w:cs="Arial"/>
          <w:sz w:val="24"/>
          <w:szCs w:val="24"/>
          <w:lang w:val="en-GB" w:eastAsia="pl-PL"/>
        </w:rPr>
        <w:t>Endo</w:t>
      </w:r>
      <w:r>
        <w:rPr>
          <w:rFonts w:ascii="Arial" w:hAnsi="Arial" w:cs="Arial"/>
          <w:sz w:val="24"/>
          <w:szCs w:val="24"/>
          <w:lang w:val="en-GB" w:eastAsia="pl-PL"/>
        </w:rPr>
        <w:t>F</w:t>
      </w:r>
      <w:r w:rsidRPr="00DE6E8D">
        <w:rPr>
          <w:rFonts w:ascii="Arial" w:hAnsi="Arial" w:cs="Arial"/>
          <w:sz w:val="24"/>
          <w:szCs w:val="24"/>
          <w:lang w:val="en-GB" w:eastAsia="pl-PL"/>
        </w:rPr>
        <w:t>aster</w:t>
      </w:r>
      <w:proofErr w:type="spellEnd"/>
      <w:r w:rsidRPr="00DE6E8D">
        <w:rPr>
          <w:rFonts w:ascii="Arial" w:hAnsi="Arial" w:cs="Arial"/>
          <w:sz w:val="24"/>
          <w:szCs w:val="24"/>
          <w:lang w:val="en-GB" w:eastAsia="pl-PL"/>
        </w:rPr>
        <w:t xml:space="preserve"> and the pH</w:t>
      </w:r>
      <w:r>
        <w:rPr>
          <w:rFonts w:ascii="Arial" w:hAnsi="Arial" w:cs="Arial"/>
          <w:sz w:val="24"/>
          <w:szCs w:val="24"/>
          <w:lang w:val="en-GB" w:eastAsia="pl-PL"/>
        </w:rPr>
        <w:t>-</w:t>
      </w:r>
      <w:r w:rsidRPr="00DE6E8D">
        <w:rPr>
          <w:rFonts w:ascii="Arial" w:hAnsi="Arial" w:cs="Arial"/>
          <w:sz w:val="24"/>
          <w:szCs w:val="24"/>
          <w:lang w:val="en-GB" w:eastAsia="pl-PL"/>
        </w:rPr>
        <w:t>impedance equipment was funded by an Addenbrooke</w:t>
      </w:r>
      <w:r w:rsidR="00F54C5B">
        <w:rPr>
          <w:rFonts w:ascii="Arial" w:hAnsi="Arial" w:cs="Arial"/>
          <w:sz w:val="24"/>
          <w:szCs w:val="24"/>
          <w:lang w:val="en-GB" w:eastAsia="pl-PL"/>
        </w:rPr>
        <w:t>’</w:t>
      </w:r>
      <w:r w:rsidRPr="00DE6E8D">
        <w:rPr>
          <w:rFonts w:ascii="Arial" w:hAnsi="Arial" w:cs="Arial"/>
          <w:sz w:val="24"/>
          <w:szCs w:val="24"/>
          <w:lang w:val="en-GB" w:eastAsia="pl-PL"/>
        </w:rPr>
        <w:t>s Charitable Trust grant. This study received infrastructure support from the Experimental Cancer Medicine Centre and from the Cambridge Cancer Centre</w:t>
      </w:r>
      <w:r>
        <w:rPr>
          <w:rFonts w:ascii="Arial" w:hAnsi="Arial" w:cs="Arial"/>
          <w:sz w:val="24"/>
          <w:szCs w:val="24"/>
          <w:lang w:val="en-GB" w:eastAsia="pl-PL"/>
        </w:rPr>
        <w:t xml:space="preserve">. </w:t>
      </w:r>
      <w:r w:rsidRPr="009E3752">
        <w:rPr>
          <w:rFonts w:ascii="Arial" w:hAnsi="Arial" w:cs="Arial"/>
          <w:sz w:val="24"/>
          <w:szCs w:val="24"/>
          <w:lang w:val="en-GB" w:eastAsia="pl-PL"/>
        </w:rPr>
        <w:t xml:space="preserve">WJ </w:t>
      </w:r>
      <w:r w:rsidRPr="00B42BFF">
        <w:rPr>
          <w:rFonts w:ascii="Arial" w:eastAsia="Times New Roman" w:hAnsi="Arial" w:cs="Arial"/>
          <w:sz w:val="24"/>
          <w:szCs w:val="24"/>
          <w:lang w:val="en-GB"/>
        </w:rPr>
        <w:t>was funded by a CRUK Multidisciplinary Project Award</w:t>
      </w:r>
      <w:r w:rsidR="00F54C5B">
        <w:rPr>
          <w:rFonts w:ascii="Arial" w:eastAsia="Times New Roman" w:hAnsi="Arial" w:cs="Arial"/>
          <w:sz w:val="24"/>
          <w:szCs w:val="24"/>
          <w:lang w:val="en-GB"/>
        </w:rPr>
        <w:t>.</w:t>
      </w:r>
    </w:p>
    <w:p w14:paraId="116D9FDC" w14:textId="19E2E3A6" w:rsidR="006D2F4F" w:rsidRPr="004B4B2E" w:rsidRDefault="008F2163" w:rsidP="001B3D49">
      <w:pPr>
        <w:spacing w:line="480" w:lineRule="auto"/>
        <w:jc w:val="both"/>
        <w:rPr>
          <w:rFonts w:ascii="Arial" w:hAnsi="Arial" w:cs="Arial"/>
          <w:b/>
          <w:sz w:val="24"/>
          <w:szCs w:val="24"/>
          <w:lang w:val="en-GB"/>
        </w:rPr>
      </w:pPr>
      <w:r w:rsidRPr="004B4B2E">
        <w:rPr>
          <w:rFonts w:ascii="Arial" w:hAnsi="Arial" w:cs="Arial"/>
          <w:b/>
          <w:sz w:val="24"/>
          <w:szCs w:val="24"/>
          <w:lang w:val="en-GB"/>
        </w:rPr>
        <w:t>References</w:t>
      </w:r>
    </w:p>
    <w:p w14:paraId="3A03E310" w14:textId="09C0095D" w:rsidR="00373F6D" w:rsidRPr="00E3377C" w:rsidRDefault="000C6F89" w:rsidP="00373F6D">
      <w:pPr>
        <w:widowControl w:val="0"/>
        <w:autoSpaceDE w:val="0"/>
        <w:autoSpaceDN w:val="0"/>
        <w:adjustRightInd w:val="0"/>
        <w:spacing w:line="480" w:lineRule="auto"/>
        <w:ind w:left="640" w:hanging="640"/>
        <w:rPr>
          <w:rFonts w:ascii="Arial" w:hAnsi="Arial" w:cs="Arial"/>
          <w:noProof/>
          <w:sz w:val="24"/>
          <w:szCs w:val="24"/>
          <w:lang w:val="en-GB"/>
        </w:rPr>
      </w:pPr>
      <w:r w:rsidRPr="004B4B2E">
        <w:rPr>
          <w:rFonts w:ascii="Arial" w:hAnsi="Arial" w:cs="Arial"/>
          <w:sz w:val="24"/>
          <w:szCs w:val="24"/>
          <w:lang w:val="en-GB"/>
        </w:rPr>
        <w:fldChar w:fldCharType="begin" w:fldLock="1"/>
      </w:r>
      <w:r w:rsidRPr="004B4B2E">
        <w:rPr>
          <w:rFonts w:ascii="Arial" w:hAnsi="Arial" w:cs="Arial"/>
          <w:sz w:val="24"/>
          <w:szCs w:val="24"/>
          <w:lang w:val="en-GB"/>
        </w:rPr>
        <w:instrText xml:space="preserve">ADDIN Mendeley Bibliography CSL_BIBLIOGRAPHY </w:instrText>
      </w:r>
      <w:r w:rsidRPr="004B4B2E">
        <w:rPr>
          <w:rFonts w:ascii="Arial" w:hAnsi="Arial" w:cs="Arial"/>
          <w:sz w:val="24"/>
          <w:szCs w:val="24"/>
          <w:lang w:val="en-GB"/>
        </w:rPr>
        <w:fldChar w:fldCharType="separate"/>
      </w:r>
      <w:r w:rsidR="00373F6D" w:rsidRPr="00E3377C">
        <w:rPr>
          <w:rFonts w:ascii="Arial" w:hAnsi="Arial" w:cs="Arial"/>
          <w:noProof/>
          <w:sz w:val="24"/>
          <w:szCs w:val="24"/>
          <w:lang w:val="en-GB"/>
        </w:rPr>
        <w:t xml:space="preserve">1. </w:t>
      </w:r>
      <w:r w:rsidR="00373F6D" w:rsidRPr="00E3377C">
        <w:rPr>
          <w:rFonts w:ascii="Arial" w:hAnsi="Arial" w:cs="Arial"/>
          <w:noProof/>
          <w:sz w:val="24"/>
          <w:szCs w:val="24"/>
          <w:lang w:val="en-GB"/>
        </w:rPr>
        <w:tab/>
        <w:t xml:space="preserve">Bredenoord AJ, Pandolfino JE, Smout AJPM. Gastro-oesophageal reflux disease. </w:t>
      </w:r>
      <w:r w:rsidR="00373F6D" w:rsidRPr="00E3377C">
        <w:rPr>
          <w:rFonts w:ascii="Arial" w:hAnsi="Arial" w:cs="Arial"/>
          <w:i/>
          <w:iCs/>
          <w:noProof/>
          <w:sz w:val="24"/>
          <w:szCs w:val="24"/>
          <w:lang w:val="en-GB"/>
        </w:rPr>
        <w:t>Lancet</w:t>
      </w:r>
      <w:r w:rsidR="00373F6D" w:rsidRPr="00E3377C">
        <w:rPr>
          <w:rFonts w:ascii="Arial" w:hAnsi="Arial" w:cs="Arial"/>
          <w:noProof/>
          <w:sz w:val="24"/>
          <w:szCs w:val="24"/>
          <w:lang w:val="en-GB"/>
        </w:rPr>
        <w:t>. 2013;381(9881):1933-1942</w:t>
      </w:r>
    </w:p>
    <w:p w14:paraId="422AA5A5" w14:textId="2733E378"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lastRenderedPageBreak/>
        <w:t xml:space="preserve">2. </w:t>
      </w:r>
      <w:r w:rsidRPr="00E3377C">
        <w:rPr>
          <w:rFonts w:ascii="Arial" w:hAnsi="Arial" w:cs="Arial"/>
          <w:noProof/>
          <w:sz w:val="24"/>
          <w:szCs w:val="24"/>
          <w:lang w:val="en-GB"/>
        </w:rPr>
        <w:tab/>
        <w:t xml:space="preserve">Peery AF, Crockett SD, Barritt AS, et al. Burden of Gastrointestinal, Liver, and Pancreatic Diseases in the United States. </w:t>
      </w:r>
      <w:r w:rsidRPr="00E3377C">
        <w:rPr>
          <w:rFonts w:ascii="Arial" w:hAnsi="Arial" w:cs="Arial"/>
          <w:i/>
          <w:iCs/>
          <w:noProof/>
          <w:sz w:val="24"/>
          <w:szCs w:val="24"/>
          <w:lang w:val="en-GB"/>
        </w:rPr>
        <w:t>Gastroenterology</w:t>
      </w:r>
      <w:r w:rsidRPr="00E3377C">
        <w:rPr>
          <w:rFonts w:ascii="Arial" w:hAnsi="Arial" w:cs="Arial"/>
          <w:noProof/>
          <w:sz w:val="24"/>
          <w:szCs w:val="24"/>
          <w:lang w:val="en-GB"/>
        </w:rPr>
        <w:t>. 2015;149(7):1731-1741e3</w:t>
      </w:r>
    </w:p>
    <w:p w14:paraId="792173B2" w14:textId="67CA0FEE"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3. </w:t>
      </w:r>
      <w:r w:rsidRPr="00E3377C">
        <w:rPr>
          <w:rFonts w:ascii="Arial" w:hAnsi="Arial" w:cs="Arial"/>
          <w:noProof/>
          <w:sz w:val="24"/>
          <w:szCs w:val="24"/>
          <w:lang w:val="en-GB"/>
        </w:rPr>
        <w:tab/>
        <w:t xml:space="preserve">Vakil N, van Zanten S V., Kahrilas P, Dent J, Jones R. The Montreal Definition and Classification of Gastroesophageal Reflux Disease: A Global Evidence-Based Consensus. </w:t>
      </w:r>
      <w:r w:rsidRPr="00E3377C">
        <w:rPr>
          <w:rFonts w:ascii="Arial" w:hAnsi="Arial" w:cs="Arial"/>
          <w:i/>
          <w:iCs/>
          <w:noProof/>
          <w:sz w:val="24"/>
          <w:szCs w:val="24"/>
          <w:lang w:val="en-GB"/>
        </w:rPr>
        <w:t>Am J Gastroenterol</w:t>
      </w:r>
      <w:r w:rsidRPr="00E3377C">
        <w:rPr>
          <w:rFonts w:ascii="Arial" w:hAnsi="Arial" w:cs="Arial"/>
          <w:noProof/>
          <w:sz w:val="24"/>
          <w:szCs w:val="24"/>
          <w:lang w:val="en-GB"/>
        </w:rPr>
        <w:t>. 2006;101(8):1900-1920</w:t>
      </w:r>
    </w:p>
    <w:p w14:paraId="13605BD1" w14:textId="4DD20AC8"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4. </w:t>
      </w:r>
      <w:r w:rsidRPr="00E3377C">
        <w:rPr>
          <w:rFonts w:ascii="Arial" w:hAnsi="Arial" w:cs="Arial"/>
          <w:noProof/>
          <w:sz w:val="24"/>
          <w:szCs w:val="24"/>
          <w:lang w:val="en-GB"/>
        </w:rPr>
        <w:tab/>
        <w:t xml:space="preserve">Malfertheiner P, Kandulski A, Venerito M. Proton-pump inhibitors: understanding the complications and risks. </w:t>
      </w:r>
      <w:r w:rsidRPr="00E3377C">
        <w:rPr>
          <w:rFonts w:ascii="Arial" w:hAnsi="Arial" w:cs="Arial"/>
          <w:i/>
          <w:iCs/>
          <w:noProof/>
          <w:sz w:val="24"/>
          <w:szCs w:val="24"/>
          <w:lang w:val="en-GB"/>
        </w:rPr>
        <w:t>Nat Rev Gastroenterol Hepatol</w:t>
      </w:r>
      <w:r w:rsidRPr="00E3377C">
        <w:rPr>
          <w:rFonts w:ascii="Arial" w:hAnsi="Arial" w:cs="Arial"/>
          <w:noProof/>
          <w:sz w:val="24"/>
          <w:szCs w:val="24"/>
          <w:lang w:val="en-GB"/>
        </w:rPr>
        <w:t>. 2017;14(12):697-710</w:t>
      </w:r>
    </w:p>
    <w:p w14:paraId="72AF26FB" w14:textId="0DF47506" w:rsidR="00373F6D" w:rsidRPr="00AA4C9A" w:rsidRDefault="00373F6D" w:rsidP="00373F6D">
      <w:pPr>
        <w:widowControl w:val="0"/>
        <w:autoSpaceDE w:val="0"/>
        <w:autoSpaceDN w:val="0"/>
        <w:adjustRightInd w:val="0"/>
        <w:spacing w:line="480" w:lineRule="auto"/>
        <w:ind w:left="640" w:hanging="640"/>
        <w:rPr>
          <w:rFonts w:ascii="Arial" w:hAnsi="Arial" w:cs="Arial"/>
          <w:noProof/>
          <w:sz w:val="24"/>
          <w:szCs w:val="24"/>
          <w:lang w:val="it-IT"/>
        </w:rPr>
      </w:pPr>
      <w:r w:rsidRPr="00E3377C">
        <w:rPr>
          <w:rFonts w:ascii="Arial" w:hAnsi="Arial" w:cs="Arial"/>
          <w:noProof/>
          <w:sz w:val="24"/>
          <w:szCs w:val="24"/>
          <w:lang w:val="en-GB"/>
        </w:rPr>
        <w:t xml:space="preserve">5. </w:t>
      </w:r>
      <w:r w:rsidRPr="00E3377C">
        <w:rPr>
          <w:rFonts w:ascii="Arial" w:hAnsi="Arial" w:cs="Arial"/>
          <w:noProof/>
          <w:sz w:val="24"/>
          <w:szCs w:val="24"/>
          <w:lang w:val="en-GB"/>
        </w:rPr>
        <w:tab/>
        <w:t xml:space="preserve">Scarpellini E, Ang D, Pauwels A, De Santis A, Vanuytsel T, Tack J. Management of refractory typical GERD symptoms. </w:t>
      </w:r>
      <w:r w:rsidRPr="00AA4C9A">
        <w:rPr>
          <w:rFonts w:ascii="Arial" w:hAnsi="Arial" w:cs="Arial"/>
          <w:i/>
          <w:iCs/>
          <w:noProof/>
          <w:sz w:val="24"/>
          <w:szCs w:val="24"/>
          <w:lang w:val="it-IT"/>
        </w:rPr>
        <w:t>Nat Rev Gastroenterol Hepatol</w:t>
      </w:r>
      <w:r w:rsidRPr="00AA4C9A">
        <w:rPr>
          <w:rFonts w:ascii="Arial" w:hAnsi="Arial" w:cs="Arial"/>
          <w:noProof/>
          <w:sz w:val="24"/>
          <w:szCs w:val="24"/>
          <w:lang w:val="it-IT"/>
        </w:rPr>
        <w:t>. 2016;13(5):281-294</w:t>
      </w:r>
    </w:p>
    <w:p w14:paraId="44776504" w14:textId="26B9EB80"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AA4C9A">
        <w:rPr>
          <w:rFonts w:ascii="Arial" w:hAnsi="Arial" w:cs="Arial"/>
          <w:noProof/>
          <w:sz w:val="24"/>
          <w:szCs w:val="24"/>
          <w:lang w:val="it-IT"/>
        </w:rPr>
        <w:t xml:space="preserve">6. </w:t>
      </w:r>
      <w:r w:rsidRPr="00AA4C9A">
        <w:rPr>
          <w:rFonts w:ascii="Arial" w:hAnsi="Arial" w:cs="Arial"/>
          <w:noProof/>
          <w:sz w:val="24"/>
          <w:szCs w:val="24"/>
          <w:lang w:val="it-IT"/>
        </w:rPr>
        <w:tab/>
        <w:t xml:space="preserve">Pezzicoli G, Tucci FA, Ummarino A, et al. </w:t>
      </w:r>
      <w:r w:rsidRPr="00E3377C">
        <w:rPr>
          <w:rFonts w:ascii="Arial" w:hAnsi="Arial" w:cs="Arial"/>
          <w:noProof/>
          <w:sz w:val="24"/>
          <w:szCs w:val="24"/>
          <w:lang w:val="en-GB"/>
        </w:rPr>
        <w:t xml:space="preserve">Perendoscopic real-time assessment of pH improves detection of gastric preneoplastic conditions. </w:t>
      </w:r>
      <w:r w:rsidRPr="00E3377C">
        <w:rPr>
          <w:rFonts w:ascii="Arial" w:hAnsi="Arial" w:cs="Arial"/>
          <w:i/>
          <w:iCs/>
          <w:noProof/>
          <w:sz w:val="24"/>
          <w:szCs w:val="24"/>
          <w:lang w:val="en-GB"/>
        </w:rPr>
        <w:t>Minerva Gastroenterol Dietol</w:t>
      </w:r>
      <w:r w:rsidRPr="00E3377C">
        <w:rPr>
          <w:rFonts w:ascii="Arial" w:hAnsi="Arial" w:cs="Arial"/>
          <w:noProof/>
          <w:sz w:val="24"/>
          <w:szCs w:val="24"/>
          <w:lang w:val="en-GB"/>
        </w:rPr>
        <w:t>. 2013;59(1):97-105</w:t>
      </w:r>
    </w:p>
    <w:p w14:paraId="336B31C8" w14:textId="77777777"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7. </w:t>
      </w:r>
      <w:r w:rsidRPr="00E3377C">
        <w:rPr>
          <w:rFonts w:ascii="Arial" w:hAnsi="Arial" w:cs="Arial"/>
          <w:noProof/>
          <w:sz w:val="24"/>
          <w:szCs w:val="24"/>
          <w:lang w:val="en-GB"/>
        </w:rPr>
        <w:tab/>
        <w:t>Appendix A: Dosage information on proton pump inhibitors | Gastro-oesophageal reflux disease and dyspepsia in adults: investigation and management | Guidance | NICE. https://www.nice.org.uk/guidance/cg184/chapter/Appendix-A-Dosage-information-on-proton-pump-inhibitors. Accessed August 12, 2019.</w:t>
      </w:r>
    </w:p>
    <w:p w14:paraId="32618BA4" w14:textId="77777777"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8. </w:t>
      </w:r>
      <w:r w:rsidRPr="00E3377C">
        <w:rPr>
          <w:rFonts w:ascii="Arial" w:hAnsi="Arial" w:cs="Arial"/>
          <w:noProof/>
          <w:sz w:val="24"/>
          <w:szCs w:val="24"/>
          <w:lang w:val="en-GB"/>
        </w:rPr>
        <w:tab/>
        <w:t xml:space="preserve">Dent J, Vakil N, Jones R, et al. Accuracy of the diagnosis of GORD by questionnaire, physicians and a trial of proton pump inhibitor treatment: The diamond Study. </w:t>
      </w:r>
      <w:r w:rsidRPr="00E3377C">
        <w:rPr>
          <w:rFonts w:ascii="Arial" w:hAnsi="Arial" w:cs="Arial"/>
          <w:i/>
          <w:iCs/>
          <w:noProof/>
          <w:sz w:val="24"/>
          <w:szCs w:val="24"/>
          <w:lang w:val="en-GB"/>
        </w:rPr>
        <w:t>Gut</w:t>
      </w:r>
      <w:r w:rsidRPr="00E3377C">
        <w:rPr>
          <w:rFonts w:ascii="Arial" w:hAnsi="Arial" w:cs="Arial"/>
          <w:noProof/>
          <w:sz w:val="24"/>
          <w:szCs w:val="24"/>
          <w:lang w:val="en-GB"/>
        </w:rPr>
        <w:t>. 2010;59(6):714-721. doi:10.1136/gut.2009.200063</w:t>
      </w:r>
    </w:p>
    <w:p w14:paraId="6336DF14" w14:textId="458C66F7"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lastRenderedPageBreak/>
        <w:t xml:space="preserve">9. </w:t>
      </w:r>
      <w:r w:rsidRPr="00E3377C">
        <w:rPr>
          <w:rFonts w:ascii="Arial" w:hAnsi="Arial" w:cs="Arial"/>
          <w:noProof/>
          <w:sz w:val="24"/>
          <w:szCs w:val="24"/>
          <w:lang w:val="en-GB"/>
        </w:rPr>
        <w:tab/>
        <w:t xml:space="preserve">Armstrong D, Bennett JR, Blum AL, et al. The endoscopic assessment of esophagitis: A progress report on observer agreement. </w:t>
      </w:r>
      <w:r w:rsidRPr="00E3377C">
        <w:rPr>
          <w:rFonts w:ascii="Arial" w:hAnsi="Arial" w:cs="Arial"/>
          <w:i/>
          <w:iCs/>
          <w:noProof/>
          <w:sz w:val="24"/>
          <w:szCs w:val="24"/>
          <w:lang w:val="en-GB"/>
        </w:rPr>
        <w:t>Gastroenterology</w:t>
      </w:r>
      <w:r w:rsidRPr="00E3377C">
        <w:rPr>
          <w:rFonts w:ascii="Arial" w:hAnsi="Arial" w:cs="Arial"/>
          <w:noProof/>
          <w:sz w:val="24"/>
          <w:szCs w:val="24"/>
          <w:lang w:val="en-GB"/>
        </w:rPr>
        <w:t>. 1996;111(1):85-92</w:t>
      </w:r>
    </w:p>
    <w:p w14:paraId="4B18ED90" w14:textId="3EE5D9BB"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10. </w:t>
      </w:r>
      <w:r w:rsidRPr="00E3377C">
        <w:rPr>
          <w:rFonts w:ascii="Arial" w:hAnsi="Arial" w:cs="Arial"/>
          <w:noProof/>
          <w:sz w:val="24"/>
          <w:szCs w:val="24"/>
          <w:lang w:val="en-GB"/>
        </w:rPr>
        <w:tab/>
        <w:t xml:space="preserve">Sharma P, Dent J, Armstrong D, et al. The Development and Validation of an Endoscopic Grading System for Barrett’s Esophagus: The Prague C &amp; M Criteria. </w:t>
      </w:r>
      <w:r w:rsidRPr="00E3377C">
        <w:rPr>
          <w:rFonts w:ascii="Arial" w:hAnsi="Arial" w:cs="Arial"/>
          <w:i/>
          <w:iCs/>
          <w:noProof/>
          <w:sz w:val="24"/>
          <w:szCs w:val="24"/>
          <w:lang w:val="en-GB"/>
        </w:rPr>
        <w:t>Gastroenterology</w:t>
      </w:r>
      <w:r w:rsidRPr="00E3377C">
        <w:rPr>
          <w:rFonts w:ascii="Arial" w:hAnsi="Arial" w:cs="Arial"/>
          <w:noProof/>
          <w:sz w:val="24"/>
          <w:szCs w:val="24"/>
          <w:lang w:val="en-GB"/>
        </w:rPr>
        <w:t>. 2006;131(5):1392-1399</w:t>
      </w:r>
    </w:p>
    <w:p w14:paraId="165E8B5A" w14:textId="02C478E2"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11. </w:t>
      </w:r>
      <w:r w:rsidRPr="00E3377C">
        <w:rPr>
          <w:rFonts w:ascii="Arial" w:hAnsi="Arial" w:cs="Arial"/>
          <w:noProof/>
          <w:sz w:val="24"/>
          <w:szCs w:val="24"/>
          <w:lang w:val="en-GB"/>
        </w:rPr>
        <w:tab/>
        <w:t xml:space="preserve">Shariff MK, Varghese S, O’Donovan M, et al. Pilot randomized crossover study comparing the efficacy of transnasal disposable endosheath with standard endoscopy to detect Barrett’s esophagus. </w:t>
      </w:r>
      <w:r w:rsidRPr="00E3377C">
        <w:rPr>
          <w:rFonts w:ascii="Arial" w:hAnsi="Arial" w:cs="Arial"/>
          <w:i/>
          <w:iCs/>
          <w:noProof/>
          <w:sz w:val="24"/>
          <w:szCs w:val="24"/>
          <w:lang w:val="en-GB"/>
        </w:rPr>
        <w:t>Endoscopy</w:t>
      </w:r>
      <w:r w:rsidRPr="00E3377C">
        <w:rPr>
          <w:rFonts w:ascii="Arial" w:hAnsi="Arial" w:cs="Arial"/>
          <w:noProof/>
          <w:sz w:val="24"/>
          <w:szCs w:val="24"/>
          <w:lang w:val="en-GB"/>
        </w:rPr>
        <w:t>. 2016;48(2):110-116</w:t>
      </w:r>
    </w:p>
    <w:p w14:paraId="4414AD99" w14:textId="274B0EF9"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12. </w:t>
      </w:r>
      <w:r w:rsidRPr="00E3377C">
        <w:rPr>
          <w:rFonts w:ascii="Arial" w:hAnsi="Arial" w:cs="Arial"/>
          <w:noProof/>
          <w:sz w:val="24"/>
          <w:szCs w:val="24"/>
          <w:lang w:val="en-GB"/>
        </w:rPr>
        <w:tab/>
        <w:t xml:space="preserve">Kuo B, Castell DO. Optimal dosing of omeprazole 40 mg daily: effects on gastric and esophageal pH and serum gastrin in healthy controls. </w:t>
      </w:r>
      <w:r w:rsidRPr="00E3377C">
        <w:rPr>
          <w:rFonts w:ascii="Arial" w:hAnsi="Arial" w:cs="Arial"/>
          <w:i/>
          <w:iCs/>
          <w:noProof/>
          <w:sz w:val="24"/>
          <w:szCs w:val="24"/>
          <w:lang w:val="en-GB"/>
        </w:rPr>
        <w:t>Am J Gastroenterol</w:t>
      </w:r>
      <w:r w:rsidRPr="00E3377C">
        <w:rPr>
          <w:rFonts w:ascii="Arial" w:hAnsi="Arial" w:cs="Arial"/>
          <w:noProof/>
          <w:sz w:val="24"/>
          <w:szCs w:val="24"/>
          <w:lang w:val="en-GB"/>
        </w:rPr>
        <w:t>. 1996;91(8):1532-1538</w:t>
      </w:r>
    </w:p>
    <w:p w14:paraId="68549F5F" w14:textId="058A36EF"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13. </w:t>
      </w:r>
      <w:r w:rsidRPr="00E3377C">
        <w:rPr>
          <w:rFonts w:ascii="Arial" w:hAnsi="Arial" w:cs="Arial"/>
          <w:noProof/>
          <w:sz w:val="24"/>
          <w:szCs w:val="24"/>
          <w:lang w:val="en-GB"/>
        </w:rPr>
        <w:tab/>
        <w:t xml:space="preserve">Richter JE. The patient with refractory gastroesophageal reflux disease. </w:t>
      </w:r>
      <w:r w:rsidRPr="00E3377C">
        <w:rPr>
          <w:rFonts w:ascii="Arial" w:hAnsi="Arial" w:cs="Arial"/>
          <w:i/>
          <w:iCs/>
          <w:noProof/>
          <w:sz w:val="24"/>
          <w:szCs w:val="24"/>
          <w:lang w:val="en-GB"/>
        </w:rPr>
        <w:t>Dis Esophagus</w:t>
      </w:r>
      <w:r w:rsidRPr="00E3377C">
        <w:rPr>
          <w:rFonts w:ascii="Arial" w:hAnsi="Arial" w:cs="Arial"/>
          <w:noProof/>
          <w:sz w:val="24"/>
          <w:szCs w:val="24"/>
          <w:lang w:val="en-GB"/>
        </w:rPr>
        <w:t>. 2006;19(6):443-447</w:t>
      </w:r>
    </w:p>
    <w:p w14:paraId="1172E2B8" w14:textId="226A2573"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14. </w:t>
      </w:r>
      <w:r w:rsidRPr="00E3377C">
        <w:rPr>
          <w:rFonts w:ascii="Arial" w:hAnsi="Arial" w:cs="Arial"/>
          <w:noProof/>
          <w:sz w:val="24"/>
          <w:szCs w:val="24"/>
          <w:lang w:val="en-GB"/>
        </w:rPr>
        <w:tab/>
        <w:t xml:space="preserve">Dean BB, Gano AD, Knight K, Ofman JJ, Fass R. Effectiveness of proton pump inhibitors in nonerosive reflux disease. </w:t>
      </w:r>
      <w:r w:rsidRPr="00E3377C">
        <w:rPr>
          <w:rFonts w:ascii="Arial" w:hAnsi="Arial" w:cs="Arial"/>
          <w:i/>
          <w:iCs/>
          <w:noProof/>
          <w:sz w:val="24"/>
          <w:szCs w:val="24"/>
          <w:lang w:val="en-GB"/>
        </w:rPr>
        <w:t>Clin Gastroenterol Hepatol</w:t>
      </w:r>
      <w:r w:rsidRPr="00E3377C">
        <w:rPr>
          <w:rFonts w:ascii="Arial" w:hAnsi="Arial" w:cs="Arial"/>
          <w:noProof/>
          <w:sz w:val="24"/>
          <w:szCs w:val="24"/>
          <w:lang w:val="en-GB"/>
        </w:rPr>
        <w:t>. 2004;2(8):656-664</w:t>
      </w:r>
    </w:p>
    <w:p w14:paraId="7F707333" w14:textId="5D2B7036"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15. </w:t>
      </w:r>
      <w:r w:rsidRPr="00E3377C">
        <w:rPr>
          <w:rFonts w:ascii="Arial" w:hAnsi="Arial" w:cs="Arial"/>
          <w:noProof/>
          <w:sz w:val="24"/>
          <w:szCs w:val="24"/>
          <w:lang w:val="en-GB"/>
        </w:rPr>
        <w:tab/>
        <w:t xml:space="preserve">Roman S, Keefer L, Imam H, et al. Majority of symptoms in esophageal reflux PPI non-responders are not related to reflux. </w:t>
      </w:r>
      <w:r w:rsidRPr="00E3377C">
        <w:rPr>
          <w:rFonts w:ascii="Arial" w:hAnsi="Arial" w:cs="Arial"/>
          <w:i/>
          <w:iCs/>
          <w:noProof/>
          <w:sz w:val="24"/>
          <w:szCs w:val="24"/>
          <w:lang w:val="en-GB"/>
        </w:rPr>
        <w:t>Neurogastroenterol Motil</w:t>
      </w:r>
      <w:r w:rsidRPr="00E3377C">
        <w:rPr>
          <w:rFonts w:ascii="Arial" w:hAnsi="Arial" w:cs="Arial"/>
          <w:noProof/>
          <w:sz w:val="24"/>
          <w:szCs w:val="24"/>
          <w:lang w:val="en-GB"/>
        </w:rPr>
        <w:t>. 2015;27(11):1667-1674</w:t>
      </w:r>
    </w:p>
    <w:p w14:paraId="18005AE0" w14:textId="2B4AA00F"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16. </w:t>
      </w:r>
      <w:r w:rsidRPr="00E3377C">
        <w:rPr>
          <w:rFonts w:ascii="Arial" w:hAnsi="Arial" w:cs="Arial"/>
          <w:noProof/>
          <w:sz w:val="24"/>
          <w:szCs w:val="24"/>
          <w:lang w:val="en-GB"/>
        </w:rPr>
        <w:tab/>
        <w:t xml:space="preserve">Bajbouj M, Becker V, Phillip V, Wilhelm D, Schmid RM, Meining A. High-dose esomeprazole for treatment of symptomatic refractory gastroesophageal reflux disease--a prospective pH-metry/impedance-controlled study.. </w:t>
      </w:r>
      <w:r w:rsidRPr="00E3377C">
        <w:rPr>
          <w:rFonts w:ascii="Arial" w:hAnsi="Arial" w:cs="Arial"/>
          <w:i/>
          <w:iCs/>
          <w:noProof/>
          <w:sz w:val="24"/>
          <w:szCs w:val="24"/>
          <w:lang w:val="en-GB"/>
        </w:rPr>
        <w:t>Digestion</w:t>
      </w:r>
      <w:r w:rsidRPr="00E3377C">
        <w:rPr>
          <w:rFonts w:ascii="Arial" w:hAnsi="Arial" w:cs="Arial"/>
          <w:noProof/>
          <w:sz w:val="24"/>
          <w:szCs w:val="24"/>
          <w:lang w:val="en-GB"/>
        </w:rPr>
        <w:t xml:space="preserve">. </w:t>
      </w:r>
      <w:r w:rsidRPr="00E3377C">
        <w:rPr>
          <w:rFonts w:ascii="Arial" w:hAnsi="Arial" w:cs="Arial"/>
          <w:noProof/>
          <w:sz w:val="24"/>
          <w:szCs w:val="24"/>
          <w:lang w:val="en-GB"/>
        </w:rPr>
        <w:lastRenderedPageBreak/>
        <w:t>2009;80(2):112-118</w:t>
      </w:r>
    </w:p>
    <w:p w14:paraId="60AAF3DA" w14:textId="394D1F7E" w:rsidR="00373F6D" w:rsidRPr="00E3377C" w:rsidRDefault="00373F6D" w:rsidP="00373F6D">
      <w:pPr>
        <w:widowControl w:val="0"/>
        <w:autoSpaceDE w:val="0"/>
        <w:autoSpaceDN w:val="0"/>
        <w:adjustRightInd w:val="0"/>
        <w:spacing w:line="480" w:lineRule="auto"/>
        <w:ind w:left="640" w:hanging="640"/>
        <w:rPr>
          <w:rFonts w:ascii="Arial" w:hAnsi="Arial" w:cs="Arial"/>
          <w:noProof/>
          <w:sz w:val="24"/>
          <w:szCs w:val="24"/>
          <w:lang w:val="en-GB"/>
        </w:rPr>
      </w:pPr>
      <w:r w:rsidRPr="00E3377C">
        <w:rPr>
          <w:rFonts w:ascii="Arial" w:hAnsi="Arial" w:cs="Arial"/>
          <w:noProof/>
          <w:sz w:val="24"/>
          <w:szCs w:val="24"/>
          <w:lang w:val="en-GB"/>
        </w:rPr>
        <w:t xml:space="preserve">17. </w:t>
      </w:r>
      <w:r w:rsidRPr="00E3377C">
        <w:rPr>
          <w:rFonts w:ascii="Arial" w:hAnsi="Arial" w:cs="Arial"/>
          <w:noProof/>
          <w:sz w:val="24"/>
          <w:szCs w:val="24"/>
          <w:lang w:val="en-GB"/>
        </w:rPr>
        <w:tab/>
        <w:t xml:space="preserve">Gerson LB, Triadafilopoulos G, Sahbaie P, et al. </w:t>
      </w:r>
      <w:r w:rsidRPr="00AC51AE">
        <w:rPr>
          <w:rFonts w:ascii="Arial" w:hAnsi="Arial" w:cs="Arial"/>
          <w:noProof/>
          <w:sz w:val="24"/>
          <w:szCs w:val="24"/>
          <w:lang w:val="en-GB"/>
        </w:rPr>
        <w:t xml:space="preserve">Time esophageal pH &lt; 4 overestimates the prevalence of pathologic esophageal reflux in subjects with gastroesophageal reflux disease treated with proton pump inhibitors.. </w:t>
      </w:r>
      <w:r w:rsidRPr="00E3377C">
        <w:rPr>
          <w:rFonts w:ascii="Arial" w:hAnsi="Arial" w:cs="Arial"/>
          <w:i/>
          <w:iCs/>
          <w:noProof/>
          <w:sz w:val="24"/>
          <w:szCs w:val="24"/>
          <w:lang w:val="en-GB"/>
        </w:rPr>
        <w:t>BMC Gastroenterol</w:t>
      </w:r>
      <w:r w:rsidRPr="00E3377C">
        <w:rPr>
          <w:rFonts w:ascii="Arial" w:hAnsi="Arial" w:cs="Arial"/>
          <w:noProof/>
          <w:sz w:val="24"/>
          <w:szCs w:val="24"/>
          <w:lang w:val="en-GB"/>
        </w:rPr>
        <w:t>. 2008;8:15</w:t>
      </w:r>
    </w:p>
    <w:p w14:paraId="1959E00B" w14:textId="5EBE025B" w:rsidR="00373F6D" w:rsidRPr="00C873BC" w:rsidRDefault="00373F6D" w:rsidP="00373F6D">
      <w:pPr>
        <w:widowControl w:val="0"/>
        <w:autoSpaceDE w:val="0"/>
        <w:autoSpaceDN w:val="0"/>
        <w:adjustRightInd w:val="0"/>
        <w:spacing w:line="480" w:lineRule="auto"/>
        <w:ind w:left="640" w:hanging="640"/>
        <w:rPr>
          <w:rFonts w:ascii="Arial" w:hAnsi="Arial" w:cs="Arial"/>
          <w:noProof/>
          <w:sz w:val="24"/>
          <w:lang w:val="en-GB"/>
        </w:rPr>
      </w:pPr>
      <w:r w:rsidRPr="00E3377C">
        <w:rPr>
          <w:rFonts w:ascii="Arial" w:hAnsi="Arial" w:cs="Arial"/>
          <w:noProof/>
          <w:sz w:val="24"/>
          <w:szCs w:val="24"/>
          <w:lang w:val="en-GB"/>
        </w:rPr>
        <w:t xml:space="preserve">18. </w:t>
      </w:r>
      <w:r w:rsidRPr="00E3377C">
        <w:rPr>
          <w:rFonts w:ascii="Arial" w:hAnsi="Arial" w:cs="Arial"/>
          <w:noProof/>
          <w:sz w:val="24"/>
          <w:szCs w:val="24"/>
          <w:lang w:val="en-GB"/>
        </w:rPr>
        <w:tab/>
        <w:t xml:space="preserve">Sarela AI, Hick DG, Verbeke CS, Casey JF, Guillou PJ, Clark GWB. Persistent Acid and Bile Reflux in Asymptomatic Patients with Barrett Esophagus Receiving Proton Pump Inhibitor Therapy. </w:t>
      </w:r>
      <w:r w:rsidRPr="00C873BC">
        <w:rPr>
          <w:rFonts w:ascii="Arial" w:hAnsi="Arial" w:cs="Arial"/>
          <w:i/>
          <w:iCs/>
          <w:noProof/>
          <w:sz w:val="24"/>
          <w:szCs w:val="24"/>
          <w:lang w:val="en-GB"/>
        </w:rPr>
        <w:t>Arch Surg</w:t>
      </w:r>
      <w:r w:rsidRPr="00C873BC">
        <w:rPr>
          <w:rFonts w:ascii="Arial" w:hAnsi="Arial" w:cs="Arial"/>
          <w:noProof/>
          <w:sz w:val="24"/>
          <w:szCs w:val="24"/>
          <w:lang w:val="en-GB"/>
        </w:rPr>
        <w:t>. 2004;139(5):547-551</w:t>
      </w:r>
    </w:p>
    <w:p w14:paraId="26195733" w14:textId="77777777" w:rsidR="00FB7A18" w:rsidRPr="004B4B2E" w:rsidRDefault="000C6F89" w:rsidP="001B3D49">
      <w:pPr>
        <w:spacing w:line="480" w:lineRule="auto"/>
        <w:jc w:val="both"/>
        <w:rPr>
          <w:rFonts w:ascii="Arial" w:hAnsi="Arial" w:cs="Arial"/>
          <w:sz w:val="24"/>
          <w:szCs w:val="24"/>
          <w:lang w:val="en-GB"/>
        </w:rPr>
      </w:pPr>
      <w:r w:rsidRPr="004B4B2E">
        <w:rPr>
          <w:rFonts w:ascii="Arial" w:hAnsi="Arial" w:cs="Arial"/>
          <w:sz w:val="24"/>
          <w:szCs w:val="24"/>
          <w:lang w:val="en-GB"/>
        </w:rPr>
        <w:fldChar w:fldCharType="end"/>
      </w:r>
    </w:p>
    <w:p w14:paraId="5551A465" w14:textId="77777777" w:rsidR="00912C99" w:rsidRPr="004B4B2E" w:rsidRDefault="00912C99" w:rsidP="001B3D49">
      <w:pPr>
        <w:spacing w:line="480" w:lineRule="auto"/>
        <w:jc w:val="both"/>
        <w:rPr>
          <w:rFonts w:ascii="Arial" w:hAnsi="Arial" w:cs="Arial"/>
          <w:b/>
          <w:sz w:val="24"/>
          <w:szCs w:val="24"/>
          <w:lang w:val="en-GB"/>
        </w:rPr>
      </w:pPr>
    </w:p>
    <w:p w14:paraId="2CFF9B90" w14:textId="77777777" w:rsidR="00AE47FB" w:rsidRPr="004B4B2E" w:rsidRDefault="00AE47FB" w:rsidP="001B3D49">
      <w:pPr>
        <w:spacing w:line="480" w:lineRule="auto"/>
        <w:jc w:val="both"/>
        <w:rPr>
          <w:rFonts w:ascii="Arial" w:hAnsi="Arial" w:cs="Arial"/>
          <w:b/>
          <w:sz w:val="24"/>
          <w:szCs w:val="24"/>
          <w:lang w:val="en-GB"/>
        </w:rPr>
      </w:pPr>
    </w:p>
    <w:p w14:paraId="69DE3140" w14:textId="77777777" w:rsidR="00FE3FFC" w:rsidRDefault="00FE3FFC" w:rsidP="001B3D49">
      <w:pPr>
        <w:spacing w:line="480" w:lineRule="auto"/>
        <w:jc w:val="both"/>
        <w:rPr>
          <w:rFonts w:ascii="Arial" w:hAnsi="Arial" w:cs="Arial"/>
          <w:b/>
          <w:sz w:val="24"/>
          <w:szCs w:val="24"/>
          <w:lang w:val="en-GB"/>
        </w:rPr>
      </w:pPr>
    </w:p>
    <w:p w14:paraId="7AE5543A" w14:textId="77777777" w:rsidR="00FE3FFC" w:rsidRDefault="00FE3FFC" w:rsidP="001B3D49">
      <w:pPr>
        <w:spacing w:line="480" w:lineRule="auto"/>
        <w:jc w:val="both"/>
        <w:rPr>
          <w:rFonts w:ascii="Arial" w:hAnsi="Arial" w:cs="Arial"/>
          <w:b/>
          <w:sz w:val="24"/>
          <w:szCs w:val="24"/>
          <w:lang w:val="en-GB"/>
        </w:rPr>
      </w:pPr>
    </w:p>
    <w:p w14:paraId="6C9FFD45" w14:textId="77777777" w:rsidR="00FE3FFC" w:rsidRDefault="00FE3FFC" w:rsidP="001B3D49">
      <w:pPr>
        <w:spacing w:line="480" w:lineRule="auto"/>
        <w:jc w:val="both"/>
        <w:rPr>
          <w:rFonts w:ascii="Arial" w:hAnsi="Arial" w:cs="Arial"/>
          <w:b/>
          <w:sz w:val="24"/>
          <w:szCs w:val="24"/>
          <w:lang w:val="en-GB"/>
        </w:rPr>
      </w:pPr>
    </w:p>
    <w:p w14:paraId="15A61BDC" w14:textId="77777777" w:rsidR="00AC51AE" w:rsidRDefault="00AC51AE" w:rsidP="001B3D49">
      <w:pPr>
        <w:spacing w:line="480" w:lineRule="auto"/>
        <w:jc w:val="both"/>
        <w:rPr>
          <w:rFonts w:ascii="Arial" w:hAnsi="Arial" w:cs="Arial"/>
          <w:b/>
          <w:sz w:val="24"/>
          <w:szCs w:val="24"/>
          <w:lang w:val="en-GB"/>
        </w:rPr>
      </w:pPr>
    </w:p>
    <w:p w14:paraId="4D37E1D3" w14:textId="77777777" w:rsidR="00AC51AE" w:rsidRDefault="00AC51AE" w:rsidP="001B3D49">
      <w:pPr>
        <w:spacing w:line="480" w:lineRule="auto"/>
        <w:jc w:val="both"/>
        <w:rPr>
          <w:rFonts w:ascii="Arial" w:hAnsi="Arial" w:cs="Arial"/>
          <w:b/>
          <w:sz w:val="24"/>
          <w:szCs w:val="24"/>
          <w:lang w:val="en-GB"/>
        </w:rPr>
      </w:pPr>
    </w:p>
    <w:p w14:paraId="24E8C971" w14:textId="77777777" w:rsidR="00AC51AE" w:rsidRDefault="00AC51AE" w:rsidP="001B3D49">
      <w:pPr>
        <w:spacing w:line="480" w:lineRule="auto"/>
        <w:jc w:val="both"/>
        <w:rPr>
          <w:rFonts w:ascii="Arial" w:hAnsi="Arial" w:cs="Arial"/>
          <w:b/>
          <w:sz w:val="24"/>
          <w:szCs w:val="24"/>
          <w:lang w:val="en-GB"/>
        </w:rPr>
      </w:pPr>
    </w:p>
    <w:p w14:paraId="5D1A3AD4" w14:textId="77777777" w:rsidR="00AC51AE" w:rsidRDefault="00AC51AE" w:rsidP="001B3D49">
      <w:pPr>
        <w:spacing w:line="480" w:lineRule="auto"/>
        <w:jc w:val="both"/>
        <w:rPr>
          <w:rFonts w:ascii="Arial" w:hAnsi="Arial" w:cs="Arial"/>
          <w:b/>
          <w:sz w:val="24"/>
          <w:szCs w:val="24"/>
          <w:lang w:val="en-GB"/>
        </w:rPr>
      </w:pPr>
    </w:p>
    <w:p w14:paraId="7279CA91" w14:textId="77777777" w:rsidR="00AC51AE" w:rsidRDefault="00AC51AE" w:rsidP="001B3D49">
      <w:pPr>
        <w:spacing w:line="480" w:lineRule="auto"/>
        <w:jc w:val="both"/>
        <w:rPr>
          <w:rFonts w:ascii="Arial" w:hAnsi="Arial" w:cs="Arial"/>
          <w:b/>
          <w:sz w:val="24"/>
          <w:szCs w:val="24"/>
          <w:lang w:val="en-GB"/>
        </w:rPr>
      </w:pPr>
    </w:p>
    <w:p w14:paraId="074FCE1F" w14:textId="77777777" w:rsidR="00AC51AE" w:rsidRDefault="00AC51AE" w:rsidP="001B3D49">
      <w:pPr>
        <w:spacing w:line="480" w:lineRule="auto"/>
        <w:jc w:val="both"/>
        <w:rPr>
          <w:rFonts w:ascii="Arial" w:hAnsi="Arial" w:cs="Arial"/>
          <w:b/>
          <w:sz w:val="24"/>
          <w:szCs w:val="24"/>
          <w:lang w:val="en-GB"/>
        </w:rPr>
      </w:pPr>
    </w:p>
    <w:p w14:paraId="2178A5F3" w14:textId="77777777" w:rsidR="00AC51AE" w:rsidRDefault="00AC51AE" w:rsidP="001B3D49">
      <w:pPr>
        <w:spacing w:line="480" w:lineRule="auto"/>
        <w:jc w:val="both"/>
        <w:rPr>
          <w:rFonts w:ascii="Arial" w:hAnsi="Arial" w:cs="Arial"/>
          <w:b/>
          <w:sz w:val="24"/>
          <w:szCs w:val="24"/>
          <w:lang w:val="en-GB"/>
        </w:rPr>
      </w:pPr>
    </w:p>
    <w:p w14:paraId="29FEF76F" w14:textId="77777777" w:rsidR="00AC51AE" w:rsidRDefault="00AC51AE" w:rsidP="001B3D49">
      <w:pPr>
        <w:spacing w:line="480" w:lineRule="auto"/>
        <w:jc w:val="both"/>
        <w:rPr>
          <w:rFonts w:ascii="Arial" w:hAnsi="Arial" w:cs="Arial"/>
          <w:b/>
          <w:sz w:val="24"/>
          <w:szCs w:val="24"/>
          <w:lang w:val="en-GB"/>
        </w:rPr>
      </w:pPr>
    </w:p>
    <w:p w14:paraId="25BD7CFB" w14:textId="77777777" w:rsidR="00E3377C" w:rsidRDefault="00E3377C" w:rsidP="001B3D49">
      <w:pPr>
        <w:spacing w:line="480" w:lineRule="auto"/>
        <w:jc w:val="both"/>
        <w:rPr>
          <w:rFonts w:ascii="Arial" w:hAnsi="Arial" w:cs="Arial"/>
          <w:b/>
          <w:sz w:val="24"/>
          <w:szCs w:val="24"/>
          <w:lang w:val="en-GB"/>
        </w:rPr>
      </w:pPr>
    </w:p>
    <w:p w14:paraId="5F2866FA" w14:textId="77777777" w:rsidR="00E3377C" w:rsidRDefault="00E3377C" w:rsidP="001B3D49">
      <w:pPr>
        <w:spacing w:line="480" w:lineRule="auto"/>
        <w:jc w:val="both"/>
        <w:rPr>
          <w:rFonts w:ascii="Arial" w:hAnsi="Arial" w:cs="Arial"/>
          <w:b/>
          <w:sz w:val="24"/>
          <w:szCs w:val="24"/>
          <w:lang w:val="en-GB"/>
        </w:rPr>
      </w:pPr>
    </w:p>
    <w:p w14:paraId="115746D2" w14:textId="77777777" w:rsidR="00E3377C" w:rsidRDefault="00E3377C" w:rsidP="001B3D49">
      <w:pPr>
        <w:spacing w:line="480" w:lineRule="auto"/>
        <w:jc w:val="both"/>
        <w:rPr>
          <w:rFonts w:ascii="Arial" w:hAnsi="Arial" w:cs="Arial"/>
          <w:b/>
          <w:sz w:val="24"/>
          <w:szCs w:val="24"/>
          <w:lang w:val="en-GB"/>
        </w:rPr>
      </w:pPr>
    </w:p>
    <w:p w14:paraId="1E2D7DC4" w14:textId="77777777" w:rsidR="00E3377C" w:rsidRDefault="00E3377C" w:rsidP="001B3D49">
      <w:pPr>
        <w:spacing w:line="480" w:lineRule="auto"/>
        <w:jc w:val="both"/>
        <w:rPr>
          <w:rFonts w:ascii="Arial" w:hAnsi="Arial" w:cs="Arial"/>
          <w:b/>
          <w:sz w:val="24"/>
          <w:szCs w:val="24"/>
          <w:lang w:val="en-GB"/>
        </w:rPr>
      </w:pPr>
    </w:p>
    <w:p w14:paraId="369CE6C1" w14:textId="1E7CA2B0" w:rsidR="009B6BF8" w:rsidRPr="004B4B2E" w:rsidRDefault="009B6BF8" w:rsidP="001B3D49">
      <w:pPr>
        <w:spacing w:line="480" w:lineRule="auto"/>
        <w:jc w:val="both"/>
        <w:rPr>
          <w:rFonts w:ascii="Arial" w:hAnsi="Arial" w:cs="Arial"/>
          <w:sz w:val="24"/>
          <w:szCs w:val="24"/>
          <w:lang w:val="en-GB"/>
        </w:rPr>
      </w:pPr>
      <w:r w:rsidRPr="004B4B2E">
        <w:rPr>
          <w:rFonts w:ascii="Arial" w:hAnsi="Arial" w:cs="Arial"/>
          <w:b/>
          <w:sz w:val="24"/>
          <w:szCs w:val="24"/>
          <w:lang w:val="en-GB"/>
        </w:rPr>
        <w:t>Figure 1</w:t>
      </w:r>
      <w:r w:rsidRPr="004B4B2E">
        <w:rPr>
          <w:rFonts w:ascii="Arial" w:hAnsi="Arial" w:cs="Arial"/>
          <w:sz w:val="24"/>
          <w:szCs w:val="24"/>
          <w:lang w:val="en-GB"/>
        </w:rPr>
        <w:t xml:space="preserve">. </w:t>
      </w:r>
      <w:r w:rsidR="000913BD" w:rsidRPr="004B4B2E">
        <w:rPr>
          <w:rFonts w:ascii="Arial" w:hAnsi="Arial" w:cs="Arial"/>
          <w:sz w:val="24"/>
          <w:szCs w:val="24"/>
          <w:lang w:val="en-GB"/>
        </w:rPr>
        <w:t>Study flowchart</w:t>
      </w:r>
      <w:r w:rsidR="00BF0155">
        <w:rPr>
          <w:rFonts w:ascii="Arial" w:hAnsi="Arial" w:cs="Arial"/>
          <w:sz w:val="24"/>
          <w:szCs w:val="24"/>
          <w:lang w:val="en-GB"/>
        </w:rPr>
        <w:t xml:space="preserve">. *; 3 questionnaires missing. </w:t>
      </w:r>
    </w:p>
    <w:p w14:paraId="214A80F0" w14:textId="79979445" w:rsidR="00A43002" w:rsidRPr="004B4B2E" w:rsidRDefault="009B6BF8" w:rsidP="001B3D49">
      <w:pPr>
        <w:spacing w:line="480" w:lineRule="auto"/>
        <w:jc w:val="both"/>
        <w:rPr>
          <w:rFonts w:ascii="Arial" w:hAnsi="Arial" w:cs="Arial"/>
          <w:sz w:val="24"/>
          <w:szCs w:val="24"/>
          <w:lang w:val="en-GB"/>
        </w:rPr>
      </w:pPr>
      <w:r w:rsidRPr="004B4B2E">
        <w:rPr>
          <w:rFonts w:ascii="Arial" w:hAnsi="Arial" w:cs="Arial"/>
          <w:b/>
          <w:sz w:val="24"/>
          <w:szCs w:val="24"/>
          <w:lang w:val="en-GB"/>
        </w:rPr>
        <w:t xml:space="preserve">Figure </w:t>
      </w:r>
      <w:r w:rsidR="008A7B8C">
        <w:rPr>
          <w:rFonts w:ascii="Arial" w:hAnsi="Arial" w:cs="Arial"/>
          <w:b/>
          <w:sz w:val="24"/>
          <w:szCs w:val="24"/>
          <w:lang w:val="en-GB"/>
        </w:rPr>
        <w:t>2</w:t>
      </w:r>
      <w:r w:rsidRPr="004B4B2E">
        <w:rPr>
          <w:rFonts w:ascii="Arial" w:hAnsi="Arial" w:cs="Arial"/>
          <w:b/>
          <w:sz w:val="24"/>
          <w:szCs w:val="24"/>
          <w:lang w:val="en-GB"/>
        </w:rPr>
        <w:t xml:space="preserve">. </w:t>
      </w:r>
      <w:r w:rsidR="00963013">
        <w:rPr>
          <w:rFonts w:ascii="Arial" w:hAnsi="Arial" w:cs="Arial"/>
          <w:b/>
          <w:sz w:val="24"/>
          <w:szCs w:val="24"/>
          <w:lang w:val="en-GB"/>
        </w:rPr>
        <w:t xml:space="preserve">A. </w:t>
      </w:r>
      <w:r w:rsidR="00963013" w:rsidRPr="00B42BFF">
        <w:rPr>
          <w:rFonts w:ascii="Arial" w:hAnsi="Arial" w:cs="Arial"/>
          <w:sz w:val="24"/>
          <w:szCs w:val="24"/>
          <w:lang w:val="en-GB"/>
        </w:rPr>
        <w:t xml:space="preserve">Median </w:t>
      </w:r>
      <w:r w:rsidR="00963013">
        <w:rPr>
          <w:rFonts w:ascii="Arial" w:hAnsi="Arial" w:cs="Arial"/>
          <w:sz w:val="24"/>
          <w:szCs w:val="24"/>
          <w:lang w:val="en-GB"/>
        </w:rPr>
        <w:t>s</w:t>
      </w:r>
      <w:r w:rsidRPr="004B4B2E">
        <w:rPr>
          <w:rFonts w:ascii="Arial" w:hAnsi="Arial" w:cs="Arial"/>
          <w:sz w:val="24"/>
          <w:szCs w:val="24"/>
          <w:lang w:val="en-GB"/>
        </w:rPr>
        <w:t xml:space="preserve">everity of symptoms in </w:t>
      </w:r>
      <w:r w:rsidR="00963013">
        <w:rPr>
          <w:rFonts w:ascii="Arial" w:hAnsi="Arial" w:cs="Arial"/>
          <w:sz w:val="24"/>
          <w:szCs w:val="24"/>
          <w:lang w:val="en-GB"/>
        </w:rPr>
        <w:t xml:space="preserve">esophageal hypersensitivity, </w:t>
      </w:r>
      <w:r w:rsidR="00963013" w:rsidRPr="004B4B2E">
        <w:rPr>
          <w:rFonts w:ascii="Arial" w:hAnsi="Arial" w:cs="Arial"/>
          <w:sz w:val="24"/>
          <w:szCs w:val="24"/>
          <w:lang w:val="en-GB"/>
        </w:rPr>
        <w:t>functional heartburn</w:t>
      </w:r>
      <w:r w:rsidR="00963013">
        <w:rPr>
          <w:rFonts w:ascii="Arial" w:hAnsi="Arial" w:cs="Arial"/>
          <w:sz w:val="24"/>
          <w:szCs w:val="24"/>
          <w:lang w:val="en-GB"/>
        </w:rPr>
        <w:t xml:space="preserve"> and </w:t>
      </w:r>
      <w:r w:rsidRPr="004B4B2E">
        <w:rPr>
          <w:rFonts w:ascii="Arial" w:hAnsi="Arial" w:cs="Arial"/>
          <w:sz w:val="24"/>
          <w:szCs w:val="24"/>
          <w:lang w:val="en-GB"/>
        </w:rPr>
        <w:t>gastroesophageal reflux disease</w:t>
      </w:r>
      <w:r w:rsidR="00963013">
        <w:rPr>
          <w:rFonts w:ascii="Arial" w:hAnsi="Arial" w:cs="Arial"/>
          <w:sz w:val="24"/>
          <w:szCs w:val="24"/>
          <w:lang w:val="en-GB"/>
        </w:rPr>
        <w:t xml:space="preserve"> with normal </w:t>
      </w:r>
      <w:r w:rsidR="00BF0155">
        <w:rPr>
          <w:rFonts w:ascii="Arial" w:hAnsi="Arial" w:cs="Arial"/>
          <w:sz w:val="24"/>
          <w:szCs w:val="24"/>
          <w:lang w:val="en-GB"/>
        </w:rPr>
        <w:t xml:space="preserve">(GERD in remission) </w:t>
      </w:r>
      <w:r w:rsidR="00963013">
        <w:rPr>
          <w:rFonts w:ascii="Arial" w:hAnsi="Arial" w:cs="Arial"/>
          <w:sz w:val="24"/>
          <w:szCs w:val="24"/>
          <w:lang w:val="en-GB"/>
        </w:rPr>
        <w:t xml:space="preserve">and abnormal </w:t>
      </w:r>
      <w:r w:rsidR="00BF0155">
        <w:rPr>
          <w:rFonts w:ascii="Arial" w:hAnsi="Arial" w:cs="Arial"/>
          <w:sz w:val="24"/>
          <w:szCs w:val="24"/>
          <w:lang w:val="en-GB"/>
        </w:rPr>
        <w:t xml:space="preserve">(persistent acid reflux) </w:t>
      </w:r>
      <w:r w:rsidR="00963013">
        <w:rPr>
          <w:rFonts w:ascii="Arial" w:hAnsi="Arial" w:cs="Arial"/>
          <w:sz w:val="24"/>
          <w:szCs w:val="24"/>
          <w:lang w:val="en-GB"/>
        </w:rPr>
        <w:t xml:space="preserve">esophageal acid exposure times. </w:t>
      </w:r>
      <w:r w:rsidR="00963013" w:rsidRPr="00B42BFF">
        <w:rPr>
          <w:rFonts w:ascii="Arial" w:hAnsi="Arial" w:cs="Arial"/>
          <w:b/>
          <w:sz w:val="24"/>
          <w:szCs w:val="24"/>
          <w:lang w:val="en-GB"/>
        </w:rPr>
        <w:t>B</w:t>
      </w:r>
      <w:r w:rsidR="00963013">
        <w:rPr>
          <w:rFonts w:ascii="Arial" w:hAnsi="Arial" w:cs="Arial"/>
          <w:sz w:val="24"/>
          <w:szCs w:val="24"/>
          <w:lang w:val="en-GB"/>
        </w:rPr>
        <w:t>. Median severity of s</w:t>
      </w:r>
      <w:r w:rsidR="00A43002" w:rsidRPr="004B4B2E">
        <w:rPr>
          <w:rFonts w:ascii="Arial" w:hAnsi="Arial" w:cs="Arial"/>
          <w:sz w:val="24"/>
          <w:szCs w:val="24"/>
          <w:lang w:val="en-GB"/>
        </w:rPr>
        <w:t>ymptoms in patients with and without Barrett’s esophagus.</w:t>
      </w:r>
    </w:p>
    <w:p w14:paraId="38839D33" w14:textId="6F3EE6E6" w:rsidR="009B6BF8" w:rsidRPr="0040610B" w:rsidRDefault="00A855A1" w:rsidP="001B3D49">
      <w:pPr>
        <w:spacing w:line="480" w:lineRule="auto"/>
        <w:jc w:val="both"/>
        <w:rPr>
          <w:rFonts w:ascii="Arial" w:hAnsi="Arial" w:cs="Arial"/>
          <w:sz w:val="24"/>
          <w:szCs w:val="24"/>
          <w:lang w:val="en-GB"/>
        </w:rPr>
      </w:pPr>
      <w:r w:rsidRPr="004B4B2E">
        <w:rPr>
          <w:rFonts w:ascii="Arial" w:hAnsi="Arial" w:cs="Arial"/>
          <w:sz w:val="24"/>
          <w:szCs w:val="24"/>
          <w:lang w:val="en-GB"/>
        </w:rPr>
        <w:t>GERD, gastroesophageal reflux disease; EH, esophageal hypersensitivity; FH, functional heartburn; BE, Barrett’s esophagus.</w:t>
      </w:r>
    </w:p>
    <w:p w14:paraId="025EA807" w14:textId="77777777" w:rsidR="00E24C90" w:rsidRPr="004B4B2E" w:rsidRDefault="00E24C90" w:rsidP="001B3D49">
      <w:pPr>
        <w:spacing w:line="480" w:lineRule="auto"/>
        <w:jc w:val="both"/>
        <w:rPr>
          <w:rFonts w:ascii="Arial" w:hAnsi="Arial" w:cs="Arial"/>
          <w:sz w:val="24"/>
          <w:szCs w:val="24"/>
          <w:lang w:val="en-GB"/>
        </w:rPr>
      </w:pPr>
      <w:r w:rsidRPr="00745AEB">
        <w:rPr>
          <w:rFonts w:ascii="Arial" w:hAnsi="Arial" w:cs="Arial"/>
          <w:sz w:val="24"/>
          <w:szCs w:val="24"/>
          <w:lang w:val="en-GB"/>
        </w:rPr>
        <w:t>*; statistically significant difference (</w:t>
      </w:r>
      <w:r w:rsidRPr="00745AEB">
        <w:rPr>
          <w:rFonts w:ascii="Arial" w:hAnsi="Arial" w:cs="Arial"/>
          <w:i/>
          <w:sz w:val="24"/>
          <w:szCs w:val="24"/>
          <w:lang w:val="en-GB"/>
        </w:rPr>
        <w:t>P</w:t>
      </w:r>
      <w:r w:rsidRPr="004B4B2E">
        <w:rPr>
          <w:rFonts w:ascii="Arial" w:hAnsi="Arial" w:cs="Arial"/>
          <w:sz w:val="24"/>
          <w:szCs w:val="24"/>
          <w:lang w:val="en-GB"/>
        </w:rPr>
        <w:t>&lt;.05)</w:t>
      </w:r>
    </w:p>
    <w:p w14:paraId="24B8AB16" w14:textId="02E37AAF" w:rsidR="009B6BF8" w:rsidRPr="004B4B2E" w:rsidRDefault="009B6BF8" w:rsidP="001B3D49">
      <w:pPr>
        <w:spacing w:line="480" w:lineRule="auto"/>
        <w:jc w:val="both"/>
        <w:rPr>
          <w:rFonts w:ascii="Arial" w:hAnsi="Arial" w:cs="Arial"/>
          <w:sz w:val="24"/>
          <w:szCs w:val="24"/>
          <w:lang w:val="en-GB"/>
        </w:rPr>
      </w:pPr>
      <w:r w:rsidRPr="004B4B2E">
        <w:rPr>
          <w:rFonts w:ascii="Arial" w:hAnsi="Arial" w:cs="Arial"/>
          <w:b/>
          <w:sz w:val="24"/>
          <w:szCs w:val="24"/>
          <w:lang w:val="en-GB"/>
        </w:rPr>
        <w:t xml:space="preserve">Figure </w:t>
      </w:r>
      <w:r w:rsidR="008A7B8C">
        <w:rPr>
          <w:rFonts w:ascii="Arial" w:hAnsi="Arial" w:cs="Arial"/>
          <w:b/>
          <w:sz w:val="24"/>
          <w:szCs w:val="24"/>
          <w:lang w:val="en-GB"/>
        </w:rPr>
        <w:t>3</w:t>
      </w:r>
      <w:r w:rsidRPr="004B4B2E">
        <w:rPr>
          <w:rFonts w:ascii="Arial" w:hAnsi="Arial" w:cs="Arial"/>
          <w:sz w:val="24"/>
          <w:szCs w:val="24"/>
          <w:lang w:val="en-GB"/>
        </w:rPr>
        <w:t xml:space="preserve">. Correlation between </w:t>
      </w:r>
      <w:proofErr w:type="spellStart"/>
      <w:r w:rsidRPr="004B4B2E">
        <w:rPr>
          <w:rFonts w:ascii="Arial" w:hAnsi="Arial" w:cs="Arial"/>
          <w:sz w:val="24"/>
          <w:szCs w:val="24"/>
          <w:lang w:val="en-GB"/>
        </w:rPr>
        <w:t>EndoFaster</w:t>
      </w:r>
      <w:proofErr w:type="spellEnd"/>
      <w:r w:rsidRPr="004B4B2E">
        <w:rPr>
          <w:rFonts w:ascii="Arial" w:hAnsi="Arial" w:cs="Arial"/>
          <w:sz w:val="24"/>
          <w:szCs w:val="24"/>
          <w:lang w:val="en-GB"/>
        </w:rPr>
        <w:t xml:space="preserve"> </w:t>
      </w:r>
      <w:r w:rsidR="00A030EB">
        <w:rPr>
          <w:rFonts w:ascii="Arial" w:hAnsi="Arial" w:cs="Arial"/>
          <w:sz w:val="24"/>
          <w:szCs w:val="24"/>
          <w:lang w:val="en-GB"/>
        </w:rPr>
        <w:t>gastric pH</w:t>
      </w:r>
      <w:r w:rsidRPr="004B4B2E">
        <w:rPr>
          <w:rFonts w:ascii="Arial" w:hAnsi="Arial" w:cs="Arial"/>
          <w:sz w:val="24"/>
          <w:szCs w:val="24"/>
          <w:lang w:val="en-GB"/>
        </w:rPr>
        <w:t xml:space="preserve"> and 24-hour gastric acidity measured by pH-impedance</w:t>
      </w:r>
      <w:r w:rsidR="00963013">
        <w:rPr>
          <w:rFonts w:ascii="Arial" w:hAnsi="Arial" w:cs="Arial"/>
          <w:sz w:val="24"/>
          <w:szCs w:val="24"/>
          <w:lang w:val="en-GB"/>
        </w:rPr>
        <w:t>, Spearman method.</w:t>
      </w:r>
    </w:p>
    <w:p w14:paraId="3B1B9945" w14:textId="06774938" w:rsidR="008A7B8C" w:rsidRPr="004B4B2E" w:rsidRDefault="008A7B8C" w:rsidP="008A7B8C">
      <w:pPr>
        <w:spacing w:line="480" w:lineRule="auto"/>
        <w:jc w:val="both"/>
        <w:rPr>
          <w:rFonts w:ascii="Arial" w:hAnsi="Arial" w:cs="Arial"/>
          <w:sz w:val="24"/>
          <w:szCs w:val="24"/>
          <w:lang w:val="en-GB"/>
        </w:rPr>
      </w:pPr>
      <w:r w:rsidRPr="004B4B2E">
        <w:rPr>
          <w:rFonts w:ascii="Arial" w:hAnsi="Arial" w:cs="Arial"/>
          <w:b/>
          <w:sz w:val="24"/>
          <w:szCs w:val="24"/>
          <w:lang w:val="en-GB"/>
        </w:rPr>
        <w:t xml:space="preserve">Figure </w:t>
      </w:r>
      <w:r>
        <w:rPr>
          <w:rFonts w:ascii="Arial" w:hAnsi="Arial" w:cs="Arial"/>
          <w:b/>
          <w:sz w:val="24"/>
          <w:szCs w:val="24"/>
          <w:lang w:val="en-GB"/>
        </w:rPr>
        <w:t>4</w:t>
      </w:r>
      <w:r w:rsidRPr="004B4B2E">
        <w:rPr>
          <w:rFonts w:ascii="Arial" w:hAnsi="Arial" w:cs="Arial"/>
          <w:sz w:val="24"/>
          <w:szCs w:val="24"/>
          <w:lang w:val="en-GB"/>
        </w:rPr>
        <w:t xml:space="preserve">. </w:t>
      </w:r>
      <w:proofErr w:type="spellStart"/>
      <w:r w:rsidRPr="004B4B2E">
        <w:rPr>
          <w:rFonts w:ascii="Arial" w:hAnsi="Arial" w:cs="Arial"/>
          <w:sz w:val="24"/>
          <w:szCs w:val="24"/>
          <w:lang w:val="en-GB"/>
        </w:rPr>
        <w:t>EndoFaster</w:t>
      </w:r>
      <w:proofErr w:type="spellEnd"/>
      <w:r w:rsidRPr="004B4B2E">
        <w:rPr>
          <w:rFonts w:ascii="Arial" w:hAnsi="Arial" w:cs="Arial"/>
          <w:sz w:val="24"/>
          <w:szCs w:val="24"/>
          <w:lang w:val="en-GB"/>
        </w:rPr>
        <w:t xml:space="preserve"> </w:t>
      </w:r>
      <w:r>
        <w:rPr>
          <w:rFonts w:ascii="Arial" w:hAnsi="Arial" w:cs="Arial"/>
          <w:sz w:val="24"/>
          <w:szCs w:val="24"/>
          <w:lang w:val="en-GB"/>
        </w:rPr>
        <w:t>gastric pH</w:t>
      </w:r>
      <w:r w:rsidRPr="004B4B2E">
        <w:rPr>
          <w:rFonts w:ascii="Arial" w:hAnsi="Arial" w:cs="Arial"/>
          <w:sz w:val="24"/>
          <w:szCs w:val="24"/>
          <w:lang w:val="en-GB"/>
        </w:rPr>
        <w:t xml:space="preserve"> </w:t>
      </w:r>
      <w:r>
        <w:rPr>
          <w:rFonts w:ascii="Arial" w:hAnsi="Arial" w:cs="Arial"/>
          <w:sz w:val="24"/>
          <w:szCs w:val="24"/>
          <w:lang w:val="en-GB"/>
        </w:rPr>
        <w:t xml:space="preserve">levels </w:t>
      </w:r>
      <w:r w:rsidRPr="004B4B2E">
        <w:rPr>
          <w:rFonts w:ascii="Arial" w:hAnsi="Arial" w:cs="Arial"/>
          <w:sz w:val="24"/>
          <w:szCs w:val="24"/>
          <w:lang w:val="en-GB"/>
        </w:rPr>
        <w:t>in patients with and without persistent acid reflux</w:t>
      </w:r>
      <w:r>
        <w:rPr>
          <w:rFonts w:ascii="Arial" w:hAnsi="Arial" w:cs="Arial"/>
          <w:sz w:val="24"/>
          <w:szCs w:val="24"/>
          <w:lang w:val="en-GB"/>
        </w:rPr>
        <w:t xml:space="preserve">. </w:t>
      </w:r>
      <w:r w:rsidRPr="004B4B2E">
        <w:rPr>
          <w:rFonts w:ascii="Arial" w:hAnsi="Arial" w:cs="Arial"/>
          <w:sz w:val="24"/>
          <w:szCs w:val="24"/>
          <w:lang w:val="en-GB"/>
        </w:rPr>
        <w:t>*; statistically significant difference (</w:t>
      </w:r>
      <w:r w:rsidRPr="004B4B2E">
        <w:rPr>
          <w:rFonts w:ascii="Arial" w:hAnsi="Arial" w:cs="Arial"/>
          <w:i/>
          <w:sz w:val="24"/>
          <w:szCs w:val="24"/>
          <w:lang w:val="en-GB"/>
        </w:rPr>
        <w:t>P</w:t>
      </w:r>
      <w:r w:rsidRPr="004B4B2E">
        <w:rPr>
          <w:rFonts w:ascii="Arial" w:hAnsi="Arial" w:cs="Arial"/>
          <w:sz w:val="24"/>
          <w:szCs w:val="24"/>
          <w:lang w:val="en-GB"/>
        </w:rPr>
        <w:t>&lt;.05)</w:t>
      </w:r>
    </w:p>
    <w:p w14:paraId="69F5B899" w14:textId="72D438DD" w:rsidR="00765042" w:rsidRDefault="009B6BF8" w:rsidP="001B3D49">
      <w:pPr>
        <w:spacing w:line="480" w:lineRule="auto"/>
        <w:jc w:val="both"/>
        <w:rPr>
          <w:rFonts w:ascii="Arial" w:hAnsi="Arial" w:cs="Arial"/>
          <w:b/>
          <w:sz w:val="24"/>
          <w:szCs w:val="24"/>
          <w:lang w:val="en-GB"/>
        </w:rPr>
      </w:pPr>
      <w:r w:rsidRPr="004B4B2E">
        <w:rPr>
          <w:rFonts w:ascii="Arial" w:hAnsi="Arial" w:cs="Arial"/>
          <w:b/>
          <w:sz w:val="24"/>
          <w:szCs w:val="24"/>
          <w:lang w:val="en-GB"/>
        </w:rPr>
        <w:t xml:space="preserve">Figure 5. </w:t>
      </w:r>
      <w:r w:rsidR="00963013" w:rsidRPr="00B42BFF">
        <w:rPr>
          <w:rFonts w:ascii="Arial" w:hAnsi="Arial" w:cs="Arial"/>
          <w:sz w:val="24"/>
          <w:szCs w:val="24"/>
          <w:lang w:val="en-GB"/>
        </w:rPr>
        <w:t>Accuracy of single point gastric pH in pr</w:t>
      </w:r>
      <w:r w:rsidR="000F29FA">
        <w:rPr>
          <w:rFonts w:ascii="Arial" w:hAnsi="Arial" w:cs="Arial"/>
          <w:sz w:val="24"/>
          <w:szCs w:val="24"/>
          <w:lang w:val="en-GB"/>
        </w:rPr>
        <w:t xml:space="preserve">edicting persistent acid reflux. </w:t>
      </w:r>
      <w:r w:rsidR="00963013">
        <w:rPr>
          <w:rFonts w:ascii="Arial" w:hAnsi="Arial" w:cs="Arial"/>
          <w:b/>
          <w:sz w:val="24"/>
          <w:szCs w:val="24"/>
          <w:lang w:val="en-GB"/>
        </w:rPr>
        <w:t xml:space="preserve">A. </w:t>
      </w:r>
      <w:r w:rsidR="00963013" w:rsidRPr="00B42BFF">
        <w:rPr>
          <w:rFonts w:ascii="Arial" w:hAnsi="Arial" w:cs="Arial"/>
          <w:sz w:val="24"/>
          <w:szCs w:val="24"/>
          <w:lang w:val="en-GB"/>
        </w:rPr>
        <w:t>A</w:t>
      </w:r>
      <w:r w:rsidRPr="004B4B2E">
        <w:rPr>
          <w:rFonts w:ascii="Arial" w:hAnsi="Arial" w:cs="Arial"/>
          <w:sz w:val="24"/>
          <w:szCs w:val="24"/>
          <w:lang w:val="en-GB"/>
        </w:rPr>
        <w:t>rea under the receiver operating characteristic curve</w:t>
      </w:r>
      <w:r w:rsidR="000F29FA">
        <w:rPr>
          <w:rFonts w:ascii="Arial" w:hAnsi="Arial" w:cs="Arial"/>
          <w:sz w:val="24"/>
          <w:szCs w:val="24"/>
          <w:lang w:val="en-GB"/>
        </w:rPr>
        <w:t xml:space="preserve"> </w:t>
      </w:r>
      <w:r w:rsidR="00963013" w:rsidRPr="00B42BFF">
        <w:rPr>
          <w:rFonts w:ascii="Arial" w:hAnsi="Arial" w:cs="Arial"/>
          <w:b/>
          <w:sz w:val="24"/>
          <w:szCs w:val="24"/>
          <w:lang w:val="en-GB"/>
        </w:rPr>
        <w:t>B</w:t>
      </w:r>
      <w:r w:rsidR="00963013">
        <w:rPr>
          <w:rFonts w:ascii="Arial" w:hAnsi="Arial" w:cs="Arial"/>
          <w:sz w:val="24"/>
          <w:szCs w:val="24"/>
          <w:lang w:val="en-GB"/>
        </w:rPr>
        <w:t xml:space="preserve">. </w:t>
      </w:r>
      <w:r w:rsidR="00E24C90" w:rsidRPr="004B4B2E">
        <w:rPr>
          <w:rFonts w:ascii="Arial" w:hAnsi="Arial" w:cs="Arial"/>
          <w:sz w:val="24"/>
          <w:szCs w:val="24"/>
          <w:lang w:val="en-GB"/>
        </w:rPr>
        <w:t>Fagan nomograms</w:t>
      </w:r>
    </w:p>
    <w:sectPr w:rsidR="00765042" w:rsidSect="00406ECF">
      <w:footerReference w:type="default" r:id="rId8"/>
      <w:pgSz w:w="11906" w:h="16838"/>
      <w:pgMar w:top="1417" w:right="1417" w:bottom="1417" w:left="1417"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65F61B" w14:textId="77777777" w:rsidR="00204E05" w:rsidRDefault="00204E05" w:rsidP="00434E8F">
      <w:pPr>
        <w:spacing w:after="0" w:line="240" w:lineRule="auto"/>
      </w:pPr>
      <w:r>
        <w:separator/>
      </w:r>
    </w:p>
  </w:endnote>
  <w:endnote w:type="continuationSeparator" w:id="0">
    <w:p w14:paraId="3C5D8FB4" w14:textId="77777777" w:rsidR="00204E05" w:rsidRDefault="00204E05" w:rsidP="00434E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ucida Grande">
    <w:charset w:val="00"/>
    <w:family w:val="swiss"/>
    <w:pitch w:val="variable"/>
    <w:sig w:usb0="00000000" w:usb1="5000A1FF" w:usb2="00000000" w:usb3="00000000" w:csb0="000001BF" w:csb1="00000000"/>
  </w:font>
  <w:font w:name="Arial">
    <w:panose1 w:val="020B0604020202020204"/>
    <w:charset w:val="00"/>
    <w:family w:val="swiss"/>
    <w:pitch w:val="variable"/>
    <w:sig w:usb0="E0002E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82362119"/>
      <w:docPartObj>
        <w:docPartGallery w:val="Page Numbers (Bottom of Page)"/>
        <w:docPartUnique/>
      </w:docPartObj>
    </w:sdtPr>
    <w:sdtEndPr>
      <w:rPr>
        <w:noProof/>
      </w:rPr>
    </w:sdtEndPr>
    <w:sdtContent>
      <w:p w14:paraId="35CD3AF4" w14:textId="0F5B4113" w:rsidR="00204E05" w:rsidRDefault="00204E0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B7047A1" w14:textId="77777777" w:rsidR="00204E05" w:rsidRDefault="00204E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534C2F" w14:textId="77777777" w:rsidR="00204E05" w:rsidRDefault="00204E05" w:rsidP="00434E8F">
      <w:pPr>
        <w:spacing w:after="0" w:line="240" w:lineRule="auto"/>
      </w:pPr>
      <w:r>
        <w:separator/>
      </w:r>
    </w:p>
  </w:footnote>
  <w:footnote w:type="continuationSeparator" w:id="0">
    <w:p w14:paraId="6201F088" w14:textId="77777777" w:rsidR="00204E05" w:rsidRDefault="00204E05" w:rsidP="00434E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9E77B0"/>
    <w:multiLevelType w:val="multilevel"/>
    <w:tmpl w:val="D6D098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EEB0238"/>
    <w:multiLevelType w:val="hybridMultilevel"/>
    <w:tmpl w:val="8F0E81A2"/>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 w15:restartNumberingAfterBreak="0">
    <w:nsid w:val="55100D39"/>
    <w:multiLevelType w:val="hybridMultilevel"/>
    <w:tmpl w:val="672A33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A2C1D2C"/>
    <w:multiLevelType w:val="multilevel"/>
    <w:tmpl w:val="022CC3C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i w:val="0"/>
      </w:rPr>
    </w:lvl>
    <w:lvl w:ilvl="2">
      <w:start w:val="1"/>
      <w:numFmt w:val="decimal"/>
      <w:isLgl/>
      <w:lvlText w:val="%1.%2.%3"/>
      <w:lvlJc w:val="left"/>
      <w:pPr>
        <w:ind w:left="720" w:hanging="720"/>
      </w:pPr>
      <w:rPr>
        <w:rFonts w:hint="default"/>
        <w:b w:val="0"/>
        <w:i/>
      </w:rPr>
    </w:lvl>
    <w:lvl w:ilvl="3">
      <w:start w:val="1"/>
      <w:numFmt w:val="decimal"/>
      <w:isLgl/>
      <w:lvlText w:val="%1.%2.%3.%4"/>
      <w:lvlJc w:val="left"/>
      <w:pPr>
        <w:ind w:left="1080" w:hanging="1080"/>
      </w:pPr>
      <w:rPr>
        <w:rFonts w:hint="default"/>
        <w:b w:val="0"/>
        <w:i/>
      </w:rPr>
    </w:lvl>
    <w:lvl w:ilvl="4">
      <w:start w:val="1"/>
      <w:numFmt w:val="decimal"/>
      <w:isLgl/>
      <w:lvlText w:val="%1.%2.%3.%4.%5"/>
      <w:lvlJc w:val="left"/>
      <w:pPr>
        <w:ind w:left="1080" w:hanging="1080"/>
      </w:pPr>
      <w:rPr>
        <w:rFonts w:hint="default"/>
        <w:b w:val="0"/>
        <w:i/>
      </w:rPr>
    </w:lvl>
    <w:lvl w:ilvl="5">
      <w:start w:val="1"/>
      <w:numFmt w:val="decimal"/>
      <w:isLgl/>
      <w:lvlText w:val="%1.%2.%3.%4.%5.%6"/>
      <w:lvlJc w:val="left"/>
      <w:pPr>
        <w:ind w:left="1440" w:hanging="1440"/>
      </w:pPr>
      <w:rPr>
        <w:rFonts w:hint="default"/>
        <w:b w:val="0"/>
        <w:i/>
      </w:rPr>
    </w:lvl>
    <w:lvl w:ilvl="6">
      <w:start w:val="1"/>
      <w:numFmt w:val="decimal"/>
      <w:isLgl/>
      <w:lvlText w:val="%1.%2.%3.%4.%5.%6.%7"/>
      <w:lvlJc w:val="left"/>
      <w:pPr>
        <w:ind w:left="1440" w:hanging="1440"/>
      </w:pPr>
      <w:rPr>
        <w:rFonts w:hint="default"/>
        <w:b w:val="0"/>
        <w:i/>
      </w:rPr>
    </w:lvl>
    <w:lvl w:ilvl="7">
      <w:start w:val="1"/>
      <w:numFmt w:val="decimal"/>
      <w:isLgl/>
      <w:lvlText w:val="%1.%2.%3.%4.%5.%6.%7.%8"/>
      <w:lvlJc w:val="left"/>
      <w:pPr>
        <w:ind w:left="1800" w:hanging="1800"/>
      </w:pPr>
      <w:rPr>
        <w:rFonts w:hint="default"/>
        <w:b w:val="0"/>
        <w:i/>
      </w:rPr>
    </w:lvl>
    <w:lvl w:ilvl="8">
      <w:start w:val="1"/>
      <w:numFmt w:val="decimal"/>
      <w:isLgl/>
      <w:lvlText w:val="%1.%2.%3.%4.%5.%6.%7.%8.%9"/>
      <w:lvlJc w:val="left"/>
      <w:pPr>
        <w:ind w:left="1800" w:hanging="1800"/>
      </w:pPr>
      <w:rPr>
        <w:rFonts w:hint="default"/>
        <w:b w:val="0"/>
        <w:i/>
      </w:rPr>
    </w:lvl>
  </w:abstractNum>
  <w:abstractNum w:abstractNumId="4" w15:restartNumberingAfterBreak="0">
    <w:nsid w:val="6B0B4974"/>
    <w:multiLevelType w:val="hybridMultilevel"/>
    <w:tmpl w:val="517ECE0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 w15:restartNumberingAfterBreak="0">
    <w:nsid w:val="72835DA6"/>
    <w:multiLevelType w:val="hybridMultilevel"/>
    <w:tmpl w:val="C13CD72A"/>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num w:numId="1">
    <w:abstractNumId w:val="5"/>
  </w:num>
  <w:num w:numId="2">
    <w:abstractNumId w:val="1"/>
  </w:num>
  <w:num w:numId="3">
    <w:abstractNumId w:val="3"/>
  </w:num>
  <w:num w:numId="4">
    <w:abstractNumId w:val="2"/>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sDAwNTK2tLQ0NDY2tDRT0lEKTi0uzszPAykwMasFAIwI/REtAAAA"/>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vw2fdsvp9zwaecep9sf59t2rr5v50t2rpx22&quot;&gt;bibliography&lt;record-ids&gt;&lt;item&gt;2846&lt;/item&gt;&lt;/record-ids&gt;&lt;/item&gt;&lt;/Libraries&gt;"/>
  </w:docVars>
  <w:rsids>
    <w:rsidRoot w:val="0045366C"/>
    <w:rsid w:val="00007D37"/>
    <w:rsid w:val="00025621"/>
    <w:rsid w:val="0004052C"/>
    <w:rsid w:val="000422E6"/>
    <w:rsid w:val="00043C44"/>
    <w:rsid w:val="00050FCF"/>
    <w:rsid w:val="0005302D"/>
    <w:rsid w:val="0006050D"/>
    <w:rsid w:val="00073109"/>
    <w:rsid w:val="00077620"/>
    <w:rsid w:val="00084233"/>
    <w:rsid w:val="000913BD"/>
    <w:rsid w:val="0009368C"/>
    <w:rsid w:val="00093E0B"/>
    <w:rsid w:val="00096632"/>
    <w:rsid w:val="000A7319"/>
    <w:rsid w:val="000B14CA"/>
    <w:rsid w:val="000B4F14"/>
    <w:rsid w:val="000B70C8"/>
    <w:rsid w:val="000B7B8D"/>
    <w:rsid w:val="000B7E12"/>
    <w:rsid w:val="000C2E90"/>
    <w:rsid w:val="000C6F89"/>
    <w:rsid w:val="000C7999"/>
    <w:rsid w:val="000C7FCD"/>
    <w:rsid w:val="000E0258"/>
    <w:rsid w:val="000E07A2"/>
    <w:rsid w:val="000E13AD"/>
    <w:rsid w:val="000E3913"/>
    <w:rsid w:val="000F29FA"/>
    <w:rsid w:val="0010069F"/>
    <w:rsid w:val="00101BEE"/>
    <w:rsid w:val="0010603A"/>
    <w:rsid w:val="001115BA"/>
    <w:rsid w:val="001168EC"/>
    <w:rsid w:val="0012616D"/>
    <w:rsid w:val="0013121A"/>
    <w:rsid w:val="00144AE4"/>
    <w:rsid w:val="00152379"/>
    <w:rsid w:val="00162BF6"/>
    <w:rsid w:val="00163E5A"/>
    <w:rsid w:val="001674C0"/>
    <w:rsid w:val="001679C6"/>
    <w:rsid w:val="00182414"/>
    <w:rsid w:val="00185B79"/>
    <w:rsid w:val="00191831"/>
    <w:rsid w:val="001A36EA"/>
    <w:rsid w:val="001B1EDC"/>
    <w:rsid w:val="001B3D49"/>
    <w:rsid w:val="001B742D"/>
    <w:rsid w:val="001B7B89"/>
    <w:rsid w:val="001C03A6"/>
    <w:rsid w:val="001C11E5"/>
    <w:rsid w:val="001C2051"/>
    <w:rsid w:val="001C4089"/>
    <w:rsid w:val="001C4672"/>
    <w:rsid w:val="001D197C"/>
    <w:rsid w:val="001D3DD3"/>
    <w:rsid w:val="001D52A8"/>
    <w:rsid w:val="001D79EE"/>
    <w:rsid w:val="001E0C0A"/>
    <w:rsid w:val="001E1D6D"/>
    <w:rsid w:val="001E79D1"/>
    <w:rsid w:val="001F294F"/>
    <w:rsid w:val="00202E83"/>
    <w:rsid w:val="00204E05"/>
    <w:rsid w:val="00216370"/>
    <w:rsid w:val="00216536"/>
    <w:rsid w:val="002238CD"/>
    <w:rsid w:val="00233821"/>
    <w:rsid w:val="002429DC"/>
    <w:rsid w:val="00254458"/>
    <w:rsid w:val="00254B1A"/>
    <w:rsid w:val="00255DF5"/>
    <w:rsid w:val="00257FA8"/>
    <w:rsid w:val="00266BC5"/>
    <w:rsid w:val="00277B75"/>
    <w:rsid w:val="0028447D"/>
    <w:rsid w:val="00286B09"/>
    <w:rsid w:val="002876EB"/>
    <w:rsid w:val="002A1873"/>
    <w:rsid w:val="002A3E74"/>
    <w:rsid w:val="002A5F88"/>
    <w:rsid w:val="002B736F"/>
    <w:rsid w:val="002C3E9B"/>
    <w:rsid w:val="002C5A34"/>
    <w:rsid w:val="002D5C90"/>
    <w:rsid w:val="002D5EDD"/>
    <w:rsid w:val="002D6C68"/>
    <w:rsid w:val="002E4A40"/>
    <w:rsid w:val="002F52B9"/>
    <w:rsid w:val="002F5FC0"/>
    <w:rsid w:val="002F79C9"/>
    <w:rsid w:val="00314F10"/>
    <w:rsid w:val="003151CA"/>
    <w:rsid w:val="00321362"/>
    <w:rsid w:val="00332CFE"/>
    <w:rsid w:val="00335E62"/>
    <w:rsid w:val="003362AF"/>
    <w:rsid w:val="00341054"/>
    <w:rsid w:val="0034276C"/>
    <w:rsid w:val="00346E4C"/>
    <w:rsid w:val="00350A7B"/>
    <w:rsid w:val="0035517E"/>
    <w:rsid w:val="00364271"/>
    <w:rsid w:val="00372CD0"/>
    <w:rsid w:val="00373F6D"/>
    <w:rsid w:val="00375B6C"/>
    <w:rsid w:val="003835FB"/>
    <w:rsid w:val="00396776"/>
    <w:rsid w:val="003D0BE8"/>
    <w:rsid w:val="003D132E"/>
    <w:rsid w:val="003D28F9"/>
    <w:rsid w:val="003D7994"/>
    <w:rsid w:val="003E257A"/>
    <w:rsid w:val="003F45F5"/>
    <w:rsid w:val="003F5B9A"/>
    <w:rsid w:val="003F79ED"/>
    <w:rsid w:val="0040295C"/>
    <w:rsid w:val="0040610B"/>
    <w:rsid w:val="00406ECF"/>
    <w:rsid w:val="004073F0"/>
    <w:rsid w:val="00410758"/>
    <w:rsid w:val="00413C8E"/>
    <w:rsid w:val="004309DB"/>
    <w:rsid w:val="00434AE8"/>
    <w:rsid w:val="00434E8F"/>
    <w:rsid w:val="004362C5"/>
    <w:rsid w:val="00443893"/>
    <w:rsid w:val="004526F2"/>
    <w:rsid w:val="0045366C"/>
    <w:rsid w:val="00455BE7"/>
    <w:rsid w:val="00457681"/>
    <w:rsid w:val="004610C6"/>
    <w:rsid w:val="004629FE"/>
    <w:rsid w:val="00466A35"/>
    <w:rsid w:val="004677DE"/>
    <w:rsid w:val="00474891"/>
    <w:rsid w:val="0048601B"/>
    <w:rsid w:val="004A48CF"/>
    <w:rsid w:val="004A4E75"/>
    <w:rsid w:val="004B4B2E"/>
    <w:rsid w:val="004D13D4"/>
    <w:rsid w:val="004D76DF"/>
    <w:rsid w:val="004E5A82"/>
    <w:rsid w:val="004F4277"/>
    <w:rsid w:val="004F59BB"/>
    <w:rsid w:val="00504D20"/>
    <w:rsid w:val="00510776"/>
    <w:rsid w:val="00513B52"/>
    <w:rsid w:val="00522A5C"/>
    <w:rsid w:val="00523409"/>
    <w:rsid w:val="0054333F"/>
    <w:rsid w:val="00544CB6"/>
    <w:rsid w:val="005539D4"/>
    <w:rsid w:val="005541DE"/>
    <w:rsid w:val="00562C9B"/>
    <w:rsid w:val="00564662"/>
    <w:rsid w:val="005726C4"/>
    <w:rsid w:val="0057642F"/>
    <w:rsid w:val="00581CA8"/>
    <w:rsid w:val="0058557C"/>
    <w:rsid w:val="00590D5C"/>
    <w:rsid w:val="00597BD9"/>
    <w:rsid w:val="005A6797"/>
    <w:rsid w:val="005A6EB9"/>
    <w:rsid w:val="005A786F"/>
    <w:rsid w:val="005B4A30"/>
    <w:rsid w:val="005C5262"/>
    <w:rsid w:val="005D33ED"/>
    <w:rsid w:val="005D5F55"/>
    <w:rsid w:val="005D6911"/>
    <w:rsid w:val="005E545C"/>
    <w:rsid w:val="005F175F"/>
    <w:rsid w:val="005F7659"/>
    <w:rsid w:val="006034EF"/>
    <w:rsid w:val="00603A1D"/>
    <w:rsid w:val="006135CF"/>
    <w:rsid w:val="0061757D"/>
    <w:rsid w:val="0062321A"/>
    <w:rsid w:val="006241F7"/>
    <w:rsid w:val="0064150E"/>
    <w:rsid w:val="006444C3"/>
    <w:rsid w:val="0064502C"/>
    <w:rsid w:val="0064680A"/>
    <w:rsid w:val="00655ADB"/>
    <w:rsid w:val="006721E4"/>
    <w:rsid w:val="0067635E"/>
    <w:rsid w:val="00676D47"/>
    <w:rsid w:val="00680F7E"/>
    <w:rsid w:val="00685D32"/>
    <w:rsid w:val="006922C8"/>
    <w:rsid w:val="006927BA"/>
    <w:rsid w:val="006C56A5"/>
    <w:rsid w:val="006C7FC2"/>
    <w:rsid w:val="006D2F4F"/>
    <w:rsid w:val="006E039E"/>
    <w:rsid w:val="006E3433"/>
    <w:rsid w:val="006E42AB"/>
    <w:rsid w:val="006E6A1A"/>
    <w:rsid w:val="006F5797"/>
    <w:rsid w:val="00705FDB"/>
    <w:rsid w:val="0070778A"/>
    <w:rsid w:val="0071485E"/>
    <w:rsid w:val="0072173B"/>
    <w:rsid w:val="00723847"/>
    <w:rsid w:val="00725D85"/>
    <w:rsid w:val="00726857"/>
    <w:rsid w:val="0073356B"/>
    <w:rsid w:val="00742FA2"/>
    <w:rsid w:val="00745439"/>
    <w:rsid w:val="00745AEB"/>
    <w:rsid w:val="00745F15"/>
    <w:rsid w:val="00745FA8"/>
    <w:rsid w:val="00747E14"/>
    <w:rsid w:val="00756EE2"/>
    <w:rsid w:val="00761525"/>
    <w:rsid w:val="00765042"/>
    <w:rsid w:val="007674C0"/>
    <w:rsid w:val="00770FB4"/>
    <w:rsid w:val="0077562D"/>
    <w:rsid w:val="0077796F"/>
    <w:rsid w:val="00780A1A"/>
    <w:rsid w:val="00786484"/>
    <w:rsid w:val="00790631"/>
    <w:rsid w:val="007906D9"/>
    <w:rsid w:val="0079321A"/>
    <w:rsid w:val="007977C2"/>
    <w:rsid w:val="007A763C"/>
    <w:rsid w:val="007B6758"/>
    <w:rsid w:val="007C4058"/>
    <w:rsid w:val="007C65F0"/>
    <w:rsid w:val="007E0A77"/>
    <w:rsid w:val="007F59DB"/>
    <w:rsid w:val="00800A6F"/>
    <w:rsid w:val="008028A9"/>
    <w:rsid w:val="00804015"/>
    <w:rsid w:val="00811556"/>
    <w:rsid w:val="00812EA3"/>
    <w:rsid w:val="00816002"/>
    <w:rsid w:val="00817E91"/>
    <w:rsid w:val="008214D9"/>
    <w:rsid w:val="00821D33"/>
    <w:rsid w:val="00821E29"/>
    <w:rsid w:val="00822737"/>
    <w:rsid w:val="0082377E"/>
    <w:rsid w:val="00830331"/>
    <w:rsid w:val="00830973"/>
    <w:rsid w:val="008404CB"/>
    <w:rsid w:val="008416DA"/>
    <w:rsid w:val="00842D7F"/>
    <w:rsid w:val="00844B7A"/>
    <w:rsid w:val="00847688"/>
    <w:rsid w:val="00852CC6"/>
    <w:rsid w:val="00853F0E"/>
    <w:rsid w:val="00863913"/>
    <w:rsid w:val="00871357"/>
    <w:rsid w:val="008743DC"/>
    <w:rsid w:val="008749D6"/>
    <w:rsid w:val="00891EE3"/>
    <w:rsid w:val="008A610B"/>
    <w:rsid w:val="008A7A92"/>
    <w:rsid w:val="008A7B8C"/>
    <w:rsid w:val="008B3947"/>
    <w:rsid w:val="008C2D07"/>
    <w:rsid w:val="008C577B"/>
    <w:rsid w:val="008C7195"/>
    <w:rsid w:val="008D0242"/>
    <w:rsid w:val="008D1377"/>
    <w:rsid w:val="008D293F"/>
    <w:rsid w:val="008E6FA6"/>
    <w:rsid w:val="008E7E1D"/>
    <w:rsid w:val="008F2163"/>
    <w:rsid w:val="008F6073"/>
    <w:rsid w:val="008F6751"/>
    <w:rsid w:val="009021CA"/>
    <w:rsid w:val="009042D6"/>
    <w:rsid w:val="009105E2"/>
    <w:rsid w:val="00912C99"/>
    <w:rsid w:val="009238E3"/>
    <w:rsid w:val="00923ACA"/>
    <w:rsid w:val="009372BC"/>
    <w:rsid w:val="00941796"/>
    <w:rsid w:val="00941EC3"/>
    <w:rsid w:val="00951B43"/>
    <w:rsid w:val="00961158"/>
    <w:rsid w:val="00961557"/>
    <w:rsid w:val="00961AD8"/>
    <w:rsid w:val="00963013"/>
    <w:rsid w:val="0096529E"/>
    <w:rsid w:val="00966D16"/>
    <w:rsid w:val="00974B4C"/>
    <w:rsid w:val="00975740"/>
    <w:rsid w:val="00985774"/>
    <w:rsid w:val="00987996"/>
    <w:rsid w:val="009914EC"/>
    <w:rsid w:val="00993D02"/>
    <w:rsid w:val="00993D56"/>
    <w:rsid w:val="009A0808"/>
    <w:rsid w:val="009A549C"/>
    <w:rsid w:val="009B4A98"/>
    <w:rsid w:val="009B6BF8"/>
    <w:rsid w:val="009C1CA4"/>
    <w:rsid w:val="009C2E8A"/>
    <w:rsid w:val="009D6BDA"/>
    <w:rsid w:val="009D6F52"/>
    <w:rsid w:val="009D700C"/>
    <w:rsid w:val="009E185A"/>
    <w:rsid w:val="009E2DD3"/>
    <w:rsid w:val="009E3752"/>
    <w:rsid w:val="009F34D1"/>
    <w:rsid w:val="00A00D51"/>
    <w:rsid w:val="00A030EB"/>
    <w:rsid w:val="00A057BE"/>
    <w:rsid w:val="00A10470"/>
    <w:rsid w:val="00A167F5"/>
    <w:rsid w:val="00A175F4"/>
    <w:rsid w:val="00A22271"/>
    <w:rsid w:val="00A26169"/>
    <w:rsid w:val="00A26FD3"/>
    <w:rsid w:val="00A312CA"/>
    <w:rsid w:val="00A43002"/>
    <w:rsid w:val="00A460D9"/>
    <w:rsid w:val="00A46C56"/>
    <w:rsid w:val="00A52D67"/>
    <w:rsid w:val="00A61FC6"/>
    <w:rsid w:val="00A6463C"/>
    <w:rsid w:val="00A65A08"/>
    <w:rsid w:val="00A67465"/>
    <w:rsid w:val="00A81733"/>
    <w:rsid w:val="00A844C7"/>
    <w:rsid w:val="00A855A1"/>
    <w:rsid w:val="00A90611"/>
    <w:rsid w:val="00A93ED3"/>
    <w:rsid w:val="00A948D5"/>
    <w:rsid w:val="00AA4C9A"/>
    <w:rsid w:val="00AA6D0C"/>
    <w:rsid w:val="00AB143D"/>
    <w:rsid w:val="00AB29CC"/>
    <w:rsid w:val="00AB378F"/>
    <w:rsid w:val="00AB5A91"/>
    <w:rsid w:val="00AC51AE"/>
    <w:rsid w:val="00AD3443"/>
    <w:rsid w:val="00AD5073"/>
    <w:rsid w:val="00AE47FB"/>
    <w:rsid w:val="00AF4E24"/>
    <w:rsid w:val="00B06C60"/>
    <w:rsid w:val="00B172C1"/>
    <w:rsid w:val="00B26C17"/>
    <w:rsid w:val="00B320E6"/>
    <w:rsid w:val="00B32252"/>
    <w:rsid w:val="00B34B2F"/>
    <w:rsid w:val="00B41B78"/>
    <w:rsid w:val="00B42BFF"/>
    <w:rsid w:val="00B54163"/>
    <w:rsid w:val="00B572EB"/>
    <w:rsid w:val="00B612D0"/>
    <w:rsid w:val="00B6229E"/>
    <w:rsid w:val="00B634C2"/>
    <w:rsid w:val="00B66974"/>
    <w:rsid w:val="00B714B8"/>
    <w:rsid w:val="00B77BBB"/>
    <w:rsid w:val="00B91DED"/>
    <w:rsid w:val="00BA21D7"/>
    <w:rsid w:val="00BB1EAB"/>
    <w:rsid w:val="00BC0B89"/>
    <w:rsid w:val="00BC6432"/>
    <w:rsid w:val="00BD00FB"/>
    <w:rsid w:val="00BD116D"/>
    <w:rsid w:val="00BE468F"/>
    <w:rsid w:val="00BF0155"/>
    <w:rsid w:val="00BF55E4"/>
    <w:rsid w:val="00BF5651"/>
    <w:rsid w:val="00C008E8"/>
    <w:rsid w:val="00C02DDC"/>
    <w:rsid w:val="00C05ED3"/>
    <w:rsid w:val="00C100A3"/>
    <w:rsid w:val="00C13C69"/>
    <w:rsid w:val="00C211AA"/>
    <w:rsid w:val="00C2613F"/>
    <w:rsid w:val="00C2659A"/>
    <w:rsid w:val="00C34351"/>
    <w:rsid w:val="00C44212"/>
    <w:rsid w:val="00C51DE6"/>
    <w:rsid w:val="00C61206"/>
    <w:rsid w:val="00C66CDA"/>
    <w:rsid w:val="00C7018D"/>
    <w:rsid w:val="00C72449"/>
    <w:rsid w:val="00C730F3"/>
    <w:rsid w:val="00C80A34"/>
    <w:rsid w:val="00C8355F"/>
    <w:rsid w:val="00C86A67"/>
    <w:rsid w:val="00C873BC"/>
    <w:rsid w:val="00C87C52"/>
    <w:rsid w:val="00C94FAD"/>
    <w:rsid w:val="00CA0FAD"/>
    <w:rsid w:val="00CA2D32"/>
    <w:rsid w:val="00CA347A"/>
    <w:rsid w:val="00CA34FF"/>
    <w:rsid w:val="00CA3B8B"/>
    <w:rsid w:val="00CA5456"/>
    <w:rsid w:val="00CC2B1A"/>
    <w:rsid w:val="00CC472A"/>
    <w:rsid w:val="00CC696E"/>
    <w:rsid w:val="00CD22FD"/>
    <w:rsid w:val="00CD4654"/>
    <w:rsid w:val="00CF48D8"/>
    <w:rsid w:val="00D02483"/>
    <w:rsid w:val="00D05500"/>
    <w:rsid w:val="00D06845"/>
    <w:rsid w:val="00D170A8"/>
    <w:rsid w:val="00D23EBB"/>
    <w:rsid w:val="00D3370F"/>
    <w:rsid w:val="00D33BDC"/>
    <w:rsid w:val="00D416A8"/>
    <w:rsid w:val="00D426B6"/>
    <w:rsid w:val="00D5196F"/>
    <w:rsid w:val="00D5434C"/>
    <w:rsid w:val="00D572D0"/>
    <w:rsid w:val="00D71D41"/>
    <w:rsid w:val="00D73FDD"/>
    <w:rsid w:val="00D8081D"/>
    <w:rsid w:val="00D80C37"/>
    <w:rsid w:val="00D81265"/>
    <w:rsid w:val="00D83C61"/>
    <w:rsid w:val="00D97A1A"/>
    <w:rsid w:val="00DA0D2C"/>
    <w:rsid w:val="00DA3F48"/>
    <w:rsid w:val="00DA7184"/>
    <w:rsid w:val="00DB50F8"/>
    <w:rsid w:val="00DB6B09"/>
    <w:rsid w:val="00DC45EE"/>
    <w:rsid w:val="00DD5CB4"/>
    <w:rsid w:val="00DE6E8D"/>
    <w:rsid w:val="00E017D6"/>
    <w:rsid w:val="00E051A3"/>
    <w:rsid w:val="00E1562F"/>
    <w:rsid w:val="00E2040A"/>
    <w:rsid w:val="00E21358"/>
    <w:rsid w:val="00E24C90"/>
    <w:rsid w:val="00E25A7F"/>
    <w:rsid w:val="00E3377C"/>
    <w:rsid w:val="00E3788A"/>
    <w:rsid w:val="00E63EC4"/>
    <w:rsid w:val="00E66F12"/>
    <w:rsid w:val="00E70B68"/>
    <w:rsid w:val="00E83937"/>
    <w:rsid w:val="00E8495A"/>
    <w:rsid w:val="00E90538"/>
    <w:rsid w:val="00EA0C81"/>
    <w:rsid w:val="00EA2E59"/>
    <w:rsid w:val="00EA4CA4"/>
    <w:rsid w:val="00EA65D6"/>
    <w:rsid w:val="00EB0823"/>
    <w:rsid w:val="00EB738A"/>
    <w:rsid w:val="00EC1EBB"/>
    <w:rsid w:val="00EC6C91"/>
    <w:rsid w:val="00ED20EE"/>
    <w:rsid w:val="00ED2AE5"/>
    <w:rsid w:val="00F021CC"/>
    <w:rsid w:val="00F1291F"/>
    <w:rsid w:val="00F139BC"/>
    <w:rsid w:val="00F15E79"/>
    <w:rsid w:val="00F16C35"/>
    <w:rsid w:val="00F2634F"/>
    <w:rsid w:val="00F349A5"/>
    <w:rsid w:val="00F4776F"/>
    <w:rsid w:val="00F515AA"/>
    <w:rsid w:val="00F51665"/>
    <w:rsid w:val="00F54C5B"/>
    <w:rsid w:val="00F63084"/>
    <w:rsid w:val="00F7102C"/>
    <w:rsid w:val="00F745AF"/>
    <w:rsid w:val="00F75F02"/>
    <w:rsid w:val="00F81B5D"/>
    <w:rsid w:val="00F87502"/>
    <w:rsid w:val="00F9013F"/>
    <w:rsid w:val="00F91070"/>
    <w:rsid w:val="00F91921"/>
    <w:rsid w:val="00FA4B3F"/>
    <w:rsid w:val="00FA6AA0"/>
    <w:rsid w:val="00FB19B5"/>
    <w:rsid w:val="00FB5387"/>
    <w:rsid w:val="00FB560E"/>
    <w:rsid w:val="00FB76F0"/>
    <w:rsid w:val="00FB7A18"/>
    <w:rsid w:val="00FC32E1"/>
    <w:rsid w:val="00FC6D74"/>
    <w:rsid w:val="00FD2FAB"/>
    <w:rsid w:val="00FD7091"/>
    <w:rsid w:val="00FE1393"/>
    <w:rsid w:val="00FE181A"/>
    <w:rsid w:val="00FE3FFC"/>
    <w:rsid w:val="00FE7CAB"/>
    <w:rsid w:val="00FF0464"/>
    <w:rsid w:val="00FF2699"/>
  </w:rsids>
  <m:mathPr>
    <m:mathFont m:val="Cambria Math"/>
    <m:brkBin m:val="before"/>
    <m:brkBinSub m:val="--"/>
    <m:smallFrac m:val="0"/>
    <m:dispDef/>
    <m:lMargin m:val="0"/>
    <m:rMargin m:val="0"/>
    <m:defJc m:val="centerGroup"/>
    <m:wrapIndent m:val="1440"/>
    <m:intLim m:val="subSup"/>
    <m:naryLim m:val="undOvr"/>
  </m:mathPr>
  <w:themeFontLang w:val="pl-P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2332914B"/>
  <w15:docId w15:val="{348EED56-838F-405C-9F4F-20840A484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360"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06EC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F4E2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F4E24"/>
    <w:rPr>
      <w:rFonts w:ascii="Lucida Grande" w:hAnsi="Lucida Grande" w:cs="Lucida Grande"/>
      <w:sz w:val="18"/>
      <w:szCs w:val="18"/>
    </w:rPr>
  </w:style>
  <w:style w:type="character" w:styleId="CommentReference">
    <w:name w:val="annotation reference"/>
    <w:basedOn w:val="DefaultParagraphFont"/>
    <w:uiPriority w:val="99"/>
    <w:semiHidden/>
    <w:unhideWhenUsed/>
    <w:rsid w:val="002F52B9"/>
    <w:rPr>
      <w:sz w:val="18"/>
      <w:szCs w:val="18"/>
    </w:rPr>
  </w:style>
  <w:style w:type="paragraph" w:styleId="CommentText">
    <w:name w:val="annotation text"/>
    <w:basedOn w:val="Normal"/>
    <w:link w:val="CommentTextChar"/>
    <w:uiPriority w:val="99"/>
    <w:semiHidden/>
    <w:unhideWhenUsed/>
    <w:rsid w:val="002F52B9"/>
    <w:pPr>
      <w:spacing w:line="240" w:lineRule="auto"/>
    </w:pPr>
    <w:rPr>
      <w:sz w:val="24"/>
      <w:szCs w:val="24"/>
    </w:rPr>
  </w:style>
  <w:style w:type="character" w:customStyle="1" w:styleId="CommentTextChar">
    <w:name w:val="Comment Text Char"/>
    <w:basedOn w:val="DefaultParagraphFont"/>
    <w:link w:val="CommentText"/>
    <w:uiPriority w:val="99"/>
    <w:semiHidden/>
    <w:rsid w:val="002F52B9"/>
    <w:rPr>
      <w:sz w:val="24"/>
      <w:szCs w:val="24"/>
    </w:rPr>
  </w:style>
  <w:style w:type="paragraph" w:styleId="CommentSubject">
    <w:name w:val="annotation subject"/>
    <w:basedOn w:val="CommentText"/>
    <w:next w:val="CommentText"/>
    <w:link w:val="CommentSubjectChar"/>
    <w:uiPriority w:val="99"/>
    <w:semiHidden/>
    <w:unhideWhenUsed/>
    <w:rsid w:val="002F52B9"/>
    <w:rPr>
      <w:b/>
      <w:bCs/>
      <w:sz w:val="20"/>
      <w:szCs w:val="20"/>
    </w:rPr>
  </w:style>
  <w:style w:type="character" w:customStyle="1" w:styleId="CommentSubjectChar">
    <w:name w:val="Comment Subject Char"/>
    <w:basedOn w:val="CommentTextChar"/>
    <w:link w:val="CommentSubject"/>
    <w:uiPriority w:val="99"/>
    <w:semiHidden/>
    <w:rsid w:val="002F52B9"/>
    <w:rPr>
      <w:b/>
      <w:bCs/>
      <w:sz w:val="20"/>
      <w:szCs w:val="20"/>
    </w:rPr>
  </w:style>
  <w:style w:type="character" w:styleId="Hyperlink">
    <w:name w:val="Hyperlink"/>
    <w:basedOn w:val="DefaultParagraphFont"/>
    <w:uiPriority w:val="99"/>
    <w:unhideWhenUsed/>
    <w:rsid w:val="00AB378F"/>
    <w:rPr>
      <w:color w:val="0563C1" w:themeColor="hyperlink"/>
      <w:u w:val="single"/>
    </w:rPr>
  </w:style>
  <w:style w:type="paragraph" w:styleId="Header">
    <w:name w:val="header"/>
    <w:basedOn w:val="Normal"/>
    <w:link w:val="HeaderChar"/>
    <w:uiPriority w:val="99"/>
    <w:unhideWhenUsed/>
    <w:rsid w:val="00434E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4E8F"/>
  </w:style>
  <w:style w:type="paragraph" w:styleId="Footer">
    <w:name w:val="footer"/>
    <w:basedOn w:val="Normal"/>
    <w:link w:val="FooterChar"/>
    <w:uiPriority w:val="99"/>
    <w:unhideWhenUsed/>
    <w:rsid w:val="00434E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4E8F"/>
  </w:style>
  <w:style w:type="character" w:styleId="LineNumber">
    <w:name w:val="line number"/>
    <w:basedOn w:val="DefaultParagraphFont"/>
    <w:uiPriority w:val="99"/>
    <w:semiHidden/>
    <w:unhideWhenUsed/>
    <w:rsid w:val="00434E8F"/>
  </w:style>
  <w:style w:type="table" w:styleId="TableGrid">
    <w:name w:val="Table Grid"/>
    <w:basedOn w:val="TableNormal"/>
    <w:uiPriority w:val="39"/>
    <w:rsid w:val="00A46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77B75"/>
    <w:rPr>
      <w:color w:val="808080"/>
    </w:rPr>
  </w:style>
  <w:style w:type="paragraph" w:styleId="ListParagraph">
    <w:name w:val="List Paragraph"/>
    <w:basedOn w:val="Normal"/>
    <w:uiPriority w:val="34"/>
    <w:qFormat/>
    <w:rsid w:val="00C100A3"/>
    <w:pPr>
      <w:ind w:left="720"/>
      <w:contextualSpacing/>
    </w:pPr>
  </w:style>
  <w:style w:type="character" w:customStyle="1" w:styleId="UnresolvedMention1">
    <w:name w:val="Unresolved Mention1"/>
    <w:basedOn w:val="DefaultParagraphFont"/>
    <w:uiPriority w:val="99"/>
    <w:semiHidden/>
    <w:unhideWhenUsed/>
    <w:rsid w:val="0057642F"/>
    <w:rPr>
      <w:color w:val="605E5C"/>
      <w:shd w:val="clear" w:color="auto" w:fill="E1DFDD"/>
    </w:rPr>
  </w:style>
  <w:style w:type="paragraph" w:styleId="HTMLPreformatted">
    <w:name w:val="HTML Preformatted"/>
    <w:basedOn w:val="Normal"/>
    <w:link w:val="HTMLPreformattedChar"/>
    <w:uiPriority w:val="99"/>
    <w:semiHidden/>
    <w:unhideWhenUsed/>
    <w:rsid w:val="00C44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C44212"/>
    <w:rPr>
      <w:rFonts w:ascii="Courier New" w:eastAsia="Times New Roman" w:hAnsi="Courier New" w:cs="Courier New"/>
      <w:sz w:val="20"/>
      <w:szCs w:val="20"/>
      <w:lang w:val="en-GB" w:eastAsia="en-GB"/>
    </w:rPr>
  </w:style>
  <w:style w:type="character" w:customStyle="1" w:styleId="gnkrckgcgsb">
    <w:name w:val="gnkrckgcgsb"/>
    <w:basedOn w:val="DefaultParagraphFont"/>
    <w:rsid w:val="00C44212"/>
  </w:style>
  <w:style w:type="paragraph" w:styleId="Revision">
    <w:name w:val="Revision"/>
    <w:hidden/>
    <w:uiPriority w:val="99"/>
    <w:semiHidden/>
    <w:rsid w:val="002D5C90"/>
    <w:pPr>
      <w:spacing w:after="0" w:line="240" w:lineRule="auto"/>
    </w:pPr>
  </w:style>
  <w:style w:type="paragraph" w:styleId="NormalWeb">
    <w:name w:val="Normal (Web)"/>
    <w:basedOn w:val="Normal"/>
    <w:uiPriority w:val="99"/>
    <w:semiHidden/>
    <w:unhideWhenUsed/>
    <w:rsid w:val="008028A9"/>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Emphasis">
    <w:name w:val="Emphasis"/>
    <w:basedOn w:val="DefaultParagraphFont"/>
    <w:uiPriority w:val="20"/>
    <w:qFormat/>
    <w:rsid w:val="008028A9"/>
    <w:rPr>
      <w:i/>
      <w:iCs/>
    </w:rPr>
  </w:style>
  <w:style w:type="paragraph" w:customStyle="1" w:styleId="EndNoteBibliographyTitle">
    <w:name w:val="EndNote Bibliography Title"/>
    <w:basedOn w:val="Normal"/>
    <w:link w:val="EndNoteBibliographyTitleChar"/>
    <w:rsid w:val="00A167F5"/>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167F5"/>
    <w:rPr>
      <w:rFonts w:ascii="Calibri" w:hAnsi="Calibri" w:cs="Calibri"/>
      <w:noProof/>
      <w:lang w:val="en-US"/>
    </w:rPr>
  </w:style>
  <w:style w:type="paragraph" w:customStyle="1" w:styleId="EndNoteBibliography">
    <w:name w:val="EndNote Bibliography"/>
    <w:basedOn w:val="Normal"/>
    <w:link w:val="EndNoteBibliographyChar"/>
    <w:rsid w:val="00A167F5"/>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A167F5"/>
    <w:rPr>
      <w:rFonts w:ascii="Calibri" w:hAnsi="Calibri" w:cs="Calibri"/>
      <w:noProof/>
      <w:lang w:val="en-US"/>
    </w:rPr>
  </w:style>
  <w:style w:type="character" w:customStyle="1" w:styleId="UnresolvedMention2">
    <w:name w:val="Unresolved Mention2"/>
    <w:basedOn w:val="DefaultParagraphFont"/>
    <w:uiPriority w:val="99"/>
    <w:semiHidden/>
    <w:unhideWhenUsed/>
    <w:rsid w:val="00A167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891295">
      <w:bodyDiv w:val="1"/>
      <w:marLeft w:val="0"/>
      <w:marRight w:val="0"/>
      <w:marTop w:val="0"/>
      <w:marBottom w:val="0"/>
      <w:divBdr>
        <w:top w:val="none" w:sz="0" w:space="0" w:color="auto"/>
        <w:left w:val="none" w:sz="0" w:space="0" w:color="auto"/>
        <w:bottom w:val="none" w:sz="0" w:space="0" w:color="auto"/>
        <w:right w:val="none" w:sz="0" w:space="0" w:color="auto"/>
      </w:divBdr>
    </w:div>
    <w:div w:id="337006182">
      <w:bodyDiv w:val="1"/>
      <w:marLeft w:val="0"/>
      <w:marRight w:val="0"/>
      <w:marTop w:val="0"/>
      <w:marBottom w:val="0"/>
      <w:divBdr>
        <w:top w:val="none" w:sz="0" w:space="0" w:color="auto"/>
        <w:left w:val="none" w:sz="0" w:space="0" w:color="auto"/>
        <w:bottom w:val="none" w:sz="0" w:space="0" w:color="auto"/>
        <w:right w:val="none" w:sz="0" w:space="0" w:color="auto"/>
      </w:divBdr>
    </w:div>
    <w:div w:id="340469043">
      <w:bodyDiv w:val="1"/>
      <w:marLeft w:val="0"/>
      <w:marRight w:val="0"/>
      <w:marTop w:val="0"/>
      <w:marBottom w:val="0"/>
      <w:divBdr>
        <w:top w:val="none" w:sz="0" w:space="0" w:color="auto"/>
        <w:left w:val="none" w:sz="0" w:space="0" w:color="auto"/>
        <w:bottom w:val="none" w:sz="0" w:space="0" w:color="auto"/>
        <w:right w:val="none" w:sz="0" w:space="0" w:color="auto"/>
      </w:divBdr>
    </w:div>
    <w:div w:id="360204155">
      <w:bodyDiv w:val="1"/>
      <w:marLeft w:val="0"/>
      <w:marRight w:val="0"/>
      <w:marTop w:val="0"/>
      <w:marBottom w:val="0"/>
      <w:divBdr>
        <w:top w:val="none" w:sz="0" w:space="0" w:color="auto"/>
        <w:left w:val="none" w:sz="0" w:space="0" w:color="auto"/>
        <w:bottom w:val="none" w:sz="0" w:space="0" w:color="auto"/>
        <w:right w:val="none" w:sz="0" w:space="0" w:color="auto"/>
      </w:divBdr>
    </w:div>
    <w:div w:id="377629415">
      <w:bodyDiv w:val="1"/>
      <w:marLeft w:val="0"/>
      <w:marRight w:val="0"/>
      <w:marTop w:val="0"/>
      <w:marBottom w:val="0"/>
      <w:divBdr>
        <w:top w:val="none" w:sz="0" w:space="0" w:color="auto"/>
        <w:left w:val="none" w:sz="0" w:space="0" w:color="auto"/>
        <w:bottom w:val="none" w:sz="0" w:space="0" w:color="auto"/>
        <w:right w:val="none" w:sz="0" w:space="0" w:color="auto"/>
      </w:divBdr>
    </w:div>
    <w:div w:id="414934592">
      <w:bodyDiv w:val="1"/>
      <w:marLeft w:val="0"/>
      <w:marRight w:val="0"/>
      <w:marTop w:val="0"/>
      <w:marBottom w:val="0"/>
      <w:divBdr>
        <w:top w:val="none" w:sz="0" w:space="0" w:color="auto"/>
        <w:left w:val="none" w:sz="0" w:space="0" w:color="auto"/>
        <w:bottom w:val="none" w:sz="0" w:space="0" w:color="auto"/>
        <w:right w:val="none" w:sz="0" w:space="0" w:color="auto"/>
      </w:divBdr>
    </w:div>
    <w:div w:id="501625496">
      <w:bodyDiv w:val="1"/>
      <w:marLeft w:val="0"/>
      <w:marRight w:val="0"/>
      <w:marTop w:val="0"/>
      <w:marBottom w:val="0"/>
      <w:divBdr>
        <w:top w:val="none" w:sz="0" w:space="0" w:color="auto"/>
        <w:left w:val="none" w:sz="0" w:space="0" w:color="auto"/>
        <w:bottom w:val="none" w:sz="0" w:space="0" w:color="auto"/>
        <w:right w:val="none" w:sz="0" w:space="0" w:color="auto"/>
      </w:divBdr>
      <w:divsChild>
        <w:div w:id="1415280926">
          <w:marLeft w:val="0"/>
          <w:marRight w:val="0"/>
          <w:marTop w:val="0"/>
          <w:marBottom w:val="0"/>
          <w:divBdr>
            <w:top w:val="none" w:sz="0" w:space="0" w:color="auto"/>
            <w:left w:val="none" w:sz="0" w:space="0" w:color="auto"/>
            <w:bottom w:val="none" w:sz="0" w:space="0" w:color="auto"/>
            <w:right w:val="none" w:sz="0" w:space="0" w:color="auto"/>
          </w:divBdr>
          <w:divsChild>
            <w:div w:id="88081971">
              <w:marLeft w:val="0"/>
              <w:marRight w:val="0"/>
              <w:marTop w:val="0"/>
              <w:marBottom w:val="0"/>
              <w:divBdr>
                <w:top w:val="none" w:sz="0" w:space="0" w:color="auto"/>
                <w:left w:val="none" w:sz="0" w:space="0" w:color="auto"/>
                <w:bottom w:val="none" w:sz="0" w:space="0" w:color="auto"/>
                <w:right w:val="none" w:sz="0" w:space="0" w:color="auto"/>
              </w:divBdr>
              <w:divsChild>
                <w:div w:id="2023428658">
                  <w:marLeft w:val="0"/>
                  <w:marRight w:val="0"/>
                  <w:marTop w:val="0"/>
                  <w:marBottom w:val="0"/>
                  <w:divBdr>
                    <w:top w:val="none" w:sz="0" w:space="0" w:color="auto"/>
                    <w:left w:val="none" w:sz="0" w:space="0" w:color="auto"/>
                    <w:bottom w:val="none" w:sz="0" w:space="0" w:color="auto"/>
                    <w:right w:val="none" w:sz="0" w:space="0" w:color="auto"/>
                  </w:divBdr>
                  <w:divsChild>
                    <w:div w:id="1655379359">
                      <w:marLeft w:val="0"/>
                      <w:marRight w:val="0"/>
                      <w:marTop w:val="0"/>
                      <w:marBottom w:val="0"/>
                      <w:divBdr>
                        <w:top w:val="none" w:sz="0" w:space="0" w:color="auto"/>
                        <w:left w:val="none" w:sz="0" w:space="0" w:color="auto"/>
                        <w:bottom w:val="none" w:sz="0" w:space="0" w:color="auto"/>
                        <w:right w:val="none" w:sz="0" w:space="0" w:color="auto"/>
                      </w:divBdr>
                      <w:divsChild>
                        <w:div w:id="1314408469">
                          <w:marLeft w:val="0"/>
                          <w:marRight w:val="0"/>
                          <w:marTop w:val="0"/>
                          <w:marBottom w:val="0"/>
                          <w:divBdr>
                            <w:top w:val="none" w:sz="0" w:space="0" w:color="auto"/>
                            <w:left w:val="none" w:sz="0" w:space="0" w:color="auto"/>
                            <w:bottom w:val="none" w:sz="0" w:space="0" w:color="auto"/>
                            <w:right w:val="none" w:sz="0" w:space="0" w:color="auto"/>
                          </w:divBdr>
                          <w:divsChild>
                            <w:div w:id="1318801379">
                              <w:marLeft w:val="15"/>
                              <w:marRight w:val="195"/>
                              <w:marTop w:val="0"/>
                              <w:marBottom w:val="0"/>
                              <w:divBdr>
                                <w:top w:val="none" w:sz="0" w:space="0" w:color="auto"/>
                                <w:left w:val="none" w:sz="0" w:space="0" w:color="auto"/>
                                <w:bottom w:val="none" w:sz="0" w:space="0" w:color="auto"/>
                                <w:right w:val="none" w:sz="0" w:space="0" w:color="auto"/>
                              </w:divBdr>
                              <w:divsChild>
                                <w:div w:id="866796984">
                                  <w:marLeft w:val="0"/>
                                  <w:marRight w:val="0"/>
                                  <w:marTop w:val="0"/>
                                  <w:marBottom w:val="0"/>
                                  <w:divBdr>
                                    <w:top w:val="none" w:sz="0" w:space="0" w:color="auto"/>
                                    <w:left w:val="none" w:sz="0" w:space="0" w:color="auto"/>
                                    <w:bottom w:val="none" w:sz="0" w:space="0" w:color="auto"/>
                                    <w:right w:val="none" w:sz="0" w:space="0" w:color="auto"/>
                                  </w:divBdr>
                                  <w:divsChild>
                                    <w:div w:id="1541626984">
                                      <w:marLeft w:val="0"/>
                                      <w:marRight w:val="0"/>
                                      <w:marTop w:val="0"/>
                                      <w:marBottom w:val="0"/>
                                      <w:divBdr>
                                        <w:top w:val="none" w:sz="0" w:space="0" w:color="auto"/>
                                        <w:left w:val="none" w:sz="0" w:space="0" w:color="auto"/>
                                        <w:bottom w:val="none" w:sz="0" w:space="0" w:color="auto"/>
                                        <w:right w:val="none" w:sz="0" w:space="0" w:color="auto"/>
                                      </w:divBdr>
                                      <w:divsChild>
                                        <w:div w:id="199244713">
                                          <w:marLeft w:val="0"/>
                                          <w:marRight w:val="0"/>
                                          <w:marTop w:val="0"/>
                                          <w:marBottom w:val="0"/>
                                          <w:divBdr>
                                            <w:top w:val="none" w:sz="0" w:space="0" w:color="auto"/>
                                            <w:left w:val="none" w:sz="0" w:space="0" w:color="auto"/>
                                            <w:bottom w:val="none" w:sz="0" w:space="0" w:color="auto"/>
                                            <w:right w:val="none" w:sz="0" w:space="0" w:color="auto"/>
                                          </w:divBdr>
                                          <w:divsChild>
                                            <w:div w:id="1274820068">
                                              <w:marLeft w:val="0"/>
                                              <w:marRight w:val="0"/>
                                              <w:marTop w:val="0"/>
                                              <w:marBottom w:val="0"/>
                                              <w:divBdr>
                                                <w:top w:val="none" w:sz="0" w:space="0" w:color="auto"/>
                                                <w:left w:val="none" w:sz="0" w:space="0" w:color="auto"/>
                                                <w:bottom w:val="none" w:sz="0" w:space="0" w:color="auto"/>
                                                <w:right w:val="none" w:sz="0" w:space="0" w:color="auto"/>
                                              </w:divBdr>
                                              <w:divsChild>
                                                <w:div w:id="1061976992">
                                                  <w:marLeft w:val="0"/>
                                                  <w:marRight w:val="0"/>
                                                  <w:marTop w:val="0"/>
                                                  <w:marBottom w:val="0"/>
                                                  <w:divBdr>
                                                    <w:top w:val="none" w:sz="0" w:space="0" w:color="auto"/>
                                                    <w:left w:val="none" w:sz="0" w:space="0" w:color="auto"/>
                                                    <w:bottom w:val="none" w:sz="0" w:space="0" w:color="auto"/>
                                                    <w:right w:val="none" w:sz="0" w:space="0" w:color="auto"/>
                                                  </w:divBdr>
                                                  <w:divsChild>
                                                    <w:div w:id="870918135">
                                                      <w:marLeft w:val="0"/>
                                                      <w:marRight w:val="0"/>
                                                      <w:marTop w:val="0"/>
                                                      <w:marBottom w:val="0"/>
                                                      <w:divBdr>
                                                        <w:top w:val="none" w:sz="0" w:space="0" w:color="auto"/>
                                                        <w:left w:val="none" w:sz="0" w:space="0" w:color="auto"/>
                                                        <w:bottom w:val="none" w:sz="0" w:space="0" w:color="auto"/>
                                                        <w:right w:val="none" w:sz="0" w:space="0" w:color="auto"/>
                                                      </w:divBdr>
                                                      <w:divsChild>
                                                        <w:div w:id="47383607">
                                                          <w:marLeft w:val="0"/>
                                                          <w:marRight w:val="0"/>
                                                          <w:marTop w:val="0"/>
                                                          <w:marBottom w:val="0"/>
                                                          <w:divBdr>
                                                            <w:top w:val="none" w:sz="0" w:space="0" w:color="auto"/>
                                                            <w:left w:val="none" w:sz="0" w:space="0" w:color="auto"/>
                                                            <w:bottom w:val="none" w:sz="0" w:space="0" w:color="auto"/>
                                                            <w:right w:val="none" w:sz="0" w:space="0" w:color="auto"/>
                                                          </w:divBdr>
                                                          <w:divsChild>
                                                            <w:div w:id="1443650026">
                                                              <w:marLeft w:val="0"/>
                                                              <w:marRight w:val="0"/>
                                                              <w:marTop w:val="0"/>
                                                              <w:marBottom w:val="0"/>
                                                              <w:divBdr>
                                                                <w:top w:val="none" w:sz="0" w:space="0" w:color="auto"/>
                                                                <w:left w:val="none" w:sz="0" w:space="0" w:color="auto"/>
                                                                <w:bottom w:val="none" w:sz="0" w:space="0" w:color="auto"/>
                                                                <w:right w:val="none" w:sz="0" w:space="0" w:color="auto"/>
                                                              </w:divBdr>
                                                              <w:divsChild>
                                                                <w:div w:id="69891106">
                                                                  <w:marLeft w:val="0"/>
                                                                  <w:marRight w:val="0"/>
                                                                  <w:marTop w:val="0"/>
                                                                  <w:marBottom w:val="0"/>
                                                                  <w:divBdr>
                                                                    <w:top w:val="none" w:sz="0" w:space="0" w:color="auto"/>
                                                                    <w:left w:val="none" w:sz="0" w:space="0" w:color="auto"/>
                                                                    <w:bottom w:val="none" w:sz="0" w:space="0" w:color="auto"/>
                                                                    <w:right w:val="none" w:sz="0" w:space="0" w:color="auto"/>
                                                                  </w:divBdr>
                                                                  <w:divsChild>
                                                                    <w:div w:id="30031750">
                                                                      <w:marLeft w:val="405"/>
                                                                      <w:marRight w:val="0"/>
                                                                      <w:marTop w:val="0"/>
                                                                      <w:marBottom w:val="0"/>
                                                                      <w:divBdr>
                                                                        <w:top w:val="none" w:sz="0" w:space="0" w:color="auto"/>
                                                                        <w:left w:val="none" w:sz="0" w:space="0" w:color="auto"/>
                                                                        <w:bottom w:val="none" w:sz="0" w:space="0" w:color="auto"/>
                                                                        <w:right w:val="none" w:sz="0" w:space="0" w:color="auto"/>
                                                                      </w:divBdr>
                                                                      <w:divsChild>
                                                                        <w:div w:id="433399000">
                                                                          <w:marLeft w:val="0"/>
                                                                          <w:marRight w:val="0"/>
                                                                          <w:marTop w:val="0"/>
                                                                          <w:marBottom w:val="0"/>
                                                                          <w:divBdr>
                                                                            <w:top w:val="none" w:sz="0" w:space="0" w:color="auto"/>
                                                                            <w:left w:val="none" w:sz="0" w:space="0" w:color="auto"/>
                                                                            <w:bottom w:val="none" w:sz="0" w:space="0" w:color="auto"/>
                                                                            <w:right w:val="none" w:sz="0" w:space="0" w:color="auto"/>
                                                                          </w:divBdr>
                                                                          <w:divsChild>
                                                                            <w:div w:id="340199925">
                                                                              <w:marLeft w:val="0"/>
                                                                              <w:marRight w:val="0"/>
                                                                              <w:marTop w:val="0"/>
                                                                              <w:marBottom w:val="0"/>
                                                                              <w:divBdr>
                                                                                <w:top w:val="none" w:sz="0" w:space="0" w:color="auto"/>
                                                                                <w:left w:val="none" w:sz="0" w:space="0" w:color="auto"/>
                                                                                <w:bottom w:val="none" w:sz="0" w:space="0" w:color="auto"/>
                                                                                <w:right w:val="none" w:sz="0" w:space="0" w:color="auto"/>
                                                                              </w:divBdr>
                                                                              <w:divsChild>
                                                                                <w:div w:id="743768368">
                                                                                  <w:marLeft w:val="0"/>
                                                                                  <w:marRight w:val="0"/>
                                                                                  <w:marTop w:val="0"/>
                                                                                  <w:marBottom w:val="0"/>
                                                                                  <w:divBdr>
                                                                                    <w:top w:val="none" w:sz="0" w:space="0" w:color="auto"/>
                                                                                    <w:left w:val="none" w:sz="0" w:space="0" w:color="auto"/>
                                                                                    <w:bottom w:val="none" w:sz="0" w:space="0" w:color="auto"/>
                                                                                    <w:right w:val="none" w:sz="0" w:space="0" w:color="auto"/>
                                                                                  </w:divBdr>
                                                                                  <w:divsChild>
                                                                                    <w:div w:id="216284289">
                                                                                      <w:marLeft w:val="0"/>
                                                                                      <w:marRight w:val="0"/>
                                                                                      <w:marTop w:val="0"/>
                                                                                      <w:marBottom w:val="0"/>
                                                                                      <w:divBdr>
                                                                                        <w:top w:val="none" w:sz="0" w:space="0" w:color="auto"/>
                                                                                        <w:left w:val="none" w:sz="0" w:space="0" w:color="auto"/>
                                                                                        <w:bottom w:val="none" w:sz="0" w:space="0" w:color="auto"/>
                                                                                        <w:right w:val="none" w:sz="0" w:space="0" w:color="auto"/>
                                                                                      </w:divBdr>
                                                                                      <w:divsChild>
                                                                                        <w:div w:id="318845572">
                                                                                          <w:marLeft w:val="0"/>
                                                                                          <w:marRight w:val="0"/>
                                                                                          <w:marTop w:val="0"/>
                                                                                          <w:marBottom w:val="0"/>
                                                                                          <w:divBdr>
                                                                                            <w:top w:val="none" w:sz="0" w:space="0" w:color="auto"/>
                                                                                            <w:left w:val="none" w:sz="0" w:space="0" w:color="auto"/>
                                                                                            <w:bottom w:val="none" w:sz="0" w:space="0" w:color="auto"/>
                                                                                            <w:right w:val="none" w:sz="0" w:space="0" w:color="auto"/>
                                                                                          </w:divBdr>
                                                                                          <w:divsChild>
                                                                                            <w:div w:id="779839539">
                                                                                              <w:marLeft w:val="0"/>
                                                                                              <w:marRight w:val="0"/>
                                                                                              <w:marTop w:val="0"/>
                                                                                              <w:marBottom w:val="0"/>
                                                                                              <w:divBdr>
                                                                                                <w:top w:val="none" w:sz="0" w:space="0" w:color="auto"/>
                                                                                                <w:left w:val="none" w:sz="0" w:space="0" w:color="auto"/>
                                                                                                <w:bottom w:val="none" w:sz="0" w:space="0" w:color="auto"/>
                                                                                                <w:right w:val="none" w:sz="0" w:space="0" w:color="auto"/>
                                                                                              </w:divBdr>
                                                                                              <w:divsChild>
                                                                                                <w:div w:id="8677658">
                                                                                                  <w:marLeft w:val="0"/>
                                                                                                  <w:marRight w:val="0"/>
                                                                                                  <w:marTop w:val="0"/>
                                                                                                  <w:marBottom w:val="0"/>
                                                                                                  <w:divBdr>
                                                                                                    <w:top w:val="none" w:sz="0" w:space="0" w:color="auto"/>
                                                                                                    <w:left w:val="single" w:sz="12" w:space="8" w:color="auto"/>
                                                                                                    <w:bottom w:val="none" w:sz="0" w:space="0" w:color="auto"/>
                                                                                                    <w:right w:val="none" w:sz="0" w:space="0" w:color="auto"/>
                                                                                                  </w:divBdr>
                                                                                                  <w:divsChild>
                                                                                                    <w:div w:id="1809203978">
                                                                                                      <w:marLeft w:val="0"/>
                                                                                                      <w:marRight w:val="0"/>
                                                                                                      <w:marTop w:val="0"/>
                                                                                                      <w:marBottom w:val="0"/>
                                                                                                      <w:divBdr>
                                                                                                        <w:top w:val="none" w:sz="0" w:space="0" w:color="auto"/>
                                                                                                        <w:left w:val="none" w:sz="0" w:space="0" w:color="auto"/>
                                                                                                        <w:bottom w:val="none" w:sz="0" w:space="0" w:color="auto"/>
                                                                                                        <w:right w:val="none" w:sz="0" w:space="0" w:color="auto"/>
                                                                                                      </w:divBdr>
                                                                                                      <w:divsChild>
                                                                                                        <w:div w:id="1160774389">
                                                                                                          <w:marLeft w:val="0"/>
                                                                                                          <w:marRight w:val="0"/>
                                                                                                          <w:marTop w:val="0"/>
                                                                                                          <w:marBottom w:val="0"/>
                                                                                                          <w:divBdr>
                                                                                                            <w:top w:val="none" w:sz="0" w:space="0" w:color="auto"/>
                                                                                                            <w:left w:val="none" w:sz="0" w:space="0" w:color="auto"/>
                                                                                                            <w:bottom w:val="none" w:sz="0" w:space="0" w:color="auto"/>
                                                                                                            <w:right w:val="none" w:sz="0" w:space="0" w:color="auto"/>
                                                                                                          </w:divBdr>
                                                                                                          <w:divsChild>
                                                                                                            <w:div w:id="2085294847">
                                                                                                              <w:marLeft w:val="0"/>
                                                                                                              <w:marRight w:val="0"/>
                                                                                                              <w:marTop w:val="0"/>
                                                                                                              <w:marBottom w:val="0"/>
                                                                                                              <w:divBdr>
                                                                                                                <w:top w:val="none" w:sz="0" w:space="0" w:color="auto"/>
                                                                                                                <w:left w:val="none" w:sz="0" w:space="0" w:color="auto"/>
                                                                                                                <w:bottom w:val="none" w:sz="0" w:space="0" w:color="auto"/>
                                                                                                                <w:right w:val="none" w:sz="0" w:space="0" w:color="auto"/>
                                                                                                              </w:divBdr>
                                                                                                              <w:divsChild>
                                                                                                                <w:div w:id="1462111006">
                                                                                                                  <w:marLeft w:val="0"/>
                                                                                                                  <w:marRight w:val="0"/>
                                                                                                                  <w:marTop w:val="0"/>
                                                                                                                  <w:marBottom w:val="0"/>
                                                                                                                  <w:divBdr>
                                                                                                                    <w:top w:val="none" w:sz="0" w:space="0" w:color="auto"/>
                                                                                                                    <w:left w:val="none" w:sz="0" w:space="0" w:color="auto"/>
                                                                                                                    <w:bottom w:val="none" w:sz="0" w:space="0" w:color="auto"/>
                                                                                                                    <w:right w:val="none" w:sz="0" w:space="0" w:color="auto"/>
                                                                                                                  </w:divBdr>
                                                                                                                  <w:divsChild>
                                                                                                                    <w:div w:id="1520388183">
                                                                                                                      <w:marLeft w:val="0"/>
                                                                                                                      <w:marRight w:val="0"/>
                                                                                                                      <w:marTop w:val="0"/>
                                                                                                                      <w:marBottom w:val="0"/>
                                                                                                                      <w:divBdr>
                                                                                                                        <w:top w:val="none" w:sz="0" w:space="0" w:color="auto"/>
                                                                                                                        <w:left w:val="none" w:sz="0" w:space="0" w:color="auto"/>
                                                                                                                        <w:bottom w:val="none" w:sz="0" w:space="0" w:color="auto"/>
                                                                                                                        <w:right w:val="none" w:sz="0" w:space="0" w:color="auto"/>
                                                                                                                      </w:divBdr>
                                                                                                                      <w:divsChild>
                                                                                                                        <w:div w:id="530146537">
                                                                                                                          <w:marLeft w:val="0"/>
                                                                                                                          <w:marRight w:val="0"/>
                                                                                                                          <w:marTop w:val="0"/>
                                                                                                                          <w:marBottom w:val="0"/>
                                                                                                                          <w:divBdr>
                                                                                                                            <w:top w:val="none" w:sz="0" w:space="0" w:color="auto"/>
                                                                                                                            <w:left w:val="none" w:sz="0" w:space="0" w:color="auto"/>
                                                                                                                            <w:bottom w:val="none" w:sz="0" w:space="0" w:color="auto"/>
                                                                                                                            <w:right w:val="none" w:sz="0" w:space="0" w:color="auto"/>
                                                                                                                          </w:divBdr>
                                                                                                                          <w:divsChild>
                                                                                                                            <w:div w:id="504125096">
                                                                                                                              <w:marLeft w:val="0"/>
                                                                                                                              <w:marRight w:val="0"/>
                                                                                                                              <w:marTop w:val="0"/>
                                                                                                                              <w:marBottom w:val="0"/>
                                                                                                                              <w:divBdr>
                                                                                                                                <w:top w:val="none" w:sz="0" w:space="0" w:color="auto"/>
                                                                                                                                <w:left w:val="none" w:sz="0" w:space="0" w:color="auto"/>
                                                                                                                                <w:bottom w:val="none" w:sz="0" w:space="0" w:color="auto"/>
                                                                                                                                <w:right w:val="none" w:sz="0" w:space="0" w:color="auto"/>
                                                                                                                              </w:divBdr>
                                                                                                                              <w:divsChild>
                                                                                                                                <w:div w:id="1317032526">
                                                                                                                                  <w:marLeft w:val="0"/>
                                                                                                                                  <w:marRight w:val="0"/>
                                                                                                                                  <w:marTop w:val="0"/>
                                                                                                                                  <w:marBottom w:val="0"/>
                                                                                                                                  <w:divBdr>
                                                                                                                                    <w:top w:val="none" w:sz="0" w:space="0" w:color="auto"/>
                                                                                                                                    <w:left w:val="none" w:sz="0" w:space="0" w:color="auto"/>
                                                                                                                                    <w:bottom w:val="none" w:sz="0" w:space="0" w:color="auto"/>
                                                                                                                                    <w:right w:val="none" w:sz="0" w:space="0" w:color="auto"/>
                                                                                                                                  </w:divBdr>
                                                                                                                                  <w:divsChild>
                                                                                                                                    <w:div w:id="198008447">
                                                                                                                                      <w:marLeft w:val="0"/>
                                                                                                                                      <w:marRight w:val="0"/>
                                                                                                                                      <w:marTop w:val="0"/>
                                                                                                                                      <w:marBottom w:val="0"/>
                                                                                                                                      <w:divBdr>
                                                                                                                                        <w:top w:val="none" w:sz="0" w:space="0" w:color="auto"/>
                                                                                                                                        <w:left w:val="none" w:sz="0" w:space="0" w:color="auto"/>
                                                                                                                                        <w:bottom w:val="none" w:sz="0" w:space="0" w:color="auto"/>
                                                                                                                                        <w:right w:val="none" w:sz="0" w:space="0" w:color="auto"/>
                                                                                                                                      </w:divBdr>
                                                                                                                                      <w:divsChild>
                                                                                                                                        <w:div w:id="480389156">
                                                                                                                                          <w:marLeft w:val="0"/>
                                                                                                                                          <w:marRight w:val="0"/>
                                                                                                                                          <w:marTop w:val="0"/>
                                                                                                                                          <w:marBottom w:val="0"/>
                                                                                                                                          <w:divBdr>
                                                                                                                                            <w:top w:val="single" w:sz="8" w:space="8" w:color="999999"/>
                                                                                                                                            <w:left w:val="none" w:sz="0" w:space="0" w:color="auto"/>
                                                                                                                                            <w:bottom w:val="none" w:sz="0" w:space="0" w:color="auto"/>
                                                                                                                                            <w:right w:val="none" w:sz="0" w:space="0" w:color="auto"/>
                                                                                                                                          </w:divBdr>
                                                                                                                                          <w:divsChild>
                                                                                                                                            <w:div w:id="1599215598">
                                                                                                                                              <w:marLeft w:val="0"/>
                                                                                                                                              <w:marRight w:val="0"/>
                                                                                                                                              <w:marTop w:val="0"/>
                                                                                                                                              <w:marBottom w:val="0"/>
                                                                                                                                              <w:divBdr>
                                                                                                                                                <w:top w:val="none" w:sz="0" w:space="0" w:color="auto"/>
                                                                                                                                                <w:left w:val="none" w:sz="0" w:space="0" w:color="auto"/>
                                                                                                                                                <w:bottom w:val="none" w:sz="0" w:space="0" w:color="auto"/>
                                                                                                                                                <w:right w:val="none" w:sz="0" w:space="0" w:color="auto"/>
                                                                                                                                              </w:divBdr>
                                                                                                                                              <w:divsChild>
                                                                                                                                                <w:div w:id="36321123">
                                                                                                                                                  <w:marLeft w:val="0"/>
                                                                                                                                                  <w:marRight w:val="0"/>
                                                                                                                                                  <w:marTop w:val="0"/>
                                                                                                                                                  <w:marBottom w:val="0"/>
                                                                                                                                                  <w:divBdr>
                                                                                                                                                    <w:top w:val="none" w:sz="0" w:space="0" w:color="auto"/>
                                                                                                                                                    <w:left w:val="none" w:sz="0" w:space="0" w:color="auto"/>
                                                                                                                                                    <w:bottom w:val="none" w:sz="0" w:space="0" w:color="auto"/>
                                                                                                                                                    <w:right w:val="none" w:sz="0" w:space="0" w:color="auto"/>
                                                                                                                                                  </w:divBdr>
                                                                                                                                                  <w:divsChild>
                                                                                                                                                    <w:div w:id="1770350886">
                                                                                                                                                      <w:marLeft w:val="0"/>
                                                                                                                                                      <w:marRight w:val="0"/>
                                                                                                                                                      <w:marTop w:val="0"/>
                                                                                                                                                      <w:marBottom w:val="0"/>
                                                                                                                                                      <w:divBdr>
                                                                                                                                                        <w:top w:val="none" w:sz="0" w:space="0" w:color="auto"/>
                                                                                                                                                        <w:left w:val="none" w:sz="0" w:space="0" w:color="auto"/>
                                                                                                                                                        <w:bottom w:val="none" w:sz="0" w:space="0" w:color="auto"/>
                                                                                                                                                        <w:right w:val="none" w:sz="0" w:space="0" w:color="auto"/>
                                                                                                                                                      </w:divBdr>
                                                                                                                                                      <w:divsChild>
                                                                                                                                                        <w:div w:id="767578941">
                                                                                                                                                          <w:marLeft w:val="0"/>
                                                                                                                                                          <w:marRight w:val="0"/>
                                                                                                                                                          <w:marTop w:val="0"/>
                                                                                                                                                          <w:marBottom w:val="0"/>
                                                                                                                                                          <w:divBdr>
                                                                                                                                                            <w:top w:val="none" w:sz="0" w:space="0" w:color="auto"/>
                                                                                                                                                            <w:left w:val="none" w:sz="0" w:space="0" w:color="auto"/>
                                                                                                                                                            <w:bottom w:val="none" w:sz="0" w:space="0" w:color="auto"/>
                                                                                                                                                            <w:right w:val="none" w:sz="0" w:space="0" w:color="auto"/>
                                                                                                                                                          </w:divBdr>
                                                                                                                                                          <w:divsChild>
                                                                                                                                                            <w:div w:id="1463616653">
                                                                                                                                                              <w:marLeft w:val="0"/>
                                                                                                                                                              <w:marRight w:val="0"/>
                                                                                                                                                              <w:marTop w:val="0"/>
                                                                                                                                                              <w:marBottom w:val="0"/>
                                                                                                                                                              <w:divBdr>
                                                                                                                                                                <w:top w:val="none" w:sz="0" w:space="0" w:color="auto"/>
                                                                                                                                                                <w:left w:val="none" w:sz="0" w:space="0" w:color="auto"/>
                                                                                                                                                                <w:bottom w:val="none" w:sz="0" w:space="0" w:color="auto"/>
                                                                                                                                                                <w:right w:val="none" w:sz="0" w:space="0" w:color="auto"/>
                                                                                                                                                              </w:divBdr>
                                                                                                                                                              <w:divsChild>
                                                                                                                                                                <w:div w:id="252131221">
                                                                                                                                                                  <w:marLeft w:val="0"/>
                                                                                                                                                                  <w:marRight w:val="0"/>
                                                                                                                                                                  <w:marTop w:val="0"/>
                                                                                                                                                                  <w:marBottom w:val="0"/>
                                                                                                                                                                  <w:divBdr>
                                                                                                                                                                    <w:top w:val="none" w:sz="0" w:space="0" w:color="auto"/>
                                                                                                                                                                    <w:left w:val="none" w:sz="0" w:space="0" w:color="auto"/>
                                                                                                                                                                    <w:bottom w:val="none" w:sz="0" w:space="0" w:color="auto"/>
                                                                                                                                                                    <w:right w:val="none" w:sz="0" w:space="0" w:color="auto"/>
                                                                                                                                                                  </w:divBdr>
                                                                                                                                                                  <w:divsChild>
                                                                                                                                                                    <w:div w:id="391660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60141708">
      <w:bodyDiv w:val="1"/>
      <w:marLeft w:val="0"/>
      <w:marRight w:val="0"/>
      <w:marTop w:val="0"/>
      <w:marBottom w:val="0"/>
      <w:divBdr>
        <w:top w:val="none" w:sz="0" w:space="0" w:color="auto"/>
        <w:left w:val="none" w:sz="0" w:space="0" w:color="auto"/>
        <w:bottom w:val="none" w:sz="0" w:space="0" w:color="auto"/>
        <w:right w:val="none" w:sz="0" w:space="0" w:color="auto"/>
      </w:divBdr>
    </w:div>
    <w:div w:id="793133212">
      <w:bodyDiv w:val="1"/>
      <w:marLeft w:val="0"/>
      <w:marRight w:val="0"/>
      <w:marTop w:val="0"/>
      <w:marBottom w:val="0"/>
      <w:divBdr>
        <w:top w:val="none" w:sz="0" w:space="0" w:color="auto"/>
        <w:left w:val="none" w:sz="0" w:space="0" w:color="auto"/>
        <w:bottom w:val="none" w:sz="0" w:space="0" w:color="auto"/>
        <w:right w:val="none" w:sz="0" w:space="0" w:color="auto"/>
      </w:divBdr>
    </w:div>
    <w:div w:id="847452857">
      <w:bodyDiv w:val="1"/>
      <w:marLeft w:val="0"/>
      <w:marRight w:val="0"/>
      <w:marTop w:val="0"/>
      <w:marBottom w:val="0"/>
      <w:divBdr>
        <w:top w:val="none" w:sz="0" w:space="0" w:color="auto"/>
        <w:left w:val="none" w:sz="0" w:space="0" w:color="auto"/>
        <w:bottom w:val="none" w:sz="0" w:space="0" w:color="auto"/>
        <w:right w:val="none" w:sz="0" w:space="0" w:color="auto"/>
      </w:divBdr>
    </w:div>
    <w:div w:id="1078093166">
      <w:bodyDiv w:val="1"/>
      <w:marLeft w:val="0"/>
      <w:marRight w:val="0"/>
      <w:marTop w:val="0"/>
      <w:marBottom w:val="0"/>
      <w:divBdr>
        <w:top w:val="none" w:sz="0" w:space="0" w:color="auto"/>
        <w:left w:val="none" w:sz="0" w:space="0" w:color="auto"/>
        <w:bottom w:val="none" w:sz="0" w:space="0" w:color="auto"/>
        <w:right w:val="none" w:sz="0" w:space="0" w:color="auto"/>
      </w:divBdr>
      <w:divsChild>
        <w:div w:id="1561404557">
          <w:marLeft w:val="0"/>
          <w:marRight w:val="0"/>
          <w:marTop w:val="0"/>
          <w:marBottom w:val="0"/>
          <w:divBdr>
            <w:top w:val="none" w:sz="0" w:space="0" w:color="auto"/>
            <w:left w:val="none" w:sz="0" w:space="0" w:color="auto"/>
            <w:bottom w:val="none" w:sz="0" w:space="0" w:color="auto"/>
            <w:right w:val="none" w:sz="0" w:space="0" w:color="auto"/>
          </w:divBdr>
          <w:divsChild>
            <w:div w:id="1147941884">
              <w:marLeft w:val="0"/>
              <w:marRight w:val="0"/>
              <w:marTop w:val="0"/>
              <w:marBottom w:val="0"/>
              <w:divBdr>
                <w:top w:val="none" w:sz="0" w:space="0" w:color="auto"/>
                <w:left w:val="none" w:sz="0" w:space="0" w:color="auto"/>
                <w:bottom w:val="none" w:sz="0" w:space="0" w:color="auto"/>
                <w:right w:val="none" w:sz="0" w:space="0" w:color="auto"/>
              </w:divBdr>
              <w:divsChild>
                <w:div w:id="1879657596">
                  <w:marLeft w:val="0"/>
                  <w:marRight w:val="0"/>
                  <w:marTop w:val="0"/>
                  <w:marBottom w:val="0"/>
                  <w:divBdr>
                    <w:top w:val="none" w:sz="0" w:space="0" w:color="auto"/>
                    <w:left w:val="none" w:sz="0" w:space="0" w:color="auto"/>
                    <w:bottom w:val="none" w:sz="0" w:space="0" w:color="auto"/>
                    <w:right w:val="none" w:sz="0" w:space="0" w:color="auto"/>
                  </w:divBdr>
                  <w:divsChild>
                    <w:div w:id="1933708195">
                      <w:marLeft w:val="0"/>
                      <w:marRight w:val="0"/>
                      <w:marTop w:val="0"/>
                      <w:marBottom w:val="0"/>
                      <w:divBdr>
                        <w:top w:val="none" w:sz="0" w:space="0" w:color="auto"/>
                        <w:left w:val="none" w:sz="0" w:space="0" w:color="auto"/>
                        <w:bottom w:val="none" w:sz="0" w:space="0" w:color="auto"/>
                        <w:right w:val="none" w:sz="0" w:space="0" w:color="auto"/>
                      </w:divBdr>
                      <w:divsChild>
                        <w:div w:id="1007900341">
                          <w:marLeft w:val="0"/>
                          <w:marRight w:val="0"/>
                          <w:marTop w:val="0"/>
                          <w:marBottom w:val="0"/>
                          <w:divBdr>
                            <w:top w:val="none" w:sz="0" w:space="0" w:color="auto"/>
                            <w:left w:val="none" w:sz="0" w:space="0" w:color="auto"/>
                            <w:bottom w:val="none" w:sz="0" w:space="0" w:color="auto"/>
                            <w:right w:val="none" w:sz="0" w:space="0" w:color="auto"/>
                          </w:divBdr>
                          <w:divsChild>
                            <w:div w:id="257101870">
                              <w:marLeft w:val="15"/>
                              <w:marRight w:val="195"/>
                              <w:marTop w:val="0"/>
                              <w:marBottom w:val="0"/>
                              <w:divBdr>
                                <w:top w:val="none" w:sz="0" w:space="0" w:color="auto"/>
                                <w:left w:val="none" w:sz="0" w:space="0" w:color="auto"/>
                                <w:bottom w:val="none" w:sz="0" w:space="0" w:color="auto"/>
                                <w:right w:val="none" w:sz="0" w:space="0" w:color="auto"/>
                              </w:divBdr>
                              <w:divsChild>
                                <w:div w:id="1913731363">
                                  <w:marLeft w:val="0"/>
                                  <w:marRight w:val="0"/>
                                  <w:marTop w:val="0"/>
                                  <w:marBottom w:val="0"/>
                                  <w:divBdr>
                                    <w:top w:val="none" w:sz="0" w:space="0" w:color="auto"/>
                                    <w:left w:val="none" w:sz="0" w:space="0" w:color="auto"/>
                                    <w:bottom w:val="none" w:sz="0" w:space="0" w:color="auto"/>
                                    <w:right w:val="none" w:sz="0" w:space="0" w:color="auto"/>
                                  </w:divBdr>
                                  <w:divsChild>
                                    <w:div w:id="586160026">
                                      <w:marLeft w:val="0"/>
                                      <w:marRight w:val="0"/>
                                      <w:marTop w:val="0"/>
                                      <w:marBottom w:val="0"/>
                                      <w:divBdr>
                                        <w:top w:val="none" w:sz="0" w:space="0" w:color="auto"/>
                                        <w:left w:val="none" w:sz="0" w:space="0" w:color="auto"/>
                                        <w:bottom w:val="none" w:sz="0" w:space="0" w:color="auto"/>
                                        <w:right w:val="none" w:sz="0" w:space="0" w:color="auto"/>
                                      </w:divBdr>
                                      <w:divsChild>
                                        <w:div w:id="1150052407">
                                          <w:marLeft w:val="0"/>
                                          <w:marRight w:val="0"/>
                                          <w:marTop w:val="0"/>
                                          <w:marBottom w:val="0"/>
                                          <w:divBdr>
                                            <w:top w:val="none" w:sz="0" w:space="0" w:color="auto"/>
                                            <w:left w:val="none" w:sz="0" w:space="0" w:color="auto"/>
                                            <w:bottom w:val="none" w:sz="0" w:space="0" w:color="auto"/>
                                            <w:right w:val="none" w:sz="0" w:space="0" w:color="auto"/>
                                          </w:divBdr>
                                          <w:divsChild>
                                            <w:div w:id="2099864438">
                                              <w:marLeft w:val="0"/>
                                              <w:marRight w:val="0"/>
                                              <w:marTop w:val="0"/>
                                              <w:marBottom w:val="0"/>
                                              <w:divBdr>
                                                <w:top w:val="none" w:sz="0" w:space="0" w:color="auto"/>
                                                <w:left w:val="none" w:sz="0" w:space="0" w:color="auto"/>
                                                <w:bottom w:val="none" w:sz="0" w:space="0" w:color="auto"/>
                                                <w:right w:val="none" w:sz="0" w:space="0" w:color="auto"/>
                                              </w:divBdr>
                                              <w:divsChild>
                                                <w:div w:id="1405105449">
                                                  <w:marLeft w:val="0"/>
                                                  <w:marRight w:val="0"/>
                                                  <w:marTop w:val="0"/>
                                                  <w:marBottom w:val="0"/>
                                                  <w:divBdr>
                                                    <w:top w:val="none" w:sz="0" w:space="0" w:color="auto"/>
                                                    <w:left w:val="none" w:sz="0" w:space="0" w:color="auto"/>
                                                    <w:bottom w:val="none" w:sz="0" w:space="0" w:color="auto"/>
                                                    <w:right w:val="none" w:sz="0" w:space="0" w:color="auto"/>
                                                  </w:divBdr>
                                                  <w:divsChild>
                                                    <w:div w:id="515923136">
                                                      <w:marLeft w:val="0"/>
                                                      <w:marRight w:val="0"/>
                                                      <w:marTop w:val="0"/>
                                                      <w:marBottom w:val="0"/>
                                                      <w:divBdr>
                                                        <w:top w:val="none" w:sz="0" w:space="0" w:color="auto"/>
                                                        <w:left w:val="none" w:sz="0" w:space="0" w:color="auto"/>
                                                        <w:bottom w:val="none" w:sz="0" w:space="0" w:color="auto"/>
                                                        <w:right w:val="none" w:sz="0" w:space="0" w:color="auto"/>
                                                      </w:divBdr>
                                                      <w:divsChild>
                                                        <w:div w:id="381446509">
                                                          <w:marLeft w:val="0"/>
                                                          <w:marRight w:val="0"/>
                                                          <w:marTop w:val="0"/>
                                                          <w:marBottom w:val="0"/>
                                                          <w:divBdr>
                                                            <w:top w:val="none" w:sz="0" w:space="0" w:color="auto"/>
                                                            <w:left w:val="none" w:sz="0" w:space="0" w:color="auto"/>
                                                            <w:bottom w:val="none" w:sz="0" w:space="0" w:color="auto"/>
                                                            <w:right w:val="none" w:sz="0" w:space="0" w:color="auto"/>
                                                          </w:divBdr>
                                                          <w:divsChild>
                                                            <w:div w:id="35979354">
                                                              <w:marLeft w:val="0"/>
                                                              <w:marRight w:val="0"/>
                                                              <w:marTop w:val="0"/>
                                                              <w:marBottom w:val="0"/>
                                                              <w:divBdr>
                                                                <w:top w:val="none" w:sz="0" w:space="0" w:color="auto"/>
                                                                <w:left w:val="none" w:sz="0" w:space="0" w:color="auto"/>
                                                                <w:bottom w:val="none" w:sz="0" w:space="0" w:color="auto"/>
                                                                <w:right w:val="none" w:sz="0" w:space="0" w:color="auto"/>
                                                              </w:divBdr>
                                                              <w:divsChild>
                                                                <w:div w:id="1915972569">
                                                                  <w:marLeft w:val="0"/>
                                                                  <w:marRight w:val="0"/>
                                                                  <w:marTop w:val="0"/>
                                                                  <w:marBottom w:val="0"/>
                                                                  <w:divBdr>
                                                                    <w:top w:val="none" w:sz="0" w:space="0" w:color="auto"/>
                                                                    <w:left w:val="none" w:sz="0" w:space="0" w:color="auto"/>
                                                                    <w:bottom w:val="none" w:sz="0" w:space="0" w:color="auto"/>
                                                                    <w:right w:val="none" w:sz="0" w:space="0" w:color="auto"/>
                                                                  </w:divBdr>
                                                                  <w:divsChild>
                                                                    <w:div w:id="1470829102">
                                                                      <w:marLeft w:val="405"/>
                                                                      <w:marRight w:val="0"/>
                                                                      <w:marTop w:val="0"/>
                                                                      <w:marBottom w:val="0"/>
                                                                      <w:divBdr>
                                                                        <w:top w:val="none" w:sz="0" w:space="0" w:color="auto"/>
                                                                        <w:left w:val="none" w:sz="0" w:space="0" w:color="auto"/>
                                                                        <w:bottom w:val="none" w:sz="0" w:space="0" w:color="auto"/>
                                                                        <w:right w:val="none" w:sz="0" w:space="0" w:color="auto"/>
                                                                      </w:divBdr>
                                                                      <w:divsChild>
                                                                        <w:div w:id="1500119446">
                                                                          <w:marLeft w:val="0"/>
                                                                          <w:marRight w:val="0"/>
                                                                          <w:marTop w:val="0"/>
                                                                          <w:marBottom w:val="0"/>
                                                                          <w:divBdr>
                                                                            <w:top w:val="none" w:sz="0" w:space="0" w:color="auto"/>
                                                                            <w:left w:val="none" w:sz="0" w:space="0" w:color="auto"/>
                                                                            <w:bottom w:val="none" w:sz="0" w:space="0" w:color="auto"/>
                                                                            <w:right w:val="none" w:sz="0" w:space="0" w:color="auto"/>
                                                                          </w:divBdr>
                                                                          <w:divsChild>
                                                                            <w:div w:id="1821801436">
                                                                              <w:marLeft w:val="0"/>
                                                                              <w:marRight w:val="0"/>
                                                                              <w:marTop w:val="0"/>
                                                                              <w:marBottom w:val="0"/>
                                                                              <w:divBdr>
                                                                                <w:top w:val="none" w:sz="0" w:space="0" w:color="auto"/>
                                                                                <w:left w:val="none" w:sz="0" w:space="0" w:color="auto"/>
                                                                                <w:bottom w:val="none" w:sz="0" w:space="0" w:color="auto"/>
                                                                                <w:right w:val="none" w:sz="0" w:space="0" w:color="auto"/>
                                                                              </w:divBdr>
                                                                              <w:divsChild>
                                                                                <w:div w:id="160781858">
                                                                                  <w:marLeft w:val="0"/>
                                                                                  <w:marRight w:val="0"/>
                                                                                  <w:marTop w:val="0"/>
                                                                                  <w:marBottom w:val="0"/>
                                                                                  <w:divBdr>
                                                                                    <w:top w:val="none" w:sz="0" w:space="0" w:color="auto"/>
                                                                                    <w:left w:val="none" w:sz="0" w:space="0" w:color="auto"/>
                                                                                    <w:bottom w:val="none" w:sz="0" w:space="0" w:color="auto"/>
                                                                                    <w:right w:val="none" w:sz="0" w:space="0" w:color="auto"/>
                                                                                  </w:divBdr>
                                                                                  <w:divsChild>
                                                                                    <w:div w:id="149294331">
                                                                                      <w:marLeft w:val="0"/>
                                                                                      <w:marRight w:val="0"/>
                                                                                      <w:marTop w:val="0"/>
                                                                                      <w:marBottom w:val="0"/>
                                                                                      <w:divBdr>
                                                                                        <w:top w:val="none" w:sz="0" w:space="0" w:color="auto"/>
                                                                                        <w:left w:val="none" w:sz="0" w:space="0" w:color="auto"/>
                                                                                        <w:bottom w:val="none" w:sz="0" w:space="0" w:color="auto"/>
                                                                                        <w:right w:val="none" w:sz="0" w:space="0" w:color="auto"/>
                                                                                      </w:divBdr>
                                                                                      <w:divsChild>
                                                                                        <w:div w:id="916134457">
                                                                                          <w:marLeft w:val="0"/>
                                                                                          <w:marRight w:val="0"/>
                                                                                          <w:marTop w:val="0"/>
                                                                                          <w:marBottom w:val="0"/>
                                                                                          <w:divBdr>
                                                                                            <w:top w:val="none" w:sz="0" w:space="0" w:color="auto"/>
                                                                                            <w:left w:val="none" w:sz="0" w:space="0" w:color="auto"/>
                                                                                            <w:bottom w:val="none" w:sz="0" w:space="0" w:color="auto"/>
                                                                                            <w:right w:val="none" w:sz="0" w:space="0" w:color="auto"/>
                                                                                          </w:divBdr>
                                                                                          <w:divsChild>
                                                                                            <w:div w:id="1864587665">
                                                                                              <w:marLeft w:val="0"/>
                                                                                              <w:marRight w:val="0"/>
                                                                                              <w:marTop w:val="0"/>
                                                                                              <w:marBottom w:val="0"/>
                                                                                              <w:divBdr>
                                                                                                <w:top w:val="none" w:sz="0" w:space="0" w:color="auto"/>
                                                                                                <w:left w:val="none" w:sz="0" w:space="0" w:color="auto"/>
                                                                                                <w:bottom w:val="none" w:sz="0" w:space="0" w:color="auto"/>
                                                                                                <w:right w:val="none" w:sz="0" w:space="0" w:color="auto"/>
                                                                                              </w:divBdr>
                                                                                              <w:divsChild>
                                                                                                <w:div w:id="1068646577">
                                                                                                  <w:marLeft w:val="0"/>
                                                                                                  <w:marRight w:val="0"/>
                                                                                                  <w:marTop w:val="0"/>
                                                                                                  <w:marBottom w:val="0"/>
                                                                                                  <w:divBdr>
                                                                                                    <w:top w:val="none" w:sz="0" w:space="0" w:color="auto"/>
                                                                                                    <w:left w:val="single" w:sz="12" w:space="8" w:color="auto"/>
                                                                                                    <w:bottom w:val="none" w:sz="0" w:space="0" w:color="auto"/>
                                                                                                    <w:right w:val="none" w:sz="0" w:space="0" w:color="auto"/>
                                                                                                  </w:divBdr>
                                                                                                  <w:divsChild>
                                                                                                    <w:div w:id="1958482950">
                                                                                                      <w:marLeft w:val="0"/>
                                                                                                      <w:marRight w:val="0"/>
                                                                                                      <w:marTop w:val="0"/>
                                                                                                      <w:marBottom w:val="0"/>
                                                                                                      <w:divBdr>
                                                                                                        <w:top w:val="none" w:sz="0" w:space="0" w:color="auto"/>
                                                                                                        <w:left w:val="none" w:sz="0" w:space="0" w:color="auto"/>
                                                                                                        <w:bottom w:val="none" w:sz="0" w:space="0" w:color="auto"/>
                                                                                                        <w:right w:val="none" w:sz="0" w:space="0" w:color="auto"/>
                                                                                                      </w:divBdr>
                                                                                                      <w:divsChild>
                                                                                                        <w:div w:id="466976626">
                                                                                                          <w:marLeft w:val="0"/>
                                                                                                          <w:marRight w:val="0"/>
                                                                                                          <w:marTop w:val="0"/>
                                                                                                          <w:marBottom w:val="0"/>
                                                                                                          <w:divBdr>
                                                                                                            <w:top w:val="none" w:sz="0" w:space="0" w:color="auto"/>
                                                                                                            <w:left w:val="none" w:sz="0" w:space="0" w:color="auto"/>
                                                                                                            <w:bottom w:val="none" w:sz="0" w:space="0" w:color="auto"/>
                                                                                                            <w:right w:val="none" w:sz="0" w:space="0" w:color="auto"/>
                                                                                                          </w:divBdr>
                                                                                                          <w:divsChild>
                                                                                                            <w:div w:id="496112135">
                                                                                                              <w:marLeft w:val="0"/>
                                                                                                              <w:marRight w:val="0"/>
                                                                                                              <w:marTop w:val="0"/>
                                                                                                              <w:marBottom w:val="0"/>
                                                                                                              <w:divBdr>
                                                                                                                <w:top w:val="none" w:sz="0" w:space="0" w:color="auto"/>
                                                                                                                <w:left w:val="none" w:sz="0" w:space="0" w:color="auto"/>
                                                                                                                <w:bottom w:val="none" w:sz="0" w:space="0" w:color="auto"/>
                                                                                                                <w:right w:val="none" w:sz="0" w:space="0" w:color="auto"/>
                                                                                                              </w:divBdr>
                                                                                                              <w:divsChild>
                                                                                                                <w:div w:id="1649439192">
                                                                                                                  <w:marLeft w:val="0"/>
                                                                                                                  <w:marRight w:val="0"/>
                                                                                                                  <w:marTop w:val="0"/>
                                                                                                                  <w:marBottom w:val="0"/>
                                                                                                                  <w:divBdr>
                                                                                                                    <w:top w:val="none" w:sz="0" w:space="0" w:color="auto"/>
                                                                                                                    <w:left w:val="none" w:sz="0" w:space="0" w:color="auto"/>
                                                                                                                    <w:bottom w:val="none" w:sz="0" w:space="0" w:color="auto"/>
                                                                                                                    <w:right w:val="none" w:sz="0" w:space="0" w:color="auto"/>
                                                                                                                  </w:divBdr>
                                                                                                                  <w:divsChild>
                                                                                                                    <w:div w:id="1675300300">
                                                                                                                      <w:marLeft w:val="0"/>
                                                                                                                      <w:marRight w:val="0"/>
                                                                                                                      <w:marTop w:val="0"/>
                                                                                                                      <w:marBottom w:val="0"/>
                                                                                                                      <w:divBdr>
                                                                                                                        <w:top w:val="none" w:sz="0" w:space="0" w:color="auto"/>
                                                                                                                        <w:left w:val="none" w:sz="0" w:space="0" w:color="auto"/>
                                                                                                                        <w:bottom w:val="none" w:sz="0" w:space="0" w:color="auto"/>
                                                                                                                        <w:right w:val="none" w:sz="0" w:space="0" w:color="auto"/>
                                                                                                                      </w:divBdr>
                                                                                                                      <w:divsChild>
                                                                                                                        <w:div w:id="521558081">
                                                                                                                          <w:marLeft w:val="0"/>
                                                                                                                          <w:marRight w:val="0"/>
                                                                                                                          <w:marTop w:val="0"/>
                                                                                                                          <w:marBottom w:val="0"/>
                                                                                                                          <w:divBdr>
                                                                                                                            <w:top w:val="none" w:sz="0" w:space="0" w:color="auto"/>
                                                                                                                            <w:left w:val="none" w:sz="0" w:space="0" w:color="auto"/>
                                                                                                                            <w:bottom w:val="none" w:sz="0" w:space="0" w:color="auto"/>
                                                                                                                            <w:right w:val="none" w:sz="0" w:space="0" w:color="auto"/>
                                                                                                                          </w:divBdr>
                                                                                                                          <w:divsChild>
                                                                                                                            <w:div w:id="557588453">
                                                                                                                              <w:marLeft w:val="0"/>
                                                                                                                              <w:marRight w:val="0"/>
                                                                                                                              <w:marTop w:val="0"/>
                                                                                                                              <w:marBottom w:val="0"/>
                                                                                                                              <w:divBdr>
                                                                                                                                <w:top w:val="none" w:sz="0" w:space="0" w:color="auto"/>
                                                                                                                                <w:left w:val="none" w:sz="0" w:space="0" w:color="auto"/>
                                                                                                                                <w:bottom w:val="none" w:sz="0" w:space="0" w:color="auto"/>
                                                                                                                                <w:right w:val="none" w:sz="0" w:space="0" w:color="auto"/>
                                                                                                                              </w:divBdr>
                                                                                                                              <w:divsChild>
                                                                                                                                <w:div w:id="2039351324">
                                                                                                                                  <w:marLeft w:val="0"/>
                                                                                                                                  <w:marRight w:val="0"/>
                                                                                                                                  <w:marTop w:val="0"/>
                                                                                                                                  <w:marBottom w:val="0"/>
                                                                                                                                  <w:divBdr>
                                                                                                                                    <w:top w:val="none" w:sz="0" w:space="0" w:color="auto"/>
                                                                                                                                    <w:left w:val="none" w:sz="0" w:space="0" w:color="auto"/>
                                                                                                                                    <w:bottom w:val="none" w:sz="0" w:space="0" w:color="auto"/>
                                                                                                                                    <w:right w:val="none" w:sz="0" w:space="0" w:color="auto"/>
                                                                                                                                  </w:divBdr>
                                                                                                                                  <w:divsChild>
                                                                                                                                    <w:div w:id="1752897174">
                                                                                                                                      <w:marLeft w:val="0"/>
                                                                                                                                      <w:marRight w:val="0"/>
                                                                                                                                      <w:marTop w:val="0"/>
                                                                                                                                      <w:marBottom w:val="0"/>
                                                                                                                                      <w:divBdr>
                                                                                                                                        <w:top w:val="none" w:sz="0" w:space="0" w:color="auto"/>
                                                                                                                                        <w:left w:val="none" w:sz="0" w:space="0" w:color="auto"/>
                                                                                                                                        <w:bottom w:val="none" w:sz="0" w:space="0" w:color="auto"/>
                                                                                                                                        <w:right w:val="none" w:sz="0" w:space="0" w:color="auto"/>
                                                                                                                                      </w:divBdr>
                                                                                                                                      <w:divsChild>
                                                                                                                                        <w:div w:id="78992749">
                                                                                                                                          <w:marLeft w:val="0"/>
                                                                                                                                          <w:marRight w:val="0"/>
                                                                                                                                          <w:marTop w:val="0"/>
                                                                                                                                          <w:marBottom w:val="0"/>
                                                                                                                                          <w:divBdr>
                                                                                                                                            <w:top w:val="single" w:sz="8" w:space="8" w:color="999999"/>
                                                                                                                                            <w:left w:val="none" w:sz="0" w:space="0" w:color="auto"/>
                                                                                                                                            <w:bottom w:val="none" w:sz="0" w:space="0" w:color="auto"/>
                                                                                                                                            <w:right w:val="none" w:sz="0" w:space="0" w:color="auto"/>
                                                                                                                                          </w:divBdr>
                                                                                                                                          <w:divsChild>
                                                                                                                                            <w:div w:id="1667635185">
                                                                                                                                              <w:marLeft w:val="0"/>
                                                                                                                                              <w:marRight w:val="0"/>
                                                                                                                                              <w:marTop w:val="0"/>
                                                                                                                                              <w:marBottom w:val="0"/>
                                                                                                                                              <w:divBdr>
                                                                                                                                                <w:top w:val="none" w:sz="0" w:space="0" w:color="auto"/>
                                                                                                                                                <w:left w:val="none" w:sz="0" w:space="0" w:color="auto"/>
                                                                                                                                                <w:bottom w:val="none" w:sz="0" w:space="0" w:color="auto"/>
                                                                                                                                                <w:right w:val="none" w:sz="0" w:space="0" w:color="auto"/>
                                                                                                                                              </w:divBdr>
                                                                                                                                              <w:divsChild>
                                                                                                                                                <w:div w:id="70860056">
                                                                                                                                                  <w:marLeft w:val="0"/>
                                                                                                                                                  <w:marRight w:val="0"/>
                                                                                                                                                  <w:marTop w:val="0"/>
                                                                                                                                                  <w:marBottom w:val="0"/>
                                                                                                                                                  <w:divBdr>
                                                                                                                                                    <w:top w:val="none" w:sz="0" w:space="0" w:color="auto"/>
                                                                                                                                                    <w:left w:val="none" w:sz="0" w:space="0" w:color="auto"/>
                                                                                                                                                    <w:bottom w:val="none" w:sz="0" w:space="0" w:color="auto"/>
                                                                                                                                                    <w:right w:val="none" w:sz="0" w:space="0" w:color="auto"/>
                                                                                                                                                  </w:divBdr>
                                                                                                                                                  <w:divsChild>
                                                                                                                                                    <w:div w:id="2127507109">
                                                                                                                                                      <w:marLeft w:val="0"/>
                                                                                                                                                      <w:marRight w:val="0"/>
                                                                                                                                                      <w:marTop w:val="0"/>
                                                                                                                                                      <w:marBottom w:val="0"/>
                                                                                                                                                      <w:divBdr>
                                                                                                                                                        <w:top w:val="none" w:sz="0" w:space="0" w:color="auto"/>
                                                                                                                                                        <w:left w:val="none" w:sz="0" w:space="0" w:color="auto"/>
                                                                                                                                                        <w:bottom w:val="none" w:sz="0" w:space="0" w:color="auto"/>
                                                                                                                                                        <w:right w:val="none" w:sz="0" w:space="0" w:color="auto"/>
                                                                                                                                                      </w:divBdr>
                                                                                                                                                      <w:divsChild>
                                                                                                                                                        <w:div w:id="786580978">
                                                                                                                                                          <w:marLeft w:val="0"/>
                                                                                                                                                          <w:marRight w:val="0"/>
                                                                                                                                                          <w:marTop w:val="0"/>
                                                                                                                                                          <w:marBottom w:val="0"/>
                                                                                                                                                          <w:divBdr>
                                                                                                                                                            <w:top w:val="none" w:sz="0" w:space="0" w:color="auto"/>
                                                                                                                                                            <w:left w:val="none" w:sz="0" w:space="0" w:color="auto"/>
                                                                                                                                                            <w:bottom w:val="none" w:sz="0" w:space="0" w:color="auto"/>
                                                                                                                                                            <w:right w:val="none" w:sz="0" w:space="0" w:color="auto"/>
                                                                                                                                                          </w:divBdr>
                                                                                                                                                          <w:divsChild>
                                                                                                                                                            <w:div w:id="2090079311">
                                                                                                                                                              <w:marLeft w:val="0"/>
                                                                                                                                                              <w:marRight w:val="0"/>
                                                                                                                                                              <w:marTop w:val="0"/>
                                                                                                                                                              <w:marBottom w:val="0"/>
                                                                                                                                                              <w:divBdr>
                                                                                                                                                                <w:top w:val="none" w:sz="0" w:space="0" w:color="auto"/>
                                                                                                                                                                <w:left w:val="none" w:sz="0" w:space="0" w:color="auto"/>
                                                                                                                                                                <w:bottom w:val="none" w:sz="0" w:space="0" w:color="auto"/>
                                                                                                                                                                <w:right w:val="none" w:sz="0" w:space="0" w:color="auto"/>
                                                                                                                                                              </w:divBdr>
                                                                                                                                                              <w:divsChild>
                                                                                                                                                                <w:div w:id="1660035221">
                                                                                                                                                                  <w:marLeft w:val="0"/>
                                                                                                                                                                  <w:marRight w:val="0"/>
                                                                                                                                                                  <w:marTop w:val="0"/>
                                                                                                                                                                  <w:marBottom w:val="0"/>
                                                                                                                                                                  <w:divBdr>
                                                                                                                                                                    <w:top w:val="none" w:sz="0" w:space="0" w:color="auto"/>
                                                                                                                                                                    <w:left w:val="none" w:sz="0" w:space="0" w:color="auto"/>
                                                                                                                                                                    <w:bottom w:val="none" w:sz="0" w:space="0" w:color="auto"/>
                                                                                                                                                                    <w:right w:val="none" w:sz="0" w:space="0" w:color="auto"/>
                                                                                                                                                                  </w:divBdr>
                                                                                                                                                                  <w:divsChild>
                                                                                                                                                                    <w:div w:id="70464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19834301">
      <w:bodyDiv w:val="1"/>
      <w:marLeft w:val="0"/>
      <w:marRight w:val="0"/>
      <w:marTop w:val="0"/>
      <w:marBottom w:val="0"/>
      <w:divBdr>
        <w:top w:val="none" w:sz="0" w:space="0" w:color="auto"/>
        <w:left w:val="none" w:sz="0" w:space="0" w:color="auto"/>
        <w:bottom w:val="none" w:sz="0" w:space="0" w:color="auto"/>
        <w:right w:val="none" w:sz="0" w:space="0" w:color="auto"/>
      </w:divBdr>
      <w:divsChild>
        <w:div w:id="2073581336">
          <w:marLeft w:val="0"/>
          <w:marRight w:val="0"/>
          <w:marTop w:val="0"/>
          <w:marBottom w:val="0"/>
          <w:divBdr>
            <w:top w:val="none" w:sz="0" w:space="0" w:color="auto"/>
            <w:left w:val="none" w:sz="0" w:space="0" w:color="auto"/>
            <w:bottom w:val="none" w:sz="0" w:space="0" w:color="auto"/>
            <w:right w:val="none" w:sz="0" w:space="0" w:color="auto"/>
          </w:divBdr>
        </w:div>
      </w:divsChild>
    </w:div>
    <w:div w:id="1183203500">
      <w:bodyDiv w:val="1"/>
      <w:marLeft w:val="0"/>
      <w:marRight w:val="0"/>
      <w:marTop w:val="0"/>
      <w:marBottom w:val="0"/>
      <w:divBdr>
        <w:top w:val="none" w:sz="0" w:space="0" w:color="auto"/>
        <w:left w:val="none" w:sz="0" w:space="0" w:color="auto"/>
        <w:bottom w:val="none" w:sz="0" w:space="0" w:color="auto"/>
        <w:right w:val="none" w:sz="0" w:space="0" w:color="auto"/>
      </w:divBdr>
      <w:divsChild>
        <w:div w:id="1604990655">
          <w:marLeft w:val="0"/>
          <w:marRight w:val="0"/>
          <w:marTop w:val="0"/>
          <w:marBottom w:val="0"/>
          <w:divBdr>
            <w:top w:val="none" w:sz="0" w:space="0" w:color="auto"/>
            <w:left w:val="none" w:sz="0" w:space="0" w:color="auto"/>
            <w:bottom w:val="none" w:sz="0" w:space="0" w:color="auto"/>
            <w:right w:val="none" w:sz="0" w:space="0" w:color="auto"/>
          </w:divBdr>
          <w:divsChild>
            <w:div w:id="1383094157">
              <w:marLeft w:val="0"/>
              <w:marRight w:val="0"/>
              <w:marTop w:val="0"/>
              <w:marBottom w:val="0"/>
              <w:divBdr>
                <w:top w:val="none" w:sz="0" w:space="0" w:color="auto"/>
                <w:left w:val="none" w:sz="0" w:space="0" w:color="auto"/>
                <w:bottom w:val="none" w:sz="0" w:space="0" w:color="auto"/>
                <w:right w:val="none" w:sz="0" w:space="0" w:color="auto"/>
              </w:divBdr>
              <w:divsChild>
                <w:div w:id="1777938514">
                  <w:marLeft w:val="0"/>
                  <w:marRight w:val="0"/>
                  <w:marTop w:val="0"/>
                  <w:marBottom w:val="0"/>
                  <w:divBdr>
                    <w:top w:val="none" w:sz="0" w:space="0" w:color="auto"/>
                    <w:left w:val="none" w:sz="0" w:space="0" w:color="auto"/>
                    <w:bottom w:val="none" w:sz="0" w:space="0" w:color="auto"/>
                    <w:right w:val="none" w:sz="0" w:space="0" w:color="auto"/>
                  </w:divBdr>
                  <w:divsChild>
                    <w:div w:id="1876383389">
                      <w:marLeft w:val="0"/>
                      <w:marRight w:val="0"/>
                      <w:marTop w:val="0"/>
                      <w:marBottom w:val="0"/>
                      <w:divBdr>
                        <w:top w:val="none" w:sz="0" w:space="0" w:color="auto"/>
                        <w:left w:val="none" w:sz="0" w:space="0" w:color="auto"/>
                        <w:bottom w:val="none" w:sz="0" w:space="0" w:color="auto"/>
                        <w:right w:val="none" w:sz="0" w:space="0" w:color="auto"/>
                      </w:divBdr>
                      <w:divsChild>
                        <w:div w:id="25298494">
                          <w:marLeft w:val="0"/>
                          <w:marRight w:val="0"/>
                          <w:marTop w:val="0"/>
                          <w:marBottom w:val="0"/>
                          <w:divBdr>
                            <w:top w:val="none" w:sz="0" w:space="0" w:color="auto"/>
                            <w:left w:val="none" w:sz="0" w:space="0" w:color="auto"/>
                            <w:bottom w:val="none" w:sz="0" w:space="0" w:color="auto"/>
                            <w:right w:val="none" w:sz="0" w:space="0" w:color="auto"/>
                          </w:divBdr>
                          <w:divsChild>
                            <w:div w:id="739912423">
                              <w:marLeft w:val="15"/>
                              <w:marRight w:val="195"/>
                              <w:marTop w:val="0"/>
                              <w:marBottom w:val="0"/>
                              <w:divBdr>
                                <w:top w:val="none" w:sz="0" w:space="0" w:color="auto"/>
                                <w:left w:val="none" w:sz="0" w:space="0" w:color="auto"/>
                                <w:bottom w:val="none" w:sz="0" w:space="0" w:color="auto"/>
                                <w:right w:val="none" w:sz="0" w:space="0" w:color="auto"/>
                              </w:divBdr>
                              <w:divsChild>
                                <w:div w:id="956133959">
                                  <w:marLeft w:val="0"/>
                                  <w:marRight w:val="0"/>
                                  <w:marTop w:val="0"/>
                                  <w:marBottom w:val="0"/>
                                  <w:divBdr>
                                    <w:top w:val="none" w:sz="0" w:space="0" w:color="auto"/>
                                    <w:left w:val="none" w:sz="0" w:space="0" w:color="auto"/>
                                    <w:bottom w:val="none" w:sz="0" w:space="0" w:color="auto"/>
                                    <w:right w:val="none" w:sz="0" w:space="0" w:color="auto"/>
                                  </w:divBdr>
                                  <w:divsChild>
                                    <w:div w:id="1608807260">
                                      <w:marLeft w:val="0"/>
                                      <w:marRight w:val="0"/>
                                      <w:marTop w:val="0"/>
                                      <w:marBottom w:val="0"/>
                                      <w:divBdr>
                                        <w:top w:val="none" w:sz="0" w:space="0" w:color="auto"/>
                                        <w:left w:val="none" w:sz="0" w:space="0" w:color="auto"/>
                                        <w:bottom w:val="none" w:sz="0" w:space="0" w:color="auto"/>
                                        <w:right w:val="none" w:sz="0" w:space="0" w:color="auto"/>
                                      </w:divBdr>
                                      <w:divsChild>
                                        <w:div w:id="208152945">
                                          <w:marLeft w:val="0"/>
                                          <w:marRight w:val="0"/>
                                          <w:marTop w:val="0"/>
                                          <w:marBottom w:val="0"/>
                                          <w:divBdr>
                                            <w:top w:val="none" w:sz="0" w:space="0" w:color="auto"/>
                                            <w:left w:val="none" w:sz="0" w:space="0" w:color="auto"/>
                                            <w:bottom w:val="none" w:sz="0" w:space="0" w:color="auto"/>
                                            <w:right w:val="none" w:sz="0" w:space="0" w:color="auto"/>
                                          </w:divBdr>
                                          <w:divsChild>
                                            <w:div w:id="1232735366">
                                              <w:marLeft w:val="0"/>
                                              <w:marRight w:val="0"/>
                                              <w:marTop w:val="0"/>
                                              <w:marBottom w:val="0"/>
                                              <w:divBdr>
                                                <w:top w:val="none" w:sz="0" w:space="0" w:color="auto"/>
                                                <w:left w:val="none" w:sz="0" w:space="0" w:color="auto"/>
                                                <w:bottom w:val="none" w:sz="0" w:space="0" w:color="auto"/>
                                                <w:right w:val="none" w:sz="0" w:space="0" w:color="auto"/>
                                              </w:divBdr>
                                              <w:divsChild>
                                                <w:div w:id="1436901581">
                                                  <w:marLeft w:val="0"/>
                                                  <w:marRight w:val="0"/>
                                                  <w:marTop w:val="0"/>
                                                  <w:marBottom w:val="0"/>
                                                  <w:divBdr>
                                                    <w:top w:val="none" w:sz="0" w:space="0" w:color="auto"/>
                                                    <w:left w:val="none" w:sz="0" w:space="0" w:color="auto"/>
                                                    <w:bottom w:val="none" w:sz="0" w:space="0" w:color="auto"/>
                                                    <w:right w:val="none" w:sz="0" w:space="0" w:color="auto"/>
                                                  </w:divBdr>
                                                  <w:divsChild>
                                                    <w:div w:id="1786995794">
                                                      <w:marLeft w:val="0"/>
                                                      <w:marRight w:val="0"/>
                                                      <w:marTop w:val="0"/>
                                                      <w:marBottom w:val="0"/>
                                                      <w:divBdr>
                                                        <w:top w:val="none" w:sz="0" w:space="0" w:color="auto"/>
                                                        <w:left w:val="none" w:sz="0" w:space="0" w:color="auto"/>
                                                        <w:bottom w:val="none" w:sz="0" w:space="0" w:color="auto"/>
                                                        <w:right w:val="none" w:sz="0" w:space="0" w:color="auto"/>
                                                      </w:divBdr>
                                                      <w:divsChild>
                                                        <w:div w:id="1582333223">
                                                          <w:marLeft w:val="0"/>
                                                          <w:marRight w:val="0"/>
                                                          <w:marTop w:val="0"/>
                                                          <w:marBottom w:val="0"/>
                                                          <w:divBdr>
                                                            <w:top w:val="none" w:sz="0" w:space="0" w:color="auto"/>
                                                            <w:left w:val="none" w:sz="0" w:space="0" w:color="auto"/>
                                                            <w:bottom w:val="none" w:sz="0" w:space="0" w:color="auto"/>
                                                            <w:right w:val="none" w:sz="0" w:space="0" w:color="auto"/>
                                                          </w:divBdr>
                                                          <w:divsChild>
                                                            <w:div w:id="1604848693">
                                                              <w:marLeft w:val="0"/>
                                                              <w:marRight w:val="0"/>
                                                              <w:marTop w:val="0"/>
                                                              <w:marBottom w:val="0"/>
                                                              <w:divBdr>
                                                                <w:top w:val="none" w:sz="0" w:space="0" w:color="auto"/>
                                                                <w:left w:val="none" w:sz="0" w:space="0" w:color="auto"/>
                                                                <w:bottom w:val="none" w:sz="0" w:space="0" w:color="auto"/>
                                                                <w:right w:val="none" w:sz="0" w:space="0" w:color="auto"/>
                                                              </w:divBdr>
                                                              <w:divsChild>
                                                                <w:div w:id="505176040">
                                                                  <w:marLeft w:val="0"/>
                                                                  <w:marRight w:val="0"/>
                                                                  <w:marTop w:val="0"/>
                                                                  <w:marBottom w:val="0"/>
                                                                  <w:divBdr>
                                                                    <w:top w:val="none" w:sz="0" w:space="0" w:color="auto"/>
                                                                    <w:left w:val="none" w:sz="0" w:space="0" w:color="auto"/>
                                                                    <w:bottom w:val="none" w:sz="0" w:space="0" w:color="auto"/>
                                                                    <w:right w:val="none" w:sz="0" w:space="0" w:color="auto"/>
                                                                  </w:divBdr>
                                                                  <w:divsChild>
                                                                    <w:div w:id="608315175">
                                                                      <w:marLeft w:val="405"/>
                                                                      <w:marRight w:val="0"/>
                                                                      <w:marTop w:val="0"/>
                                                                      <w:marBottom w:val="0"/>
                                                                      <w:divBdr>
                                                                        <w:top w:val="none" w:sz="0" w:space="0" w:color="auto"/>
                                                                        <w:left w:val="none" w:sz="0" w:space="0" w:color="auto"/>
                                                                        <w:bottom w:val="none" w:sz="0" w:space="0" w:color="auto"/>
                                                                        <w:right w:val="none" w:sz="0" w:space="0" w:color="auto"/>
                                                                      </w:divBdr>
                                                                      <w:divsChild>
                                                                        <w:div w:id="1077282650">
                                                                          <w:marLeft w:val="0"/>
                                                                          <w:marRight w:val="0"/>
                                                                          <w:marTop w:val="0"/>
                                                                          <w:marBottom w:val="0"/>
                                                                          <w:divBdr>
                                                                            <w:top w:val="none" w:sz="0" w:space="0" w:color="auto"/>
                                                                            <w:left w:val="none" w:sz="0" w:space="0" w:color="auto"/>
                                                                            <w:bottom w:val="none" w:sz="0" w:space="0" w:color="auto"/>
                                                                            <w:right w:val="none" w:sz="0" w:space="0" w:color="auto"/>
                                                                          </w:divBdr>
                                                                          <w:divsChild>
                                                                            <w:div w:id="433986000">
                                                                              <w:marLeft w:val="0"/>
                                                                              <w:marRight w:val="0"/>
                                                                              <w:marTop w:val="0"/>
                                                                              <w:marBottom w:val="0"/>
                                                                              <w:divBdr>
                                                                                <w:top w:val="none" w:sz="0" w:space="0" w:color="auto"/>
                                                                                <w:left w:val="none" w:sz="0" w:space="0" w:color="auto"/>
                                                                                <w:bottom w:val="none" w:sz="0" w:space="0" w:color="auto"/>
                                                                                <w:right w:val="none" w:sz="0" w:space="0" w:color="auto"/>
                                                                              </w:divBdr>
                                                                              <w:divsChild>
                                                                                <w:div w:id="1568107121">
                                                                                  <w:marLeft w:val="0"/>
                                                                                  <w:marRight w:val="0"/>
                                                                                  <w:marTop w:val="0"/>
                                                                                  <w:marBottom w:val="0"/>
                                                                                  <w:divBdr>
                                                                                    <w:top w:val="none" w:sz="0" w:space="0" w:color="auto"/>
                                                                                    <w:left w:val="none" w:sz="0" w:space="0" w:color="auto"/>
                                                                                    <w:bottom w:val="none" w:sz="0" w:space="0" w:color="auto"/>
                                                                                    <w:right w:val="none" w:sz="0" w:space="0" w:color="auto"/>
                                                                                  </w:divBdr>
                                                                                  <w:divsChild>
                                                                                    <w:div w:id="789320244">
                                                                                      <w:marLeft w:val="0"/>
                                                                                      <w:marRight w:val="0"/>
                                                                                      <w:marTop w:val="0"/>
                                                                                      <w:marBottom w:val="0"/>
                                                                                      <w:divBdr>
                                                                                        <w:top w:val="none" w:sz="0" w:space="0" w:color="auto"/>
                                                                                        <w:left w:val="none" w:sz="0" w:space="0" w:color="auto"/>
                                                                                        <w:bottom w:val="none" w:sz="0" w:space="0" w:color="auto"/>
                                                                                        <w:right w:val="none" w:sz="0" w:space="0" w:color="auto"/>
                                                                                      </w:divBdr>
                                                                                      <w:divsChild>
                                                                                        <w:div w:id="1022172784">
                                                                                          <w:marLeft w:val="0"/>
                                                                                          <w:marRight w:val="0"/>
                                                                                          <w:marTop w:val="0"/>
                                                                                          <w:marBottom w:val="0"/>
                                                                                          <w:divBdr>
                                                                                            <w:top w:val="none" w:sz="0" w:space="0" w:color="auto"/>
                                                                                            <w:left w:val="none" w:sz="0" w:space="0" w:color="auto"/>
                                                                                            <w:bottom w:val="none" w:sz="0" w:space="0" w:color="auto"/>
                                                                                            <w:right w:val="none" w:sz="0" w:space="0" w:color="auto"/>
                                                                                          </w:divBdr>
                                                                                          <w:divsChild>
                                                                                            <w:div w:id="1216039386">
                                                                                              <w:marLeft w:val="0"/>
                                                                                              <w:marRight w:val="0"/>
                                                                                              <w:marTop w:val="0"/>
                                                                                              <w:marBottom w:val="0"/>
                                                                                              <w:divBdr>
                                                                                                <w:top w:val="none" w:sz="0" w:space="0" w:color="auto"/>
                                                                                                <w:left w:val="none" w:sz="0" w:space="0" w:color="auto"/>
                                                                                                <w:bottom w:val="none" w:sz="0" w:space="0" w:color="auto"/>
                                                                                                <w:right w:val="none" w:sz="0" w:space="0" w:color="auto"/>
                                                                                              </w:divBdr>
                                                                                              <w:divsChild>
                                                                                                <w:div w:id="189924507">
                                                                                                  <w:marLeft w:val="0"/>
                                                                                                  <w:marRight w:val="0"/>
                                                                                                  <w:marTop w:val="0"/>
                                                                                                  <w:marBottom w:val="0"/>
                                                                                                  <w:divBdr>
                                                                                                    <w:top w:val="none" w:sz="0" w:space="0" w:color="auto"/>
                                                                                                    <w:left w:val="single" w:sz="12" w:space="8" w:color="auto"/>
                                                                                                    <w:bottom w:val="none" w:sz="0" w:space="0" w:color="auto"/>
                                                                                                    <w:right w:val="none" w:sz="0" w:space="0" w:color="auto"/>
                                                                                                  </w:divBdr>
                                                                                                  <w:divsChild>
                                                                                                    <w:div w:id="494951711">
                                                                                                      <w:marLeft w:val="0"/>
                                                                                                      <w:marRight w:val="0"/>
                                                                                                      <w:marTop w:val="0"/>
                                                                                                      <w:marBottom w:val="0"/>
                                                                                                      <w:divBdr>
                                                                                                        <w:top w:val="none" w:sz="0" w:space="0" w:color="auto"/>
                                                                                                        <w:left w:val="none" w:sz="0" w:space="0" w:color="auto"/>
                                                                                                        <w:bottom w:val="none" w:sz="0" w:space="0" w:color="auto"/>
                                                                                                        <w:right w:val="none" w:sz="0" w:space="0" w:color="auto"/>
                                                                                                      </w:divBdr>
                                                                                                      <w:divsChild>
                                                                                                        <w:div w:id="1184171716">
                                                                                                          <w:marLeft w:val="0"/>
                                                                                                          <w:marRight w:val="0"/>
                                                                                                          <w:marTop w:val="0"/>
                                                                                                          <w:marBottom w:val="0"/>
                                                                                                          <w:divBdr>
                                                                                                            <w:top w:val="none" w:sz="0" w:space="0" w:color="auto"/>
                                                                                                            <w:left w:val="none" w:sz="0" w:space="0" w:color="auto"/>
                                                                                                            <w:bottom w:val="none" w:sz="0" w:space="0" w:color="auto"/>
                                                                                                            <w:right w:val="none" w:sz="0" w:space="0" w:color="auto"/>
                                                                                                          </w:divBdr>
                                                                                                          <w:divsChild>
                                                                                                            <w:div w:id="794176470">
                                                                                                              <w:marLeft w:val="0"/>
                                                                                                              <w:marRight w:val="0"/>
                                                                                                              <w:marTop w:val="0"/>
                                                                                                              <w:marBottom w:val="0"/>
                                                                                                              <w:divBdr>
                                                                                                                <w:top w:val="none" w:sz="0" w:space="0" w:color="auto"/>
                                                                                                                <w:left w:val="none" w:sz="0" w:space="0" w:color="auto"/>
                                                                                                                <w:bottom w:val="none" w:sz="0" w:space="0" w:color="auto"/>
                                                                                                                <w:right w:val="none" w:sz="0" w:space="0" w:color="auto"/>
                                                                                                              </w:divBdr>
                                                                                                              <w:divsChild>
                                                                                                                <w:div w:id="1930503469">
                                                                                                                  <w:marLeft w:val="0"/>
                                                                                                                  <w:marRight w:val="0"/>
                                                                                                                  <w:marTop w:val="0"/>
                                                                                                                  <w:marBottom w:val="0"/>
                                                                                                                  <w:divBdr>
                                                                                                                    <w:top w:val="none" w:sz="0" w:space="0" w:color="auto"/>
                                                                                                                    <w:left w:val="none" w:sz="0" w:space="0" w:color="auto"/>
                                                                                                                    <w:bottom w:val="none" w:sz="0" w:space="0" w:color="auto"/>
                                                                                                                    <w:right w:val="none" w:sz="0" w:space="0" w:color="auto"/>
                                                                                                                  </w:divBdr>
                                                                                                                  <w:divsChild>
                                                                                                                    <w:div w:id="750197668">
                                                                                                                      <w:marLeft w:val="0"/>
                                                                                                                      <w:marRight w:val="0"/>
                                                                                                                      <w:marTop w:val="0"/>
                                                                                                                      <w:marBottom w:val="0"/>
                                                                                                                      <w:divBdr>
                                                                                                                        <w:top w:val="none" w:sz="0" w:space="0" w:color="auto"/>
                                                                                                                        <w:left w:val="none" w:sz="0" w:space="0" w:color="auto"/>
                                                                                                                        <w:bottom w:val="none" w:sz="0" w:space="0" w:color="auto"/>
                                                                                                                        <w:right w:val="none" w:sz="0" w:space="0" w:color="auto"/>
                                                                                                                      </w:divBdr>
                                                                                                                      <w:divsChild>
                                                                                                                        <w:div w:id="14616631">
                                                                                                                          <w:marLeft w:val="0"/>
                                                                                                                          <w:marRight w:val="0"/>
                                                                                                                          <w:marTop w:val="0"/>
                                                                                                                          <w:marBottom w:val="0"/>
                                                                                                                          <w:divBdr>
                                                                                                                            <w:top w:val="none" w:sz="0" w:space="0" w:color="auto"/>
                                                                                                                            <w:left w:val="none" w:sz="0" w:space="0" w:color="auto"/>
                                                                                                                            <w:bottom w:val="none" w:sz="0" w:space="0" w:color="auto"/>
                                                                                                                            <w:right w:val="none" w:sz="0" w:space="0" w:color="auto"/>
                                                                                                                          </w:divBdr>
                                                                                                                          <w:divsChild>
                                                                                                                            <w:div w:id="1842502028">
                                                                                                                              <w:marLeft w:val="0"/>
                                                                                                                              <w:marRight w:val="0"/>
                                                                                                                              <w:marTop w:val="0"/>
                                                                                                                              <w:marBottom w:val="0"/>
                                                                                                                              <w:divBdr>
                                                                                                                                <w:top w:val="none" w:sz="0" w:space="0" w:color="auto"/>
                                                                                                                                <w:left w:val="none" w:sz="0" w:space="0" w:color="auto"/>
                                                                                                                                <w:bottom w:val="none" w:sz="0" w:space="0" w:color="auto"/>
                                                                                                                                <w:right w:val="none" w:sz="0" w:space="0" w:color="auto"/>
                                                                                                                              </w:divBdr>
                                                                                                                              <w:divsChild>
                                                                                                                                <w:div w:id="332728904">
                                                                                                                                  <w:marLeft w:val="0"/>
                                                                                                                                  <w:marRight w:val="0"/>
                                                                                                                                  <w:marTop w:val="0"/>
                                                                                                                                  <w:marBottom w:val="0"/>
                                                                                                                                  <w:divBdr>
                                                                                                                                    <w:top w:val="none" w:sz="0" w:space="0" w:color="auto"/>
                                                                                                                                    <w:left w:val="none" w:sz="0" w:space="0" w:color="auto"/>
                                                                                                                                    <w:bottom w:val="none" w:sz="0" w:space="0" w:color="auto"/>
                                                                                                                                    <w:right w:val="none" w:sz="0" w:space="0" w:color="auto"/>
                                                                                                                                  </w:divBdr>
                                                                                                                                  <w:divsChild>
                                                                                                                                    <w:div w:id="1893031399">
                                                                                                                                      <w:marLeft w:val="0"/>
                                                                                                                                      <w:marRight w:val="0"/>
                                                                                                                                      <w:marTop w:val="0"/>
                                                                                                                                      <w:marBottom w:val="0"/>
                                                                                                                                      <w:divBdr>
                                                                                                                                        <w:top w:val="none" w:sz="0" w:space="0" w:color="auto"/>
                                                                                                                                        <w:left w:val="none" w:sz="0" w:space="0" w:color="auto"/>
                                                                                                                                        <w:bottom w:val="none" w:sz="0" w:space="0" w:color="auto"/>
                                                                                                                                        <w:right w:val="none" w:sz="0" w:space="0" w:color="auto"/>
                                                                                                                                      </w:divBdr>
                                                                                                                                      <w:divsChild>
                                                                                                                                        <w:div w:id="2104572832">
                                                                                                                                          <w:marLeft w:val="0"/>
                                                                                                                                          <w:marRight w:val="0"/>
                                                                                                                                          <w:marTop w:val="0"/>
                                                                                                                                          <w:marBottom w:val="0"/>
                                                                                                                                          <w:divBdr>
                                                                                                                                            <w:top w:val="single" w:sz="8" w:space="8" w:color="999999"/>
                                                                                                                                            <w:left w:val="none" w:sz="0" w:space="0" w:color="auto"/>
                                                                                                                                            <w:bottom w:val="none" w:sz="0" w:space="0" w:color="auto"/>
                                                                                                                                            <w:right w:val="none" w:sz="0" w:space="0" w:color="auto"/>
                                                                                                                                          </w:divBdr>
                                                                                                                                          <w:divsChild>
                                                                                                                                            <w:div w:id="1877042506">
                                                                                                                                              <w:marLeft w:val="0"/>
                                                                                                                                              <w:marRight w:val="0"/>
                                                                                                                                              <w:marTop w:val="0"/>
                                                                                                                                              <w:marBottom w:val="0"/>
                                                                                                                                              <w:divBdr>
                                                                                                                                                <w:top w:val="none" w:sz="0" w:space="0" w:color="auto"/>
                                                                                                                                                <w:left w:val="none" w:sz="0" w:space="0" w:color="auto"/>
                                                                                                                                                <w:bottom w:val="none" w:sz="0" w:space="0" w:color="auto"/>
                                                                                                                                                <w:right w:val="none" w:sz="0" w:space="0" w:color="auto"/>
                                                                                                                                              </w:divBdr>
                                                                                                                                              <w:divsChild>
                                                                                                                                                <w:div w:id="330064592">
                                                                                                                                                  <w:marLeft w:val="0"/>
                                                                                                                                                  <w:marRight w:val="0"/>
                                                                                                                                                  <w:marTop w:val="0"/>
                                                                                                                                                  <w:marBottom w:val="0"/>
                                                                                                                                                  <w:divBdr>
                                                                                                                                                    <w:top w:val="none" w:sz="0" w:space="0" w:color="auto"/>
                                                                                                                                                    <w:left w:val="none" w:sz="0" w:space="0" w:color="auto"/>
                                                                                                                                                    <w:bottom w:val="none" w:sz="0" w:space="0" w:color="auto"/>
                                                                                                                                                    <w:right w:val="none" w:sz="0" w:space="0" w:color="auto"/>
                                                                                                                                                  </w:divBdr>
                                                                                                                                                  <w:divsChild>
                                                                                                                                                    <w:div w:id="992217663">
                                                                                                                                                      <w:marLeft w:val="0"/>
                                                                                                                                                      <w:marRight w:val="0"/>
                                                                                                                                                      <w:marTop w:val="0"/>
                                                                                                                                                      <w:marBottom w:val="0"/>
                                                                                                                                                      <w:divBdr>
                                                                                                                                                        <w:top w:val="none" w:sz="0" w:space="0" w:color="auto"/>
                                                                                                                                                        <w:left w:val="none" w:sz="0" w:space="0" w:color="auto"/>
                                                                                                                                                        <w:bottom w:val="none" w:sz="0" w:space="0" w:color="auto"/>
                                                                                                                                                        <w:right w:val="none" w:sz="0" w:space="0" w:color="auto"/>
                                                                                                                                                      </w:divBdr>
                                                                                                                                                      <w:divsChild>
                                                                                                                                                        <w:div w:id="1301956204">
                                                                                                                                                          <w:marLeft w:val="0"/>
                                                                                                                                                          <w:marRight w:val="0"/>
                                                                                                                                                          <w:marTop w:val="0"/>
                                                                                                                                                          <w:marBottom w:val="0"/>
                                                                                                                                                          <w:divBdr>
                                                                                                                                                            <w:top w:val="none" w:sz="0" w:space="0" w:color="auto"/>
                                                                                                                                                            <w:left w:val="none" w:sz="0" w:space="0" w:color="auto"/>
                                                                                                                                                            <w:bottom w:val="none" w:sz="0" w:space="0" w:color="auto"/>
                                                                                                                                                            <w:right w:val="none" w:sz="0" w:space="0" w:color="auto"/>
                                                                                                                                                          </w:divBdr>
                                                                                                                                                          <w:divsChild>
                                                                                                                                                            <w:div w:id="1015809780">
                                                                                                                                                              <w:marLeft w:val="0"/>
                                                                                                                                                              <w:marRight w:val="0"/>
                                                                                                                                                              <w:marTop w:val="0"/>
                                                                                                                                                              <w:marBottom w:val="0"/>
                                                                                                                                                              <w:divBdr>
                                                                                                                                                                <w:top w:val="none" w:sz="0" w:space="0" w:color="auto"/>
                                                                                                                                                                <w:left w:val="none" w:sz="0" w:space="0" w:color="auto"/>
                                                                                                                                                                <w:bottom w:val="none" w:sz="0" w:space="0" w:color="auto"/>
                                                                                                                                                                <w:right w:val="none" w:sz="0" w:space="0" w:color="auto"/>
                                                                                                                                                              </w:divBdr>
                                                                                                                                                              <w:divsChild>
                                                                                                                                                                <w:div w:id="680738789">
                                                                                                                                                                  <w:marLeft w:val="0"/>
                                                                                                                                                                  <w:marRight w:val="0"/>
                                                                                                                                                                  <w:marTop w:val="0"/>
                                                                                                                                                                  <w:marBottom w:val="0"/>
                                                                                                                                                                  <w:divBdr>
                                                                                                                                                                    <w:top w:val="none" w:sz="0" w:space="0" w:color="auto"/>
                                                                                                                                                                    <w:left w:val="none" w:sz="0" w:space="0" w:color="auto"/>
                                                                                                                                                                    <w:bottom w:val="none" w:sz="0" w:space="0" w:color="auto"/>
                                                                                                                                                                    <w:right w:val="none" w:sz="0" w:space="0" w:color="auto"/>
                                                                                                                                                                  </w:divBdr>
                                                                                                                                                                  <w:divsChild>
                                                                                                                                                                    <w:div w:id="136062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81105189">
      <w:bodyDiv w:val="1"/>
      <w:marLeft w:val="0"/>
      <w:marRight w:val="0"/>
      <w:marTop w:val="0"/>
      <w:marBottom w:val="0"/>
      <w:divBdr>
        <w:top w:val="none" w:sz="0" w:space="0" w:color="auto"/>
        <w:left w:val="none" w:sz="0" w:space="0" w:color="auto"/>
        <w:bottom w:val="none" w:sz="0" w:space="0" w:color="auto"/>
        <w:right w:val="none" w:sz="0" w:space="0" w:color="auto"/>
      </w:divBdr>
    </w:div>
    <w:div w:id="1307979247">
      <w:bodyDiv w:val="1"/>
      <w:marLeft w:val="0"/>
      <w:marRight w:val="0"/>
      <w:marTop w:val="0"/>
      <w:marBottom w:val="0"/>
      <w:divBdr>
        <w:top w:val="none" w:sz="0" w:space="0" w:color="auto"/>
        <w:left w:val="none" w:sz="0" w:space="0" w:color="auto"/>
        <w:bottom w:val="none" w:sz="0" w:space="0" w:color="auto"/>
        <w:right w:val="none" w:sz="0" w:space="0" w:color="auto"/>
      </w:divBdr>
    </w:div>
    <w:div w:id="1382175615">
      <w:bodyDiv w:val="1"/>
      <w:marLeft w:val="0"/>
      <w:marRight w:val="0"/>
      <w:marTop w:val="0"/>
      <w:marBottom w:val="0"/>
      <w:divBdr>
        <w:top w:val="none" w:sz="0" w:space="0" w:color="auto"/>
        <w:left w:val="none" w:sz="0" w:space="0" w:color="auto"/>
        <w:bottom w:val="none" w:sz="0" w:space="0" w:color="auto"/>
        <w:right w:val="none" w:sz="0" w:space="0" w:color="auto"/>
      </w:divBdr>
    </w:div>
    <w:div w:id="1509445908">
      <w:bodyDiv w:val="1"/>
      <w:marLeft w:val="0"/>
      <w:marRight w:val="0"/>
      <w:marTop w:val="0"/>
      <w:marBottom w:val="0"/>
      <w:divBdr>
        <w:top w:val="none" w:sz="0" w:space="0" w:color="auto"/>
        <w:left w:val="none" w:sz="0" w:space="0" w:color="auto"/>
        <w:bottom w:val="none" w:sz="0" w:space="0" w:color="auto"/>
        <w:right w:val="none" w:sz="0" w:space="0" w:color="auto"/>
      </w:divBdr>
    </w:div>
    <w:div w:id="1882479091">
      <w:bodyDiv w:val="1"/>
      <w:marLeft w:val="0"/>
      <w:marRight w:val="0"/>
      <w:marTop w:val="0"/>
      <w:marBottom w:val="0"/>
      <w:divBdr>
        <w:top w:val="none" w:sz="0" w:space="0" w:color="auto"/>
        <w:left w:val="none" w:sz="0" w:space="0" w:color="auto"/>
        <w:bottom w:val="none" w:sz="0" w:space="0" w:color="auto"/>
        <w:right w:val="none" w:sz="0" w:space="0" w:color="auto"/>
      </w:divBdr>
    </w:div>
    <w:div w:id="1900045572">
      <w:bodyDiv w:val="1"/>
      <w:marLeft w:val="0"/>
      <w:marRight w:val="0"/>
      <w:marTop w:val="0"/>
      <w:marBottom w:val="0"/>
      <w:divBdr>
        <w:top w:val="none" w:sz="0" w:space="0" w:color="auto"/>
        <w:left w:val="none" w:sz="0" w:space="0" w:color="auto"/>
        <w:bottom w:val="none" w:sz="0" w:space="0" w:color="auto"/>
        <w:right w:val="none" w:sz="0" w:space="0" w:color="auto"/>
      </w:divBdr>
    </w:div>
    <w:div w:id="1966347036">
      <w:bodyDiv w:val="1"/>
      <w:marLeft w:val="0"/>
      <w:marRight w:val="0"/>
      <w:marTop w:val="0"/>
      <w:marBottom w:val="0"/>
      <w:divBdr>
        <w:top w:val="none" w:sz="0" w:space="0" w:color="auto"/>
        <w:left w:val="none" w:sz="0" w:space="0" w:color="auto"/>
        <w:bottom w:val="none" w:sz="0" w:space="0" w:color="auto"/>
        <w:right w:val="none" w:sz="0" w:space="0" w:color="auto"/>
      </w:divBdr>
    </w:div>
    <w:div w:id="1996491994">
      <w:bodyDiv w:val="1"/>
      <w:marLeft w:val="0"/>
      <w:marRight w:val="0"/>
      <w:marTop w:val="0"/>
      <w:marBottom w:val="0"/>
      <w:divBdr>
        <w:top w:val="none" w:sz="0" w:space="0" w:color="auto"/>
        <w:left w:val="none" w:sz="0" w:space="0" w:color="auto"/>
        <w:bottom w:val="none" w:sz="0" w:space="0" w:color="auto"/>
        <w:right w:val="none" w:sz="0" w:space="0" w:color="auto"/>
      </w:divBdr>
    </w:div>
    <w:div w:id="2005665838">
      <w:bodyDiv w:val="1"/>
      <w:marLeft w:val="0"/>
      <w:marRight w:val="0"/>
      <w:marTop w:val="0"/>
      <w:marBottom w:val="0"/>
      <w:divBdr>
        <w:top w:val="none" w:sz="0" w:space="0" w:color="auto"/>
        <w:left w:val="none" w:sz="0" w:space="0" w:color="auto"/>
        <w:bottom w:val="none" w:sz="0" w:space="0" w:color="auto"/>
        <w:right w:val="none" w:sz="0" w:space="0" w:color="auto"/>
      </w:divBdr>
    </w:div>
    <w:div w:id="2041659185">
      <w:bodyDiv w:val="1"/>
      <w:marLeft w:val="0"/>
      <w:marRight w:val="0"/>
      <w:marTop w:val="0"/>
      <w:marBottom w:val="0"/>
      <w:divBdr>
        <w:top w:val="none" w:sz="0" w:space="0" w:color="auto"/>
        <w:left w:val="none" w:sz="0" w:space="0" w:color="auto"/>
        <w:bottom w:val="none" w:sz="0" w:space="0" w:color="auto"/>
        <w:right w:val="none" w:sz="0" w:space="0" w:color="auto"/>
      </w:divBdr>
      <w:divsChild>
        <w:div w:id="12735427">
          <w:marLeft w:val="0"/>
          <w:marRight w:val="0"/>
          <w:marTop w:val="0"/>
          <w:marBottom w:val="0"/>
          <w:divBdr>
            <w:top w:val="none" w:sz="0" w:space="0" w:color="auto"/>
            <w:left w:val="none" w:sz="0" w:space="0" w:color="auto"/>
            <w:bottom w:val="none" w:sz="0" w:space="0" w:color="auto"/>
            <w:right w:val="none" w:sz="0" w:space="0" w:color="auto"/>
          </w:divBdr>
        </w:div>
        <w:div w:id="1082065740">
          <w:marLeft w:val="0"/>
          <w:marRight w:val="0"/>
          <w:marTop w:val="0"/>
          <w:marBottom w:val="0"/>
          <w:divBdr>
            <w:top w:val="none" w:sz="0" w:space="0" w:color="auto"/>
            <w:left w:val="none" w:sz="0" w:space="0" w:color="auto"/>
            <w:bottom w:val="none" w:sz="0" w:space="0" w:color="auto"/>
            <w:right w:val="none" w:sz="0" w:space="0" w:color="auto"/>
          </w:divBdr>
        </w:div>
        <w:div w:id="1219513799">
          <w:marLeft w:val="0"/>
          <w:marRight w:val="0"/>
          <w:marTop w:val="0"/>
          <w:marBottom w:val="0"/>
          <w:divBdr>
            <w:top w:val="none" w:sz="0" w:space="0" w:color="auto"/>
            <w:left w:val="none" w:sz="0" w:space="0" w:color="auto"/>
            <w:bottom w:val="none" w:sz="0" w:space="0" w:color="auto"/>
            <w:right w:val="none" w:sz="0" w:space="0" w:color="auto"/>
          </w:divBdr>
        </w:div>
        <w:div w:id="1498226455">
          <w:marLeft w:val="0"/>
          <w:marRight w:val="0"/>
          <w:marTop w:val="0"/>
          <w:marBottom w:val="0"/>
          <w:divBdr>
            <w:top w:val="none" w:sz="0" w:space="0" w:color="auto"/>
            <w:left w:val="none" w:sz="0" w:space="0" w:color="auto"/>
            <w:bottom w:val="none" w:sz="0" w:space="0" w:color="auto"/>
            <w:right w:val="none" w:sz="0" w:space="0" w:color="auto"/>
          </w:divBdr>
        </w:div>
        <w:div w:id="2025401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E18CEB-1532-44F6-B484-0A810575C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230CA226</Template>
  <TotalTime>1</TotalTime>
  <Pages>20</Pages>
  <Words>13022</Words>
  <Characters>74228</Characters>
  <Application>Microsoft Office Word</Application>
  <DocSecurity>0</DocSecurity>
  <Lines>618</Lines>
  <Paragraphs>174</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87076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Wladyslaw Januszewicz</dc:creator>
  <cp:keywords/>
  <dc:description/>
  <cp:lastModifiedBy>Massimiliano Di Pietro</cp:lastModifiedBy>
  <cp:revision>3</cp:revision>
  <dcterms:created xsi:type="dcterms:W3CDTF">2019-09-23T10:53:00Z</dcterms:created>
  <dcterms:modified xsi:type="dcterms:W3CDTF">2019-10-01T17:35:00Z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1a81f601-ea44-3d80-90a1-a5f766084b97</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http://csl.mendeley.com/styles/520802211/apa</vt:lpwstr>
  </property>
  <property fmtid="{D5CDD505-2E9C-101B-9397-08002B2CF9AE}" pid="9" name="Mendeley Recent Style Name 2_1">
    <vt:lpwstr>American Psychological Association 6th edition - Wladyslaw Januszewicz, M.D.</vt:lpwstr>
  </property>
  <property fmtid="{D5CDD505-2E9C-101B-9397-08002B2CF9AE}" pid="10" name="Mendeley Recent Style Id 3_1">
    <vt:lpwstr>http://csl.mendeley.com/styles/520802211/MolecularOncology</vt:lpwstr>
  </property>
  <property fmtid="{D5CDD505-2E9C-101B-9397-08002B2CF9AE}" pid="11" name="Mendeley Recent Style Name 3_1">
    <vt:lpwstr>Chicago Manual of Style 17th edition (author-date) - Wladyslaw Januszewicz, M.D.</vt:lpwstr>
  </property>
  <property fmtid="{D5CDD505-2E9C-101B-9397-08002B2CF9AE}" pid="12" name="Mendeley Recent Style Id 4_1">
    <vt:lpwstr>http://www.zotero.org/styles/harvard-cite-them-right</vt:lpwstr>
  </property>
  <property fmtid="{D5CDD505-2E9C-101B-9397-08002B2CF9AE}" pid="13" name="Mendeley Recent Style Name 4_1">
    <vt:lpwstr>Cite Them Right 10th edition - Harvard</vt:lpwstr>
  </property>
  <property fmtid="{D5CDD505-2E9C-101B-9397-08002B2CF9AE}" pid="14" name="Mendeley Recent Style Id 5_1">
    <vt:lpwstr>http://www.zotero.org/styles/ieee</vt:lpwstr>
  </property>
  <property fmtid="{D5CDD505-2E9C-101B-9397-08002B2CF9AE}" pid="15" name="Mendeley Recent Style Name 5_1">
    <vt:lpwstr>IEEE</vt:lpwstr>
  </property>
  <property fmtid="{D5CDD505-2E9C-101B-9397-08002B2CF9AE}" pid="16" name="Mendeley Recent Style Id 6_1">
    <vt:lpwstr>http://www.zotero.org/styles/molecular-oncology</vt:lpwstr>
  </property>
  <property fmtid="{D5CDD505-2E9C-101B-9397-08002B2CF9AE}" pid="17" name="Mendeley Recent Style Name 6_1">
    <vt:lpwstr>Molecular Oncology</vt:lpwstr>
  </property>
  <property fmtid="{D5CDD505-2E9C-101B-9397-08002B2CF9AE}" pid="18" name="Mendeley Recent Style Id 7_1">
    <vt:lpwstr>http://www.zotero.org/styles/nature</vt:lpwstr>
  </property>
  <property fmtid="{D5CDD505-2E9C-101B-9397-08002B2CF9AE}" pid="19" name="Mendeley Recent Style Name 7_1">
    <vt:lpwstr>Nature</vt:lpwstr>
  </property>
  <property fmtid="{D5CDD505-2E9C-101B-9397-08002B2CF9AE}" pid="20" name="Mendeley Recent Style Id 8_1">
    <vt:lpwstr>http://www.zotero.org/styles/vancouver</vt:lpwstr>
  </property>
  <property fmtid="{D5CDD505-2E9C-101B-9397-08002B2CF9AE}" pid="21" name="Mendeley Recent Style Name 8_1">
    <vt:lpwstr>Vancouver</vt:lpwstr>
  </property>
  <property fmtid="{D5CDD505-2E9C-101B-9397-08002B2CF9AE}" pid="22" name="Mendeley Recent Style Id 9_1">
    <vt:lpwstr>http://csl.mendeley.com/styles/520802211/Medicine</vt:lpwstr>
  </property>
  <property fmtid="{D5CDD505-2E9C-101B-9397-08002B2CF9AE}" pid="23" name="Mendeley Recent Style Name 9_1">
    <vt:lpwstr>Vancouver - Wladyslaw Januszewicz</vt:lpwstr>
  </property>
  <property fmtid="{D5CDD505-2E9C-101B-9397-08002B2CF9AE}" pid="24" name="Mendeley Citation Style_1">
    <vt:lpwstr>http://www.zotero.org/styles/american-medical-association</vt:lpwstr>
  </property>
</Properties>
</file>