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BE27AA" w14:textId="225DD7DA" w:rsidR="00D806A4" w:rsidRPr="00D806A4" w:rsidRDefault="00D806A4" w:rsidP="00D806A4">
      <w:pPr>
        <w:jc w:val="center"/>
        <w:rPr>
          <w:rFonts w:eastAsia="Times New Roman"/>
          <w:b/>
          <w:sz w:val="28"/>
          <w:szCs w:val="28"/>
          <w:u w:val="single"/>
          <w:lang w:eastAsia="en-GB"/>
        </w:rPr>
      </w:pPr>
      <w:r w:rsidRPr="00D806A4">
        <w:rPr>
          <w:b/>
          <w:sz w:val="28"/>
          <w:szCs w:val="28"/>
          <w:u w:val="single"/>
        </w:rPr>
        <w:t>Paternal Rights, Child Welfare and the Law in</w:t>
      </w:r>
      <w:r>
        <w:rPr>
          <w:b/>
          <w:sz w:val="28"/>
          <w:szCs w:val="28"/>
          <w:u w:val="single"/>
        </w:rPr>
        <w:t xml:space="preserve"> </w:t>
      </w:r>
      <w:r w:rsidRPr="00D806A4">
        <w:rPr>
          <w:rFonts w:eastAsia="Times New Roman"/>
          <w:b/>
          <w:sz w:val="28"/>
          <w:szCs w:val="28"/>
          <w:u w:val="single"/>
          <w:lang w:eastAsia="en-GB"/>
        </w:rPr>
        <w:t>Ninetee</w:t>
      </w:r>
      <w:r>
        <w:rPr>
          <w:rFonts w:eastAsia="Times New Roman"/>
          <w:b/>
          <w:sz w:val="28"/>
          <w:szCs w:val="28"/>
          <w:u w:val="single"/>
          <w:lang w:eastAsia="en-GB"/>
        </w:rPr>
        <w:t>nth-Century Britain and Ireland</w:t>
      </w:r>
      <w:bookmarkStart w:id="0" w:name="_GoBack"/>
      <w:bookmarkEnd w:id="0"/>
    </w:p>
    <w:p w14:paraId="0029C511" w14:textId="77777777" w:rsidR="006375FB" w:rsidRDefault="006375FB" w:rsidP="006375FB">
      <w:pPr>
        <w:pStyle w:val="BodyTextIndent"/>
      </w:pPr>
    </w:p>
    <w:p w14:paraId="42BC902A" w14:textId="6477DD9B" w:rsidR="006672BA" w:rsidRDefault="00D03361" w:rsidP="004A2191">
      <w:pPr>
        <w:pStyle w:val="BodyTextIndent"/>
      </w:pPr>
      <w:r>
        <w:t xml:space="preserve">The gender </w:t>
      </w:r>
      <w:r w:rsidR="007463F2">
        <w:t>order</w:t>
      </w:r>
      <w:r>
        <w:t xml:space="preserve"> of nineteenth-century Britain was underpinned by the law. Fundamental inequalities between men and women were the creations of a state that denied women the vote; </w:t>
      </w:r>
      <w:r w:rsidR="002F082F">
        <w:t>denied married</w:t>
      </w:r>
      <w:r>
        <w:t xml:space="preserve"> women property </w:t>
      </w:r>
      <w:r w:rsidR="002F082F">
        <w:t>rights</w:t>
      </w:r>
      <w:r>
        <w:t xml:space="preserve">; </w:t>
      </w:r>
      <w:r w:rsidR="007463F2">
        <w:t>restricted</w:t>
      </w:r>
      <w:r>
        <w:t xml:space="preserve"> </w:t>
      </w:r>
      <w:r w:rsidR="002F082F">
        <w:t>divorce</w:t>
      </w:r>
      <w:r>
        <w:t xml:space="preserve">; and denied </w:t>
      </w:r>
      <w:r w:rsidR="000F3834">
        <w:t>mothers</w:t>
      </w:r>
      <w:r>
        <w:t xml:space="preserve"> any right to custody of their children except in exceptional circumstances.</w:t>
      </w:r>
      <w:r w:rsidR="004A2191">
        <w:t xml:space="preserve"> </w:t>
      </w:r>
      <w:r w:rsidR="000F3834">
        <w:t>Although these inequalities had a long history, their persistence requires some explanation because the legal architecture in which they were embedded was subject to almost continuous contestation and change.</w:t>
      </w:r>
      <w:r w:rsidR="002F082F">
        <w:t xml:space="preserve"> </w:t>
      </w:r>
      <w:r w:rsidR="000F3834">
        <w:t>The structures, doctrines and practices of the legal system all underwent fundamental changes in the late eighteenth and nineteenth centuries: i</w:t>
      </w:r>
      <w:r w:rsidR="004A2191">
        <w:t xml:space="preserve">f women’s legal disabilities </w:t>
      </w:r>
      <w:r w:rsidR="000F3834">
        <w:t>endured</w:t>
      </w:r>
      <w:r w:rsidR="004A2191">
        <w:t>, it was because lawyers expended considerable effort in pou</w:t>
      </w:r>
      <w:r w:rsidR="002F082F">
        <w:t>ring old wine into new bottles.</w:t>
      </w:r>
      <w:r w:rsidR="004C470E" w:rsidRPr="004C470E">
        <w:t xml:space="preserve"> </w:t>
      </w:r>
      <w:r w:rsidR="004C470E">
        <w:t>This article will explore this</w:t>
      </w:r>
      <w:r w:rsidR="004C470E" w:rsidRPr="00F70018">
        <w:t xml:space="preserve"> </w:t>
      </w:r>
      <w:r w:rsidR="004C470E">
        <w:t>processes by examining how judges sought to reconstruct inequalities between men, women and children in the course of disputes over paternal rights.</w:t>
      </w:r>
      <w:r w:rsidR="000F3834">
        <w:t xml:space="preserve"> </w:t>
      </w:r>
    </w:p>
    <w:p w14:paraId="46D90F89" w14:textId="15E5959A" w:rsidR="0006548C" w:rsidRDefault="006672BA" w:rsidP="0008255C">
      <w:pPr>
        <w:pStyle w:val="BodyTextIndent"/>
      </w:pPr>
      <w:r>
        <w:t xml:space="preserve">Sustaining sexual inequalities required </w:t>
      </w:r>
      <w:r w:rsidR="007C749B">
        <w:t xml:space="preserve">intellectual work </w:t>
      </w:r>
      <w:r>
        <w:t>from</w:t>
      </w:r>
      <w:r w:rsidR="007C749B">
        <w:t xml:space="preserve"> </w:t>
      </w:r>
      <w:r w:rsidR="00406690">
        <w:t>judges</w:t>
      </w:r>
      <w:r>
        <w:t xml:space="preserve">, not least because </w:t>
      </w:r>
      <w:r w:rsidR="00873D52">
        <w:t xml:space="preserve">the meanings of </w:t>
      </w:r>
      <w:r>
        <w:t>legal precedent</w:t>
      </w:r>
      <w:r w:rsidR="00873D52">
        <w:t>s are never fixed</w:t>
      </w:r>
      <w:r>
        <w:t>.</w:t>
      </w:r>
      <w:r w:rsidR="00873D52">
        <w:rPr>
          <w:rStyle w:val="FootnoteReference"/>
        </w:rPr>
        <w:footnoteReference w:id="2"/>
      </w:r>
      <w:r>
        <w:t xml:space="preserve"> E</w:t>
      </w:r>
      <w:r w:rsidR="00406690">
        <w:t xml:space="preserve">very act of adjudication required judges actively </w:t>
      </w:r>
      <w:r w:rsidR="00B81433">
        <w:t xml:space="preserve">to </w:t>
      </w:r>
      <w:r w:rsidR="00406690">
        <w:t>manipulate a body of case law in order to produce a coherent doctrine</w:t>
      </w:r>
      <w:r w:rsidR="00B602B2">
        <w:t xml:space="preserve">, </w:t>
      </w:r>
      <w:r>
        <w:t xml:space="preserve">and for this reason </w:t>
      </w:r>
      <w:r w:rsidR="00B602B2">
        <w:t>we should not see the law as a stable patriarchal monolith</w:t>
      </w:r>
      <w:r w:rsidR="002B29D0">
        <w:t xml:space="preserve"> but </w:t>
      </w:r>
      <w:r w:rsidR="002B29D0">
        <w:lastRenderedPageBreak/>
        <w:t>as a gendered system that wa</w:t>
      </w:r>
      <w:r w:rsidR="00B602B2">
        <w:t>s continuously being reconstructed at the point of use by actors with considerable freedom of manoeuvre</w:t>
      </w:r>
      <w:r w:rsidR="00406690">
        <w:t>.</w:t>
      </w:r>
      <w:r w:rsidR="00DB21E3">
        <w:t xml:space="preserve"> </w:t>
      </w:r>
      <w:r w:rsidR="00445A60">
        <w:t>This means that</w:t>
      </w:r>
      <w:r w:rsidR="00445A60" w:rsidRPr="00445A60">
        <w:t xml:space="preserve"> </w:t>
      </w:r>
      <w:r w:rsidR="00445A60">
        <w:t>an intellectual history of the law must be a history of discursive struggle</w:t>
      </w:r>
      <w:r w:rsidR="008E2F2D">
        <w:t>s</w:t>
      </w:r>
      <w:r w:rsidR="00B25D23">
        <w:t>, not a history of the evolution of a doctrine.</w:t>
      </w:r>
      <w:r w:rsidR="0015696A">
        <w:t xml:space="preserve"> </w:t>
      </w:r>
      <w:r w:rsidR="00B25D23">
        <w:t>T</w:t>
      </w:r>
      <w:r w:rsidR="0015696A">
        <w:t>he following analysis will be</w:t>
      </w:r>
      <w:r w:rsidR="00445A60">
        <w:t xml:space="preserve"> attentive</w:t>
      </w:r>
      <w:r w:rsidR="0015696A">
        <w:t xml:space="preserve"> both</w:t>
      </w:r>
      <w:r w:rsidR="00445A60">
        <w:t xml:space="preserve"> to how th</w:t>
      </w:r>
      <w:r w:rsidR="00DB21E3">
        <w:t>e same precedents</w:t>
      </w:r>
      <w:r w:rsidR="00445A60">
        <w:t xml:space="preserve"> were cited </w:t>
      </w:r>
      <w:r w:rsidR="00DB21E3">
        <w:t>in support of radically different propositions,</w:t>
      </w:r>
      <w:r w:rsidR="00445A60">
        <w:t xml:space="preserve"> and </w:t>
      </w:r>
      <w:r w:rsidR="0015696A">
        <w:t xml:space="preserve">to </w:t>
      </w:r>
      <w:r w:rsidR="00445A60">
        <w:t xml:space="preserve">how particular precedents were included or excluded from the </w:t>
      </w:r>
      <w:r w:rsidR="00B25D23">
        <w:t>case law</w:t>
      </w:r>
      <w:r w:rsidR="00445A60">
        <w:t xml:space="preserve"> </w:t>
      </w:r>
      <w:r w:rsidR="0015696A">
        <w:t xml:space="preserve">that judges cited in defence of their positions. </w:t>
      </w:r>
      <w:r w:rsidR="009A7D34">
        <w:t xml:space="preserve">The law was not completely unstable however: there were limits to the range of judicial outcomes that would be regarded as legitimate by legal practitioners who </w:t>
      </w:r>
      <w:r w:rsidR="00FF3599">
        <w:t>had enjoyed the same</w:t>
      </w:r>
      <w:r w:rsidR="009A7D34">
        <w:t xml:space="preserve"> </w:t>
      </w:r>
      <w:r w:rsidR="00FF3599">
        <w:t xml:space="preserve">professional training </w:t>
      </w:r>
      <w:r w:rsidR="009A7D34">
        <w:t xml:space="preserve">and who participated in a </w:t>
      </w:r>
      <w:r w:rsidR="00FF3599">
        <w:t>well-defined, inward-looking, and carefully policed</w:t>
      </w:r>
      <w:r w:rsidR="009A7D34">
        <w:t xml:space="preserve"> professional culture</w:t>
      </w:r>
      <w:commentRangeStart w:id="1"/>
      <w:r w:rsidR="009A7D34">
        <w:t>.</w:t>
      </w:r>
      <w:commentRangeEnd w:id="1"/>
      <w:r w:rsidR="00FF3599">
        <w:rPr>
          <w:rStyle w:val="CommentReference"/>
          <w:snapToGrid/>
        </w:rPr>
        <w:commentReference w:id="1"/>
      </w:r>
      <w:r w:rsidR="009A7D34" w:rsidDel="009A7D34">
        <w:t xml:space="preserve"> </w:t>
      </w:r>
      <w:r w:rsidR="00FF3599">
        <w:t>The fact that nineteenth-century judges came from similar social backgrounds was also significant</w:t>
      </w:r>
      <w:r w:rsidR="00ED5993">
        <w:t xml:space="preserve"> in accounting for doctrinal stability, because it meant that when they were called upon to articulate </w:t>
      </w:r>
      <w:r w:rsidR="00FF3599">
        <w:t xml:space="preserve">child custody law </w:t>
      </w:r>
      <w:r w:rsidR="00ED5993">
        <w:t>they did so with very similar ideas about</w:t>
      </w:r>
      <w:r w:rsidR="00FF3599">
        <w:t xml:space="preserve"> what it meant to be a child, a father, or a wife and mother. </w:t>
      </w:r>
      <w:r w:rsidR="00F50536">
        <w:t>This</w:t>
      </w:r>
      <w:r w:rsidR="0025781C">
        <w:t xml:space="preserve"> was a powerful </w:t>
      </w:r>
      <w:r w:rsidR="0008255C">
        <w:t>reason why judges tended to produce the same kinds of doctrine from case materials in the first half of the nineteenth century. Th</w:t>
      </w:r>
      <w:r w:rsidR="001D4902">
        <w:t xml:space="preserve">is consensus was bound to be unsettled, however, by changing </w:t>
      </w:r>
      <w:r w:rsidR="0008255C">
        <w:t xml:space="preserve">ideas </w:t>
      </w:r>
      <w:r w:rsidR="001D4902">
        <w:t xml:space="preserve">about what it meant to be a child, or </w:t>
      </w:r>
      <w:r w:rsidR="0008255C">
        <w:t>about how husbands ought to behave</w:t>
      </w:r>
      <w:r w:rsidR="001D4902">
        <w:t>.</w:t>
      </w:r>
      <w:r w:rsidR="00011AAB">
        <w:t xml:space="preserve"> </w:t>
      </w:r>
      <w:r w:rsidR="00F50536">
        <w:t>We shall see that</w:t>
      </w:r>
      <w:r w:rsidR="00232CB1">
        <w:t xml:space="preserve"> uncertainty about the nature of childhood unsettled </w:t>
      </w:r>
      <w:r w:rsidR="001D4902">
        <w:t xml:space="preserve">a </w:t>
      </w:r>
      <w:r w:rsidR="00232CB1">
        <w:t>father</w:t>
      </w:r>
      <w:r w:rsidR="001D4902">
        <w:t>’</w:t>
      </w:r>
      <w:r w:rsidR="00232CB1">
        <w:t>s</w:t>
      </w:r>
      <w:r w:rsidR="001D4902">
        <w:t xml:space="preserve"> right</w:t>
      </w:r>
      <w:r w:rsidR="00232CB1">
        <w:t xml:space="preserve"> to control </w:t>
      </w:r>
      <w:r w:rsidR="001D4902">
        <w:t>his</w:t>
      </w:r>
      <w:r w:rsidR="00232CB1">
        <w:t xml:space="preserve"> children’s </w:t>
      </w:r>
      <w:r w:rsidR="0047363C">
        <w:t xml:space="preserve">religious </w:t>
      </w:r>
      <w:r w:rsidR="00232CB1">
        <w:t>education</w:t>
      </w:r>
      <w:r w:rsidR="00F50536">
        <w:t>, and that</w:t>
      </w:r>
      <w:r w:rsidR="001D4902">
        <w:t xml:space="preserve"> </w:t>
      </w:r>
      <w:r w:rsidR="00F50536">
        <w:t xml:space="preserve">growing </w:t>
      </w:r>
      <w:r w:rsidR="001D4902">
        <w:t>concerns about domestic abuse</w:t>
      </w:r>
      <w:r w:rsidR="00C47740">
        <w:t xml:space="preserve"> unsettled paternal rights</w:t>
      </w:r>
      <w:r w:rsidR="001D4902">
        <w:t>.</w:t>
      </w:r>
      <w:r w:rsidR="00232CB1">
        <w:t xml:space="preserve"> </w:t>
      </w:r>
      <w:r w:rsidR="002375FB">
        <w:t>Faced with th</w:t>
      </w:r>
      <w:r w:rsidR="001578EA">
        <w:t xml:space="preserve">ese challenges, the persistence of patriarchal law was not a foregone conclusion: </w:t>
      </w:r>
      <w:r w:rsidR="0036295C">
        <w:t>the</w:t>
      </w:r>
      <w:r w:rsidR="001578EA">
        <w:t xml:space="preserve"> judiciary</w:t>
      </w:r>
      <w:r w:rsidR="00297E6E">
        <w:t xml:space="preserve"> had to work to bring it about</w:t>
      </w:r>
      <w:r w:rsidR="001578EA">
        <w:t>.</w:t>
      </w:r>
      <w:r w:rsidR="002375FB">
        <w:t xml:space="preserve"> </w:t>
      </w:r>
    </w:p>
    <w:p w14:paraId="4186128A" w14:textId="31D75605" w:rsidR="00302838" w:rsidRDefault="00995817" w:rsidP="00995817">
      <w:pPr>
        <w:pStyle w:val="BodyTextIndent"/>
      </w:pPr>
      <w:r>
        <w:t xml:space="preserve">Nineteenth-century judges carried out this work as they struggled with </w:t>
      </w:r>
      <w:r w:rsidR="00E93BC2">
        <w:t>three</w:t>
      </w:r>
      <w:r w:rsidR="001E3F37">
        <w:t xml:space="preserve"> </w:t>
      </w:r>
      <w:r w:rsidR="0036295C">
        <w:t xml:space="preserve">major </w:t>
      </w:r>
      <w:r w:rsidR="002F082F">
        <w:t xml:space="preserve">challenges to Britain’s </w:t>
      </w:r>
      <w:r>
        <w:t>gendered</w:t>
      </w:r>
      <w:r w:rsidR="002F082F">
        <w:t xml:space="preserve"> legal order</w:t>
      </w:r>
      <w:r w:rsidR="001E3F37">
        <w:t xml:space="preserve">. First, understandings of the nature of law </w:t>
      </w:r>
      <w:r w:rsidR="001E3F37">
        <w:lastRenderedPageBreak/>
        <w:t>underwent rapid change in the wake of the Enlightenment.</w:t>
      </w:r>
      <w:r w:rsidR="00CD1BCF">
        <w:rPr>
          <w:rStyle w:val="FootnoteReference"/>
        </w:rPr>
        <w:footnoteReference w:id="3"/>
      </w:r>
      <w:r w:rsidR="003C43AE">
        <w:t xml:space="preserve"> </w:t>
      </w:r>
      <w:r w:rsidR="00CD0894">
        <w:t xml:space="preserve">As </w:t>
      </w:r>
      <w:r w:rsidR="00107A47">
        <w:t>a result</w:t>
      </w:r>
      <w:r w:rsidR="00CD0894">
        <w:t>, the conceptual framework that made sense of women’s legal position also changed</w:t>
      </w:r>
      <w:r w:rsidR="00F637B0">
        <w:t>:</w:t>
      </w:r>
      <w:r w:rsidR="002F082F">
        <w:t xml:space="preserve"> the doctrine of coverture </w:t>
      </w:r>
      <w:r w:rsidR="00F637B0">
        <w:t>was</w:t>
      </w:r>
      <w:r w:rsidR="002F082F">
        <w:t xml:space="preserve"> redefined </w:t>
      </w:r>
      <w:r w:rsidR="00F637B0">
        <w:t>and the development of new heuristic categories of legal analysis, like ‘contract law’ or ‘tort’, required familiar sexual inequalities to be recast in a new mould</w:t>
      </w:r>
      <w:r w:rsidR="002F082F">
        <w:t>.</w:t>
      </w:r>
      <w:r w:rsidR="004B2B2C">
        <w:rPr>
          <w:rStyle w:val="FootnoteReference"/>
        </w:rPr>
        <w:footnoteReference w:id="4"/>
      </w:r>
      <w:r w:rsidR="00C337DB">
        <w:t xml:space="preserve"> </w:t>
      </w:r>
      <w:r w:rsidR="00E93BC2">
        <w:t>Second</w:t>
      </w:r>
      <w:r w:rsidR="002F082F">
        <w:t xml:space="preserve">, </w:t>
      </w:r>
      <w:r w:rsidR="006C307F">
        <w:t>perceptions of the sources of law changed, a</w:t>
      </w:r>
      <w:r w:rsidR="00C337DB">
        <w:t xml:space="preserve">s the </w:t>
      </w:r>
      <w:r w:rsidR="006C307F">
        <w:t xml:space="preserve">growing </w:t>
      </w:r>
      <w:r w:rsidR="00C337DB">
        <w:t>authority of published law reports led to the decline of judges citing scripture or textbooks as authoritative sources of law</w:t>
      </w:r>
      <w:r w:rsidR="00E93BC2" w:rsidRPr="00E93BC2">
        <w:t xml:space="preserve"> </w:t>
      </w:r>
      <w:r w:rsidR="00E93BC2">
        <w:t>and</w:t>
      </w:r>
      <w:r w:rsidR="004C6AB6">
        <w:t xml:space="preserve"> to</w:t>
      </w:r>
      <w:r w:rsidR="00E93BC2">
        <w:t xml:space="preserve"> the emergence of the idea that precedents were not merely suggestive but </w:t>
      </w:r>
      <w:r w:rsidR="00E93BC2" w:rsidRPr="00E50FFD">
        <w:t>binding</w:t>
      </w:r>
      <w:r w:rsidR="00C337DB">
        <w:t>.</w:t>
      </w:r>
      <w:r w:rsidR="00C337DB">
        <w:rPr>
          <w:rStyle w:val="FootnoteReference"/>
        </w:rPr>
        <w:footnoteReference w:id="5"/>
      </w:r>
      <w:r w:rsidR="002F082F">
        <w:t xml:space="preserve"> Finally, there was t</w:t>
      </w:r>
      <w:r w:rsidR="00367DCA">
        <w:t>he transformation of the state.</w:t>
      </w:r>
    </w:p>
    <w:p w14:paraId="389E5F0C" w14:textId="2D0BBE1B" w:rsidR="00367DCA" w:rsidRDefault="00367DCA" w:rsidP="00995817">
      <w:pPr>
        <w:pStyle w:val="BodyTextIndent"/>
      </w:pPr>
      <w:r>
        <w:t xml:space="preserve">Despite the large body of work on </w:t>
      </w:r>
      <w:r w:rsidR="00873D52">
        <w:t>the history of crime</w:t>
      </w:r>
      <w:r>
        <w:t>, the administration of civil law, family law and public law are rarely integrated into histories of the state.</w:t>
      </w:r>
      <w:r>
        <w:rPr>
          <w:rStyle w:val="FootnoteReference"/>
        </w:rPr>
        <w:footnoteReference w:id="6"/>
      </w:r>
      <w:r>
        <w:t xml:space="preserve"> The result is that none of the terms </w:t>
      </w:r>
      <w:r w:rsidR="00873D52">
        <w:t xml:space="preserve">commonly </w:t>
      </w:r>
      <w:r>
        <w:t xml:space="preserve">used to characterise the development of the state – welfare state, warfare state, fiscal-military state, laissez-faire state, policeman state, information state, </w:t>
      </w:r>
      <w:r w:rsidR="00873D52">
        <w:t xml:space="preserve">or </w:t>
      </w:r>
      <w:r>
        <w:t xml:space="preserve">communication state – are capable of theorizing one of the state’s </w:t>
      </w:r>
      <w:r>
        <w:lastRenderedPageBreak/>
        <w:t xml:space="preserve">most important functions: dispute resolution through juridical processes. </w:t>
      </w:r>
      <w:r w:rsidR="004C6AB6">
        <w:t>What R.W. Kostal has described as t</w:t>
      </w:r>
      <w:r>
        <w:t xml:space="preserve">he historical </w:t>
      </w:r>
      <w:r w:rsidR="002206F5">
        <w:t>profession’s</w:t>
      </w:r>
      <w:r>
        <w:t xml:space="preserve"> ‘broad indifference to the history of the mid-Victorian legal system’ </w:t>
      </w:r>
      <w:r w:rsidR="0034698A">
        <w:t>presents a</w:t>
      </w:r>
      <w:r>
        <w:t xml:space="preserve"> stark contrast to </w:t>
      </w:r>
      <w:r w:rsidR="0034698A">
        <w:t>work o</w:t>
      </w:r>
      <w:r>
        <w:t xml:space="preserve">n the early modern period and </w:t>
      </w:r>
      <w:r w:rsidR="004C6AB6">
        <w:t xml:space="preserve">to recent histories of </w:t>
      </w:r>
      <w:r w:rsidR="00125B88">
        <w:t>imperialism</w:t>
      </w:r>
      <w:r w:rsidR="004C6AB6">
        <w:t>.</w:t>
      </w:r>
      <w:r w:rsidR="004C6AB6">
        <w:rPr>
          <w:rStyle w:val="FootnoteReference"/>
        </w:rPr>
        <w:footnoteReference w:id="7"/>
      </w:r>
      <w:r w:rsidR="004C6AB6">
        <w:t xml:space="preserve"> This</w:t>
      </w:r>
      <w:r w:rsidR="0034698A" w:rsidRPr="0034698A">
        <w:t xml:space="preserve"> </w:t>
      </w:r>
      <w:r w:rsidR="0034698A">
        <w:t>reflects the success with which the Victorians</w:t>
      </w:r>
      <w:r w:rsidR="004D327E">
        <w:t xml:space="preserve"> and their heirs</w:t>
      </w:r>
      <w:r w:rsidR="0034698A">
        <w:t xml:space="preserve"> remov</w:t>
      </w:r>
      <w:r w:rsidR="00125B88">
        <w:t>ed</w:t>
      </w:r>
      <w:r w:rsidR="0034698A">
        <w:t xml:space="preserve"> </w:t>
      </w:r>
      <w:r w:rsidR="00125B88">
        <w:t>the law</w:t>
      </w:r>
      <w:r w:rsidR="0034698A">
        <w:t xml:space="preserve"> from the contested sphere of ‘politics’</w:t>
      </w:r>
      <w:r w:rsidR="00A57C82">
        <w:t xml:space="preserve"> that it had occupied in the eighteenth century</w:t>
      </w:r>
      <w:r w:rsidR="0034698A">
        <w:t>.</w:t>
      </w:r>
      <w:r>
        <w:rPr>
          <w:rStyle w:val="FootnoteReference"/>
        </w:rPr>
        <w:footnoteReference w:id="8"/>
      </w:r>
      <w:r w:rsidR="00D02FBD">
        <w:t xml:space="preserve"> By re</w:t>
      </w:r>
      <w:r w:rsidR="007D56B5">
        <w:t>integrating</w:t>
      </w:r>
      <w:r w:rsidR="00D02FBD">
        <w:t xml:space="preserve"> the history of civil law </w:t>
      </w:r>
      <w:r w:rsidR="007D56B5">
        <w:t>and the history of the state, t</w:t>
      </w:r>
      <w:r>
        <w:t xml:space="preserve">his article will show that the nineteenth-century gender order was repeatedly </w:t>
      </w:r>
      <w:r w:rsidR="00125B88">
        <w:t>unsettled</w:t>
      </w:r>
      <w:r>
        <w:t xml:space="preserve"> by two processes of state formation. First, </w:t>
      </w:r>
      <w:r w:rsidR="00233BC5">
        <w:t xml:space="preserve">there were the </w:t>
      </w:r>
      <w:r w:rsidR="00125B88">
        <w:t>efforts</w:t>
      </w:r>
      <w:r w:rsidR="00233BC5">
        <w:t xml:space="preserve"> to rationalise the operation of the various laws and courts within the English legal system.</w:t>
      </w:r>
      <w:r>
        <w:t xml:space="preserve"> Second, </w:t>
      </w:r>
      <w:r w:rsidR="00233BC5">
        <w:t xml:space="preserve">there were </w:t>
      </w:r>
      <w:r w:rsidR="004D327E">
        <w:t>efforts to reconcile the</w:t>
      </w:r>
      <w:r w:rsidR="00233BC5">
        <w:t xml:space="preserve"> three separate bodies of law – English (and Welsh), Scottish and Irish – </w:t>
      </w:r>
      <w:r w:rsidR="004D327E">
        <w:t>operating within the</w:t>
      </w:r>
      <w:r w:rsidR="00233BC5">
        <w:t xml:space="preserve"> polity. </w:t>
      </w:r>
      <w:r>
        <w:t xml:space="preserve">It was in the course of responding to these </w:t>
      </w:r>
      <w:r w:rsidR="00F70018">
        <w:t>challenges</w:t>
      </w:r>
      <w:r>
        <w:t xml:space="preserve"> that judges </w:t>
      </w:r>
      <w:r w:rsidR="00F70018">
        <w:t>found themselves having to remake the law’s structures of sexual inequality</w:t>
      </w:r>
      <w:r w:rsidR="004C470E">
        <w:t>.</w:t>
      </w:r>
    </w:p>
    <w:p w14:paraId="41F2C069" w14:textId="03A33807" w:rsidR="00313715" w:rsidRDefault="00F50536" w:rsidP="006A0B52">
      <w:pPr>
        <w:pStyle w:val="BodyTextIndent"/>
      </w:pPr>
      <w:r>
        <w:t>The article develops this argument through six sections. The first explains the interlocking legal structure of the four kingdoms. The second</w:t>
      </w:r>
      <w:r w:rsidR="008D1797">
        <w:t xml:space="preserve"> presents a brief account of</w:t>
      </w:r>
      <w:r>
        <w:t xml:space="preserve"> early nineteenth-century child custody law and </w:t>
      </w:r>
      <w:r w:rsidR="006A0B52">
        <w:t>its</w:t>
      </w:r>
      <w:r>
        <w:t xml:space="preserve"> ideological assumptions</w:t>
      </w:r>
      <w:r w:rsidR="008D1797">
        <w:t>.</w:t>
      </w:r>
      <w:r>
        <w:t xml:space="preserve"> </w:t>
      </w:r>
      <w:r w:rsidR="008D1797">
        <w:t xml:space="preserve">In </w:t>
      </w:r>
      <w:r>
        <w:t>particular</w:t>
      </w:r>
      <w:r w:rsidR="008D1797">
        <w:t xml:space="preserve">, it suggests that legal notions of child welfare </w:t>
      </w:r>
      <w:r w:rsidR="009A5DB3">
        <w:t>derived principally from</w:t>
      </w:r>
      <w:r w:rsidR="008D1797">
        <w:t xml:space="preserve"> concern</w:t>
      </w:r>
      <w:r w:rsidR="009A5DB3">
        <w:t>s</w:t>
      </w:r>
      <w:r w:rsidR="008D1797">
        <w:t xml:space="preserve"> with moral</w:t>
      </w:r>
      <w:r w:rsidR="009A5DB3">
        <w:t>,</w:t>
      </w:r>
      <w:r w:rsidR="008D1797">
        <w:t xml:space="preserve"> </w:t>
      </w:r>
      <w:r w:rsidR="009A5DB3">
        <w:lastRenderedPageBreak/>
        <w:t>not</w:t>
      </w:r>
      <w:r w:rsidR="008D1797">
        <w:t xml:space="preserve"> physical</w:t>
      </w:r>
      <w:r w:rsidR="009A5DB3">
        <w:t>,</w:t>
      </w:r>
      <w:r w:rsidR="008D1797">
        <w:t xml:space="preserve"> welfare</w:t>
      </w:r>
      <w:r w:rsidR="00313715">
        <w:t xml:space="preserve">. </w:t>
      </w:r>
      <w:r w:rsidR="009A5DB3">
        <w:t>T</w:t>
      </w:r>
      <w:r w:rsidR="00313715">
        <w:t xml:space="preserve">he crucial conceptual innovations in the law’s understanding of child welfare took place in </w:t>
      </w:r>
      <w:r w:rsidR="008D1797">
        <w:t xml:space="preserve">cases </w:t>
      </w:r>
      <w:r w:rsidR="00313715">
        <w:t xml:space="preserve">concerned with </w:t>
      </w:r>
      <w:r w:rsidR="008D1797">
        <w:t xml:space="preserve">disputes over </w:t>
      </w:r>
      <w:r>
        <w:t>paternal control of child</w:t>
      </w:r>
      <w:r w:rsidR="008D1797">
        <w:t>ren</w:t>
      </w:r>
      <w:r>
        <w:t>’s religious education.</w:t>
      </w:r>
      <w:r w:rsidR="009A5DB3" w:rsidRPr="009A5DB3">
        <w:t xml:space="preserve"> </w:t>
      </w:r>
      <w:r w:rsidR="009A5DB3">
        <w:t>These cases are examined in section three.</w:t>
      </w:r>
      <w:r w:rsidR="00313715">
        <w:t xml:space="preserve"> </w:t>
      </w:r>
      <w:r w:rsidR="007D26E9">
        <w:t>The</w:t>
      </w:r>
      <w:r w:rsidR="009A5DB3">
        <w:t>y</w:t>
      </w:r>
      <w:r w:rsidR="007D26E9">
        <w:t xml:space="preserve"> raised fundamental questions about childhood, selfhood and agency. What distinguished a child from an adult? At what age could a child form firm religious convictions of its own? How far should </w:t>
      </w:r>
      <w:r w:rsidR="00313715">
        <w:t xml:space="preserve">a child’s wishes </w:t>
      </w:r>
      <w:r w:rsidR="007D26E9">
        <w:t>constrain parental power</w:t>
      </w:r>
      <w:r w:rsidR="00313715">
        <w:t xml:space="preserve">? </w:t>
      </w:r>
      <w:r w:rsidR="007D26E9">
        <w:t>Irish courts produced different answers to these questions than English courts, and in their efforts to resist the implications of these Irish decisions, English judges redefined parental rights in England.</w:t>
      </w:r>
      <w:r w:rsidR="00DC4C21">
        <w:t xml:space="preserve"> Section four then places these arguments about child welfare in the context of battles betwe</w:t>
      </w:r>
      <w:r w:rsidR="00362CAD">
        <w:t xml:space="preserve">en common law and equity judges. It </w:t>
      </w:r>
      <w:r w:rsidR="00DC4C21">
        <w:t>argues that the attempted fusion of these two systems in 1873 prompted a common law backlash</w:t>
      </w:r>
      <w:r w:rsidR="00362CAD">
        <w:t xml:space="preserve">, producing a more severely patriarchal model of paternal rights than had existed before. Section five then traces the unravelling of that patriarchal model, as equity lawyers in the 1880s and 1890s used a more expansive definition of child welfare to place limits on paternal power: this position then formed the basis of a child custody regime that lasted until the 1970s. </w:t>
      </w:r>
      <w:r w:rsidR="009A5DB3">
        <w:t xml:space="preserve">Understanding this process requires an appreciation of the interactions between </w:t>
      </w:r>
      <w:r w:rsidR="00E5568F">
        <w:t xml:space="preserve">common law and equity, and between </w:t>
      </w:r>
      <w:r w:rsidR="009A5DB3">
        <w:t xml:space="preserve">English and Scottish law. </w:t>
      </w:r>
      <w:r w:rsidR="00362CAD">
        <w:t>The sixth section of the article</w:t>
      </w:r>
      <w:r w:rsidR="006A0B52">
        <w:t xml:space="preserve"> then explores how the fragmentation of the juridical state created a double standard between rich and poor, with</w:t>
      </w:r>
      <w:r w:rsidR="009A5DB3">
        <w:t xml:space="preserve"> the rights of rich fathers enjoying much greater legal protection than those of the poor.</w:t>
      </w:r>
      <w:r w:rsidR="009A5DB3" w:rsidDel="009A5DB3">
        <w:t xml:space="preserve"> </w:t>
      </w:r>
    </w:p>
    <w:p w14:paraId="3EDAA833" w14:textId="77777777" w:rsidR="00367DCA" w:rsidRDefault="00367DCA" w:rsidP="00995817">
      <w:pPr>
        <w:pStyle w:val="BodyTextIndent"/>
      </w:pPr>
    </w:p>
    <w:p w14:paraId="5A8040CF" w14:textId="261DAD17" w:rsidR="001C44FD" w:rsidRPr="00B92C58" w:rsidRDefault="00B92C58" w:rsidP="00B92C58">
      <w:pPr>
        <w:pStyle w:val="Ben1"/>
        <w:jc w:val="center"/>
      </w:pPr>
      <w:r>
        <w:t>I</w:t>
      </w:r>
    </w:p>
    <w:p w14:paraId="05432D81" w14:textId="77777777" w:rsidR="001C44FD" w:rsidRDefault="001C44FD" w:rsidP="001C44FD">
      <w:pPr>
        <w:pStyle w:val="Ben1"/>
      </w:pPr>
    </w:p>
    <w:p w14:paraId="72920365" w14:textId="1A36EA15" w:rsidR="00233BC5" w:rsidRDefault="00125B88" w:rsidP="00DD0B90">
      <w:pPr>
        <w:pStyle w:val="BodyTextIndent"/>
      </w:pPr>
      <w:r>
        <w:lastRenderedPageBreak/>
        <w:t xml:space="preserve">Eighteenth-century Britain exhibited that </w:t>
      </w:r>
      <w:r w:rsidR="007046CF">
        <w:t>‘</w:t>
      </w:r>
      <w:r w:rsidR="007046CF" w:rsidRPr="00315133">
        <w:t>intense confusion of powers and perpetual ove</w:t>
      </w:r>
      <w:r w:rsidR="007046CF">
        <w:t>rlaps of unequal jurisdiction’</w:t>
      </w:r>
      <w:r w:rsidR="00201B63">
        <w:t xml:space="preserve"> </w:t>
      </w:r>
      <w:r>
        <w:t xml:space="preserve">that characterized </w:t>
      </w:r>
      <w:r w:rsidRPr="00201B63">
        <w:rPr>
          <w:i/>
        </w:rPr>
        <w:t>ancien</w:t>
      </w:r>
      <w:r w:rsidRPr="00315133">
        <w:rPr>
          <w:i/>
        </w:rPr>
        <w:t xml:space="preserve"> </w:t>
      </w:r>
      <w:r>
        <w:rPr>
          <w:i/>
        </w:rPr>
        <w:t>regime</w:t>
      </w:r>
      <w:r>
        <w:t xml:space="preserve"> states</w:t>
      </w:r>
      <w:r w:rsidR="007046CF">
        <w:t>.</w:t>
      </w:r>
      <w:r w:rsidR="007046CF">
        <w:rPr>
          <w:rStyle w:val="FootnoteReference"/>
        </w:rPr>
        <w:footnoteReference w:id="9"/>
      </w:r>
      <w:r w:rsidR="00233BC5">
        <w:t xml:space="preserve"> </w:t>
      </w:r>
      <w:r w:rsidR="00DD0B90">
        <w:t>T</w:t>
      </w:r>
      <w:r w:rsidR="00233BC5">
        <w:t xml:space="preserve">he </w:t>
      </w:r>
      <w:r w:rsidR="00F60E28">
        <w:t>following</w:t>
      </w:r>
      <w:r w:rsidR="00233BC5">
        <w:t xml:space="preserve"> century</w:t>
      </w:r>
      <w:r w:rsidR="00DD0B90">
        <w:t xml:space="preserve"> saw concerted efforts to </w:t>
      </w:r>
      <w:r w:rsidR="00F60E28">
        <w:t>reform this system</w:t>
      </w:r>
      <w:r w:rsidR="00421B91">
        <w:t>:</w:t>
      </w:r>
      <w:r w:rsidR="00DD0B90">
        <w:t xml:space="preserve"> </w:t>
      </w:r>
      <w:r w:rsidR="003229FB" w:rsidRPr="00436456">
        <w:t>the Court of Great Sessions in Wales was abolished</w:t>
      </w:r>
      <w:r w:rsidR="003229FB">
        <w:t xml:space="preserve">; </w:t>
      </w:r>
      <w:r w:rsidR="00233BC5">
        <w:t>manorial courts were phased out; the ecclesiastical courts lost their matrimonial and probate jurisdictions; the consistorial courts were abolished; the Divorce Court was created; national networks of county courts and new magistrates courts were created.</w:t>
      </w:r>
      <w:r w:rsidR="00751815">
        <w:rPr>
          <w:rStyle w:val="FootnoteReference"/>
        </w:rPr>
        <w:footnoteReference w:id="10"/>
      </w:r>
      <w:r w:rsidR="00233BC5">
        <w:t xml:space="preserve"> The culmination of this process came in the 1870s with the creation of the High Court and the Court of Appeal.</w:t>
      </w:r>
      <w:r w:rsidR="00233BC5" w:rsidRPr="001A219A">
        <w:t xml:space="preserve"> </w:t>
      </w:r>
      <w:r w:rsidR="00FB616F">
        <w:t>Most importantly for the present argument, common law was fused with equity in 1873: the absurdit</w:t>
      </w:r>
      <w:r w:rsidR="00BF4A79">
        <w:t>y of</w:t>
      </w:r>
      <w:r w:rsidR="00FB616F">
        <w:t xml:space="preserve"> having two separate systems of courts enforcing </w:t>
      </w:r>
      <w:r w:rsidR="00F60E28">
        <w:t>conflicting</w:t>
      </w:r>
      <w:r w:rsidR="00FB616F">
        <w:t xml:space="preserve"> legal rules could no longer be tolerated. </w:t>
      </w:r>
      <w:r w:rsidR="00233BC5">
        <w:t>This was a domestic expression of the rage for legal order that was simultaneously reshap</w:t>
      </w:r>
      <w:r w:rsidR="00BF4A79">
        <w:t>ing</w:t>
      </w:r>
      <w:r w:rsidR="00233BC5">
        <w:t xml:space="preserve"> the British empire </w:t>
      </w:r>
      <w:r w:rsidR="00FB616F">
        <w:t>and it played a vital part in creating a recognisably modern state</w:t>
      </w:r>
      <w:r w:rsidR="00233BC5">
        <w:t>.</w:t>
      </w:r>
      <w:r w:rsidR="00233BC5">
        <w:rPr>
          <w:rStyle w:val="FootnoteReference"/>
        </w:rPr>
        <w:footnoteReference w:id="11"/>
      </w:r>
    </w:p>
    <w:p w14:paraId="7D355B57" w14:textId="16470137" w:rsidR="001C44FD" w:rsidRPr="000A4C53" w:rsidRDefault="00F60E28" w:rsidP="001C44FD">
      <w:pPr>
        <w:pStyle w:val="Ben1"/>
      </w:pPr>
      <w:r>
        <w:t>A</w:t>
      </w:r>
      <w:r w:rsidR="00FB616F">
        <w:t xml:space="preserve"> second process of state formation involved managing the differences between the separate legal systems of </w:t>
      </w:r>
      <w:r w:rsidR="00F84361">
        <w:t xml:space="preserve">England and Wales, Scotland, and </w:t>
      </w:r>
      <w:r w:rsidR="00FB616F">
        <w:t xml:space="preserve">Ireland, which </w:t>
      </w:r>
      <w:r w:rsidR="00F84361">
        <w:t xml:space="preserve">all operated </w:t>
      </w:r>
      <w:r w:rsidR="00FB616F">
        <w:t xml:space="preserve">within </w:t>
      </w:r>
      <w:r>
        <w:t>the</w:t>
      </w:r>
      <w:r w:rsidR="00A86C79">
        <w:t xml:space="preserve"> single polity</w:t>
      </w:r>
      <w:r>
        <w:t xml:space="preserve"> created by the unions of 1707 and 1800</w:t>
      </w:r>
      <w:r w:rsidR="00AB3ECA">
        <w:t>.</w:t>
      </w:r>
      <w:r w:rsidR="00802772">
        <w:rPr>
          <w:rStyle w:val="FootnoteReference"/>
        </w:rPr>
        <w:footnoteReference w:id="12"/>
      </w:r>
      <w:r w:rsidR="00AB3ECA">
        <w:t xml:space="preserve"> </w:t>
      </w:r>
      <w:r w:rsidR="001C44FD">
        <w:t>Article 8 of the Act</w:t>
      </w:r>
      <w:r w:rsidR="00436456">
        <w:t>s</w:t>
      </w:r>
      <w:r w:rsidR="001C44FD">
        <w:t xml:space="preserve"> of Union</w:t>
      </w:r>
      <w:r w:rsidR="00873D52">
        <w:t xml:space="preserve"> between England and Ireland</w:t>
      </w:r>
      <w:r w:rsidR="001C44FD">
        <w:t xml:space="preserve"> declared </w:t>
      </w:r>
      <w:r w:rsidR="00F84361">
        <w:t xml:space="preserve">that </w:t>
      </w:r>
      <w:r w:rsidR="001C44FD">
        <w:t xml:space="preserve">‘all laws in force at the time of the Union, and all the courts of civil and ecclesiastical jurisdiction within the respective kingdoms, </w:t>
      </w:r>
      <w:r w:rsidR="001C44FD">
        <w:lastRenderedPageBreak/>
        <w:t xml:space="preserve">shall remain as now’, adding only appeal </w:t>
      </w:r>
      <w:r w:rsidR="00873D52">
        <w:t xml:space="preserve">from Irish courts </w:t>
      </w:r>
      <w:r w:rsidR="001C44FD">
        <w:t>to the House of Lords.</w:t>
      </w:r>
      <w:r w:rsidR="001C44FD">
        <w:rPr>
          <w:rStyle w:val="FootnoteReference"/>
        </w:rPr>
        <w:footnoteReference w:id="13"/>
      </w:r>
      <w:r w:rsidR="001C44FD">
        <w:t xml:space="preserve"> Despite this, it was generally agreed</w:t>
      </w:r>
      <w:r w:rsidR="00807F2B">
        <w:t xml:space="preserve"> ‘</w:t>
      </w:r>
      <w:r w:rsidR="001C44FD">
        <w:t xml:space="preserve">that assimilation of English and Irish laws was one of the </w:t>
      </w:r>
      <w:r w:rsidR="001C44FD">
        <w:rPr>
          <w:i/>
        </w:rPr>
        <w:t>objects</w:t>
      </w:r>
      <w:r w:rsidR="001C44FD">
        <w:t xml:space="preserve"> of union.’</w:t>
      </w:r>
      <w:r w:rsidR="001C44FD">
        <w:rPr>
          <w:rStyle w:val="FootnoteReference"/>
        </w:rPr>
        <w:footnoteReference w:id="14"/>
      </w:r>
      <w:r w:rsidR="001C44FD">
        <w:t xml:space="preserve"> </w:t>
      </w:r>
      <w:r w:rsidR="00807F2B">
        <w:t>H</w:t>
      </w:r>
      <w:r w:rsidR="001C44FD">
        <w:t xml:space="preserve">ow this was to be done, however, was </w:t>
      </w:r>
      <w:r w:rsidR="008C2B30">
        <w:t>un</w:t>
      </w:r>
      <w:r w:rsidR="001C44FD">
        <w:t>clear</w:t>
      </w:r>
      <w:r w:rsidR="00873D52">
        <w:t>.</w:t>
      </w:r>
      <w:r w:rsidR="001C44FD">
        <w:t xml:space="preserve"> </w:t>
      </w:r>
      <w:r w:rsidR="00F637B0">
        <w:t>S</w:t>
      </w:r>
      <w:r w:rsidR="00807F2B">
        <w:t>ignificant</w:t>
      </w:r>
      <w:r w:rsidR="001C44FD">
        <w:t xml:space="preserve"> differences remained</w:t>
      </w:r>
      <w:r w:rsidR="00F637B0">
        <w:t xml:space="preserve"> between English and Irish law</w:t>
      </w:r>
      <w:r w:rsidR="001C44FD">
        <w:t>, especially in land law, and ‘Ireland did not always follow English practice when confronted with similar problems.’</w:t>
      </w:r>
      <w:r w:rsidR="001C44FD">
        <w:rPr>
          <w:rStyle w:val="FootnoteReference"/>
        </w:rPr>
        <w:footnoteReference w:id="15"/>
      </w:r>
      <w:r w:rsidR="001C44FD">
        <w:t xml:space="preserve"> </w:t>
      </w:r>
      <w:r w:rsidR="007E200C">
        <w:t>Despite</w:t>
      </w:r>
      <w:r w:rsidR="00807F2B">
        <w:t xml:space="preserve"> considerable interpenetration of English and Irish legal elites</w:t>
      </w:r>
      <w:r w:rsidR="00304ED9">
        <w:t>, attempts to assimilate English and Irish law</w:t>
      </w:r>
      <w:r w:rsidR="00304ED9" w:rsidRPr="00304ED9">
        <w:t xml:space="preserve"> </w:t>
      </w:r>
      <w:r w:rsidR="00304ED9">
        <w:t>were unsuccessful.</w:t>
      </w:r>
      <w:r w:rsidR="00807F2B">
        <w:rPr>
          <w:rStyle w:val="FootnoteReference"/>
        </w:rPr>
        <w:footnoteReference w:id="16"/>
      </w:r>
      <w:r w:rsidR="00807F2B">
        <w:t xml:space="preserve"> </w:t>
      </w:r>
      <w:r w:rsidR="001C44FD">
        <w:t>The Irish courts continued to run parallel to their English counterparts, but many thought that they should be applying the same law</w:t>
      </w:r>
      <w:r w:rsidR="002A17EA">
        <w:t>. As we shall see, the ambiguity of this</w:t>
      </w:r>
      <w:r w:rsidR="001C44FD">
        <w:t xml:space="preserve"> relationship</w:t>
      </w:r>
      <w:r w:rsidR="002A17EA">
        <w:t xml:space="preserve"> meant that</w:t>
      </w:r>
      <w:r w:rsidR="001C44FD">
        <w:t xml:space="preserve"> </w:t>
      </w:r>
      <w:r w:rsidR="000E6F49">
        <w:t>decisions by Irish judges</w:t>
      </w:r>
      <w:r w:rsidR="002A17EA">
        <w:t xml:space="preserve"> could</w:t>
      </w:r>
      <w:r w:rsidR="001C44FD">
        <w:t xml:space="preserve"> unsettl</w:t>
      </w:r>
      <w:r w:rsidR="002A17EA">
        <w:t>e English law</w:t>
      </w:r>
      <w:r w:rsidR="001C44FD">
        <w:t>.</w:t>
      </w:r>
    </w:p>
    <w:p w14:paraId="02FE22A1" w14:textId="39C14D86" w:rsidR="001C44FD" w:rsidRDefault="00CD17F7" w:rsidP="001C187A">
      <w:pPr>
        <w:pStyle w:val="Ben1"/>
        <w:rPr>
          <w:szCs w:val="24"/>
        </w:rPr>
      </w:pPr>
      <w:r>
        <w:t>The relationship between Scottish law and English law was more politically charged</w:t>
      </w:r>
      <w:r w:rsidR="001C44FD">
        <w:t xml:space="preserve">. </w:t>
      </w:r>
      <w:r w:rsidR="00C012D0">
        <w:t>T</w:t>
      </w:r>
      <w:r w:rsidR="001C44FD">
        <w:t xml:space="preserve">he </w:t>
      </w:r>
      <w:r w:rsidR="008E54DE">
        <w:t>1</w:t>
      </w:r>
      <w:r w:rsidR="0054460D">
        <w:t>7</w:t>
      </w:r>
      <w:r w:rsidR="008E54DE">
        <w:t xml:space="preserve">06 </w:t>
      </w:r>
      <w:r w:rsidR="001C44FD">
        <w:t xml:space="preserve">Treaty of Union preserved Scotland’s </w:t>
      </w:r>
      <w:r w:rsidR="0054460D">
        <w:t>separate</w:t>
      </w:r>
      <w:r w:rsidR="001C44FD">
        <w:t xml:space="preserve"> legal system, but made it subject to amendment by parliament and appeal to the House of Lords.</w:t>
      </w:r>
      <w:r w:rsidR="001C44FD">
        <w:rPr>
          <w:rStyle w:val="FootnoteReference"/>
        </w:rPr>
        <w:footnoteReference w:id="17"/>
      </w:r>
      <w:r w:rsidR="001C44FD">
        <w:t xml:space="preserve"> As with Irish law, there remained some who wished to harmonise the laws of the United Kingdom</w:t>
      </w:r>
      <w:r w:rsidR="008E54DE">
        <w:t xml:space="preserve">, but </w:t>
      </w:r>
      <w:r w:rsidR="008E54DE">
        <w:lastRenderedPageBreak/>
        <w:t>they had little success.</w:t>
      </w:r>
      <w:r w:rsidR="008E54DE">
        <w:rPr>
          <w:rStyle w:val="FootnoteReference"/>
          <w:rFonts w:eastAsia="MS Mincho"/>
        </w:rPr>
        <w:footnoteReference w:id="18"/>
      </w:r>
      <w:r w:rsidR="0054460D">
        <w:t xml:space="preserve"> T</w:t>
      </w:r>
      <w:r w:rsidR="001C44FD">
        <w:t xml:space="preserve">he Treaty was remarkably vague about the nature of </w:t>
      </w:r>
      <w:r w:rsidR="0054460D">
        <w:t xml:space="preserve">the House of Lords’ </w:t>
      </w:r>
      <w:r w:rsidR="001C44FD">
        <w:t>appellate function</w:t>
      </w:r>
      <w:r w:rsidR="0054460D">
        <w:t>, and a</w:t>
      </w:r>
      <w:r w:rsidR="001C44FD">
        <w:t xml:space="preserve">s late as 1873 judges </w:t>
      </w:r>
      <w:r w:rsidR="00541068">
        <w:t>were</w:t>
      </w:r>
      <w:r w:rsidR="001C44FD">
        <w:t xml:space="preserve"> arguing over </w:t>
      </w:r>
      <w:r w:rsidR="001C44FD" w:rsidRPr="009B5D60">
        <w:rPr>
          <w:szCs w:val="24"/>
        </w:rPr>
        <w:t xml:space="preserve">whether the House of Lords </w:t>
      </w:r>
      <w:r w:rsidR="001C44FD">
        <w:rPr>
          <w:szCs w:val="24"/>
        </w:rPr>
        <w:t>could</w:t>
      </w:r>
      <w:r w:rsidR="001C44FD" w:rsidRPr="009B5D60">
        <w:rPr>
          <w:szCs w:val="24"/>
        </w:rPr>
        <w:t xml:space="preserve"> apply Scottish, English or Irish law as might be appropriate to the particular case before it, or </w:t>
      </w:r>
      <w:r w:rsidR="001C44FD">
        <w:rPr>
          <w:szCs w:val="24"/>
        </w:rPr>
        <w:t>whether it was bound to apply</w:t>
      </w:r>
      <w:r w:rsidR="001C44FD" w:rsidRPr="009B5D60">
        <w:rPr>
          <w:szCs w:val="24"/>
        </w:rPr>
        <w:t xml:space="preserve"> Scottish, English or Irish</w:t>
      </w:r>
      <w:r w:rsidR="001C44FD">
        <w:rPr>
          <w:szCs w:val="24"/>
        </w:rPr>
        <w:t xml:space="preserve"> law</w:t>
      </w:r>
      <w:r w:rsidR="001C44FD" w:rsidRPr="009B5D60">
        <w:rPr>
          <w:szCs w:val="24"/>
        </w:rPr>
        <w:t xml:space="preserve"> according to the source of the appeal.</w:t>
      </w:r>
      <w:r w:rsidR="0054460D">
        <w:rPr>
          <w:rStyle w:val="FootnoteReference"/>
          <w:rFonts w:eastAsia="MS Mincho"/>
        </w:rPr>
        <w:footnoteReference w:id="19"/>
      </w:r>
      <w:r w:rsidR="001C44FD">
        <w:rPr>
          <w:szCs w:val="24"/>
        </w:rPr>
        <w:t xml:space="preserve"> In the 1880s it </w:t>
      </w:r>
      <w:r w:rsidR="0066273A">
        <w:rPr>
          <w:szCs w:val="24"/>
        </w:rPr>
        <w:t>remained</w:t>
      </w:r>
      <w:r w:rsidR="001C44FD">
        <w:rPr>
          <w:szCs w:val="24"/>
        </w:rPr>
        <w:t xml:space="preserve"> unclear how far House of Lords rulings in English appeals would be binding on Scottish courts.</w:t>
      </w:r>
      <w:r w:rsidR="001C44FD">
        <w:rPr>
          <w:rStyle w:val="FootnoteReference"/>
          <w:rFonts w:eastAsia="MS Mincho"/>
        </w:rPr>
        <w:footnoteReference w:id="20"/>
      </w:r>
      <w:r w:rsidR="001C44FD" w:rsidRPr="00A95500">
        <w:t xml:space="preserve"> </w:t>
      </w:r>
      <w:r w:rsidR="001C44FD">
        <w:t xml:space="preserve">Above all, the Scottish situation was controversial because the English peers </w:t>
      </w:r>
      <w:r w:rsidR="008E54DE">
        <w:t xml:space="preserve">frequently </w:t>
      </w:r>
      <w:r w:rsidR="001C44FD">
        <w:t>rode roughshod over Scottish law, deliberately ignoring Scottish precedents, or claiming that there was no essential difference between English and Scottish law</w:t>
      </w:r>
      <w:r w:rsidR="001C44FD" w:rsidRPr="009B5D60">
        <w:rPr>
          <w:szCs w:val="24"/>
        </w:rPr>
        <w:t>.</w:t>
      </w:r>
      <w:r w:rsidR="001C44FD">
        <w:rPr>
          <w:rStyle w:val="FootnoteReference"/>
          <w:rFonts w:eastAsia="MS Mincho"/>
        </w:rPr>
        <w:footnoteReference w:id="21"/>
      </w:r>
      <w:r w:rsidR="001C44FD" w:rsidRPr="009B5D60">
        <w:t xml:space="preserve"> </w:t>
      </w:r>
      <w:r w:rsidR="001C44FD">
        <w:rPr>
          <w:szCs w:val="24"/>
        </w:rPr>
        <w:t xml:space="preserve">More </w:t>
      </w:r>
      <w:r w:rsidR="008E54DE">
        <w:rPr>
          <w:szCs w:val="24"/>
        </w:rPr>
        <w:t>commonly</w:t>
      </w:r>
      <w:r w:rsidR="001C44FD">
        <w:rPr>
          <w:szCs w:val="24"/>
        </w:rPr>
        <w:t xml:space="preserve"> however, the laws of the United Kingdom interacted in a more subtle way, with decisions from one nation’s courts providing concepts or arguments that were of use to practitioners in one of the other nations.</w:t>
      </w:r>
      <w:r w:rsidR="001C44FD">
        <w:rPr>
          <w:rStyle w:val="FootnoteReference"/>
          <w:rFonts w:eastAsia="MS Mincho"/>
        </w:rPr>
        <w:footnoteReference w:id="22"/>
      </w:r>
      <w:r w:rsidR="001C44FD">
        <w:rPr>
          <w:szCs w:val="24"/>
        </w:rPr>
        <w:t xml:space="preserve"> As we shall see, it was precisely such dynamic interactions in child custody cases that led </w:t>
      </w:r>
      <w:r w:rsidR="0066273A">
        <w:rPr>
          <w:szCs w:val="24"/>
        </w:rPr>
        <w:t>to the reconfiguration of patriarchal law</w:t>
      </w:r>
      <w:r w:rsidR="001C44FD">
        <w:rPr>
          <w:szCs w:val="24"/>
        </w:rPr>
        <w:t>.</w:t>
      </w:r>
      <w:r w:rsidR="00276613" w:rsidDel="00276613">
        <w:rPr>
          <w:rStyle w:val="FootnoteReference"/>
          <w:rFonts w:eastAsia="MS Mincho"/>
        </w:rPr>
        <w:t xml:space="preserve"> </w:t>
      </w:r>
    </w:p>
    <w:p w14:paraId="7005F1E9" w14:textId="77777777" w:rsidR="0034269D" w:rsidRPr="001C187A" w:rsidRDefault="0034269D" w:rsidP="001C187A">
      <w:pPr>
        <w:pStyle w:val="Ben1"/>
      </w:pPr>
    </w:p>
    <w:p w14:paraId="47B980EA" w14:textId="6FB85748" w:rsidR="0034269D" w:rsidRPr="00B92C58" w:rsidRDefault="00B92C58" w:rsidP="00B92C58">
      <w:pPr>
        <w:pStyle w:val="Ben1"/>
        <w:jc w:val="center"/>
      </w:pPr>
      <w:r>
        <w:t>II</w:t>
      </w:r>
    </w:p>
    <w:p w14:paraId="32936BF9" w14:textId="77777777" w:rsidR="0034269D" w:rsidRDefault="0034269D" w:rsidP="0034269D">
      <w:pPr>
        <w:pStyle w:val="Ben1"/>
      </w:pPr>
    </w:p>
    <w:p w14:paraId="4C7CDA9D" w14:textId="5AD8CD2F" w:rsidR="0034269D" w:rsidRDefault="00AC364A" w:rsidP="0034269D">
      <w:pPr>
        <w:pStyle w:val="Ben1"/>
      </w:pPr>
      <w:r>
        <w:t xml:space="preserve">A study of the full range of sexual inequalities upheld by the law is beyond the scope of </w:t>
      </w:r>
      <w:r w:rsidR="00F9082A">
        <w:t>this</w:t>
      </w:r>
      <w:r>
        <w:t xml:space="preserve"> article. Here we shall be concerned only with </w:t>
      </w:r>
      <w:r w:rsidR="00F9082A">
        <w:t>the</w:t>
      </w:r>
      <w:r w:rsidR="002206F5">
        <w:t xml:space="preserve"> fact that a</w:t>
      </w:r>
      <w:r w:rsidR="00306CFC">
        <w:t xml:space="preserve">t law the father </w:t>
      </w:r>
      <w:r w:rsidR="0034269D">
        <w:lastRenderedPageBreak/>
        <w:t xml:space="preserve">was the proper guardian of his children: mothers had no rights to custody of their children, and no say in how they were to be raised. </w:t>
      </w:r>
      <w:r w:rsidR="00F9082A">
        <w:t>T</w:t>
      </w:r>
      <w:r w:rsidR="0034269D">
        <w:t xml:space="preserve">hese rights were regulated in different ways by courts of common law and equity. Since 1670 common law had </w:t>
      </w:r>
      <w:r w:rsidR="00F9082A">
        <w:t>used</w:t>
      </w:r>
      <w:r w:rsidR="0034269D">
        <w:t xml:space="preserve"> the writ of habeas corpus to determine whether a child was in the custody of the appropriate adult, whereas the Court of Chancery claimed a broader equitable jurisdiction that allowed it to make orders assigning custody and access, paying greater regard to the welfare of children.</w:t>
      </w:r>
      <w:r w:rsidR="0034269D">
        <w:rPr>
          <w:rStyle w:val="FootnoteReference"/>
        </w:rPr>
        <w:footnoteReference w:id="23"/>
      </w:r>
      <w:r w:rsidR="0034269D">
        <w:t xml:space="preserve"> </w:t>
      </w:r>
      <w:r w:rsidR="004572BD">
        <w:t>D</w:t>
      </w:r>
      <w:r w:rsidR="0034269D">
        <w:t xml:space="preserve">uring the eighteenth century, both King’s Bench and Chancery had </w:t>
      </w:r>
      <w:r w:rsidR="004572BD">
        <w:t>been</w:t>
      </w:r>
      <w:r w:rsidR="0034269D">
        <w:t xml:space="preserve"> willing to make sweeping interventions to control the behaviour of fathers</w:t>
      </w:r>
      <w:r w:rsidR="00193BEA">
        <w:t xml:space="preserve"> when men were deemed to have abdicated their rights or forfeited them by misconduct</w:t>
      </w:r>
      <w:r w:rsidR="0034269D">
        <w:t>.</w:t>
      </w:r>
      <w:r w:rsidR="0034269D">
        <w:rPr>
          <w:rStyle w:val="FootnoteReference"/>
        </w:rPr>
        <w:footnoteReference w:id="24"/>
      </w:r>
      <w:r w:rsidR="0034269D">
        <w:t xml:space="preserve"> </w:t>
      </w:r>
      <w:r w:rsidR="00177A3C">
        <w:t>T</w:t>
      </w:r>
      <w:r w:rsidR="0034269D">
        <w:t>he late eighteenth century, however, saw an abrupt change of direction. Once the evangelical Lord Kenyon became Lord Chief Justice in 1</w:t>
      </w:r>
      <w:r w:rsidR="00F637B0">
        <w:t>7</w:t>
      </w:r>
      <w:r w:rsidR="0034269D">
        <w:t>88, King’s Bench began to enforce paternal rights with much less regard to the claims of mothers or infants than previously.</w:t>
      </w:r>
      <w:r w:rsidR="0034269D">
        <w:rPr>
          <w:rStyle w:val="FootnoteReference"/>
        </w:rPr>
        <w:footnoteReference w:id="25"/>
      </w:r>
      <w:r w:rsidR="0034269D">
        <w:t xml:space="preserve"> At precisely the same time, Kenyon was leading a backlash against legal trends that had facilitated greater economic independence for married women.</w:t>
      </w:r>
      <w:r w:rsidR="0034269D">
        <w:rPr>
          <w:rStyle w:val="FootnoteReference"/>
        </w:rPr>
        <w:footnoteReference w:id="26"/>
      </w:r>
      <w:r w:rsidR="0034269D">
        <w:t xml:space="preserve"> Chancery too threw its weight behind the reassertion of paternal privilege, as the 1804 case of </w:t>
      </w:r>
      <w:r w:rsidR="0034269D">
        <w:rPr>
          <w:i/>
        </w:rPr>
        <w:t>De Manneville v. De Manneville</w:t>
      </w:r>
      <w:r w:rsidR="0034269D">
        <w:t xml:space="preserve"> was retrospectively interpreted as</w:t>
      </w:r>
      <w:r w:rsidR="0034269D" w:rsidRPr="00640C16">
        <w:t xml:space="preserve"> </w:t>
      </w:r>
      <w:r w:rsidR="0034269D">
        <w:t xml:space="preserve">establishing that ‘the courts did not have the power to interfere with the rights of the father, except in extreme cases, and that the father’s rights </w:t>
      </w:r>
      <w:r w:rsidR="0034269D">
        <w:lastRenderedPageBreak/>
        <w:t>negated the possibility of mother’s rights.’</w:t>
      </w:r>
      <w:r w:rsidR="0034269D" w:rsidRPr="00640C16">
        <w:rPr>
          <w:rStyle w:val="FootnoteReference"/>
        </w:rPr>
        <w:footnoteReference w:id="27"/>
      </w:r>
      <w:r w:rsidR="0034269D">
        <w:t xml:space="preserve"> </w:t>
      </w:r>
      <w:r w:rsidR="00AD478F">
        <w:t>J</w:t>
      </w:r>
      <w:r w:rsidR="0034269D">
        <w:t>udges also became increasingly reluctant to recognise as binding agreements by which fathers abdicated their rights.</w:t>
      </w:r>
      <w:r w:rsidR="0034269D">
        <w:rPr>
          <w:rStyle w:val="FootnoteReference"/>
        </w:rPr>
        <w:footnoteReference w:id="28"/>
      </w:r>
      <w:r w:rsidR="0034269D">
        <w:t xml:space="preserve"> In elaborating this stance, as Jamail Zainaldin has written, ‘the nineteenth century English judges adopted a patriarchal paradigm of family relations and applied it to the law with such force and vigour that it had the effect of creating new paternal rights, the existence of which had only been vaguely hinted at by previous judges.’</w:t>
      </w:r>
      <w:r w:rsidR="0034269D">
        <w:rPr>
          <w:rStyle w:val="FootnoteReference"/>
        </w:rPr>
        <w:footnoteReference w:id="29"/>
      </w:r>
    </w:p>
    <w:p w14:paraId="6CDB8CE1" w14:textId="17215C6A" w:rsidR="0034269D" w:rsidRDefault="00AD478F" w:rsidP="0034269D">
      <w:pPr>
        <w:pStyle w:val="Ben1"/>
      </w:pPr>
      <w:r>
        <w:t>These changes were responses</w:t>
      </w:r>
      <w:r w:rsidR="0034269D">
        <w:t xml:space="preserve"> to the moral panic of the revolutionary period</w:t>
      </w:r>
      <w:r>
        <w:t xml:space="preserve"> and </w:t>
      </w:r>
      <w:r w:rsidR="0034269D">
        <w:t>exhibit</w:t>
      </w:r>
      <w:r>
        <w:t>ed</w:t>
      </w:r>
      <w:r w:rsidR="0034269D">
        <w:t xml:space="preserve"> not a </w:t>
      </w:r>
      <w:r>
        <w:t>concern with ‘separate spheres’</w:t>
      </w:r>
      <w:r w:rsidR="0034269D">
        <w:t xml:space="preserve"> but a greater sensitivity to the perceived need to uphold male domestic authority.</w:t>
      </w:r>
      <w:r w:rsidR="0034269D">
        <w:rPr>
          <w:rStyle w:val="FootnoteReference"/>
        </w:rPr>
        <w:footnoteReference w:id="30"/>
      </w:r>
      <w:r w:rsidR="0034269D">
        <w:t xml:space="preserve"> The ideology of domesticity that developed </w:t>
      </w:r>
      <w:r>
        <w:t>at this time</w:t>
      </w:r>
      <w:r w:rsidR="0034269D">
        <w:t xml:space="preserve"> sought to preserve household harmony and marital unity by insisting on the willing subordination of women and children.</w:t>
      </w:r>
      <w:r w:rsidR="0034269D">
        <w:rPr>
          <w:rStyle w:val="FootnoteReference"/>
        </w:rPr>
        <w:footnoteReference w:id="31"/>
      </w:r>
      <w:r w:rsidR="0034269D">
        <w:t xml:space="preserve"> As Vice-Chancellor Malins said in 1883, ‘</w:t>
      </w:r>
      <w:r w:rsidR="0034269D" w:rsidRPr="00774D23">
        <w:t>The father is the head of his house, he m</w:t>
      </w:r>
      <w:r w:rsidR="0034269D">
        <w:t>us</w:t>
      </w:r>
      <w:r w:rsidR="00C1379F">
        <w:t>t have control of his family’; i</w:t>
      </w:r>
      <w:r w:rsidR="0034269D">
        <w:t>t followed that ‘</w:t>
      </w:r>
      <w:r w:rsidR="0034269D" w:rsidRPr="00774D23">
        <w:t>by the laws of England, by the laws of Christianity, and by the constitution of society, when there is a difference of opinion between husband and wife, it is the duty of the wife to submit to the husband.’</w:t>
      </w:r>
      <w:r w:rsidR="0034269D" w:rsidRPr="00774D23">
        <w:rPr>
          <w:rStyle w:val="FootnoteReference"/>
          <w:rFonts w:eastAsia="MS Mincho"/>
        </w:rPr>
        <w:footnoteReference w:id="32"/>
      </w:r>
      <w:r w:rsidR="0034269D">
        <w:t xml:space="preserve"> Seen in these terms, there was little scope to consider the needs of children or the wishes of mothers as legitimate constraints on paternal wills. </w:t>
      </w:r>
    </w:p>
    <w:p w14:paraId="3DB87765" w14:textId="4A447D28" w:rsidR="0034269D" w:rsidRDefault="0034269D" w:rsidP="0034269D">
      <w:pPr>
        <w:pStyle w:val="Ben1"/>
      </w:pPr>
      <w:r>
        <w:lastRenderedPageBreak/>
        <w:t xml:space="preserve">As a result, the discretion that Chancery had traditionally claimed to protect the welfare of children was attenuated. By the 1820s, as </w:t>
      </w:r>
      <w:r w:rsidR="002D080B">
        <w:t xml:space="preserve">Danaya </w:t>
      </w:r>
      <w:r>
        <w:t>Wright has shown, looking to the welfare of the child operated simply as a test of the father’s behaviour, not a justification for a more sweeping jurisdiction to control paternal decision-making.</w:t>
      </w:r>
      <w:r>
        <w:rPr>
          <w:rStyle w:val="FootnoteReference"/>
        </w:rPr>
        <w:footnoteReference w:id="33"/>
      </w:r>
      <w:r>
        <w:t xml:space="preserve"> </w:t>
      </w:r>
      <w:r w:rsidR="00C1379F">
        <w:t>C</w:t>
      </w:r>
      <w:r>
        <w:t>ourts proved reluctant to deem that a father had forfeited his rights in all but the most extre</w:t>
      </w:r>
      <w:r w:rsidR="00193BEA">
        <w:t>me cases of cruelty to children.</w:t>
      </w:r>
      <w:r w:rsidR="00193BEA">
        <w:rPr>
          <w:rStyle w:val="FootnoteReference"/>
        </w:rPr>
        <w:footnoteReference w:id="34"/>
      </w:r>
      <w:r w:rsidR="00193BEA">
        <w:t xml:space="preserve"> T</w:t>
      </w:r>
      <w:r>
        <w:t>he courts assigned greater weight to moral injury than to physical harm.</w:t>
      </w:r>
      <w:r w:rsidR="00193BEA">
        <w:rPr>
          <w:rStyle w:val="FootnoteReference"/>
        </w:rPr>
        <w:footnoteReference w:id="35"/>
      </w:r>
      <w:r w:rsidRPr="007B7E53">
        <w:t xml:space="preserve"> </w:t>
      </w:r>
      <w:r>
        <w:t>On that basis, a father’s religious or sexual unorthodoxy would justi</w:t>
      </w:r>
      <w:r w:rsidR="00193BEA">
        <w:t>fy the loss of paternal custody, but his</w:t>
      </w:r>
      <w:r>
        <w:t xml:space="preserve"> adultery was only a problem if he brought his children into contact with his mistress</w:t>
      </w:r>
      <w:r w:rsidR="00193BEA">
        <w:t>.</w:t>
      </w:r>
      <w:r w:rsidR="00193BEA" w:rsidRPr="00D4643F">
        <w:rPr>
          <w:rStyle w:val="FootnoteReference"/>
        </w:rPr>
        <w:footnoteReference w:id="36"/>
      </w:r>
      <w:r w:rsidR="00193BEA">
        <w:t xml:space="preserve"> N</w:t>
      </w:r>
      <w:r>
        <w:t>or was paternal violence against the children’s mother sufficient to justify loss of custody.</w:t>
      </w:r>
      <w:r w:rsidRPr="004C2872">
        <w:t xml:space="preserve"> </w:t>
      </w:r>
      <w:r>
        <w:t>In this way paternal rights were kept conceptually separate from spousal behaviour.</w:t>
      </w:r>
    </w:p>
    <w:p w14:paraId="2DC8AD3A" w14:textId="5087667C" w:rsidR="002206F5" w:rsidRDefault="002206F5" w:rsidP="0034269D">
      <w:pPr>
        <w:pStyle w:val="Ben1"/>
      </w:pPr>
      <w:r>
        <w:t xml:space="preserve">For this reason, the </w:t>
      </w:r>
      <w:r w:rsidR="00055ECA">
        <w:t>reform of</w:t>
      </w:r>
      <w:r>
        <w:t xml:space="preserve"> child custody law </w:t>
      </w:r>
      <w:r w:rsidR="00055ECA">
        <w:t xml:space="preserve">cannot be explained simply in terms of </w:t>
      </w:r>
      <w:r>
        <w:t>changing ideas about femininity and the rights of mothers</w:t>
      </w:r>
      <w:r w:rsidR="00055ECA">
        <w:t>: changes in</w:t>
      </w:r>
      <w:r>
        <w:t xml:space="preserve"> the history of masculinity</w:t>
      </w:r>
      <w:r w:rsidR="00055ECA">
        <w:t xml:space="preserve"> are</w:t>
      </w:r>
      <w:r w:rsidR="002D080B">
        <w:t xml:space="preserve"> also</w:t>
      </w:r>
      <w:r w:rsidR="00055ECA">
        <w:t xml:space="preserve"> an essential part of this story</w:t>
      </w:r>
      <w:r>
        <w:t>.</w:t>
      </w:r>
      <w:r w:rsidR="00055ECA">
        <w:rPr>
          <w:rStyle w:val="FootnoteReference"/>
        </w:rPr>
        <w:footnoteReference w:id="37"/>
      </w:r>
      <w:r w:rsidR="00055ECA">
        <w:t xml:space="preserve"> </w:t>
      </w:r>
      <w:r w:rsidR="002B3126">
        <w:t xml:space="preserve">By reading judicial pronouncements </w:t>
      </w:r>
      <w:r w:rsidR="002B3126">
        <w:lastRenderedPageBreak/>
        <w:t>against the grain it becomes possible to see how the articulation of legal doctrine was shaped by</w:t>
      </w:r>
      <w:r w:rsidR="00C4638C">
        <w:t xml:space="preserve"> historically</w:t>
      </w:r>
      <w:r w:rsidR="00055ECA">
        <w:t xml:space="preserve"> distinctive set</w:t>
      </w:r>
      <w:r w:rsidR="00C4638C">
        <w:t>s</w:t>
      </w:r>
      <w:r w:rsidR="00055ECA">
        <w:t xml:space="preserve"> of ideas about </w:t>
      </w:r>
      <w:r w:rsidR="00C4638C">
        <w:t xml:space="preserve">fatherhood: in particular, a conviction that a fundamental </w:t>
      </w:r>
      <w:r w:rsidR="00BA44BA">
        <w:t>responsibility</w:t>
      </w:r>
      <w:r w:rsidR="00C4638C">
        <w:t xml:space="preserve"> of fatherhood was the right to determine a child’s religio</w:t>
      </w:r>
      <w:r w:rsidR="00C33193">
        <w:t>us education</w:t>
      </w:r>
      <w:r w:rsidR="00C4638C">
        <w:t>.</w:t>
      </w:r>
      <w:r w:rsidR="00C4638C" w:rsidRPr="008918EB">
        <w:rPr>
          <w:rStyle w:val="FootnoteReference"/>
          <w:rFonts w:eastAsia="MS Mincho"/>
        </w:rPr>
        <w:footnoteReference w:id="38"/>
      </w:r>
      <w:r w:rsidR="00C4638C">
        <w:t xml:space="preserve"> </w:t>
      </w:r>
      <w:r w:rsidR="00C33193">
        <w:t>Throughout the century, judges</w:t>
      </w:r>
      <w:r w:rsidR="002B3126">
        <w:t xml:space="preserve"> insisted that</w:t>
      </w:r>
      <w:r w:rsidR="00C4638C">
        <w:t xml:space="preserve"> ‘The authority of a father to guide and govern the education of his child is a very sacred thing, bestowed by the Almighty, and to be sustained to the uttermo</w:t>
      </w:r>
      <w:r w:rsidR="00C33193">
        <w:t>st by human law.</w:t>
      </w:r>
      <w:r w:rsidR="00C4638C">
        <w:t>’</w:t>
      </w:r>
      <w:r w:rsidR="00C4638C">
        <w:rPr>
          <w:rStyle w:val="FootnoteReference"/>
          <w:rFonts w:eastAsia="MS Mincho"/>
        </w:rPr>
        <w:footnoteReference w:id="39"/>
      </w:r>
      <w:r w:rsidR="00C33193">
        <w:t xml:space="preserve"> So</w:t>
      </w:r>
      <w:r w:rsidR="00C4638C">
        <w:t xml:space="preserve"> important was this duty that widows were required to educate their children in the father’s religion even after his death.</w:t>
      </w:r>
      <w:r w:rsidR="00C4638C" w:rsidRPr="00075A8F">
        <w:rPr>
          <w:rStyle w:val="FootnoteReference"/>
          <w:rFonts w:eastAsia="MS Mincho"/>
        </w:rPr>
        <w:footnoteReference w:id="40"/>
      </w:r>
      <w:r w:rsidR="00BA44BA" w:rsidRPr="00BA44BA">
        <w:t xml:space="preserve"> </w:t>
      </w:r>
      <w:r w:rsidR="00BA44BA">
        <w:t>Mixed marriages between Protestants and Catholics generated a large volume of litigation on this point, and in this way the religious conflicts that Christopher Clark and Wolfram Kaiser have described as Europe’s culture wars were played out in domestic contexts.</w:t>
      </w:r>
      <w:r w:rsidR="00BA44BA">
        <w:rPr>
          <w:rStyle w:val="FootnoteReference"/>
        </w:rPr>
        <w:footnoteReference w:id="41"/>
      </w:r>
      <w:r w:rsidR="002B3126">
        <w:t xml:space="preserve"> Examining these cases therefore offers a way of exploring the history of masculinity whilst simultaneously exposing the gendered nature of legal doctrine and practise.</w:t>
      </w:r>
    </w:p>
    <w:p w14:paraId="1D26AD7B" w14:textId="408255C0" w:rsidR="00C4638C" w:rsidRDefault="004F4920" w:rsidP="0034269D">
      <w:pPr>
        <w:pStyle w:val="Ben1"/>
      </w:pPr>
      <w:r>
        <w:lastRenderedPageBreak/>
        <w:t>P</w:t>
      </w:r>
      <w:r w:rsidR="00AD1F3D">
        <w:t>aternal rights were eroded, not by legal recognition of maternal rights, but by a growing determination that judges ought to take into consideration the best interests of the child.</w:t>
      </w:r>
      <w:r w:rsidR="00AD1F3D">
        <w:rPr>
          <w:rStyle w:val="FootnoteReference"/>
        </w:rPr>
        <w:footnoteReference w:id="42"/>
      </w:r>
      <w:r w:rsidR="00AD1F3D">
        <w:t xml:space="preserve"> </w:t>
      </w:r>
      <w:r w:rsidR="00037529">
        <w:t>This process has been misunderstood by historians. Because a father’s rights over his children’s religion loomed so large in nineteenth-century conceptions of paternity, the ‘best interests’ standard was elaborated principally in cases involving disputes over children’s religious education, rather than cases involving cruelty or neglect</w:t>
      </w:r>
      <w:r w:rsidR="000C1FFA">
        <w:t>. The child protection discourse focusing on cruelty did not develop until the end of the century and was slow to shape legal doctrine, so that w</w:t>
      </w:r>
      <w:r w:rsidR="00037529">
        <w:t>hereas twentieth-century notions of child welfare have focused on the physical and emotional needs of children, nineteenth-century lawyers developed the concept principally to secure children’s moral and spiritual welfare</w:t>
      </w:r>
      <w:r w:rsidR="00AD1F3D">
        <w:t>.</w:t>
      </w:r>
      <w:r w:rsidR="000C1FFA">
        <w:rPr>
          <w:rStyle w:val="FootnoteReference"/>
        </w:rPr>
        <w:footnoteReference w:id="43"/>
      </w:r>
      <w:r w:rsidR="00AD1F3D">
        <w:t xml:space="preserve"> </w:t>
      </w:r>
      <w:r w:rsidR="00172BEE">
        <w:t>As a result,</w:t>
      </w:r>
      <w:r w:rsidR="00C90029">
        <w:t xml:space="preserve"> the development of legal doctrine rested not just on a set of ideas about paternity, but also historically contingent sets of ideas about the nature of childhood and children’s needs.</w:t>
      </w:r>
      <w:r w:rsidR="00C90029">
        <w:rPr>
          <w:rStyle w:val="FootnoteReference"/>
        </w:rPr>
        <w:footnoteReference w:id="44"/>
      </w:r>
    </w:p>
    <w:p w14:paraId="0802C980" w14:textId="73E65DF2" w:rsidR="0034269D" w:rsidRDefault="0034269D" w:rsidP="0034269D">
      <w:pPr>
        <w:pStyle w:val="Ben1"/>
      </w:pPr>
      <w:r>
        <w:t>The</w:t>
      </w:r>
      <w:r w:rsidR="001E0010">
        <w:t xml:space="preserve"> remainder of this article will show how arguments about paternal rights and child welfare were enmeshed in the two processes of state formation described above. The</w:t>
      </w:r>
      <w:r>
        <w:t xml:space="preserve"> following section will show how equity judges began to adopt positions that threatened to erode </w:t>
      </w:r>
      <w:r w:rsidR="001E0010">
        <w:t>fathers’ common law rights</w:t>
      </w:r>
      <w:r>
        <w:t xml:space="preserve"> over their children’s religion. This was carried to an extreme in Ireland, raising questions about the relationship between Irish law and English law. The result was a patriarchal backlash in English courts</w:t>
      </w:r>
      <w:r w:rsidR="00407423">
        <w:t xml:space="preserve"> in the 1870s and 1880s</w:t>
      </w:r>
      <w:r>
        <w:t>.</w:t>
      </w:r>
    </w:p>
    <w:p w14:paraId="26755C5A" w14:textId="77777777" w:rsidR="00CD17F7" w:rsidRPr="00520DD6" w:rsidRDefault="00CD17F7" w:rsidP="00520DD6">
      <w:pPr>
        <w:pStyle w:val="Ben1"/>
      </w:pPr>
    </w:p>
    <w:p w14:paraId="07A0776E" w14:textId="4E7F86AA" w:rsidR="0034269D" w:rsidRPr="00B92C58" w:rsidRDefault="00B92C58" w:rsidP="00B92C58">
      <w:pPr>
        <w:pStyle w:val="Ben1"/>
        <w:jc w:val="center"/>
      </w:pPr>
      <w:r w:rsidRPr="00B92C58">
        <w:t>III</w:t>
      </w:r>
    </w:p>
    <w:p w14:paraId="617C47D8" w14:textId="77777777" w:rsidR="0034269D" w:rsidRDefault="0034269D" w:rsidP="0039029F">
      <w:pPr>
        <w:pStyle w:val="Ben1"/>
        <w:rPr>
          <w:highlight w:val="darkCyan"/>
        </w:rPr>
      </w:pPr>
    </w:p>
    <w:p w14:paraId="54FDF6A9" w14:textId="66F95F17" w:rsidR="0039029F" w:rsidRPr="00075A8F" w:rsidRDefault="002F1026" w:rsidP="00D806A4">
      <w:pPr>
        <w:pStyle w:val="Ben1"/>
      </w:pPr>
      <w:r>
        <w:t xml:space="preserve">Victorian domestic ideology held that members of the household ought willingly to subordinate their wills to that of the paterfamilias. In the second half of the century, the women’s movement exposed that </w:t>
      </w:r>
      <w:r w:rsidR="005B234C">
        <w:t>ideology</w:t>
      </w:r>
      <w:r>
        <w:t xml:space="preserve"> as psychically, physically and socially damaging, but </w:t>
      </w:r>
      <w:r w:rsidR="005B234C">
        <w:t xml:space="preserve">it </w:t>
      </w:r>
      <w:r>
        <w:t xml:space="preserve">was also under pressure from changing perceptions of the needs of children. </w:t>
      </w:r>
      <w:r w:rsidR="0095747F">
        <w:t>J</w:t>
      </w:r>
      <w:r>
        <w:t xml:space="preserve">udges confronted </w:t>
      </w:r>
      <w:r w:rsidR="0095747F">
        <w:t>this problem</w:t>
      </w:r>
      <w:r>
        <w:t xml:space="preserve"> in </w:t>
      </w:r>
      <w:r w:rsidR="005B234C">
        <w:t>disputes over paternal control over children’s</w:t>
      </w:r>
      <w:r>
        <w:t xml:space="preserve"> religious education.</w:t>
      </w:r>
      <w:r w:rsidR="0039029F" w:rsidRPr="002C336A">
        <w:t xml:space="preserve"> </w:t>
      </w:r>
      <w:r w:rsidR="0039029F">
        <w:t>The crucial innovation was made by</w:t>
      </w:r>
      <w:r w:rsidR="0039029F" w:rsidRPr="00E760FB">
        <w:t xml:space="preserve"> </w:t>
      </w:r>
      <w:r w:rsidR="0039029F" w:rsidRPr="00075A8F">
        <w:t xml:space="preserve">Vice-Chancellor </w:t>
      </w:r>
      <w:r w:rsidR="0034269D">
        <w:t xml:space="preserve">James </w:t>
      </w:r>
      <w:r w:rsidR="0039029F" w:rsidRPr="00075A8F">
        <w:t>Knight Bruce</w:t>
      </w:r>
      <w:r w:rsidR="0039029F">
        <w:t>.</w:t>
      </w:r>
      <w:r w:rsidR="00A16EF8">
        <w:rPr>
          <w:rStyle w:val="FootnoteReference"/>
        </w:rPr>
        <w:footnoteReference w:id="45"/>
      </w:r>
      <w:r w:rsidR="0039029F">
        <w:t xml:space="preserve"> </w:t>
      </w:r>
      <w:r w:rsidR="0039029F" w:rsidRPr="00075A8F">
        <w:t xml:space="preserve">In </w:t>
      </w:r>
      <w:r w:rsidR="0039029F" w:rsidRPr="00075A8F">
        <w:rPr>
          <w:i/>
        </w:rPr>
        <w:t>Witty v. Marshall</w:t>
      </w:r>
      <w:r w:rsidR="0039029F" w:rsidRPr="00075A8F">
        <w:t xml:space="preserve"> in 1841 Protestant relations had raised an orphaned child in their faith despite an explicit instruction in the father’s will that he should be educated as a Catholic, and the guardians had failed to intervene until the child reached the age of 15. Counsel warned that ‘a change of faith, at the age at which the infant had arrived, would be most injurious to his religious and his moral habits, and might ultimately lay the foundation of scepticism’.</w:t>
      </w:r>
      <w:r w:rsidR="0039029F" w:rsidRPr="00075A8F">
        <w:rPr>
          <w:rStyle w:val="FootnoteReference"/>
          <w:rFonts w:eastAsia="MS Mincho"/>
        </w:rPr>
        <w:footnoteReference w:id="46"/>
      </w:r>
      <w:r w:rsidR="00A857D9">
        <w:t xml:space="preserve"> Knight-</w:t>
      </w:r>
      <w:r w:rsidR="0039029F" w:rsidRPr="00075A8F">
        <w:t xml:space="preserve">Bruce agreed and </w:t>
      </w:r>
      <w:r w:rsidR="0039029F">
        <w:t>decided that</w:t>
      </w:r>
      <w:r w:rsidR="0039029F" w:rsidRPr="00075A8F">
        <w:t xml:space="preserve"> he</w:t>
      </w:r>
      <w:r w:rsidR="0039029F">
        <w:t xml:space="preserve"> should</w:t>
      </w:r>
      <w:r w:rsidR="0039029F" w:rsidRPr="00075A8F">
        <w:t xml:space="preserve"> interview the child to ascertain his beliefs.</w:t>
      </w:r>
      <w:r w:rsidR="0039029F" w:rsidRPr="00075A8F">
        <w:rPr>
          <w:rStyle w:val="FootnoteReference"/>
          <w:rFonts w:eastAsia="MS Mincho"/>
        </w:rPr>
        <w:footnoteReference w:id="47"/>
      </w:r>
      <w:r w:rsidR="0039029F">
        <w:t xml:space="preserve"> This procedure attracted little comment until</w:t>
      </w:r>
      <w:r w:rsidR="0039029F" w:rsidRPr="00075A8F">
        <w:t xml:space="preserve"> the case of </w:t>
      </w:r>
      <w:r w:rsidR="0039029F" w:rsidRPr="00DE1EDD">
        <w:rPr>
          <w:i/>
        </w:rPr>
        <w:t>Stourton v. Stourton</w:t>
      </w:r>
      <w:r w:rsidR="0039029F">
        <w:t xml:space="preserve"> sixteen years later</w:t>
      </w:r>
      <w:r w:rsidR="0039029F" w:rsidRPr="00075A8F">
        <w:t xml:space="preserve">, </w:t>
      </w:r>
      <w:r w:rsidR="0039029F">
        <w:t>when for the first time an interview with a child led to the court deciding that it was in the child’s best interest for his father’s wishes to be ignored.</w:t>
      </w:r>
      <w:r w:rsidR="00A857D9">
        <w:t xml:space="preserve"> </w:t>
      </w:r>
      <w:r w:rsidR="0039029F">
        <w:t>The circumstances were straightforward. Th</w:t>
      </w:r>
      <w:r w:rsidR="0039029F" w:rsidRPr="00075A8F">
        <w:t>e widow of a Catholic</w:t>
      </w:r>
      <w:r w:rsidR="0039029F">
        <w:t xml:space="preserve"> had</w:t>
      </w:r>
      <w:r w:rsidR="0039029F" w:rsidRPr="00075A8F">
        <w:t xml:space="preserve"> converted from Catholicism to</w:t>
      </w:r>
      <w:r w:rsidR="00735751">
        <w:t xml:space="preserve"> Anglicanism</w:t>
      </w:r>
      <w:r w:rsidR="0039029F" w:rsidRPr="00075A8F">
        <w:t xml:space="preserve"> and </w:t>
      </w:r>
      <w:r w:rsidR="0039029F">
        <w:t xml:space="preserve">had </w:t>
      </w:r>
      <w:r w:rsidR="0039029F" w:rsidRPr="00075A8F">
        <w:t>raised her son as a Protestant until the child was nine years old</w:t>
      </w:r>
      <w:r w:rsidR="0039029F">
        <w:t xml:space="preserve">, when </w:t>
      </w:r>
      <w:r w:rsidR="00735751" w:rsidRPr="00075A8F">
        <w:t xml:space="preserve">her husband’s family </w:t>
      </w:r>
      <w:r w:rsidR="0039029F">
        <w:t>tried to gain custody</w:t>
      </w:r>
      <w:r w:rsidR="0039029F" w:rsidRPr="00075A8F">
        <w:t xml:space="preserve">. </w:t>
      </w:r>
      <w:r w:rsidR="00A857D9">
        <w:t>Once again, Knight-Bruce interviewed the child</w:t>
      </w:r>
      <w:r w:rsidR="00DE7690">
        <w:t>, and this time he concluded</w:t>
      </w:r>
      <w:r w:rsidR="0039029F" w:rsidRPr="00075A8F">
        <w:t xml:space="preserve"> ‘that the child’s </w:t>
      </w:r>
      <w:r w:rsidR="0039029F">
        <w:t>tranqui</w:t>
      </w:r>
      <w:r w:rsidR="0039029F" w:rsidRPr="00075A8F">
        <w:t xml:space="preserve">llity and health, </w:t>
      </w:r>
      <w:r w:rsidR="00486EC5">
        <w:t>…</w:t>
      </w:r>
      <w:r w:rsidR="0039029F" w:rsidRPr="00075A8F">
        <w:t xml:space="preserve"> his spiritual welfare also, are too likely now to suffer importantly from an endeavour at </w:t>
      </w:r>
      <w:r w:rsidR="0039029F" w:rsidRPr="00075A8F">
        <w:lastRenderedPageBreak/>
        <w:t>effacing his Protestant impressions’.</w:t>
      </w:r>
      <w:r w:rsidR="0039029F" w:rsidRPr="00075A8F">
        <w:rPr>
          <w:rStyle w:val="FootnoteReference"/>
          <w:rFonts w:eastAsia="MS Mincho"/>
        </w:rPr>
        <w:footnoteReference w:id="48"/>
      </w:r>
      <w:r w:rsidR="0039029F" w:rsidRPr="00075A8F">
        <w:t xml:space="preserve"> Lord Justice Turner</w:t>
      </w:r>
      <w:r w:rsidR="00B214BA">
        <w:rPr>
          <w:rStyle w:val="FootnoteReference"/>
        </w:rPr>
        <w:footnoteReference w:id="49"/>
      </w:r>
      <w:r w:rsidR="0039029F" w:rsidRPr="00075A8F">
        <w:t xml:space="preserve"> agreed, concerned that ‘the attempt to force upon this child a different faith might end in unsettling his existing impressions and substituting no fixed impressions in their place’.</w:t>
      </w:r>
      <w:r w:rsidR="0039029F" w:rsidRPr="00075A8F">
        <w:rPr>
          <w:rStyle w:val="FootnoteReference"/>
          <w:rFonts w:eastAsia="MS Mincho"/>
        </w:rPr>
        <w:footnoteReference w:id="50"/>
      </w:r>
      <w:r w:rsidR="0039029F" w:rsidRPr="00075A8F">
        <w:t xml:space="preserve"> </w:t>
      </w:r>
      <w:r w:rsidR="0039029F">
        <w:t xml:space="preserve">The welfare of the child was now put forward as a concept that might limit the exercise of paternal rights even in cases where a father had not forfeited or abdicated </w:t>
      </w:r>
      <w:r w:rsidR="009652FF">
        <w:t>those rights</w:t>
      </w:r>
      <w:r w:rsidR="0039029F">
        <w:t>.</w:t>
      </w:r>
    </w:p>
    <w:p w14:paraId="2DEC9A5F" w14:textId="4A7FF72A" w:rsidR="0039029F" w:rsidRDefault="0039029F" w:rsidP="0039029F">
      <w:pPr>
        <w:pStyle w:val="Ben1"/>
      </w:pPr>
      <w:r w:rsidRPr="00075A8F">
        <w:rPr>
          <w:i/>
        </w:rPr>
        <w:t>Stourton v. Stourton</w:t>
      </w:r>
      <w:r>
        <w:t xml:space="preserve"> </w:t>
      </w:r>
      <w:r w:rsidRPr="00075A8F">
        <w:t xml:space="preserve">would be argued over for the next </w:t>
      </w:r>
      <w:r>
        <w:t>thirty</w:t>
      </w:r>
      <w:r w:rsidRPr="00075A8F">
        <w:t xml:space="preserve"> years.</w:t>
      </w:r>
      <w:r>
        <w:t xml:space="preserve"> It</w:t>
      </w:r>
      <w:r w:rsidRPr="00075A8F">
        <w:t xml:space="preserve"> raised in an acute form two questions: how was a court to decide when it was in the best interests of a child to ignore its father’s wishes, and how much weight should the court give to the </w:t>
      </w:r>
      <w:r>
        <w:t>testimony</w:t>
      </w:r>
      <w:r w:rsidRPr="00075A8F">
        <w:t xml:space="preserve"> of the infants themselves? </w:t>
      </w:r>
      <w:r w:rsidR="002113F5">
        <w:t>T</w:t>
      </w:r>
      <w:r>
        <w:t>he interviews were carried out</w:t>
      </w:r>
      <w:r w:rsidR="002113F5">
        <w:t>, not to discover the infants’ wishes, but</w:t>
      </w:r>
      <w:r>
        <w:t xml:space="preserve"> in order to assess the </w:t>
      </w:r>
      <w:r w:rsidR="00735751">
        <w:t xml:space="preserve">harm that </w:t>
      </w:r>
      <w:r>
        <w:t>might be caused by any change</w:t>
      </w:r>
      <w:r w:rsidR="002113F5">
        <w:t xml:space="preserve"> in their religious education</w:t>
      </w:r>
      <w:r>
        <w:t>.</w:t>
      </w:r>
      <w:r>
        <w:rPr>
          <w:rStyle w:val="FootnoteReference"/>
          <w:rFonts w:eastAsia="MS Mincho"/>
        </w:rPr>
        <w:footnoteReference w:id="51"/>
      </w:r>
      <w:r>
        <w:t xml:space="preserve"> Nevertheless, the autonomous desires of the infant were necessarily brought to the fore in any interview and this exposed one of the fictions that sustained Victorian domestic ideology – the assumption that </w:t>
      </w:r>
      <w:r w:rsidR="00402F26">
        <w:t>family members would willingly surrender their own opinions in favour of those of the paterfamilias</w:t>
      </w:r>
      <w:r>
        <w:t>.</w:t>
      </w:r>
    </w:p>
    <w:p w14:paraId="16B03C41" w14:textId="3D23E633" w:rsidR="00543877" w:rsidRDefault="0039029F" w:rsidP="0039029F">
      <w:pPr>
        <w:pStyle w:val="Ben1"/>
      </w:pPr>
      <w:r>
        <w:t>For this reason</w:t>
      </w:r>
      <w:r w:rsidR="002113F5">
        <w:t>,</w:t>
      </w:r>
      <w:r>
        <w:t xml:space="preserve"> t</w:t>
      </w:r>
      <w:r w:rsidRPr="00075A8F">
        <w:t>he</w:t>
      </w:r>
      <w:r>
        <w:t xml:space="preserve"> courts continually found themselves grappling with the</w:t>
      </w:r>
      <w:r w:rsidRPr="00075A8F">
        <w:t xml:space="preserve"> question of how old a child had to be before it could be considered capable of forming religious attachments so strong that they should not be overturned by a father’s wishes.</w:t>
      </w:r>
      <w:r>
        <w:t xml:space="preserve"> In </w:t>
      </w:r>
      <w:r w:rsidRPr="009A1360">
        <w:rPr>
          <w:i/>
        </w:rPr>
        <w:t>Hawksworth v. Hawksworth</w:t>
      </w:r>
      <w:r>
        <w:t xml:space="preserve"> </w:t>
      </w:r>
      <w:r w:rsidR="002113F5">
        <w:t xml:space="preserve">(1871) </w:t>
      </w:r>
      <w:r>
        <w:t>Lord Justice James</w:t>
      </w:r>
      <w:r w:rsidR="00F16CCF">
        <w:rPr>
          <w:rStyle w:val="FootnoteReference"/>
        </w:rPr>
        <w:footnoteReference w:id="52"/>
      </w:r>
      <w:r w:rsidRPr="00075A8F">
        <w:t xml:space="preserve"> refused to </w:t>
      </w:r>
      <w:r>
        <w:t>interview</w:t>
      </w:r>
      <w:r w:rsidRPr="00075A8F">
        <w:t xml:space="preserve"> </w:t>
      </w:r>
      <w:r w:rsidR="002113F5">
        <w:t>a</w:t>
      </w:r>
      <w:r w:rsidRPr="00075A8F">
        <w:t xml:space="preserve"> child</w:t>
      </w:r>
      <w:r>
        <w:t xml:space="preserve"> because he claimed</w:t>
      </w:r>
      <w:r w:rsidRPr="00075A8F">
        <w:t xml:space="preserve"> that at the age of eight she could not have decided religious views.</w:t>
      </w:r>
      <w:r w:rsidRPr="00075A8F">
        <w:rPr>
          <w:rStyle w:val="FootnoteReference"/>
          <w:rFonts w:eastAsia="MS Mincho"/>
        </w:rPr>
        <w:footnoteReference w:id="53"/>
      </w:r>
      <w:r w:rsidRPr="00075A8F">
        <w:t xml:space="preserve"> </w:t>
      </w:r>
      <w:r w:rsidR="00543877">
        <w:t xml:space="preserve">In Ireland, however, the Master of the Rolls suggested in 1892 that ‘Seven years is generally </w:t>
      </w:r>
      <w:r w:rsidR="00543877">
        <w:lastRenderedPageBreak/>
        <w:t>considered the age when children are capable of receiving dogmatic religious teaching’.</w:t>
      </w:r>
      <w:r w:rsidR="00543877">
        <w:rPr>
          <w:rStyle w:val="FootnoteReference"/>
        </w:rPr>
        <w:footnoteReference w:id="54"/>
      </w:r>
      <w:r w:rsidR="00543877">
        <w:t xml:space="preserve"> By the turn of the century, new ideas drawn from developmental psychology transformed religious pedagogy, as they suggested that children were incapable of apprehending religion in the same way as adults – a stance that substantially modified older evangelical models of sudden conversion in favour of a gradualist model.</w:t>
      </w:r>
      <w:r w:rsidR="00543877">
        <w:rPr>
          <w:rStyle w:val="FootnoteReference"/>
        </w:rPr>
        <w:footnoteReference w:id="55"/>
      </w:r>
      <w:r w:rsidR="00543877">
        <w:t xml:space="preserve"> This new model identified the age of twelve as a significant turning point in the capacity to develop an independent religious life, and by 1900 such ideas appear to have been complicating judges’ assessments of children’s interests, but in the middle of the nineteenth century confusion reigned.</w:t>
      </w:r>
      <w:r w:rsidR="00543877">
        <w:rPr>
          <w:rStyle w:val="FootnoteReference"/>
        </w:rPr>
        <w:footnoteReference w:id="56"/>
      </w:r>
    </w:p>
    <w:p w14:paraId="68EAF458" w14:textId="49DADED3" w:rsidR="0039029F" w:rsidRDefault="0039029F" w:rsidP="0039029F">
      <w:pPr>
        <w:pStyle w:val="Ben1"/>
      </w:pPr>
      <w:r>
        <w:t xml:space="preserve">This uncertainty about the age at which children could form religious views reflected a profound instability in understandings of childhood in the second half of the nineteenth century, visible </w:t>
      </w:r>
      <w:r w:rsidR="002B3528">
        <w:t>in the range of outcomes when</w:t>
      </w:r>
      <w:r>
        <w:t xml:space="preserve"> the House of Commons tried to set school leaving ages, limit children’s factory work, or set the age of consent for sexual activity.</w:t>
      </w:r>
      <w:r>
        <w:rPr>
          <w:rStyle w:val="FootnoteReference"/>
          <w:rFonts w:eastAsia="MS Mincho"/>
        </w:rPr>
        <w:footnoteReference w:id="57"/>
      </w:r>
      <w:r>
        <w:t xml:space="preserve"> A</w:t>
      </w:r>
      <w:r w:rsidR="00A533FB">
        <w:t>n 1875 legal textbook</w:t>
      </w:r>
      <w:r>
        <w:t xml:space="preserve"> explained that in cases of disputed custody a child could elect where he would go once he had reached the age of discretion</w:t>
      </w:r>
      <w:r w:rsidR="00A533FB">
        <w:t>; t</w:t>
      </w:r>
      <w:r>
        <w:t>he problem was that ‘no case in England has apparently been decided, expressly specifying the age at which a male infant acquires such right of election.’ In Ireland two cases had set the age at 14, but in another it had been set at 21.</w:t>
      </w:r>
      <w:r>
        <w:rPr>
          <w:rStyle w:val="FootnoteReference"/>
          <w:rFonts w:eastAsia="MS Mincho"/>
        </w:rPr>
        <w:footnoteReference w:id="58"/>
      </w:r>
      <w:r>
        <w:t xml:space="preserve"> The judges in the 1883 case of </w:t>
      </w:r>
      <w:r>
        <w:rPr>
          <w:i/>
        </w:rPr>
        <w:t>In re Agar-Ellis</w:t>
      </w:r>
      <w:r>
        <w:t xml:space="preserve"> finally </w:t>
      </w:r>
      <w:r>
        <w:lastRenderedPageBreak/>
        <w:t xml:space="preserve">established that the father retained the right to custody of his children until they were 21, but before then the courts were faced with </w:t>
      </w:r>
      <w:r w:rsidR="00535205">
        <w:t>deep</w:t>
      </w:r>
      <w:r>
        <w:t xml:space="preserve"> uncertainty.</w:t>
      </w:r>
      <w:r w:rsidR="00A84829">
        <w:rPr>
          <w:rStyle w:val="FootnoteReference"/>
          <w:rFonts w:eastAsia="MS Mincho"/>
        </w:rPr>
        <w:footnoteReference w:id="59"/>
      </w:r>
    </w:p>
    <w:p w14:paraId="18ACB8E6" w14:textId="7D0AF020" w:rsidR="0039029F" w:rsidRDefault="0039029F" w:rsidP="0039029F">
      <w:pPr>
        <w:pStyle w:val="Ben1"/>
      </w:pPr>
      <w:r>
        <w:rPr>
          <w:i/>
        </w:rPr>
        <w:t>Stourton v. Stourton</w:t>
      </w:r>
      <w:r>
        <w:t xml:space="preserve"> exposed the contradiction created by the importance of religion to the judicial imagination. On the one hand, the religious education of children was seen as an essential </w:t>
      </w:r>
      <w:r w:rsidR="00535205">
        <w:t>responsibility</w:t>
      </w:r>
      <w:r>
        <w:t xml:space="preserve"> of fatherhood. On the other hand</w:t>
      </w:r>
      <w:r w:rsidR="008B283F">
        <w:t>,</w:t>
      </w:r>
      <w:r>
        <w:t xml:space="preserve"> an individual’s religious beliefs were so important that they should not be </w:t>
      </w:r>
      <w:r w:rsidR="008B283F">
        <w:t>disturbed</w:t>
      </w:r>
      <w:r>
        <w:t>. In cases where the child was found to have fixed convictions, the court had only two choices: to trample on the religious beliefs of the infant or to overturn the wishes of the head of household. Forced to choose between two fundamental Victorian values</w:t>
      </w:r>
      <w:r w:rsidR="00C646FA">
        <w:t>,</w:t>
      </w:r>
      <w:r>
        <w:t xml:space="preserve"> judges chose to preserve paternal authority in a series of rulings that retreated from the recognition of children’s autonomous wills in </w:t>
      </w:r>
      <w:r w:rsidRPr="00075A8F">
        <w:rPr>
          <w:i/>
        </w:rPr>
        <w:t>Stourton v. Stourton</w:t>
      </w:r>
      <w:r>
        <w:t xml:space="preserve">. </w:t>
      </w:r>
    </w:p>
    <w:p w14:paraId="1711B6A8" w14:textId="07465A92" w:rsidR="0039029F" w:rsidRDefault="00BD0471" w:rsidP="0039029F">
      <w:pPr>
        <w:pStyle w:val="Ben1"/>
      </w:pPr>
      <w:r>
        <w:t>The process began i</w:t>
      </w:r>
      <w:r w:rsidR="00BC406C">
        <w:t xml:space="preserve">n 1862, </w:t>
      </w:r>
      <w:r w:rsidR="008D7D6E">
        <w:t xml:space="preserve">when </w:t>
      </w:r>
      <w:r w:rsidR="00BC406C" w:rsidRPr="00075A8F">
        <w:t xml:space="preserve">Vice-Chancellor Wood </w:t>
      </w:r>
      <w:r w:rsidR="00BC406C">
        <w:t>interviewed a boy who detested his late father’s Catholic</w:t>
      </w:r>
      <w:r w:rsidR="00B8681A">
        <w:t>ism</w:t>
      </w:r>
      <w:r w:rsidR="009035B0">
        <w:t>.</w:t>
      </w:r>
      <w:r>
        <w:t xml:space="preserve"> Wood decided</w:t>
      </w:r>
      <w:r w:rsidR="00BC406C">
        <w:t xml:space="preserve"> that </w:t>
      </w:r>
      <w:r w:rsidR="00BC406C" w:rsidRPr="00075A8F">
        <w:t xml:space="preserve">the course of education </w:t>
      </w:r>
      <w:r w:rsidR="008E2F67">
        <w:t>set</w:t>
      </w:r>
      <w:r w:rsidR="00BC406C" w:rsidRPr="00075A8F">
        <w:t xml:space="preserve"> by the father </w:t>
      </w:r>
      <w:r w:rsidR="008E2F67">
        <w:t>should</w:t>
      </w:r>
      <w:r w:rsidR="00BC406C" w:rsidRPr="00075A8F">
        <w:t xml:space="preserve"> be continued</w:t>
      </w:r>
      <w:r w:rsidR="00B8681A">
        <w:t>,</w:t>
      </w:r>
      <w:r>
        <w:t xml:space="preserve"> </w:t>
      </w:r>
      <w:r w:rsidR="00BC406C" w:rsidRPr="00075A8F">
        <w:t xml:space="preserve">despite </w:t>
      </w:r>
      <w:r w:rsidR="00BC406C">
        <w:t>medical testimony that</w:t>
      </w:r>
      <w:r>
        <w:t xml:space="preserve"> such a course would be dangerous to the boy’s morals and health.</w:t>
      </w:r>
      <w:r w:rsidR="00BC406C" w:rsidRPr="00075A8F">
        <w:rPr>
          <w:rStyle w:val="FootnoteReference"/>
        </w:rPr>
        <w:footnoteReference w:id="60"/>
      </w:r>
      <w:r w:rsidR="00BC406C">
        <w:t xml:space="preserve"> </w:t>
      </w:r>
      <w:r w:rsidR="0039029F" w:rsidRPr="00075A8F">
        <w:t>Th</w:t>
      </w:r>
      <w:r w:rsidR="00535205">
        <w:t>e retreat continued</w:t>
      </w:r>
      <w:r w:rsidR="0039029F" w:rsidRPr="00075A8F">
        <w:t xml:space="preserve"> in</w:t>
      </w:r>
      <w:r w:rsidR="0039029F">
        <w:t xml:space="preserve"> the 1871 case of</w:t>
      </w:r>
      <w:r w:rsidR="0039029F" w:rsidRPr="00075A8F">
        <w:t xml:space="preserve"> </w:t>
      </w:r>
      <w:r w:rsidR="0039029F" w:rsidRPr="00075A8F">
        <w:rPr>
          <w:i/>
        </w:rPr>
        <w:t>Hawkesworth v. Hawkesworth</w:t>
      </w:r>
      <w:r>
        <w:t xml:space="preserve">, </w:t>
      </w:r>
      <w:r w:rsidR="0039029F">
        <w:t xml:space="preserve">in which </w:t>
      </w:r>
      <w:r w:rsidR="0039029F" w:rsidRPr="00075A8F">
        <w:t xml:space="preserve">Vice-Chancellor </w:t>
      </w:r>
      <w:r w:rsidR="0039029F" w:rsidRPr="00F275AB">
        <w:t>Wickens</w:t>
      </w:r>
      <w:r w:rsidR="00F275AB" w:rsidRPr="00F275AB">
        <w:rPr>
          <w:rStyle w:val="FootnoteReference"/>
        </w:rPr>
        <w:footnoteReference w:id="61"/>
      </w:r>
      <w:r w:rsidR="0039029F" w:rsidRPr="00075A8F">
        <w:t xml:space="preserve"> </w:t>
      </w:r>
      <w:r w:rsidR="0039029F">
        <w:t xml:space="preserve">warned that </w:t>
      </w:r>
      <w:r w:rsidR="0039029F" w:rsidRPr="00075A8F">
        <w:t xml:space="preserve">the procedure used in </w:t>
      </w:r>
      <w:r w:rsidR="0039029F" w:rsidRPr="00075A8F">
        <w:rPr>
          <w:i/>
        </w:rPr>
        <w:t>Stourton v. Stourton</w:t>
      </w:r>
      <w:r w:rsidR="0039029F" w:rsidRPr="00075A8F">
        <w:t xml:space="preserve"> </w:t>
      </w:r>
      <w:r w:rsidR="0039029F">
        <w:t>might lead</w:t>
      </w:r>
      <w:r w:rsidR="0039029F" w:rsidRPr="00075A8F">
        <w:t xml:space="preserve"> </w:t>
      </w:r>
      <w:r w:rsidR="0039029F">
        <w:t>mothers</w:t>
      </w:r>
      <w:r w:rsidR="0039029F" w:rsidRPr="00075A8F">
        <w:t xml:space="preserve"> ‘in breach of their duty, and to the great injury of their children, to introduce them prematurely into an atmosphere of theological controversy … for the purpose of convincing them that their dead father had wrong views.’</w:t>
      </w:r>
      <w:r w:rsidR="0039029F" w:rsidRPr="00075A8F">
        <w:rPr>
          <w:rStyle w:val="FootnoteReference"/>
          <w:rFonts w:eastAsia="MS Mincho"/>
        </w:rPr>
        <w:footnoteReference w:id="62"/>
      </w:r>
      <w:r w:rsidR="0039029F" w:rsidRPr="00075A8F">
        <w:t xml:space="preserve"> On appeal</w:t>
      </w:r>
      <w:r w:rsidR="00735751">
        <w:t>,</w:t>
      </w:r>
      <w:r w:rsidR="0039029F" w:rsidRPr="00075A8F">
        <w:t xml:space="preserve"> Lord Justice James, supported by Lord Justice </w:t>
      </w:r>
      <w:r w:rsidR="0039029F" w:rsidRPr="009127A0">
        <w:t>Mellish</w:t>
      </w:r>
      <w:r w:rsidR="009127A0">
        <w:rPr>
          <w:rStyle w:val="FootnoteReference"/>
        </w:rPr>
        <w:footnoteReference w:id="63"/>
      </w:r>
      <w:r w:rsidR="0039029F" w:rsidRPr="00075A8F">
        <w:t xml:space="preserve">, </w:t>
      </w:r>
      <w:r w:rsidR="0039029F" w:rsidRPr="00075A8F">
        <w:lastRenderedPageBreak/>
        <w:t>strongly agreed.</w:t>
      </w:r>
      <w:r w:rsidR="0039029F" w:rsidRPr="00075A8F">
        <w:rPr>
          <w:rStyle w:val="FootnoteReference"/>
          <w:rFonts w:eastAsia="MS Mincho"/>
        </w:rPr>
        <w:footnoteReference w:id="64"/>
      </w:r>
      <w:r w:rsidR="0039029F">
        <w:t xml:space="preserve"> </w:t>
      </w:r>
      <w:r w:rsidR="00735751">
        <w:t>The judges here</w:t>
      </w:r>
      <w:r w:rsidR="0039029F">
        <w:t xml:space="preserve"> sought to minimise the autonomy of women and children as factors that might disrupt the patriarchal Victorian home</w:t>
      </w:r>
      <w:r w:rsidR="00035D81">
        <w:t>; but no</w:t>
      </w:r>
      <w:r w:rsidR="00800640">
        <w:t xml:space="preserve"> clear alternative principle was established, so in 1873</w:t>
      </w:r>
      <w:r w:rsidR="0039029F">
        <w:t xml:space="preserve"> </w:t>
      </w:r>
      <w:r w:rsidR="004D7BA6" w:rsidRPr="00075A8F">
        <w:t>James</w:t>
      </w:r>
      <w:r w:rsidR="004D7BA6">
        <w:t xml:space="preserve"> </w:t>
      </w:r>
      <w:r w:rsidR="004D7BA6" w:rsidRPr="00075A8F">
        <w:t xml:space="preserve">and </w:t>
      </w:r>
      <w:r w:rsidR="0039029F" w:rsidRPr="00075A8F">
        <w:t xml:space="preserve">Mellish </w:t>
      </w:r>
      <w:r w:rsidR="00800640">
        <w:t xml:space="preserve">agreed to interview an eleven-year-old girl in the complex case of </w:t>
      </w:r>
      <w:r w:rsidR="0039029F" w:rsidRPr="00075A8F">
        <w:rPr>
          <w:i/>
        </w:rPr>
        <w:t>Andrews v. Salt</w:t>
      </w:r>
      <w:r w:rsidR="0039029F" w:rsidRPr="00075A8F">
        <w:t>.</w:t>
      </w:r>
      <w:r w:rsidR="0039029F">
        <w:rPr>
          <w:rStyle w:val="FootnoteReference"/>
          <w:rFonts w:eastAsia="MS Mincho"/>
        </w:rPr>
        <w:footnoteReference w:id="65"/>
      </w:r>
      <w:r w:rsidR="0039029F">
        <w:t xml:space="preserve"> </w:t>
      </w:r>
      <w:r w:rsidR="00800640">
        <w:t>Among other things, their judgement in this case</w:t>
      </w:r>
      <w:r w:rsidR="0039029F" w:rsidRPr="0034523F">
        <w:t xml:space="preserve"> suggested that a guardian was misguided if he tried to teach a child religious doctrine before it was eight, but was negligent if he did not do so before the child reached nine.</w:t>
      </w:r>
    </w:p>
    <w:p w14:paraId="4A724852" w14:textId="4FF598BC" w:rsidR="0039029F" w:rsidRDefault="0039029F" w:rsidP="0039029F">
      <w:pPr>
        <w:pStyle w:val="Ben1"/>
      </w:pPr>
      <w:r>
        <w:t xml:space="preserve">Just as the English courts were wrestling with the unsettling implications of these cases, the Irish courts made a decisive move towards a position far more subversive of patriarchal power. In the cases discussed so far, children had only been interviewed when the father was no longer alive to assert his will. The Irish courts began to extend the procedure in </w:t>
      </w:r>
      <w:r>
        <w:rPr>
          <w:i/>
        </w:rPr>
        <w:t>Stourton v. Stourton</w:t>
      </w:r>
      <w:r>
        <w:t xml:space="preserve"> to cases </w:t>
      </w:r>
      <w:r w:rsidR="00FF3366">
        <w:t>in which</w:t>
      </w:r>
      <w:r>
        <w:t xml:space="preserve"> the father was still alive. The breakthrough was</w:t>
      </w:r>
      <w:r w:rsidRPr="00075A8F">
        <w:t xml:space="preserve"> </w:t>
      </w:r>
      <w:r w:rsidRPr="00075A8F">
        <w:rPr>
          <w:i/>
        </w:rPr>
        <w:t>In re Meade</w:t>
      </w:r>
      <w:r>
        <w:t xml:space="preserve"> in 1871, in which the Lord Chancellor of Ireland, Lord O’Hagan</w:t>
      </w:r>
      <w:r w:rsidR="00BD0471">
        <w:rPr>
          <w:rStyle w:val="FootnoteReference"/>
        </w:rPr>
        <w:footnoteReference w:id="66"/>
      </w:r>
      <w:r w:rsidR="00C646FA">
        <w:t>,</w:t>
      </w:r>
      <w:r>
        <w:t xml:space="preserve"> interviewed the children of a living father to ascertain the strength</w:t>
      </w:r>
      <w:r w:rsidR="00035D81">
        <w:t xml:space="preserve"> of their religious convictions</w:t>
      </w:r>
      <w:r w:rsidRPr="00075A8F">
        <w:t>.</w:t>
      </w:r>
      <w:r w:rsidRPr="00075A8F">
        <w:rPr>
          <w:rStyle w:val="FootnoteReference"/>
          <w:rFonts w:eastAsia="MS Mincho"/>
        </w:rPr>
        <w:footnoteReference w:id="67"/>
      </w:r>
      <w:r w:rsidRPr="00075A8F">
        <w:t>O’Hagan made strong claims for the court’s right to interfere when a parent’s conduct threatened to unsettle a child’s beliefs and r</w:t>
      </w:r>
      <w:r w:rsidR="00DA6A04">
        <w:t>a</w:t>
      </w:r>
      <w:r w:rsidRPr="00075A8F">
        <w:t xml:space="preserve">n </w:t>
      </w:r>
      <w:r w:rsidR="00DA6A04">
        <w:t>‘</w:t>
      </w:r>
      <w:r w:rsidRPr="00075A8F">
        <w:t>the risk of derangement of his moral constitution and rui</w:t>
      </w:r>
      <w:r>
        <w:t>n to his religious convictions’.</w:t>
      </w:r>
      <w:r w:rsidR="00D16D7B" w:rsidRPr="00075A8F">
        <w:rPr>
          <w:rStyle w:val="FootnoteReference"/>
          <w:rFonts w:eastAsia="MS Mincho"/>
        </w:rPr>
        <w:footnoteReference w:id="68"/>
      </w:r>
      <w:r>
        <w:t xml:space="preserve"> This is important because once again it went some way beyond interfering only when a father ha</w:t>
      </w:r>
      <w:r w:rsidR="00B56CEC">
        <w:t>d</w:t>
      </w:r>
      <w:r>
        <w:t xml:space="preserve"> forfeited or abdicated his paternal rights: O’Hagan was saying that the court might overrule a father’s </w:t>
      </w:r>
      <w:r>
        <w:lastRenderedPageBreak/>
        <w:t>sincere wishes if the court thought that it was in the best interests of the child. This was a serious threat to traditional patriarchal law.</w:t>
      </w:r>
      <w:r w:rsidR="0033434F">
        <w:t xml:space="preserve"> </w:t>
      </w:r>
      <w:r>
        <w:t>Although O’Hagan had laid the theoretical groundwork for a more interventionist judicial stance he refused to interfere</w:t>
      </w:r>
      <w:r w:rsidRPr="00075A8F">
        <w:t xml:space="preserve"> </w:t>
      </w:r>
      <w:r>
        <w:t>i</w:t>
      </w:r>
      <w:r w:rsidRPr="00075A8F">
        <w:t>n th</w:t>
      </w:r>
      <w:r w:rsidR="00973644">
        <w:t>is</w:t>
      </w:r>
      <w:r>
        <w:t xml:space="preserve"> case, because he thought that </w:t>
      </w:r>
      <w:r w:rsidRPr="00075A8F">
        <w:t>it was too late</w:t>
      </w:r>
      <w:r>
        <w:t xml:space="preserve"> to undo the damage done to the children’s religious convictions</w:t>
      </w:r>
      <w:r w:rsidR="0033434F">
        <w:t xml:space="preserve"> by their family’s sectarian squabbles</w:t>
      </w:r>
      <w:r w:rsidRPr="00075A8F">
        <w:t>.</w:t>
      </w:r>
      <w:r w:rsidRPr="00075A8F">
        <w:rPr>
          <w:rStyle w:val="FootnoteReference"/>
          <w:rFonts w:eastAsia="MS Mincho"/>
        </w:rPr>
        <w:footnoteReference w:id="69"/>
      </w:r>
      <w:r w:rsidRPr="003E5B89">
        <w:t xml:space="preserve"> </w:t>
      </w:r>
      <w:r w:rsidR="00FB63ED">
        <w:t>His</w:t>
      </w:r>
      <w:r>
        <w:t xml:space="preserve"> theoretical challenge to paternal rights was</w:t>
      </w:r>
      <w:r w:rsidR="00FB63ED">
        <w:t xml:space="preserve"> put into practise by his</w:t>
      </w:r>
      <w:r>
        <w:t xml:space="preserve"> successor as Lord Chancellor of Ireland, </w:t>
      </w:r>
      <w:r w:rsidRPr="003E68FD">
        <w:t>J.</w:t>
      </w:r>
      <w:r>
        <w:t xml:space="preserve"> </w:t>
      </w:r>
      <w:r w:rsidRPr="003E68FD">
        <w:t>T. Ball</w:t>
      </w:r>
      <w:r>
        <w:t>.</w:t>
      </w:r>
      <w:r w:rsidR="00BD0471">
        <w:rPr>
          <w:rStyle w:val="FootnoteReference"/>
        </w:rPr>
        <w:footnoteReference w:id="70"/>
      </w:r>
      <w:r>
        <w:t xml:space="preserve"> In </w:t>
      </w:r>
      <w:r>
        <w:rPr>
          <w:i/>
        </w:rPr>
        <w:t>re Grimes</w:t>
      </w:r>
      <w:r>
        <w:t xml:space="preserve"> in 1877 he declared that the Court of Chancery ‘has jurisdiction to protect the conscientious convictions of a minor, </w:t>
      </w:r>
      <w:r w:rsidRPr="00F9288A">
        <w:rPr>
          <w:i/>
        </w:rPr>
        <w:t>although adverse to the religion or even the declared wishes of a living father who has not forfeited his parental authority by any misconduct’</w:t>
      </w:r>
      <w:r>
        <w:t>.</w:t>
      </w:r>
      <w:r>
        <w:rPr>
          <w:rStyle w:val="FootnoteReference"/>
          <w:rFonts w:eastAsia="MS Mincho"/>
        </w:rPr>
        <w:footnoteReference w:id="71"/>
      </w:r>
      <w:r w:rsidR="0033434F" w:rsidDel="0033434F">
        <w:rPr>
          <w:rStyle w:val="FootnoteReference"/>
          <w:rFonts w:eastAsia="MS Mincho"/>
        </w:rPr>
        <w:t xml:space="preserve"> </w:t>
      </w:r>
    </w:p>
    <w:p w14:paraId="1D4D4902" w14:textId="77777777" w:rsidR="0039029F" w:rsidRDefault="0039029F" w:rsidP="0039029F">
      <w:pPr>
        <w:pStyle w:val="Ben1"/>
      </w:pPr>
      <w:r>
        <w:t xml:space="preserve">It was at this point that the peculiar fragmentation of the British juridical state became problematic: could this Irish innovation be transmitted into English law? Did </w:t>
      </w:r>
      <w:r>
        <w:rPr>
          <w:i/>
        </w:rPr>
        <w:t>In re Grimes</w:t>
      </w:r>
      <w:r>
        <w:t xml:space="preserve"> pose a threat to the rights of fathers in England, Scotland, or the empire? Or was Irish law to develop along its own separate path, circumscribing paternal privileges in a way unknown in Scotland or England? </w:t>
      </w:r>
    </w:p>
    <w:p w14:paraId="5ADFA987" w14:textId="0B7E30AF" w:rsidR="0039029F" w:rsidRDefault="0039029F" w:rsidP="00937CD6">
      <w:pPr>
        <w:pStyle w:val="Ben1"/>
      </w:pPr>
      <w:r>
        <w:t xml:space="preserve">It is in this context that we must assess the case of </w:t>
      </w:r>
      <w:r w:rsidRPr="003D05F9">
        <w:rPr>
          <w:i/>
        </w:rPr>
        <w:t>In re. Agar-Ellis</w:t>
      </w:r>
      <w:r>
        <w:t>,</w:t>
      </w:r>
      <w:r w:rsidR="002E4757">
        <w:t xml:space="preserve"> widely regarded as the most forceful judicial statement of paternal rights in the nineteenth century. Leopold Agar-Ellis, </w:t>
      </w:r>
      <w:r w:rsidR="002E4757" w:rsidRPr="00774D23">
        <w:rPr>
          <w:szCs w:val="24"/>
        </w:rPr>
        <w:t>a Protestant</w:t>
      </w:r>
      <w:r w:rsidR="00973644">
        <w:rPr>
          <w:szCs w:val="24"/>
        </w:rPr>
        <w:t>,</w:t>
      </w:r>
      <w:r w:rsidR="002E4757" w:rsidRPr="00774D23">
        <w:rPr>
          <w:szCs w:val="24"/>
        </w:rPr>
        <w:t xml:space="preserve"> had married</w:t>
      </w:r>
      <w:r w:rsidR="002E4757">
        <w:rPr>
          <w:szCs w:val="24"/>
        </w:rPr>
        <w:t xml:space="preserve"> the</w:t>
      </w:r>
      <w:r w:rsidR="002E4757" w:rsidRPr="00774D23">
        <w:rPr>
          <w:szCs w:val="24"/>
        </w:rPr>
        <w:t xml:space="preserve"> Catholic</w:t>
      </w:r>
      <w:r w:rsidR="002E4757">
        <w:rPr>
          <w:szCs w:val="24"/>
        </w:rPr>
        <w:t xml:space="preserve"> Harriet Stonor</w:t>
      </w:r>
      <w:r w:rsidR="00973644">
        <w:rPr>
          <w:szCs w:val="24"/>
        </w:rPr>
        <w:t xml:space="preserve"> in 1864, and s</w:t>
      </w:r>
      <w:r w:rsidR="002E4757" w:rsidRPr="00774D23">
        <w:rPr>
          <w:szCs w:val="24"/>
        </w:rPr>
        <w:t xml:space="preserve">oon after the birth of </w:t>
      </w:r>
      <w:r w:rsidR="002E4757">
        <w:rPr>
          <w:szCs w:val="24"/>
        </w:rPr>
        <w:t>their</w:t>
      </w:r>
      <w:r w:rsidR="002E4757" w:rsidRPr="00774D23">
        <w:rPr>
          <w:szCs w:val="24"/>
        </w:rPr>
        <w:t xml:space="preserve"> first child he reneged on an agreement that his children would be raised </w:t>
      </w:r>
      <w:r w:rsidR="002E4757">
        <w:rPr>
          <w:szCs w:val="24"/>
        </w:rPr>
        <w:t>in their mother’s religion</w:t>
      </w:r>
      <w:r w:rsidR="002E4757" w:rsidRPr="00774D23">
        <w:rPr>
          <w:szCs w:val="24"/>
        </w:rPr>
        <w:t xml:space="preserve">, prompting Harriet to begin </w:t>
      </w:r>
      <w:r w:rsidR="002E4757">
        <w:rPr>
          <w:szCs w:val="24"/>
        </w:rPr>
        <w:t>raising her children as</w:t>
      </w:r>
      <w:r w:rsidR="002E4757" w:rsidRPr="00774D23">
        <w:rPr>
          <w:szCs w:val="24"/>
        </w:rPr>
        <w:t xml:space="preserve"> Catholic</w:t>
      </w:r>
      <w:r w:rsidR="002E4757">
        <w:rPr>
          <w:szCs w:val="24"/>
        </w:rPr>
        <w:t>s</w:t>
      </w:r>
      <w:r w:rsidR="00E95AAA" w:rsidRPr="00E95AAA">
        <w:rPr>
          <w:szCs w:val="24"/>
        </w:rPr>
        <w:t xml:space="preserve"> </w:t>
      </w:r>
      <w:r w:rsidR="00E95AAA" w:rsidRPr="00774D23">
        <w:rPr>
          <w:szCs w:val="24"/>
        </w:rPr>
        <w:t>surreptitiously</w:t>
      </w:r>
      <w:r w:rsidR="002E4757" w:rsidRPr="00774D23">
        <w:rPr>
          <w:szCs w:val="24"/>
        </w:rPr>
        <w:t xml:space="preserve">. </w:t>
      </w:r>
      <w:r w:rsidR="002E4757">
        <w:rPr>
          <w:szCs w:val="24"/>
        </w:rPr>
        <w:t>When</w:t>
      </w:r>
      <w:r w:rsidR="00973644">
        <w:rPr>
          <w:szCs w:val="24"/>
        </w:rPr>
        <w:t>, in 1878,</w:t>
      </w:r>
      <w:r w:rsidR="002E4757">
        <w:rPr>
          <w:szCs w:val="24"/>
        </w:rPr>
        <w:t xml:space="preserve"> Leopold discovered what Harriet had done he appealed</w:t>
      </w:r>
      <w:r w:rsidR="002E4757" w:rsidRPr="00774D23">
        <w:rPr>
          <w:szCs w:val="24"/>
        </w:rPr>
        <w:t xml:space="preserve"> to the Court of Chancery, which approved his plan to take his daughters </w:t>
      </w:r>
      <w:r w:rsidR="00BF4CC8">
        <w:rPr>
          <w:szCs w:val="24"/>
        </w:rPr>
        <w:t xml:space="preserve">(aged nine, eleven and twelve) </w:t>
      </w:r>
      <w:r w:rsidR="002E4757" w:rsidRPr="00774D23">
        <w:rPr>
          <w:szCs w:val="24"/>
        </w:rPr>
        <w:t>away from their mother and send them to live with a Protestant clergyman.</w:t>
      </w:r>
      <w:r w:rsidRPr="00FE646A">
        <w:t xml:space="preserve"> </w:t>
      </w:r>
      <w:r w:rsidR="00E95AAA">
        <w:lastRenderedPageBreak/>
        <w:t>Although this case is often seen as a statement of settled law, it was in fact the climax of a backlash against the threats to paternal privileges created by</w:t>
      </w:r>
      <w:r>
        <w:t xml:space="preserve"> </w:t>
      </w:r>
      <w:r>
        <w:rPr>
          <w:i/>
        </w:rPr>
        <w:t>Stourton v. Stourton</w:t>
      </w:r>
      <w:r>
        <w:t>. The case first came before Vice-Chancellor Malins</w:t>
      </w:r>
      <w:r w:rsidR="00E95AAA">
        <w:rPr>
          <w:rStyle w:val="FootnoteReference"/>
        </w:rPr>
        <w:footnoteReference w:id="72"/>
      </w:r>
      <w:r>
        <w:t xml:space="preserve">, who in </w:t>
      </w:r>
      <w:r>
        <w:rPr>
          <w:i/>
        </w:rPr>
        <w:t>Andrews v Salt</w:t>
      </w:r>
      <w:r>
        <w:t xml:space="preserve"> (1873) had strongly defended </w:t>
      </w:r>
      <w:r>
        <w:rPr>
          <w:i/>
        </w:rPr>
        <w:t xml:space="preserve">Stourton v. Stourton </w:t>
      </w:r>
      <w:r>
        <w:t>against its critics, and who had attempted – unsuccessfully – to make antenuptial agreements governing the religious education of children</w:t>
      </w:r>
      <w:r w:rsidRPr="009E052A">
        <w:t xml:space="preserve"> </w:t>
      </w:r>
      <w:r>
        <w:t>legally binding.</w:t>
      </w:r>
      <w:r w:rsidRPr="00075A8F">
        <w:rPr>
          <w:rStyle w:val="FootnoteReference"/>
          <w:rFonts w:eastAsia="MS Mincho"/>
        </w:rPr>
        <w:footnoteReference w:id="73"/>
      </w:r>
      <w:r>
        <w:t xml:space="preserve"> Malins, who ‘gloried in his bad law</w:t>
      </w:r>
      <w:r w:rsidR="00937CD6">
        <w:t xml:space="preserve">’, had been overruled on appeal and </w:t>
      </w:r>
      <w:r>
        <w:t>he now absolutely refused to recognise the validity of Leopold Agar-Ellis’s antenuptial agreement to raise his children as Catholics.</w:t>
      </w:r>
      <w:r>
        <w:rPr>
          <w:rStyle w:val="FootnoteReference"/>
          <w:rFonts w:eastAsia="MS Mincho"/>
        </w:rPr>
        <w:footnoteReference w:id="74"/>
      </w:r>
      <w:r>
        <w:t xml:space="preserve"> </w:t>
      </w:r>
      <w:r w:rsidRPr="007361EF">
        <w:t>‘The father</w:t>
      </w:r>
      <w:r w:rsidR="00937CD6">
        <w:t xml:space="preserve">’, he </w:t>
      </w:r>
      <w:r w:rsidR="002F4725">
        <w:t>said</w:t>
      </w:r>
      <w:r w:rsidR="00937CD6">
        <w:t>,</w:t>
      </w:r>
      <w:r w:rsidRPr="007361EF">
        <w:t xml:space="preserve"> </w:t>
      </w:r>
      <w:r w:rsidR="00937CD6">
        <w:t>‘</w:t>
      </w:r>
      <w:r w:rsidRPr="007361EF">
        <w:t>is the head of his house, he must have control of his family, he must say how and by whom they are to be educated’.</w:t>
      </w:r>
      <w:r>
        <w:rPr>
          <w:rStyle w:val="FootnoteReference"/>
        </w:rPr>
        <w:footnoteReference w:id="75"/>
      </w:r>
      <w:r w:rsidR="00937CD6">
        <w:t xml:space="preserve"> </w:t>
      </w:r>
      <w:r>
        <w:t>Malins defined three conditions under which the court would interfere with a father’s rights: immoral conduct by the parent; bringing the children up irreligiously; ‘or where the Court is of opinion that the father has been guilty of abandonment of the parental duty.’</w:t>
      </w:r>
      <w:r>
        <w:rPr>
          <w:rStyle w:val="FootnoteReference"/>
          <w:rFonts w:eastAsia="MS Mincho"/>
        </w:rPr>
        <w:footnoteReference w:id="76"/>
      </w:r>
      <w:r>
        <w:t xml:space="preserve"> </w:t>
      </w:r>
      <w:r w:rsidR="00937CD6">
        <w:t>I</w:t>
      </w:r>
      <w:r>
        <w:t xml:space="preserve">t is noticeable that the decision reached in </w:t>
      </w:r>
      <w:r>
        <w:rPr>
          <w:i/>
        </w:rPr>
        <w:t>Stourton v. Stourton</w:t>
      </w:r>
      <w:r>
        <w:t xml:space="preserve"> could not be justified in </w:t>
      </w:r>
      <w:r w:rsidR="00B56CEC">
        <w:t xml:space="preserve">these </w:t>
      </w:r>
      <w:r>
        <w:t>terms.</w:t>
      </w:r>
      <w:r w:rsidR="00806213">
        <w:t xml:space="preserve"> </w:t>
      </w:r>
    </w:p>
    <w:p w14:paraId="517777A2" w14:textId="02344753" w:rsidR="0039029F" w:rsidRDefault="0039029F" w:rsidP="0039029F">
      <w:pPr>
        <w:pStyle w:val="Ben1"/>
        <w:rPr>
          <w:szCs w:val="24"/>
        </w:rPr>
      </w:pPr>
      <w:r>
        <w:t xml:space="preserve">Malins engaged in detail with the subversive precedents in recent Irish cases. Confronted by the case of </w:t>
      </w:r>
      <w:r>
        <w:rPr>
          <w:i/>
        </w:rPr>
        <w:t>In re Meades</w:t>
      </w:r>
      <w:r w:rsidRPr="000D69F8">
        <w:t>, h</w:t>
      </w:r>
      <w:r>
        <w:t>e quoted Lord O’Hagan’s judgement so selectively that it was made to appear consistent with a far more patriarchal stance than O’Hagan had intended.</w:t>
      </w:r>
      <w:r>
        <w:rPr>
          <w:rStyle w:val="FootnoteReference"/>
        </w:rPr>
        <w:footnoteReference w:id="77"/>
      </w:r>
      <w:r>
        <w:t xml:space="preserve"> When Harriet Agar-Ellis appealed against his decision</w:t>
      </w:r>
      <w:r w:rsidRPr="009B5D60">
        <w:rPr>
          <w:szCs w:val="24"/>
        </w:rPr>
        <w:t>,</w:t>
      </w:r>
      <w:r>
        <w:rPr>
          <w:szCs w:val="24"/>
        </w:rPr>
        <w:t xml:space="preserve"> the</w:t>
      </w:r>
      <w:r w:rsidRPr="009B5D60">
        <w:rPr>
          <w:szCs w:val="24"/>
        </w:rPr>
        <w:t xml:space="preserve"> counsel for both mother and father cited both </w:t>
      </w:r>
      <w:r>
        <w:rPr>
          <w:i/>
        </w:rPr>
        <w:t>In re Meades</w:t>
      </w:r>
      <w:r w:rsidRPr="009B5D60">
        <w:rPr>
          <w:szCs w:val="24"/>
        </w:rPr>
        <w:t xml:space="preserve"> </w:t>
      </w:r>
      <w:r>
        <w:t xml:space="preserve">and </w:t>
      </w:r>
      <w:r w:rsidRPr="000D69F8">
        <w:rPr>
          <w:i/>
        </w:rPr>
        <w:t xml:space="preserve">In </w:t>
      </w:r>
      <w:r>
        <w:rPr>
          <w:i/>
        </w:rPr>
        <w:t>re Grimes</w:t>
      </w:r>
      <w:r>
        <w:t xml:space="preserve"> </w:t>
      </w:r>
      <w:r w:rsidR="00973644">
        <w:t>in support.</w:t>
      </w:r>
      <w:r>
        <w:t xml:space="preserve"> </w:t>
      </w:r>
      <w:r>
        <w:rPr>
          <w:szCs w:val="24"/>
        </w:rPr>
        <w:t xml:space="preserve">Hearing the appeal, Lord Justice </w:t>
      </w:r>
      <w:r w:rsidRPr="009B5D60">
        <w:rPr>
          <w:szCs w:val="24"/>
        </w:rPr>
        <w:t>James conceded that</w:t>
      </w:r>
      <w:r>
        <w:rPr>
          <w:szCs w:val="24"/>
        </w:rPr>
        <w:t>:</w:t>
      </w:r>
    </w:p>
    <w:p w14:paraId="6F3568A7" w14:textId="77777777" w:rsidR="0039029F" w:rsidRDefault="0039029F" w:rsidP="0039029F">
      <w:pPr>
        <w:pStyle w:val="Ben2"/>
      </w:pPr>
    </w:p>
    <w:p w14:paraId="6EFCB099" w14:textId="50508F1B" w:rsidR="0039029F" w:rsidRPr="009B5D60" w:rsidRDefault="0039029F" w:rsidP="0039029F">
      <w:pPr>
        <w:pStyle w:val="Ben2"/>
      </w:pPr>
      <w:r w:rsidRPr="009B5D60">
        <w:lastRenderedPageBreak/>
        <w:t xml:space="preserve">In some of the cases cited to us the Judges in </w:t>
      </w:r>
      <w:r w:rsidRPr="009B5D60">
        <w:rPr>
          <w:i/>
        </w:rPr>
        <w:t>Ireland</w:t>
      </w:r>
      <w:r w:rsidRPr="009B5D60">
        <w:t xml:space="preserve"> did examine the children, even where the father was the respondent, but in the result left the father in possession of his legal right; and even in those cases a ground was laid for the jurisdiction by reason of the father’s previous conduct in respect of the children’s education bringing it within the category of abdication. It is not, in our judgement, necessary further to examine those cases, because, in our judgement, however weighty, and they are very weighty, the considerations expressed in </w:t>
      </w:r>
      <w:r w:rsidRPr="009B5D60">
        <w:rPr>
          <w:i/>
        </w:rPr>
        <w:t xml:space="preserve">Stourton v. Stourton </w:t>
      </w:r>
      <w:r w:rsidRPr="009B5D60">
        <w:t xml:space="preserve"> and the other cases, they are weighty considerations for the father to deal with, without being subject to appeal</w:t>
      </w:r>
      <w:r>
        <w:t xml:space="preserve"> to or revision by this court.</w:t>
      </w:r>
      <w:r>
        <w:rPr>
          <w:rStyle w:val="FootnoteReference"/>
          <w:szCs w:val="24"/>
        </w:rPr>
        <w:footnoteReference w:id="78"/>
      </w:r>
      <w:r w:rsidRPr="009B5D60">
        <w:t xml:space="preserve"> </w:t>
      </w:r>
    </w:p>
    <w:p w14:paraId="6F0FC701" w14:textId="77777777" w:rsidR="0039029F" w:rsidRDefault="0039029F" w:rsidP="0039029F">
      <w:pPr>
        <w:pStyle w:val="Ben1"/>
      </w:pPr>
    </w:p>
    <w:p w14:paraId="2E07981A" w14:textId="6DBF5499" w:rsidR="0039029F" w:rsidRDefault="0039029F" w:rsidP="0039029F">
      <w:pPr>
        <w:pStyle w:val="Ben3"/>
      </w:pPr>
      <w:r>
        <w:t>The central point here is the claim in the final sentence that it was the responsibility of the father, not a court, to decide what was in the best interest of his children. This line of reasoning closed down the space for considering the best interests of the child: this was for the father to assess, not the courts</w:t>
      </w:r>
      <w:r w:rsidR="001112E8">
        <w:t>, and certainly not the mother</w:t>
      </w:r>
      <w:r>
        <w:t xml:space="preserve">. When the affairs of the Agar-Ellis family came before the court again in 1883 (when, once again, Irish cases were treated as germane), Lord Justice </w:t>
      </w:r>
      <w:r w:rsidRPr="00772721">
        <w:t>Bowen</w:t>
      </w:r>
      <w:r w:rsidR="00772721">
        <w:rPr>
          <w:rStyle w:val="FootnoteReference"/>
        </w:rPr>
        <w:footnoteReference w:id="79"/>
      </w:r>
      <w:r>
        <w:t xml:space="preserve"> reasserted the point.</w:t>
      </w:r>
      <w:r>
        <w:rPr>
          <w:rStyle w:val="FootnoteReference"/>
        </w:rPr>
        <w:footnoteReference w:id="80"/>
      </w:r>
      <w:r>
        <w:t xml:space="preserve"> He said that it was</w:t>
      </w:r>
      <w:r w:rsidRPr="008F743F">
        <w:t xml:space="preserve"> </w:t>
      </w:r>
      <w:r>
        <w:t>‘</w:t>
      </w:r>
      <w:r w:rsidRPr="008F743F">
        <w:t>not the benefit to the infant as conceived by the Court</w:t>
      </w:r>
      <w:r>
        <w:t>’ that should sway judicial decisions</w:t>
      </w:r>
      <w:r w:rsidRPr="008F743F">
        <w:t xml:space="preserve">, but </w:t>
      </w:r>
      <w:r>
        <w:t>‘t</w:t>
      </w:r>
      <w:r w:rsidRPr="008F743F">
        <w:t>he benefit to the infant having regard to the natural law which points out that the father knows far better as a rule what is good for his children than a Court of Justice can.</w:t>
      </w:r>
      <w:r>
        <w:t>’</w:t>
      </w:r>
      <w:r>
        <w:rPr>
          <w:rStyle w:val="FootnoteReference"/>
          <w:rFonts w:eastAsia="MS Mincho"/>
        </w:rPr>
        <w:footnoteReference w:id="81"/>
      </w:r>
    </w:p>
    <w:p w14:paraId="7462EC31" w14:textId="0AC6485D" w:rsidR="0039029F" w:rsidRPr="006437EF" w:rsidRDefault="0039029F" w:rsidP="0039029F">
      <w:pPr>
        <w:pStyle w:val="Ben1"/>
      </w:pPr>
      <w:r>
        <w:t xml:space="preserve">To conclude this section, we have seen how </w:t>
      </w:r>
      <w:r w:rsidR="003F7E75">
        <w:t>the idea that paternal rights ought to be controlled by considerations of child welfare developed in arguments about a father’s right</w:t>
      </w:r>
      <w:r w:rsidR="003F7E75" w:rsidRPr="003F7E75">
        <w:t xml:space="preserve"> </w:t>
      </w:r>
      <w:r w:rsidR="003F7E75">
        <w:t>to control his children’s religion. Containing the threat to paternal privileges posed by this development was made significantly harder due to the complexity of the juridical state</w:t>
      </w:r>
      <w:r w:rsidR="003F326D">
        <w:t>. I</w:t>
      </w:r>
      <w:r>
        <w:t xml:space="preserve">nnovation in English courts of equity were picked up and developed in Irish courts in ways </w:t>
      </w:r>
      <w:r w:rsidR="003F326D">
        <w:t>profoundly subversive of paternal rights, and t</w:t>
      </w:r>
      <w:r>
        <w:t xml:space="preserve">he ambiguous relationship between </w:t>
      </w:r>
      <w:r w:rsidR="003F326D">
        <w:t>English and Irish law</w:t>
      </w:r>
      <w:r>
        <w:t xml:space="preserve"> meant that there was a risk that the new Irish precedents might be </w:t>
      </w:r>
      <w:r>
        <w:lastRenderedPageBreak/>
        <w:t xml:space="preserve">accepted as </w:t>
      </w:r>
      <w:r w:rsidR="003F326D">
        <w:t>authoritative by English courts. This added</w:t>
      </w:r>
      <w:r>
        <w:t xml:space="preserve"> impetus to the reaction against </w:t>
      </w:r>
      <w:r>
        <w:rPr>
          <w:i/>
        </w:rPr>
        <w:t xml:space="preserve">Stourton v. Stourton </w:t>
      </w:r>
      <w:r>
        <w:t xml:space="preserve">that was already developing in English courts. </w:t>
      </w:r>
      <w:r w:rsidR="00DD57EF">
        <w:t xml:space="preserve">The effects of union with Scotland were equally unsettling, as we shall see later. </w:t>
      </w:r>
      <w:r>
        <w:t xml:space="preserve">From this perspective, the </w:t>
      </w:r>
      <w:r w:rsidR="00973644">
        <w:t xml:space="preserve">famous </w:t>
      </w:r>
      <w:r w:rsidR="003520C6">
        <w:t>Agar-Ellis case</w:t>
      </w:r>
      <w:r>
        <w:t xml:space="preserve"> of 1878 </w:t>
      </w:r>
      <w:r w:rsidR="003520C6">
        <w:t>was</w:t>
      </w:r>
      <w:r>
        <w:t xml:space="preserve"> not a clear statement of a settled body of patriarchal law but rather the product of a conservative backlash. </w:t>
      </w:r>
    </w:p>
    <w:p w14:paraId="47ED4380" w14:textId="77777777" w:rsidR="0039029F" w:rsidRDefault="0039029F" w:rsidP="00551B01">
      <w:pPr>
        <w:pStyle w:val="Ben1"/>
      </w:pPr>
    </w:p>
    <w:p w14:paraId="1C35F519" w14:textId="71AEAEC2" w:rsidR="006D4BC0" w:rsidRPr="00B92C58" w:rsidRDefault="00096497" w:rsidP="00B92C58">
      <w:pPr>
        <w:pStyle w:val="Ben1"/>
        <w:jc w:val="center"/>
      </w:pPr>
      <w:r>
        <w:t>I</w:t>
      </w:r>
      <w:r w:rsidR="00B92C58">
        <w:t>V</w:t>
      </w:r>
    </w:p>
    <w:p w14:paraId="645DB893" w14:textId="77777777" w:rsidR="001112E8" w:rsidRDefault="001112E8" w:rsidP="0059768F">
      <w:pPr>
        <w:pStyle w:val="Ben1"/>
      </w:pPr>
    </w:p>
    <w:p w14:paraId="745AE8B6" w14:textId="1DF66B93" w:rsidR="00D11253" w:rsidRDefault="0004203C" w:rsidP="00832F8C">
      <w:pPr>
        <w:pStyle w:val="BodyTextIndent"/>
      </w:pPr>
      <w:r>
        <w:t xml:space="preserve">Let us now consider a second </w:t>
      </w:r>
      <w:r w:rsidR="00516D94">
        <w:t xml:space="preserve">way in which paternal rights were reconfigured by </w:t>
      </w:r>
      <w:r>
        <w:t>process</w:t>
      </w:r>
      <w:r w:rsidR="00516D94">
        <w:t>es</w:t>
      </w:r>
      <w:r>
        <w:t xml:space="preserve"> of state formation. </w:t>
      </w:r>
      <w:r w:rsidR="004B7E03">
        <w:t>The</w:t>
      </w:r>
      <w:r w:rsidR="00E375C3">
        <w:t xml:space="preserve"> most important reform of the juridical state in the nineteenth century was</w:t>
      </w:r>
      <w:r w:rsidR="004B7E03">
        <w:t xml:space="preserve"> 1873 Judicature Act</w:t>
      </w:r>
      <w:r w:rsidR="00E375C3">
        <w:t>, which</w:t>
      </w:r>
      <w:r w:rsidR="004B7E03">
        <w:t xml:space="preserve"> sought to abolish jurisdictional conflict by reorganising the various English courts as separate divisions of one Supreme Court, with a clear hierarchy of appeal to impose uniformity and consistency on the law.</w:t>
      </w:r>
      <w:r w:rsidR="004B7E03">
        <w:rPr>
          <w:rStyle w:val="FootnoteReference"/>
        </w:rPr>
        <w:footnoteReference w:id="82"/>
      </w:r>
      <w:r w:rsidR="004B7E03">
        <w:t xml:space="preserve"> Its greatest challenge was to effect a fusion of law and equity but, because equity and law had their own distinctive conceptual and procedural apparatuses, fusion did not proceed as smoothly as some had hoped.</w:t>
      </w:r>
      <w:r w:rsidR="004B7E03">
        <w:rPr>
          <w:rStyle w:val="FootnoteReference"/>
        </w:rPr>
        <w:footnoteReference w:id="83"/>
      </w:r>
      <w:r w:rsidR="004B7E03">
        <w:t xml:space="preserve"> The Judicature Act was more than a dry technical reform: it threatened a set of deeply-held professional identities, not least because equity lawyers feared that the numerical majority of common lawyers on the bench would endanger equity’s distinctive doctrines.</w:t>
      </w:r>
      <w:r w:rsidR="004B7E03">
        <w:rPr>
          <w:rStyle w:val="FootnoteReference"/>
        </w:rPr>
        <w:footnoteReference w:id="84"/>
      </w:r>
      <w:r w:rsidR="004B7E03">
        <w:t xml:space="preserve"> Common law judges, for their part, frequently viewed </w:t>
      </w:r>
      <w:r w:rsidR="004B7E03">
        <w:lastRenderedPageBreak/>
        <w:t>equity with suspicion</w:t>
      </w:r>
      <w:r w:rsidR="000F13F1">
        <w:t>,</w:t>
      </w:r>
      <w:r w:rsidR="004B7E03">
        <w:t xml:space="preserve"> if not outright hostility. The Judicature Act specifically stated that in ‘questions relating to the custody and education of infants the Rules of Equity shall prevail’.</w:t>
      </w:r>
      <w:r w:rsidR="004B7E03">
        <w:rPr>
          <w:rStyle w:val="FootnoteReference"/>
        </w:rPr>
        <w:footnoteReference w:id="85"/>
      </w:r>
      <w:r w:rsidR="004B7E03">
        <w:t xml:space="preserve"> This placed child custody law in the middle of the clash of legal cultures</w:t>
      </w:r>
      <w:r w:rsidR="00001444">
        <w:t>.</w:t>
      </w:r>
      <w:r w:rsidR="00F05485">
        <w:t xml:space="preserve"> </w:t>
      </w:r>
    </w:p>
    <w:p w14:paraId="089D7835" w14:textId="43A4F45C" w:rsidR="003520C6" w:rsidRDefault="00D11253" w:rsidP="00381DE0">
      <w:pPr>
        <w:pStyle w:val="Ben1"/>
      </w:pPr>
      <w:r>
        <w:t>As we shall see, t</w:t>
      </w:r>
      <w:r w:rsidR="00F05485">
        <w:t>he major battleground was once again litigation initiated by the Agar-Ellis family</w:t>
      </w:r>
      <w:r>
        <w:t>.</w:t>
      </w:r>
      <w:r w:rsidR="0093279F">
        <w:rPr>
          <w:rStyle w:val="FootnoteReference"/>
        </w:rPr>
        <w:footnoteReference w:id="86"/>
      </w:r>
      <w:r>
        <w:t xml:space="preserve"> I</w:t>
      </w:r>
      <w:r w:rsidR="00F05485">
        <w:t xml:space="preserve">n </w:t>
      </w:r>
      <w:r>
        <w:t>his judgement on the case</w:t>
      </w:r>
      <w:r w:rsidR="00F05485">
        <w:t xml:space="preserve"> </w:t>
      </w:r>
      <w:r>
        <w:t xml:space="preserve">that they brought in 1883, </w:t>
      </w:r>
      <w:r w:rsidR="00F05485">
        <w:t xml:space="preserve">the Master of the Rolls, William Baliol </w:t>
      </w:r>
      <w:r w:rsidR="00F05485" w:rsidRPr="00772721">
        <w:t>Brett</w:t>
      </w:r>
      <w:r>
        <w:rPr>
          <w:rStyle w:val="FootnoteReference"/>
        </w:rPr>
        <w:footnoteReference w:id="87"/>
      </w:r>
      <w:r w:rsidR="00F05485">
        <w:t xml:space="preserve">, </w:t>
      </w:r>
      <w:r>
        <w:t>launched</w:t>
      </w:r>
      <w:r w:rsidRPr="00D11253">
        <w:t xml:space="preserve"> </w:t>
      </w:r>
      <w:r>
        <w:t xml:space="preserve">a </w:t>
      </w:r>
      <w:r w:rsidR="00E375C3">
        <w:t>sustained</w:t>
      </w:r>
      <w:r>
        <w:t xml:space="preserve"> </w:t>
      </w:r>
      <w:r w:rsidR="00162957">
        <w:t>attack on</w:t>
      </w:r>
      <w:r>
        <w:t xml:space="preserve"> equity’s claim to be able to temper paternal privileges in the name of child welfare.</w:t>
      </w:r>
      <w:r w:rsidR="003520C6">
        <w:t xml:space="preserve"> </w:t>
      </w:r>
      <w:r w:rsidR="00E375C3">
        <w:t xml:space="preserve">Faced with </w:t>
      </w:r>
      <w:r w:rsidR="005E5CA3">
        <w:t>Brett’s</w:t>
      </w:r>
      <w:r w:rsidR="00E375C3">
        <w:t xml:space="preserve"> attempt to replace equity with common law procedures,</w:t>
      </w:r>
      <w:r w:rsidR="00202E88">
        <w:t xml:space="preserve"> equity judges </w:t>
      </w:r>
      <w:r w:rsidR="00E375C3">
        <w:t xml:space="preserve">responded by </w:t>
      </w:r>
      <w:r w:rsidR="00E31800">
        <w:t xml:space="preserve">forcefully </w:t>
      </w:r>
      <w:r w:rsidR="00202E88">
        <w:t>reassert</w:t>
      </w:r>
      <w:r w:rsidR="00E31800">
        <w:t>ing</w:t>
      </w:r>
      <w:r w:rsidR="00202E88">
        <w:t xml:space="preserve"> </w:t>
      </w:r>
      <w:r w:rsidR="005E5CA3">
        <w:t>their tradition’s</w:t>
      </w:r>
      <w:r w:rsidR="00202E88">
        <w:t xml:space="preserve"> most interventionist practices. </w:t>
      </w:r>
      <w:r w:rsidR="005E5CA3">
        <w:t>The severity of the Agar-</w:t>
      </w:r>
      <w:r w:rsidR="003D1DD7">
        <w:t>Ellis</w:t>
      </w:r>
      <w:r w:rsidR="005E5CA3">
        <w:t xml:space="preserve"> decision</w:t>
      </w:r>
      <w:r w:rsidR="00E31800">
        <w:t xml:space="preserve"> also</w:t>
      </w:r>
      <w:r w:rsidR="00202E88">
        <w:t xml:space="preserve"> prompted</w:t>
      </w:r>
      <w:r w:rsidR="00E31800">
        <w:t xml:space="preserve"> the women’s movement to campaign for </w:t>
      </w:r>
      <w:r w:rsidR="003D1DD7">
        <w:t xml:space="preserve">what became </w:t>
      </w:r>
      <w:r w:rsidR="00580B14">
        <w:t xml:space="preserve">the 1886 Guardianship of Infants Act. That act firmly established that courts ought to consider the welfare of children when adjudicating custody disputes – thus </w:t>
      </w:r>
      <w:r w:rsidR="00A26603">
        <w:t xml:space="preserve">bringing into statute law </w:t>
      </w:r>
      <w:r w:rsidR="00580B14">
        <w:t>the concept of child welfare that had been developed in cases on religious education.</w:t>
      </w:r>
      <w:r w:rsidR="00E31800" w:rsidRPr="00E31800">
        <w:t xml:space="preserve"> </w:t>
      </w:r>
      <w:r w:rsidR="00E31800">
        <w:t xml:space="preserve">The argument, then, is that paternal rights were repeatedly redefined as practitioners of common law and equity </w:t>
      </w:r>
      <w:r w:rsidR="000F13F1">
        <w:t>fought each other</w:t>
      </w:r>
      <w:r w:rsidR="00E31800">
        <w:t xml:space="preserve"> to shape the new legal order created by the Judicature Act.</w:t>
      </w:r>
      <w:r w:rsidR="004D373F">
        <w:t xml:space="preserve"> This section will examine </w:t>
      </w:r>
      <w:r w:rsidR="004807B5">
        <w:t xml:space="preserve">the path leading up to </w:t>
      </w:r>
      <w:r w:rsidR="004D373F">
        <w:t>Brett’s 1884 judgement; the following section will examine the backlash against it.</w:t>
      </w:r>
    </w:p>
    <w:p w14:paraId="4FA24E17" w14:textId="10A26FE4" w:rsidR="0004600F" w:rsidRDefault="00567562">
      <w:pPr>
        <w:pStyle w:val="Ben1"/>
      </w:pPr>
      <w:r>
        <w:t xml:space="preserve">Before proceeding with this argument, however, it is necessary to explain how equity had developed between the 1830s and 1870s, so that we may understand what Brett was attacking. </w:t>
      </w:r>
      <w:r w:rsidR="00D35A9B">
        <w:t xml:space="preserve">In </w:t>
      </w:r>
      <w:r w:rsidR="0004600F">
        <w:t>short</w:t>
      </w:r>
      <w:r w:rsidR="00D35A9B">
        <w:t xml:space="preserve">, </w:t>
      </w:r>
      <w:r w:rsidR="00E42DE4">
        <w:t xml:space="preserve">this period saw contests between two competing strands of equity </w:t>
      </w:r>
      <w:r w:rsidR="00686E1E">
        <w:t xml:space="preserve">– </w:t>
      </w:r>
      <w:r w:rsidR="0004600F">
        <w:t xml:space="preserve">a </w:t>
      </w:r>
      <w:r w:rsidR="00686E1E">
        <w:t xml:space="preserve">radical </w:t>
      </w:r>
      <w:r w:rsidR="0004600F">
        <w:t xml:space="preserve">strand which made paternal rights contingent on good behaviour as a husband, </w:t>
      </w:r>
      <w:r w:rsidR="00686E1E">
        <w:lastRenderedPageBreak/>
        <w:t xml:space="preserve">and </w:t>
      </w:r>
      <w:r w:rsidR="0004600F">
        <w:t>a</w:t>
      </w:r>
      <w:r w:rsidR="00686E1E">
        <w:t xml:space="preserve"> conservative </w:t>
      </w:r>
      <w:r w:rsidR="0004600F">
        <w:t>strand which saw spousal conduct as largely irrelevant to custody decisions.</w:t>
      </w:r>
      <w:r w:rsidR="00D35A9B">
        <w:t xml:space="preserve"> </w:t>
      </w:r>
      <w:r w:rsidR="0004600F">
        <w:t xml:space="preserve">Let us briefly consider the emergence, eclipse, and re-emergence of this radical doctrine equity. It was this trajectory that meant that, at precisely the moment when judges were </w:t>
      </w:r>
      <w:r w:rsidR="004C26E1">
        <w:t>faced with the task of fusing</w:t>
      </w:r>
      <w:r w:rsidR="0004600F">
        <w:t xml:space="preserve"> law and equity, the two seemed further apart than they had been </w:t>
      </w:r>
      <w:r w:rsidR="004C26E1">
        <w:t>for a</w:t>
      </w:r>
      <w:r w:rsidR="0004600F">
        <w:t xml:space="preserve"> century.</w:t>
      </w:r>
    </w:p>
    <w:p w14:paraId="0D25118E" w14:textId="47EB966B" w:rsidR="0004600F" w:rsidRDefault="00567562">
      <w:pPr>
        <w:pStyle w:val="Ben1"/>
      </w:pPr>
      <w:r>
        <w:t xml:space="preserve">As we have seen, in cases </w:t>
      </w:r>
      <w:r w:rsidR="00E42DE4">
        <w:t xml:space="preserve">not </w:t>
      </w:r>
      <w:r>
        <w:t>involving religion</w:t>
      </w:r>
      <w:r w:rsidR="00916085">
        <w:t>,</w:t>
      </w:r>
      <w:r>
        <w:t xml:space="preserve"> judges continued to </w:t>
      </w:r>
      <w:r w:rsidR="00E42DE4">
        <w:t>restrict paternal rights</w:t>
      </w:r>
      <w:r>
        <w:t xml:space="preserve"> only in cases of extreme parental misconduct against the children. Caroline Norton’s </w:t>
      </w:r>
      <w:r w:rsidR="00E42DE4">
        <w:t xml:space="preserve">famous </w:t>
      </w:r>
      <w:r>
        <w:t xml:space="preserve">campaign </w:t>
      </w:r>
      <w:r w:rsidR="00EA63CC">
        <w:t xml:space="preserve">against this injustice </w:t>
      </w:r>
      <w:r w:rsidR="00E42DE4">
        <w:t>resulted in</w:t>
      </w:r>
      <w:r>
        <w:t xml:space="preserve"> the 1839 </w:t>
      </w:r>
      <w:r w:rsidR="0004600F">
        <w:t>Custody of Infants Act</w:t>
      </w:r>
      <w:r w:rsidR="00EA63CC">
        <w:t>, which</w:t>
      </w:r>
      <w:r>
        <w:t xml:space="preserve"> allowed Chancery to award mothers custody of children aged under seven and access to children older than seven, provided that the mother was innocent of adultery.</w:t>
      </w:r>
      <w:r>
        <w:rPr>
          <w:rStyle w:val="FootnoteReference"/>
        </w:rPr>
        <w:footnoteReference w:id="88"/>
      </w:r>
      <w:r>
        <w:t xml:space="preserve"> In practice, as Danaya Wright has noted,</w:t>
      </w:r>
      <w:r w:rsidRPr="00CB0FB8">
        <w:t xml:space="preserve"> </w:t>
      </w:r>
      <w:r>
        <w:t>the initial judicial response to the Act was cautious.</w:t>
      </w:r>
      <w:r>
        <w:rPr>
          <w:rStyle w:val="FootnoteReference"/>
        </w:rPr>
        <w:footnoteReference w:id="89"/>
      </w:r>
      <w:r>
        <w:t xml:space="preserve"> </w:t>
      </w:r>
      <w:r w:rsidR="00043A34">
        <w:t>Eventually, however</w:t>
      </w:r>
      <w:r w:rsidR="0023060C">
        <w:t xml:space="preserve"> the Act</w:t>
      </w:r>
      <w:r>
        <w:t xml:space="preserve"> spur</w:t>
      </w:r>
      <w:r w:rsidR="0023060C">
        <w:t>red</w:t>
      </w:r>
      <w:r>
        <w:t xml:space="preserve"> </w:t>
      </w:r>
      <w:r w:rsidR="00043A34">
        <w:t xml:space="preserve">significant </w:t>
      </w:r>
      <w:r>
        <w:t>doctrinal innovation</w:t>
      </w:r>
      <w:r w:rsidR="0023060C">
        <w:t>. I</w:t>
      </w:r>
      <w:r>
        <w:t>n 1852, Vice Chancellor Turner</w:t>
      </w:r>
      <w:r>
        <w:rPr>
          <w:rStyle w:val="FootnoteReference"/>
        </w:rPr>
        <w:footnoteReference w:id="90"/>
      </w:r>
      <w:r>
        <w:t xml:space="preserve"> argued that the 1839 Act ‘connects the paternal right with the marital duty, and imposes the marital duty as the condition of recognising the paternal right.’</w:t>
      </w:r>
      <w:r>
        <w:rPr>
          <w:rStyle w:val="FootnoteReference"/>
        </w:rPr>
        <w:footnoteReference w:id="91"/>
      </w:r>
      <w:r w:rsidR="00EA63CC">
        <w:t xml:space="preserve"> Turner </w:t>
      </w:r>
      <w:r w:rsidR="00C23C8E">
        <w:t xml:space="preserve">placed the law on entirely new conceptual foundations by making </w:t>
      </w:r>
      <w:r w:rsidR="00EA63CC">
        <w:t>paternal rights contingent on the performance of one’s ‘marital duty’.</w:t>
      </w:r>
      <w:r>
        <w:t xml:space="preserve"> In fact, the text of the act said nothing about marital duty: this </w:t>
      </w:r>
      <w:r w:rsidR="003265C5">
        <w:t>radical</w:t>
      </w:r>
      <w:r>
        <w:t xml:space="preserve"> doctrine was entirely Turner’s invention. </w:t>
      </w:r>
      <w:r w:rsidR="003265C5">
        <w:t>Turner’s doctrine would be revived in the 1870s</w:t>
      </w:r>
      <w:r w:rsidR="00686E1E">
        <w:t>,</w:t>
      </w:r>
      <w:r w:rsidR="003265C5">
        <w:t xml:space="preserve"> but in the 1860s it was marginalised and ignored</w:t>
      </w:r>
      <w:r w:rsidR="00686E1E">
        <w:t xml:space="preserve"> as Chancery judges embraced more conservative </w:t>
      </w:r>
      <w:r w:rsidR="00DB6BAC">
        <w:t>positions</w:t>
      </w:r>
      <w:r w:rsidR="003265C5">
        <w:t xml:space="preserve">. </w:t>
      </w:r>
    </w:p>
    <w:p w14:paraId="2C80AB9A" w14:textId="0085EBB5" w:rsidR="00567562" w:rsidRDefault="0004600F">
      <w:pPr>
        <w:pStyle w:val="Ben1"/>
      </w:pPr>
      <w:r>
        <w:lastRenderedPageBreak/>
        <w:t xml:space="preserve">The </w:t>
      </w:r>
      <w:r w:rsidR="00861618">
        <w:t>eclipse of the doctrine of ‘marital duty’</w:t>
      </w:r>
      <w:r>
        <w:t xml:space="preserve"> was a response </w:t>
      </w:r>
      <w:r w:rsidR="00E31054">
        <w:t xml:space="preserve">to </w:t>
      </w:r>
      <w:r w:rsidR="00C81EE7">
        <w:t>the creation of t</w:t>
      </w:r>
      <w:r w:rsidR="00567562">
        <w:t>he Divorce Court</w:t>
      </w:r>
      <w:r w:rsidR="00E31054">
        <w:t xml:space="preserve"> in 1857</w:t>
      </w:r>
      <w:r w:rsidR="00C81EE7">
        <w:t xml:space="preserve">. The new court </w:t>
      </w:r>
      <w:r w:rsidR="00567562">
        <w:t>was intended to continue acting on ‘the Principles and Rules on which the Ecclesiastical Courts have hitherto acted’; but it was also given new powers to determine ‘the Custody, Maintenance, and Education of the Children’ of divorcing parents: here was a rival to Chancery’s traditional jurisdiction.</w:t>
      </w:r>
      <w:r w:rsidR="00567562">
        <w:rPr>
          <w:rStyle w:val="FootnoteReference"/>
        </w:rPr>
        <w:footnoteReference w:id="92"/>
      </w:r>
      <w:r w:rsidR="00567562">
        <w:t xml:space="preserve"> </w:t>
      </w:r>
      <w:r w:rsidR="00A21023">
        <w:t>As A. James Hammerton has shown, t</w:t>
      </w:r>
      <w:r w:rsidR="00567562">
        <w:t>he Divorce Court rapidly began to innovate – developing laws based on a model of marriage ‘which demanded restraint and forbearance from husbands.’</w:t>
      </w:r>
      <w:r w:rsidR="00567562">
        <w:rPr>
          <w:rStyle w:val="FootnoteReference"/>
        </w:rPr>
        <w:footnoteReference w:id="93"/>
      </w:r>
      <w:r w:rsidR="00567562">
        <w:t xml:space="preserve"> To this end, the court began to give mothers access to their children ‘in nearly all cases, even if they were partially to blame [for matrimonial breakdown], and custody in most cases in which they were in no way to blame.’</w:t>
      </w:r>
      <w:r w:rsidR="00567562">
        <w:rPr>
          <w:rStyle w:val="FootnoteReference"/>
        </w:rPr>
        <w:footnoteReference w:id="94"/>
      </w:r>
      <w:r w:rsidR="00567562">
        <w:t xml:space="preserve"> Inevitably, fathers who lost out in the Divorce Court turned to Chancery for redress</w:t>
      </w:r>
      <w:r w:rsidR="00C81EE7">
        <w:t>,</w:t>
      </w:r>
      <w:r w:rsidR="00567562">
        <w:t xml:space="preserve"> and</w:t>
      </w:r>
      <w:r w:rsidR="00C81EE7">
        <w:t xml:space="preserve"> the new court’s radicalism proved too much for the judges there.</w:t>
      </w:r>
      <w:r w:rsidR="00567562">
        <w:t xml:space="preserve"> </w:t>
      </w:r>
      <w:r w:rsidR="00DA6748">
        <w:t>A</w:t>
      </w:r>
      <w:r w:rsidR="00567562">
        <w:t>s Danaya Wright has shown, Chancery reacted by reasserting the older common law forfeiture standard.</w:t>
      </w:r>
      <w:r w:rsidR="00567562">
        <w:rPr>
          <w:rStyle w:val="FootnoteReference"/>
        </w:rPr>
        <w:footnoteReference w:id="95"/>
      </w:r>
      <w:r w:rsidR="00567562">
        <w:t xml:space="preserve"> Precedents suggesting that male behaviour might be constrained by ideas of marital duty were simply ignored.</w:t>
      </w:r>
    </w:p>
    <w:p w14:paraId="5F44060A" w14:textId="7EC03063" w:rsidR="00567562" w:rsidRDefault="00567562" w:rsidP="00567562">
      <w:pPr>
        <w:pStyle w:val="Ben1"/>
      </w:pPr>
      <w:r>
        <w:t xml:space="preserve">The reassertion of conservative doctrine in Chancery provided an obvious target for the women’s movement, and the result was the 1873 Custody of Infants Act, which allowed the High Court to grant custody or access to mothers of infants under 16, even </w:t>
      </w:r>
      <w:r>
        <w:lastRenderedPageBreak/>
        <w:t>when the mother had committed adultery.</w:t>
      </w:r>
      <w:r>
        <w:rPr>
          <w:rStyle w:val="FootnoteReference"/>
          <w:rFonts w:eastAsia="MS Mincho"/>
        </w:rPr>
        <w:footnoteReference w:id="96"/>
      </w:r>
      <w:r>
        <w:t xml:space="preserve"> But under what circumstances ought the court to do so?</w:t>
      </w:r>
      <w:r w:rsidRPr="001A285A">
        <w:t xml:space="preserve"> </w:t>
      </w:r>
      <w:r>
        <w:t>The question fell to Sir George Jessel who, in the context of growing public concern about the abuse of domestic authority, disinterred the concept of marital duty.</w:t>
      </w:r>
      <w:r>
        <w:rPr>
          <w:rStyle w:val="FootnoteReference"/>
          <w:rFonts w:eastAsia="MS Mincho"/>
        </w:rPr>
        <w:footnoteReference w:id="97"/>
      </w:r>
      <w:r>
        <w:t xml:space="preserve"> He was followed in 1883 by Sir John Pearson, and nine years later Lord Hobhouse could claim that ‘[f]or many years the tendency of legislative action and of judicial decision [has been] … to bring the marital duty of the husband and the welfare of the children into greater prominence; in both respects diminishing the powers accorded to the husband and the father.’</w:t>
      </w:r>
      <w:r>
        <w:rPr>
          <w:rStyle w:val="FootnoteReference"/>
          <w:rFonts w:eastAsia="MS Mincho"/>
        </w:rPr>
        <w:footnoteReference w:id="98"/>
      </w:r>
      <w:r>
        <w:t xml:space="preserve"> Once again, the law was rewritten as Hobhouse presented a picture of an unbroken tradition going back to Turner in 1852, and passing over in silence those cases that had dismissed the concept of marital duty in the intervening years. In this way, equity and common law began once again to diverge significantly</w:t>
      </w:r>
      <w:r w:rsidR="001C56DC">
        <w:t xml:space="preserve"> just as the Judicature Act attempted to fuse the two</w:t>
      </w:r>
      <w:r>
        <w:t>. It was in this context that Brett attempted to reassert common law against the pretensions of equity in 1883.</w:t>
      </w:r>
    </w:p>
    <w:p w14:paraId="0C23FC81" w14:textId="6D2D0D45" w:rsidR="0016686D" w:rsidRDefault="00697505" w:rsidP="0016686D">
      <w:pPr>
        <w:pStyle w:val="BodyTextIndent"/>
      </w:pPr>
      <w:r>
        <w:t xml:space="preserve">Brett’s judgement </w:t>
      </w:r>
      <w:r w:rsidR="00DD519E">
        <w:t xml:space="preserve">in the Agar-Ellis case </w:t>
      </w:r>
      <w:r>
        <w:t xml:space="preserve">was permeated by </w:t>
      </w:r>
      <w:r w:rsidR="008466F0">
        <w:t>hostility to equity’s</w:t>
      </w:r>
      <w:r w:rsidR="00861618">
        <w:t xml:space="preserve"> distinctive doctrines, and to its</w:t>
      </w:r>
      <w:r w:rsidR="008466F0">
        <w:t xml:space="preserve"> new ascendancy</w:t>
      </w:r>
      <w:r w:rsidR="00DD519E">
        <w:t xml:space="preserve"> following the Judicature Act</w:t>
      </w:r>
      <w:r w:rsidR="0016686D">
        <w:t xml:space="preserve">. Brett, who became Lord Esher in 1885, was a Tory </w:t>
      </w:r>
      <w:r w:rsidR="004E2FA5">
        <w:t xml:space="preserve">who </w:t>
      </w:r>
      <w:r w:rsidR="0016686D">
        <w:t>once complained that Sir George Jessel ‘had been sent to dragoon the Court of Appeal into substituting equity for Common Law, but that he and his common law colleagues would not have it’.</w:t>
      </w:r>
      <w:r w:rsidR="0016686D">
        <w:rPr>
          <w:rStyle w:val="FootnoteReference"/>
        </w:rPr>
        <w:footnoteReference w:id="99"/>
      </w:r>
      <w:r w:rsidR="0016686D">
        <w:t xml:space="preserve"> Indeed</w:t>
      </w:r>
      <w:r w:rsidR="008466F0">
        <w:t>,</w:t>
      </w:r>
      <w:r w:rsidR="0016686D">
        <w:t xml:space="preserve"> it was common to hear Jessel and Brett in the Court of Appeal ‘delivering themselves of long excursions on </w:t>
      </w:r>
      <w:r w:rsidR="0016686D">
        <w:lastRenderedPageBreak/>
        <w:t>law and equity not to but at one another’, while on one occasion Lord Justice James complained that in Brett he had a judge ignorant of equity in his court.</w:t>
      </w:r>
      <w:r w:rsidR="0016686D">
        <w:rPr>
          <w:rStyle w:val="FootnoteReference"/>
        </w:rPr>
        <w:footnoteReference w:id="100"/>
      </w:r>
      <w:r w:rsidR="0016686D">
        <w:t xml:space="preserve"> Patrick Polden has written that following the Judicature Act ‘Brett seems to have been instrumental in reasserting the dominance of common law.’</w:t>
      </w:r>
      <w:r w:rsidR="0016686D">
        <w:rPr>
          <w:rStyle w:val="FootnoteReference"/>
        </w:rPr>
        <w:footnoteReference w:id="101"/>
      </w:r>
      <w:r w:rsidR="00074C92">
        <w:t xml:space="preserve"> This makes him a significant, but usually neglected, figure in nineteenth-century gender politics.</w:t>
      </w:r>
    </w:p>
    <w:p w14:paraId="0195CA1A" w14:textId="67205488" w:rsidR="005C4673" w:rsidRDefault="00DD519E" w:rsidP="00E23781">
      <w:pPr>
        <w:pStyle w:val="BodyTextIndent"/>
      </w:pPr>
      <w:r>
        <w:t xml:space="preserve">The case before </w:t>
      </w:r>
      <w:r w:rsidR="00074C92">
        <w:t>him had been brought by</w:t>
      </w:r>
      <w:r>
        <w:t xml:space="preserve"> Harriet</w:t>
      </w:r>
      <w:r w:rsidRPr="001C6903">
        <w:t xml:space="preserve"> Agar-Ellis and her sixteen year old daughter</w:t>
      </w:r>
      <w:r>
        <w:t>, who</w:t>
      </w:r>
      <w:r w:rsidRPr="001C6903">
        <w:t xml:space="preserve"> petitioned the court asking that the </w:t>
      </w:r>
      <w:r>
        <w:t xml:space="preserve">girl </w:t>
      </w:r>
      <w:r w:rsidRPr="001C6903">
        <w:t>might be allowed to visit and spend her next vacation with her mother; and that the mother might be allowed free access to her daughter in the future.</w:t>
      </w:r>
      <w:r>
        <w:t xml:space="preserve"> Both proposals were opposed by Mr Agar-Ellis, who had restricted his daughter to one meeting with her mother a month, and who had insisted that all correspondence between the two should be read either by himself or a third party.</w:t>
      </w:r>
      <w:r>
        <w:rPr>
          <w:rStyle w:val="FootnoteReference"/>
        </w:rPr>
        <w:footnoteReference w:id="102"/>
      </w:r>
      <w:r>
        <w:t xml:space="preserve"> </w:t>
      </w:r>
      <w:r w:rsidR="0016686D">
        <w:t>The</w:t>
      </w:r>
      <w:r>
        <w:t xml:space="preserve"> legal</w:t>
      </w:r>
      <w:r w:rsidR="0016686D">
        <w:t xml:space="preserve"> </w:t>
      </w:r>
      <w:r w:rsidR="008466F0">
        <w:t>battle was joined over questions of procedure, with counsel for Mrs Agar-Ellis claim</w:t>
      </w:r>
      <w:r>
        <w:t>ing</w:t>
      </w:r>
      <w:r w:rsidR="008466F0">
        <w:t xml:space="preserve"> that </w:t>
      </w:r>
      <w:r w:rsidR="00777FDE">
        <w:t xml:space="preserve">the </w:t>
      </w:r>
      <w:r w:rsidR="0016686D">
        <w:t>Judicature Act allowed common law courts to exercise an equitable jurisdiction and make custody orders</w:t>
      </w:r>
      <w:r w:rsidR="008466F0">
        <w:t>, whereas in the past they would only have been able to issue a writ of habeas corpus.</w:t>
      </w:r>
      <w:r w:rsidR="0016686D">
        <w:t xml:space="preserve"> Brett rejected </w:t>
      </w:r>
      <w:r w:rsidR="00777FDE">
        <w:t>this</w:t>
      </w:r>
      <w:r w:rsidR="0016686D">
        <w:t xml:space="preserve"> claim </w:t>
      </w:r>
      <w:r w:rsidR="006242D7">
        <w:t xml:space="preserve">completely. </w:t>
      </w:r>
      <w:r w:rsidR="0016686D">
        <w:t xml:space="preserve">First, he </w:t>
      </w:r>
      <w:r w:rsidR="005D37F8">
        <w:t>insisted that</w:t>
      </w:r>
      <w:r w:rsidR="0016686D">
        <w:t xml:space="preserve"> </w:t>
      </w:r>
      <w:r w:rsidR="005D37F8">
        <w:t>courts of law and equity had always dealt with w</w:t>
      </w:r>
      <w:r w:rsidR="0016686D">
        <w:t>rits of habeas corpus in the same way. Second</w:t>
      </w:r>
      <w:r w:rsidR="00777FDE">
        <w:t>,</w:t>
      </w:r>
      <w:r w:rsidR="0016686D">
        <w:t xml:space="preserve"> he insisted that the court would only make custody orders in extreme cases. In effect he argu</w:t>
      </w:r>
      <w:r w:rsidR="005D37F8">
        <w:t>ed</w:t>
      </w:r>
      <w:r w:rsidR="0016686D">
        <w:t xml:space="preserve"> that courts should only exercise their equitable jurisdiction in the same circumstances that a common law court would refuse to</w:t>
      </w:r>
      <w:r w:rsidR="00777FDE">
        <w:t xml:space="preserve"> issue a writ of habeas corpus –</w:t>
      </w:r>
      <w:r w:rsidR="0016686D">
        <w:t xml:space="preserve"> that is to say in cases where there was extreme danger to the health or morals of the child. Third, he tried to limit cases where a court could interfere with paternal rights to cases where the </w:t>
      </w:r>
      <w:r w:rsidR="0016686D">
        <w:lastRenderedPageBreak/>
        <w:t xml:space="preserve">child </w:t>
      </w:r>
      <w:r w:rsidR="006242D7">
        <w:t>had been made</w:t>
      </w:r>
      <w:r w:rsidR="0016686D" w:rsidRPr="00820D60">
        <w:t xml:space="preserve"> a ward of Court</w:t>
      </w:r>
      <w:r w:rsidR="006242D7">
        <w:t xml:space="preserve"> – an expensive procedure</w:t>
      </w:r>
      <w:r w:rsidR="00F4757C">
        <w:t>.</w:t>
      </w:r>
      <w:r w:rsidR="00777FDE">
        <w:rPr>
          <w:rStyle w:val="FootnoteReference"/>
        </w:rPr>
        <w:footnoteReference w:id="103"/>
      </w:r>
      <w:r w:rsidR="0016686D">
        <w:t xml:space="preserve"> In effect</w:t>
      </w:r>
      <w:r w:rsidR="00777FDE">
        <w:t>,</w:t>
      </w:r>
      <w:r w:rsidR="0016686D">
        <w:t xml:space="preserve"> Brett interpret</w:t>
      </w:r>
      <w:r w:rsidR="005D37F8">
        <w:t>ed</w:t>
      </w:r>
      <w:r w:rsidR="0016686D">
        <w:t xml:space="preserve"> equity’s jurisdiction so narrowly that it would only intrude on the common law</w:t>
      </w:r>
      <w:r w:rsidR="00777FDE">
        <w:t xml:space="preserve"> in the most exceptional cases</w:t>
      </w:r>
      <w:r w:rsidR="0016686D">
        <w:t xml:space="preserve">. </w:t>
      </w:r>
      <w:r w:rsidR="006242D7">
        <w:t>There was no scope here to consider doctrines like marital duty: this was</w:t>
      </w:r>
      <w:r w:rsidR="0016686D">
        <w:t xml:space="preserve"> a common law view of how the law should operate after the Judicature Act.</w:t>
      </w:r>
      <w:r w:rsidR="009C77EC">
        <w:t xml:space="preserve"> The effect of this interpretation was to</w:t>
      </w:r>
      <w:r w:rsidR="00542BE1">
        <w:t xml:space="preserve"> protect </w:t>
      </w:r>
      <w:r w:rsidR="009C77EC">
        <w:t xml:space="preserve">paternal decision-making </w:t>
      </w:r>
      <w:r w:rsidR="00542BE1">
        <w:t xml:space="preserve">from judicial oversight </w:t>
      </w:r>
      <w:r w:rsidR="009C77EC">
        <w:t xml:space="preserve">in any but the most </w:t>
      </w:r>
      <w:r w:rsidR="007300CD">
        <w:t>serious</w:t>
      </w:r>
      <w:r w:rsidR="009C77EC">
        <w:t xml:space="preserve"> instances</w:t>
      </w:r>
      <w:r w:rsidR="00542BE1">
        <w:t xml:space="preserve"> of abuse</w:t>
      </w:r>
      <w:r w:rsidR="00F4757C">
        <w:t>.</w:t>
      </w:r>
      <w:r w:rsidR="00E23781">
        <w:t xml:space="preserve"> </w:t>
      </w:r>
      <w:r w:rsidR="0076176A">
        <w:t xml:space="preserve">In this case then, the vigorous assertion of patriarchal privilege by the judiciary was a direct </w:t>
      </w:r>
      <w:r w:rsidR="00192B97">
        <w:t>response to</w:t>
      </w:r>
      <w:r w:rsidR="0076176A">
        <w:t xml:space="preserve"> the attempt to </w:t>
      </w:r>
      <w:r w:rsidR="00E23781">
        <w:t>unify</w:t>
      </w:r>
      <w:r w:rsidR="0076176A">
        <w:t xml:space="preserve"> the many different bodies of law operating in the UK</w:t>
      </w:r>
      <w:r w:rsidR="00CB3D42">
        <w:t>.</w:t>
      </w:r>
      <w:r w:rsidR="000F13F1">
        <w:t xml:space="preserve"> The result was a startlingly </w:t>
      </w:r>
      <w:r w:rsidR="008726A6">
        <w:t>patriarchal</w:t>
      </w:r>
      <w:r w:rsidR="000F13F1">
        <w:t xml:space="preserve"> vision of paternal rights.</w:t>
      </w:r>
    </w:p>
    <w:p w14:paraId="500E7389" w14:textId="77777777" w:rsidR="00777FDE" w:rsidRDefault="00777FDE" w:rsidP="0016686D">
      <w:pPr>
        <w:pStyle w:val="BodyTextIndent"/>
      </w:pPr>
    </w:p>
    <w:p w14:paraId="707FAA17" w14:textId="5E57C2EA" w:rsidR="00E77A2C" w:rsidRPr="00B92C58" w:rsidRDefault="00B92C58" w:rsidP="00B92C58">
      <w:pPr>
        <w:pStyle w:val="BodyTextIndent"/>
        <w:jc w:val="center"/>
      </w:pPr>
      <w:r>
        <w:t>V</w:t>
      </w:r>
    </w:p>
    <w:p w14:paraId="0D9ED0FC" w14:textId="77777777" w:rsidR="00E77A2C" w:rsidRDefault="00E77A2C" w:rsidP="0016686D">
      <w:pPr>
        <w:pStyle w:val="BodyTextIndent"/>
        <w:rPr>
          <w:u w:val="single"/>
        </w:rPr>
      </w:pPr>
    </w:p>
    <w:p w14:paraId="1935AA04" w14:textId="70D0C764" w:rsidR="004419D5" w:rsidRDefault="00691238" w:rsidP="007762D5">
      <w:pPr>
        <w:pStyle w:val="BodyTextIndent"/>
      </w:pPr>
      <w:r>
        <w:t xml:space="preserve">The 1883 Agar-Ellis case is frequently cited in textbooks as a definitive statement of patriarchal law in the nineteenth century, but it was no such thing: the law that Brett thought he had settled soon began to unravel, creating a </w:t>
      </w:r>
      <w:r w:rsidR="000F13F1">
        <w:t>more flexible</w:t>
      </w:r>
      <w:r>
        <w:t xml:space="preserve"> legal regime of paternal rights</w:t>
      </w:r>
      <w:r w:rsidR="006A45D3">
        <w:t xml:space="preserve"> that endured well into the third quarter of the twentieth century</w:t>
      </w:r>
      <w:r>
        <w:t>.</w:t>
      </w:r>
      <w:r w:rsidR="0079415B" w:rsidRPr="00774D23">
        <w:rPr>
          <w:rStyle w:val="FootnoteReference"/>
        </w:rPr>
        <w:footnoteReference w:id="104"/>
      </w:r>
      <w:r w:rsidR="006A45D3">
        <w:t xml:space="preserve"> The assault on Brett’s work came from two directions:</w:t>
      </w:r>
      <w:r w:rsidR="00CD5A7B">
        <w:t xml:space="preserve"> the</w:t>
      </w:r>
      <w:r w:rsidR="006A45D3">
        <w:t xml:space="preserve"> politicians </w:t>
      </w:r>
      <w:r w:rsidR="00CD5A7B">
        <w:t>who passed the 1886 Guardianship of Infants Act</w:t>
      </w:r>
      <w:r w:rsidR="006A45D3">
        <w:t>, and equity judges anxious to push back against Brett’s attempt to substitute law for equity. Each of these developments illustrate</w:t>
      </w:r>
      <w:r w:rsidR="00586A81">
        <w:t xml:space="preserve"> the two processes o</w:t>
      </w:r>
      <w:r w:rsidR="004419D5">
        <w:t xml:space="preserve">f state formation described </w:t>
      </w:r>
      <w:r w:rsidR="00ED264A">
        <w:t>above</w:t>
      </w:r>
      <w:r w:rsidR="006A45D3">
        <w:t>.</w:t>
      </w:r>
      <w:r w:rsidR="004419D5">
        <w:t xml:space="preserve"> In the first case, </w:t>
      </w:r>
      <w:r w:rsidR="006A45D3">
        <w:t>the ambition to harmonise</w:t>
      </w:r>
      <w:r w:rsidR="004419D5">
        <w:t xml:space="preserve"> English and Scottish law provided political cover for reluctant reformers to </w:t>
      </w:r>
      <w:r w:rsidR="006A45D3">
        <w:t xml:space="preserve">support the 1886 Guardianship of </w:t>
      </w:r>
      <w:r w:rsidR="006A45D3">
        <w:lastRenderedPageBreak/>
        <w:t>Infants Act</w:t>
      </w:r>
      <w:r w:rsidR="004419D5">
        <w:t xml:space="preserve">. In the second case, </w:t>
      </w:r>
      <w:r w:rsidR="00477E64">
        <w:t xml:space="preserve">it was a desire to defend equity’s procedures that led judges </w:t>
      </w:r>
      <w:r w:rsidR="004419D5">
        <w:t>to</w:t>
      </w:r>
      <w:r w:rsidR="00477E64">
        <w:t xml:space="preserve"> dismantle the law articulated by</w:t>
      </w:r>
      <w:r w:rsidR="004419D5">
        <w:t xml:space="preserve"> Brett in 1883.</w:t>
      </w:r>
    </w:p>
    <w:p w14:paraId="205FE897" w14:textId="77777777" w:rsidR="00A10363" w:rsidRDefault="00A10363" w:rsidP="00A10363">
      <w:pPr>
        <w:pStyle w:val="BodyTextIndent"/>
      </w:pPr>
      <w:r>
        <w:t>The Agar-Ellis case was one of the factors that motivated Elizabeth Wolstenholme Elmy to initiate an organised campaign to reform the child custody laws by giving mothers the same legal rights as fathers.</w:t>
      </w:r>
      <w:r>
        <w:rPr>
          <w:rStyle w:val="FootnoteReference"/>
        </w:rPr>
        <w:footnoteReference w:id="105"/>
      </w:r>
      <w:r>
        <w:t xml:space="preserve"> The eventual fruits of this were the 1886 Guardianship of Infants Act, which failed to implement spousal equality, but which innovated by specifying ‘the welfare of the infant’ as something that judges ought to take into consideration when making custody orders. The history of this measure has been examined elsewhere: here it is sufficient merely to note that the jurisdictional complexity of the British state played an important role in the legislative process.</w:t>
      </w:r>
      <w:r>
        <w:rPr>
          <w:rStyle w:val="FootnoteReference"/>
        </w:rPr>
        <w:footnoteReference w:id="106"/>
      </w:r>
      <w:r>
        <w:t xml:space="preserve"> During the course of the debates both inside and outside parliament, advocates of reform, who wished to minimise suggestions that the bill embodied ‘feminist’ principles, chose to present the bill as animated by a desire to remedy the harshness of Scottish law by bringing it into line with English practice.</w:t>
      </w:r>
      <w:r>
        <w:rPr>
          <w:rStyle w:val="FootnoteReference"/>
        </w:rPr>
        <w:footnoteReference w:id="107"/>
      </w:r>
    </w:p>
    <w:p w14:paraId="1A6A9BE2" w14:textId="77777777" w:rsidR="00A10363" w:rsidRDefault="00A10363" w:rsidP="00A10363">
      <w:pPr>
        <w:pStyle w:val="BodyTextIndent"/>
      </w:pPr>
      <w:r>
        <w:t>The essential problem was that Scottish laws on marriage and divorce were significantly different to those in England. These differences had, in the eighteenth century, famously created incentives for English couples to elope to Scotland, while the fact that divorce was more easily available under Scottish law than English law meant that people divorced in Scotland could be prosecuted for bigamy if they remarried in England.</w:t>
      </w:r>
      <w:r>
        <w:rPr>
          <w:rStyle w:val="FootnoteReference"/>
        </w:rPr>
        <w:footnoteReference w:id="108"/>
      </w:r>
      <w:r>
        <w:t xml:space="preserve"> This </w:t>
      </w:r>
      <w:r>
        <w:lastRenderedPageBreak/>
        <w:t>latter problem was only finally resolved by the House of Lords in 1881, with Lords Selborne and Watson arguing that the relations between the laws of England and Scotland should be governed by</w:t>
      </w:r>
      <w:r w:rsidRPr="00594E42">
        <w:t xml:space="preserve"> </w:t>
      </w:r>
      <w:r>
        <w:t>‘</w:t>
      </w:r>
      <w:r w:rsidRPr="00594E42">
        <w:t>the principles of private international law</w:t>
      </w:r>
      <w:r>
        <w:t>’ – a striking way of ordering relations between constituent parts of the same polity.</w:t>
      </w:r>
      <w:r>
        <w:rPr>
          <w:rStyle w:val="FootnoteReference"/>
        </w:rPr>
        <w:footnoteReference w:id="109"/>
      </w:r>
      <w:r>
        <w:t xml:space="preserve"> The need to minimise differences between Scottish law and English law were a major reason for the creation of the English Divorce Court.</w:t>
      </w:r>
      <w:r w:rsidRPr="00BD5DAE">
        <w:rPr>
          <w:rStyle w:val="FootnoteReference"/>
        </w:rPr>
        <w:footnoteReference w:id="110"/>
      </w:r>
      <w:r w:rsidRPr="00BA2E02">
        <w:t xml:space="preserve"> </w:t>
      </w:r>
      <w:r>
        <w:t>T</w:t>
      </w:r>
      <w:r w:rsidRPr="00BA2E02">
        <w:t>h</w:t>
      </w:r>
      <w:r>
        <w:t>at</w:t>
      </w:r>
      <w:r w:rsidRPr="00BA2E02">
        <w:t xml:space="preserve"> court was given new powers</w:t>
      </w:r>
      <w:r>
        <w:t xml:space="preserve"> to</w:t>
      </w:r>
      <w:r w:rsidRPr="00BA2E02">
        <w:t xml:space="preserve"> determine the </w:t>
      </w:r>
      <w:r>
        <w:t>c</w:t>
      </w:r>
      <w:r w:rsidRPr="00BA2E02">
        <w:t xml:space="preserve">ustody, </w:t>
      </w:r>
      <w:r>
        <w:t>m</w:t>
      </w:r>
      <w:r w:rsidRPr="00BA2E02">
        <w:t xml:space="preserve">aintenance, and </w:t>
      </w:r>
      <w:r>
        <w:t>e</w:t>
      </w:r>
      <w:r w:rsidRPr="00BA2E02">
        <w:t xml:space="preserve">ducation of the </w:t>
      </w:r>
      <w:r>
        <w:t>c</w:t>
      </w:r>
      <w:r w:rsidRPr="00BA2E02">
        <w:t>hildren of divorcing parents</w:t>
      </w:r>
      <w:r>
        <w:t>, and in order to minimise conflicts with Scottish law, many of these new provisions were extended to the Scottish courts in 1861.</w:t>
      </w:r>
      <w:r>
        <w:rPr>
          <w:rStyle w:val="FootnoteReference"/>
        </w:rPr>
        <w:footnoteReference w:id="111"/>
      </w:r>
      <w:r>
        <w:t xml:space="preserve"> The opportunity to harmonise the law was lost, however, as the judges on both sides of the border began to interpret their new powers in very different ways. We have seen that the English divorce court began routinely to award custody of children to </w:t>
      </w:r>
      <w:r>
        <w:lastRenderedPageBreak/>
        <w:t>wronged wives, but Scottish judges continued to insist that there should be some direct physical or moral injury to the children before interfering with paternal rights.</w:t>
      </w:r>
      <w:r>
        <w:rPr>
          <w:rStyle w:val="FootnoteReference"/>
        </w:rPr>
        <w:footnoteReference w:id="112"/>
      </w:r>
    </w:p>
    <w:p w14:paraId="06EAFB55" w14:textId="77777777" w:rsidR="00A10363" w:rsidRDefault="00A10363" w:rsidP="00A10363">
      <w:pPr>
        <w:pStyle w:val="BodyTextIndent"/>
      </w:pPr>
      <w:r>
        <w:t>Supporters of the Guardianship of Infants Bill made the need to address this divergence one of their central arguments. The sponsor of the bill, James Bryce, was just one of those who told the House of Commons that ‘Scotch law was somewhat harsher than English’ because in the eyes of Scottish judges ‘cruelty and brutality on the part of a husband [towards his wife] were no reasons for taking the custody of children from him, and giving them to the wife.’</w:t>
      </w:r>
      <w:r>
        <w:rPr>
          <w:rStyle w:val="FootnoteReference"/>
        </w:rPr>
        <w:footnoteReference w:id="113"/>
      </w:r>
      <w:r>
        <w:t xml:space="preserve"> In this narrative the bill was no longer a dramatic extension of judicial discretion when deciding child custody cases; it was a statutory invitation for Scottish judges to behave more like English judges. This rhetorical strategy helped to create a consensus that reform was needed, but it was misdirection. It is clear from the writings of the extraparliamentary reform campaign that the real target of the bill was the English law articulated in the Agar-Ellis case in 1883. But it was far easier, and much less contentious, to present the bill as seeking to bring Scottish law into conformity with English practice than to confront directly the principle of paternal supremacy. </w:t>
      </w:r>
    </w:p>
    <w:p w14:paraId="7FB89144" w14:textId="77777777" w:rsidR="00A10363" w:rsidRDefault="00A10363" w:rsidP="00A10363">
      <w:pPr>
        <w:pStyle w:val="BodyTextIndent"/>
      </w:pPr>
      <w:r>
        <w:t>Few MPs were prepared to support the idea of spousal equality, so they were only willing to pass the 1886 Infants Act because they believed that judges would continue to interpret the law in a manner consistent with traditional paternal privileges.</w:t>
      </w:r>
      <w:r>
        <w:rPr>
          <w:rStyle w:val="FootnoteReference"/>
        </w:rPr>
        <w:footnoteReference w:id="114"/>
      </w:r>
      <w:r>
        <w:t xml:space="preserve"> This assumption seemed reasonable given the recent decisions in the 1878 and 1883 Agar-Ellis cases, but it proved misplaced because, in the decade that followed, equity judges responded to Brett’s common law approach to custody law by reasserting those elements </w:t>
      </w:r>
      <w:r>
        <w:lastRenderedPageBreak/>
        <w:t xml:space="preserve">of the equitable tradition that were most distinctive. This had the effect of shifting law reform in a direction more favourable to women and children by placing greater constraints on paternal rights. </w:t>
      </w:r>
    </w:p>
    <w:p w14:paraId="66A9D00B" w14:textId="77777777" w:rsidR="00A10363" w:rsidRDefault="00A10363" w:rsidP="00A10363">
      <w:pPr>
        <w:pStyle w:val="BodyTextIndent"/>
      </w:pPr>
      <w:r>
        <w:t>The first blow against Brett’s doctrine came in 1892, when Sir Ford North found Brett’s proposition that the court could only interfere if the children in question were wards of court ‘wholly unsupported by either principle or authority’. His decision was upheld on appeal by Lord Justice Lindley, who adopted an expansive view of how and when a court could interfere with paternal rights.</w:t>
      </w:r>
      <w:r>
        <w:rPr>
          <w:rStyle w:val="FootnoteReference"/>
        </w:rPr>
        <w:footnoteReference w:id="115"/>
      </w:r>
      <w:r>
        <w:t xml:space="preserve"> Both North and Lindley were champions of equity: the former was described by his obituarist as ‘an admirable specimen of the old-fashioned Chancery lawyer’ who had been elevated to the common law bench to promote the project of fusing law and equity.</w:t>
      </w:r>
      <w:r>
        <w:rPr>
          <w:rStyle w:val="FootnoteReference"/>
        </w:rPr>
        <w:footnoteReference w:id="116"/>
      </w:r>
      <w:r>
        <w:t xml:space="preserve"> Lindley was an equity lawyer who in 1875 had</w:t>
      </w:r>
      <w:r w:rsidRPr="00D37419">
        <w:t xml:space="preserve"> </w:t>
      </w:r>
      <w:r>
        <w:t>been appointed to a common law judgeship – a move interpreted by contemporaries as reflecting the preference given to equity by the Judicature Acts.</w:t>
      </w:r>
    </w:p>
    <w:p w14:paraId="41434A00" w14:textId="1BB1545B" w:rsidR="00A10363" w:rsidRDefault="00A10363" w:rsidP="00A10363">
      <w:pPr>
        <w:pStyle w:val="BodyTextIndent"/>
      </w:pPr>
      <w:r>
        <w:t xml:space="preserve">The climax of this equitable backlash came with </w:t>
      </w:r>
      <w:r>
        <w:rPr>
          <w:i/>
        </w:rPr>
        <w:t>R</w:t>
      </w:r>
      <w:r w:rsidRPr="00397E07">
        <w:rPr>
          <w:i/>
        </w:rPr>
        <w:t>. v. Gyngall</w:t>
      </w:r>
      <w:r>
        <w:t xml:space="preserve"> in 1893, in which a Catholic mother tried to recover custody of her Protestant daughter from third parties. The case was heard on appeal by Sir Edward Kay</w:t>
      </w:r>
      <w:r>
        <w:rPr>
          <w:rStyle w:val="FootnoteReference"/>
        </w:rPr>
        <w:footnoteReference w:id="117"/>
      </w:r>
      <w:r>
        <w:t xml:space="preserve">, a tough-minded equity lawyer, and Brett himself – now Lord Esher. Throughout their argument the mother’s lawyers </w:t>
      </w:r>
      <w:r w:rsidR="006D432B">
        <w:t xml:space="preserve">followed </w:t>
      </w:r>
      <w:r>
        <w:t xml:space="preserve">Esher’s </w:t>
      </w:r>
      <w:r w:rsidR="006D432B">
        <w:t xml:space="preserve">reasoning in the </w:t>
      </w:r>
      <w:r>
        <w:t>Agar-Ellis judgement precisely</w:t>
      </w:r>
      <w:r w:rsidR="006D432B">
        <w:t>.</w:t>
      </w:r>
      <w:r>
        <w:t xml:space="preserve"> </w:t>
      </w:r>
      <w:r w:rsidR="006D432B">
        <w:t>T</w:t>
      </w:r>
      <w:r>
        <w:t>hey argued that ‘The Court cannot … take the child away from the parent merely because the child will be socially or physically, or even morally or religiously, better off, in the absence of misconduct by the parent.’</w:t>
      </w:r>
      <w:r>
        <w:rPr>
          <w:rStyle w:val="FootnoteReference"/>
        </w:rPr>
        <w:footnoteReference w:id="118"/>
      </w:r>
      <w:r>
        <w:t xml:space="preserve"> Kay responded with a series of pointed rebukes to Esher, insisting that Chancery </w:t>
      </w:r>
      <w:r>
        <w:lastRenderedPageBreak/>
        <w:t>could exercise ‘a parental jurisdiction in control of the parent’s rights.’</w:t>
      </w:r>
      <w:r>
        <w:rPr>
          <w:rStyle w:val="FootnoteReference"/>
        </w:rPr>
        <w:footnoteReference w:id="119"/>
      </w:r>
      <w:r>
        <w:t xml:space="preserve"> </w:t>
      </w:r>
      <w:r w:rsidR="006D432B">
        <w:t>He</w:t>
      </w:r>
      <w:r>
        <w:t xml:space="preserve"> followed the eighteenth-century Lord Thurlow in insisting that ‘he would not suffer the feelings of the parents to have effect against that duty, which upon a tender, just, and legitimate deliberation the parent owed to the true interests of the child’. The essence of the jurisdiction then was ‘the benefit or welfare of the child’</w:t>
      </w:r>
      <w:r>
        <w:softHyphen/>
        <w:t xml:space="preserve"> – a term which ‘must be read in its largest possible sense.’</w:t>
      </w:r>
      <w:r>
        <w:rPr>
          <w:rStyle w:val="FootnoteReference"/>
        </w:rPr>
        <w:footnoteReference w:id="120"/>
      </w:r>
      <w:r>
        <w:t xml:space="preserve"> The court’s right to overrule fathers’ decisions was set out here in dramatic fashion, and formed a stark contrast with Esher’s earlier emphasis on ‘sacred’ paternal rights.</w:t>
      </w:r>
      <w:r w:rsidR="006D432B">
        <w:t xml:space="preserve"> </w:t>
      </w:r>
      <w:r>
        <w:t>In the face of this opposition, Esher retreated. He reinterpret</w:t>
      </w:r>
      <w:r w:rsidR="006D432B">
        <w:t>ed</w:t>
      </w:r>
      <w:r>
        <w:t xml:space="preserve"> many of his earlier technical claims about the court’s jurisdiction and acknowledged that</w:t>
      </w:r>
      <w:r w:rsidRPr="00E44A7B">
        <w:t xml:space="preserve"> </w:t>
      </w:r>
      <w:r w:rsidR="006D432B">
        <w:t>t</w:t>
      </w:r>
      <w:r>
        <w:t>he court, he now said, ‘is placed in a position by reason of the prerogative of the Crown to act as supreme parent of children, and must exercise that jurisdiction in the manner in which a wise, affectionate, and careful parent would act for the welfare of the child.’</w:t>
      </w:r>
      <w:r>
        <w:rPr>
          <w:rStyle w:val="FootnoteReference"/>
        </w:rPr>
        <w:footnoteReference w:id="121"/>
      </w:r>
      <w:r>
        <w:t xml:space="preserve"> His u-turn was sufficiently dramatic for Lindley to draw attention to it a year later: following the Judicature Act</w:t>
      </w:r>
      <w:r w:rsidR="00D300C8">
        <w:t>, he said,</w:t>
      </w:r>
      <w:r>
        <w:t xml:space="preserve"> the court was now bound to consider ‘something more than the strict rights of fathers’.</w:t>
      </w:r>
      <w:r>
        <w:rPr>
          <w:rStyle w:val="FootnoteReference"/>
        </w:rPr>
        <w:footnoteReference w:id="122"/>
      </w:r>
    </w:p>
    <w:p w14:paraId="3C97122C" w14:textId="2F7423C7" w:rsidR="00D12226" w:rsidRDefault="00D12226" w:rsidP="0016686D">
      <w:pPr>
        <w:pStyle w:val="BodyTextIndent"/>
      </w:pPr>
      <w:r>
        <w:t xml:space="preserve">What had emerged in the decade after </w:t>
      </w:r>
      <w:r>
        <w:rPr>
          <w:i/>
        </w:rPr>
        <w:t>In re Agar-Ellis</w:t>
      </w:r>
      <w:r>
        <w:t xml:space="preserve"> was a constellation of law that would shape the gender order</w:t>
      </w:r>
      <w:r w:rsidR="00A03B2B">
        <w:t xml:space="preserve"> </w:t>
      </w:r>
      <w:r w:rsidR="005A413A">
        <w:t>until the achievement of parental equality in 1973</w:t>
      </w:r>
      <w:r>
        <w:t>.</w:t>
      </w:r>
      <w:r w:rsidR="0024264D">
        <w:rPr>
          <w:rStyle w:val="FootnoteReference"/>
        </w:rPr>
        <w:footnoteReference w:id="123"/>
      </w:r>
      <w:r>
        <w:t xml:space="preserve"> </w:t>
      </w:r>
      <w:r w:rsidR="00E70253">
        <w:t xml:space="preserve">The </w:t>
      </w:r>
      <w:r w:rsidR="00687E95">
        <w:t>opposition to</w:t>
      </w:r>
      <w:r w:rsidR="00F61C12" w:rsidRPr="00F61C12">
        <w:rPr>
          <w:i/>
        </w:rPr>
        <w:t xml:space="preserve"> </w:t>
      </w:r>
      <w:r w:rsidR="00F61C12">
        <w:rPr>
          <w:i/>
        </w:rPr>
        <w:t xml:space="preserve">Stourton v. Stourton </w:t>
      </w:r>
      <w:r w:rsidR="00F61C12">
        <w:t xml:space="preserve">had withered away, and </w:t>
      </w:r>
      <w:r w:rsidR="00DF4CFE">
        <w:t xml:space="preserve">by </w:t>
      </w:r>
      <w:r w:rsidR="00F61C12">
        <w:t>the</w:t>
      </w:r>
      <w:r w:rsidR="00DF4CFE">
        <w:t xml:space="preserve"> early twentieth </w:t>
      </w:r>
      <w:r w:rsidR="00DF4CFE">
        <w:lastRenderedPageBreak/>
        <w:t>century</w:t>
      </w:r>
      <w:r w:rsidR="00F61C12">
        <w:t xml:space="preserve"> </w:t>
      </w:r>
      <w:r w:rsidR="00E70253">
        <w:t>the principles set out in</w:t>
      </w:r>
      <w:r w:rsidR="00687E95">
        <w:t xml:space="preserve"> that case</w:t>
      </w:r>
      <w:r w:rsidR="00E70253">
        <w:t xml:space="preserve"> had become the norm.</w:t>
      </w:r>
      <w:r w:rsidR="00E70253">
        <w:rPr>
          <w:rStyle w:val="FootnoteReference"/>
        </w:rPr>
        <w:footnoteReference w:id="124"/>
      </w:r>
      <w:r w:rsidR="00E70253">
        <w:t xml:space="preserve"> </w:t>
      </w:r>
      <w:r>
        <w:t>‘The welfare of the child’ had developed from a dead letter into a substantial legal concept in the cases on religious education</w:t>
      </w:r>
      <w:r w:rsidR="005D6E56">
        <w:t>. T</w:t>
      </w:r>
      <w:r w:rsidR="009A0AD7">
        <w:t xml:space="preserve">he </w:t>
      </w:r>
      <w:r w:rsidR="005D6E56">
        <w:t>1886 Guardianship of Infants Act</w:t>
      </w:r>
      <w:r w:rsidR="005D6E56" w:rsidRPr="005D6E56">
        <w:t xml:space="preserve"> </w:t>
      </w:r>
      <w:r w:rsidR="005D6E56">
        <w:t>placed this concept at the heart of judicial practice by specifying that, when making custody or access orders, the court should have regard to ‘the welfare of the infant, and to the conduct of the parents, and to the wishes as well of the mother as of the father’.</w:t>
      </w:r>
      <w:r w:rsidR="005D6E56">
        <w:rPr>
          <w:rStyle w:val="FootnoteReference"/>
        </w:rPr>
        <w:footnoteReference w:id="125"/>
      </w:r>
      <w:r w:rsidR="005D6E56">
        <w:t xml:space="preserve"> Had judges interpreted this </w:t>
      </w:r>
      <w:r w:rsidR="004169B8">
        <w:t xml:space="preserve">provision </w:t>
      </w:r>
      <w:r w:rsidR="00524948">
        <w:t>according to the doctrine that Brett had set out</w:t>
      </w:r>
      <w:r w:rsidR="005D6E56">
        <w:t xml:space="preserve"> in 1883, it would have been a dead letter</w:t>
      </w:r>
      <w:r w:rsidR="00524948">
        <w:t>;</w:t>
      </w:r>
      <w:r w:rsidR="005D6E56">
        <w:t xml:space="preserve"> but</w:t>
      </w:r>
      <w:r w:rsidR="004169B8">
        <w:t>,</w:t>
      </w:r>
      <w:r w:rsidR="005D6E56">
        <w:t xml:space="preserve"> as a result of </w:t>
      </w:r>
      <w:r w:rsidR="00BC5A31">
        <w:t xml:space="preserve">the </w:t>
      </w:r>
      <w:r w:rsidR="004169B8">
        <w:t>equity judges</w:t>
      </w:r>
      <w:r w:rsidR="00BC5A31">
        <w:t xml:space="preserve">’ refusal to accept </w:t>
      </w:r>
      <w:r w:rsidR="004169B8">
        <w:t xml:space="preserve">Brett’s </w:t>
      </w:r>
      <w:r w:rsidR="00BC5A31">
        <w:t xml:space="preserve">doctrine, ‘the welfare of the child’ </w:t>
      </w:r>
      <w:r>
        <w:t xml:space="preserve">had developed into a flexible tool justifying judicial control of paternal prerogatives even where fathers had not forfeited or abdicated their rights. </w:t>
      </w:r>
      <w:r w:rsidR="00812E92">
        <w:t xml:space="preserve">Early twentieth-century </w:t>
      </w:r>
      <w:r w:rsidR="00666DC3">
        <w:t>Chancery judges proved perfectly willing to use th</w:t>
      </w:r>
      <w:r w:rsidR="00BC5A31">
        <w:t>eir powers in a more expansive way than Brett had envisaged</w:t>
      </w:r>
      <w:r w:rsidR="00DF4CFE">
        <w:t>, so that fathers found themselves losing custody of their children for offences that nineteenth-century judges had chosen to disregard</w:t>
      </w:r>
      <w:r w:rsidR="00666DC3" w:rsidRPr="003F4573">
        <w:t>.</w:t>
      </w:r>
      <w:r w:rsidR="00666DC3" w:rsidRPr="003F4573">
        <w:rPr>
          <w:rStyle w:val="FootnoteReference"/>
        </w:rPr>
        <w:footnoteReference w:id="126"/>
      </w:r>
      <w:r w:rsidR="00DF4CFE">
        <w:t xml:space="preserve"> </w:t>
      </w:r>
      <w:r w:rsidR="00C42A47">
        <w:t xml:space="preserve">The </w:t>
      </w:r>
      <w:r w:rsidR="00707B58">
        <w:t>1925 Guardianship of Infants Act</w:t>
      </w:r>
      <w:r w:rsidR="00AB640E">
        <w:t xml:space="preserve"> might</w:t>
      </w:r>
      <w:r w:rsidR="00F2553E">
        <w:t xml:space="preserve"> </w:t>
      </w:r>
      <w:r w:rsidR="00ED17AF">
        <w:t xml:space="preserve">seem to mark a break </w:t>
      </w:r>
      <w:r w:rsidR="007054C8">
        <w:t>in this story</w:t>
      </w:r>
      <w:r w:rsidR="00ED17AF">
        <w:t xml:space="preserve"> </w:t>
      </w:r>
      <w:r w:rsidR="007D1C23">
        <w:t>b</w:t>
      </w:r>
      <w:r w:rsidR="00F57A21">
        <w:t>ut</w:t>
      </w:r>
      <w:r w:rsidR="00ED17AF">
        <w:t xml:space="preserve"> </w:t>
      </w:r>
      <w:r w:rsidR="00F57A21">
        <w:t>in fact</w:t>
      </w:r>
      <w:r w:rsidR="006C7A8D">
        <w:t>,</w:t>
      </w:r>
      <w:r w:rsidR="00F57A21">
        <w:t xml:space="preserve"> </w:t>
      </w:r>
      <w:r w:rsidR="006C7A8D">
        <w:t>as</w:t>
      </w:r>
      <w:r w:rsidR="006C7A8D" w:rsidRPr="00ED17AF">
        <w:t xml:space="preserve"> </w:t>
      </w:r>
      <w:r w:rsidR="006C7A8D">
        <w:t xml:space="preserve">Steven Cretney has argued, </w:t>
      </w:r>
      <w:r w:rsidR="00F57A21">
        <w:t>judges thought the Act merely declaratory of the existing law.</w:t>
      </w:r>
      <w:r w:rsidR="00F57A21">
        <w:rPr>
          <w:rStyle w:val="FootnoteReference"/>
        </w:rPr>
        <w:footnoteReference w:id="127"/>
      </w:r>
      <w:r w:rsidR="00611D32">
        <w:t xml:space="preserve"> </w:t>
      </w:r>
      <w:r w:rsidR="005A413A">
        <w:t>Victorian j</w:t>
      </w:r>
      <w:r w:rsidR="00611D32">
        <w:t>udges had</w:t>
      </w:r>
      <w:r w:rsidR="001B09DB">
        <w:t xml:space="preserve"> created a legal regime that could tackle the worst abuses of paternal rights without undermining the essentially patriarchal </w:t>
      </w:r>
      <w:r w:rsidR="00E96CD6">
        <w:t>principles of the law</w:t>
      </w:r>
      <w:r w:rsidR="001B09DB">
        <w:t xml:space="preserve">. Attentiveness to the welfare of the child formed an alternative to formal recognition of mothers’ rights or children’s </w:t>
      </w:r>
      <w:r w:rsidR="001B09DB">
        <w:lastRenderedPageBreak/>
        <w:t xml:space="preserve">rights, either of which would have </w:t>
      </w:r>
      <w:r w:rsidR="00513E56">
        <w:t>struck at the root of</w:t>
      </w:r>
      <w:r w:rsidR="001B09DB">
        <w:t xml:space="preserve"> </w:t>
      </w:r>
      <w:r w:rsidR="00513E56">
        <w:t>male privilege</w:t>
      </w:r>
      <w:r w:rsidR="001B09DB">
        <w:t xml:space="preserve">. This was a framework capable of preserving the normative status of male domestic authority whilst accommodating </w:t>
      </w:r>
      <w:r w:rsidR="00A03B2B">
        <w:t xml:space="preserve">new attitudes towards maternity and marriage, as well as </w:t>
      </w:r>
      <w:r w:rsidR="001B09DB">
        <w:t>new ideas about childhood</w:t>
      </w:r>
      <w:r w:rsidR="0016686D">
        <w:t>.</w:t>
      </w:r>
      <w:r w:rsidR="009671CD">
        <w:rPr>
          <w:rStyle w:val="FootnoteReference"/>
        </w:rPr>
        <w:footnoteReference w:id="128"/>
      </w:r>
      <w:r w:rsidR="00A03B2B">
        <w:t xml:space="preserve"> </w:t>
      </w:r>
      <w:r w:rsidR="0016686D">
        <w:t>The law as conceived by Brett, a vision of the law that dwelt on the assertion of rights without regard to social consequences, would not have accommodated changes in public opinion nearly as well.</w:t>
      </w:r>
    </w:p>
    <w:p w14:paraId="19BE689F" w14:textId="77777777" w:rsidR="004B2BB5" w:rsidRDefault="004B2BB5" w:rsidP="006F4BB1">
      <w:pPr>
        <w:pStyle w:val="Ben1"/>
      </w:pPr>
    </w:p>
    <w:p w14:paraId="414E9853" w14:textId="158D5E90" w:rsidR="004559A7" w:rsidRPr="00B92C58" w:rsidRDefault="00B92C58" w:rsidP="00B92C58">
      <w:pPr>
        <w:pStyle w:val="Ben1"/>
        <w:jc w:val="center"/>
      </w:pPr>
      <w:r>
        <w:t>VI</w:t>
      </w:r>
    </w:p>
    <w:p w14:paraId="69FA755F" w14:textId="77777777" w:rsidR="004559A7" w:rsidRDefault="004559A7" w:rsidP="006F4BB1">
      <w:pPr>
        <w:pStyle w:val="Ben1"/>
      </w:pPr>
    </w:p>
    <w:p w14:paraId="1DCAAA64" w14:textId="6B7188E9" w:rsidR="00225FE2" w:rsidRPr="00E22C4B" w:rsidRDefault="00225FE2" w:rsidP="00225FE2">
      <w:pPr>
        <w:pStyle w:val="Ben1"/>
        <w:rPr>
          <w:szCs w:val="24"/>
        </w:rPr>
      </w:pPr>
      <w:r w:rsidRPr="00E22C4B">
        <w:rPr>
          <w:szCs w:val="24"/>
        </w:rPr>
        <w:t xml:space="preserve">The story set out above is one in which English judges fought to preserve male domestic authority as paternal rights were unsettled by the processes that created the modern juridical state. This, however, is only one aspect of a larger story. </w:t>
      </w:r>
      <w:r w:rsidR="00550F2E">
        <w:rPr>
          <w:szCs w:val="24"/>
        </w:rPr>
        <w:t>The litigants in most of the cases cited above belonged to the middle or upper classes who could afford to initiate litigation in Chancery</w:t>
      </w:r>
      <w:r w:rsidR="00B914E5">
        <w:rPr>
          <w:szCs w:val="24"/>
        </w:rPr>
        <w:t xml:space="preserve"> (both t</w:t>
      </w:r>
      <w:r w:rsidR="00550F2E">
        <w:rPr>
          <w:szCs w:val="24"/>
        </w:rPr>
        <w:t xml:space="preserve">he Stourton and Agar-Ellis families were related to </w:t>
      </w:r>
      <w:r w:rsidR="00B914E5">
        <w:rPr>
          <w:szCs w:val="24"/>
        </w:rPr>
        <w:t xml:space="preserve">the </w:t>
      </w:r>
      <w:r w:rsidR="00550F2E">
        <w:rPr>
          <w:szCs w:val="24"/>
        </w:rPr>
        <w:t>peer</w:t>
      </w:r>
      <w:r w:rsidR="00B914E5">
        <w:rPr>
          <w:szCs w:val="24"/>
        </w:rPr>
        <w:t xml:space="preserve">age, for example). By the </w:t>
      </w:r>
      <w:r w:rsidR="002B511E">
        <w:rPr>
          <w:szCs w:val="24"/>
        </w:rPr>
        <w:t>1890s</w:t>
      </w:r>
      <w:r w:rsidR="00B914E5">
        <w:rPr>
          <w:szCs w:val="24"/>
        </w:rPr>
        <w:t xml:space="preserve">, </w:t>
      </w:r>
      <w:r w:rsidR="00550F2E">
        <w:rPr>
          <w:szCs w:val="24"/>
        </w:rPr>
        <w:t xml:space="preserve">the number of poorer families </w:t>
      </w:r>
      <w:r w:rsidR="00B914E5">
        <w:rPr>
          <w:szCs w:val="24"/>
        </w:rPr>
        <w:t xml:space="preserve">coming to court </w:t>
      </w:r>
      <w:r w:rsidR="00550F2E">
        <w:rPr>
          <w:szCs w:val="24"/>
        </w:rPr>
        <w:t>seems to have increased</w:t>
      </w:r>
      <w:r w:rsidR="00F61FDD">
        <w:rPr>
          <w:szCs w:val="24"/>
        </w:rPr>
        <w:t>, probably</w:t>
      </w:r>
      <w:r w:rsidR="00550F2E">
        <w:rPr>
          <w:szCs w:val="24"/>
        </w:rPr>
        <w:t xml:space="preserve"> as a result of </w:t>
      </w:r>
      <w:r w:rsidR="00B914E5">
        <w:rPr>
          <w:szCs w:val="24"/>
        </w:rPr>
        <w:t xml:space="preserve">the willingness of Catholic </w:t>
      </w:r>
      <w:r w:rsidR="00F61FDD">
        <w:rPr>
          <w:szCs w:val="24"/>
        </w:rPr>
        <w:t>societies and clergymen</w:t>
      </w:r>
      <w:r w:rsidR="00B914E5">
        <w:rPr>
          <w:szCs w:val="24"/>
        </w:rPr>
        <w:t xml:space="preserve"> to sponsor litigation</w:t>
      </w:r>
      <w:r w:rsidR="00550F2E">
        <w:rPr>
          <w:szCs w:val="24"/>
        </w:rPr>
        <w:t>.</w:t>
      </w:r>
      <w:r w:rsidR="00F61FDD">
        <w:rPr>
          <w:rStyle w:val="FootnoteReference"/>
          <w:szCs w:val="24"/>
        </w:rPr>
        <w:footnoteReference w:id="129"/>
      </w:r>
      <w:r w:rsidR="00550F2E">
        <w:rPr>
          <w:szCs w:val="24"/>
        </w:rPr>
        <w:t xml:space="preserve"> </w:t>
      </w:r>
      <w:r w:rsidR="00F61FDD">
        <w:rPr>
          <w:szCs w:val="24"/>
        </w:rPr>
        <w:t xml:space="preserve">Nevertheless, the legal regime described so far was </w:t>
      </w:r>
      <w:r w:rsidR="00F61FDD">
        <w:rPr>
          <w:szCs w:val="24"/>
        </w:rPr>
        <w:lastRenderedPageBreak/>
        <w:t>essentially a legal regime for the propertied classes</w:t>
      </w:r>
      <w:r w:rsidR="002B511E">
        <w:rPr>
          <w:szCs w:val="24"/>
        </w:rPr>
        <w:t>, evolving to meet their needs</w:t>
      </w:r>
      <w:r w:rsidR="00F61FDD">
        <w:rPr>
          <w:szCs w:val="24"/>
        </w:rPr>
        <w:t xml:space="preserve">. </w:t>
      </w:r>
      <w:r w:rsidR="002B511E">
        <w:rPr>
          <w:szCs w:val="24"/>
        </w:rPr>
        <w:t>In direct contrast, a</w:t>
      </w:r>
      <w:r w:rsidRPr="00E22C4B">
        <w:rPr>
          <w:szCs w:val="24"/>
        </w:rPr>
        <w:t>t precisely the same time that the superior courts were defending the rights of fathers, parliament was systematically eroding the parental rights of the poor.</w:t>
      </w:r>
      <w:r w:rsidR="00B92C58">
        <w:rPr>
          <w:rStyle w:val="FootnoteReference"/>
          <w:szCs w:val="24"/>
        </w:rPr>
        <w:footnoteReference w:id="130"/>
      </w:r>
    </w:p>
    <w:p w14:paraId="02F78344" w14:textId="68FB99D5" w:rsidR="00225FE2" w:rsidRPr="00E22C4B" w:rsidRDefault="00225FE2" w:rsidP="00225FE2">
      <w:pPr>
        <w:pStyle w:val="Ben1"/>
        <w:rPr>
          <w:szCs w:val="24"/>
        </w:rPr>
      </w:pPr>
      <w:r w:rsidRPr="00E22C4B">
        <w:rPr>
          <w:szCs w:val="24"/>
        </w:rPr>
        <w:t xml:space="preserve">This is most obvious through the development of the poor law. </w:t>
      </w:r>
      <w:r w:rsidR="001A2BA6">
        <w:rPr>
          <w:szCs w:val="24"/>
        </w:rPr>
        <w:t>A</w:t>
      </w:r>
      <w:r w:rsidRPr="00E22C4B">
        <w:rPr>
          <w:szCs w:val="24"/>
        </w:rPr>
        <w:t>fter 1868, children over the age of 12 in the workhouse were allowed to choose their own religion – an extraordinary departure from the common law and equitable traditions.</w:t>
      </w:r>
      <w:r w:rsidRPr="00E22C4B">
        <w:rPr>
          <w:rStyle w:val="FootnoteReference"/>
          <w:rFonts w:eastAsia="MS Mincho"/>
          <w:szCs w:val="24"/>
        </w:rPr>
        <w:footnoteReference w:id="131"/>
      </w:r>
      <w:r w:rsidRPr="00E22C4B">
        <w:rPr>
          <w:szCs w:val="24"/>
        </w:rPr>
        <w:t xml:space="preserve"> The New Poor Law treated parental custody rights as an aspect of citizenship forfeited upon pauperisation: families were separated in the workhouse and children sent to residential poor law schools.</w:t>
      </w:r>
      <w:r w:rsidRPr="00E22C4B">
        <w:rPr>
          <w:rStyle w:val="FootnoteReference"/>
          <w:rFonts w:eastAsia="MS Mincho"/>
          <w:szCs w:val="24"/>
        </w:rPr>
        <w:footnoteReference w:id="132"/>
      </w:r>
      <w:r w:rsidRPr="00E22C4B">
        <w:rPr>
          <w:szCs w:val="24"/>
        </w:rPr>
        <w:t xml:space="preserve"> Similarly, the Industrial Schools Act of 1857 gave magistrates the power to commit to an industrial school children charged with vagrancy.</w:t>
      </w:r>
      <w:r w:rsidRPr="00E22C4B">
        <w:rPr>
          <w:rStyle w:val="FootnoteReference"/>
          <w:rFonts w:eastAsia="MS Mincho"/>
          <w:szCs w:val="24"/>
        </w:rPr>
        <w:footnoteReference w:id="133"/>
      </w:r>
      <w:r w:rsidRPr="00E22C4B">
        <w:rPr>
          <w:szCs w:val="24"/>
        </w:rPr>
        <w:t xml:space="preserve"> Sir George Bowyer complained that this ‘was an interference with the parental authority of the poor’, but more typical was Sir Charles Adderley, who said that the measure was a response to ‘parents who had abandoned their duties.’</w:t>
      </w:r>
      <w:r w:rsidRPr="00E22C4B">
        <w:rPr>
          <w:rStyle w:val="FootnoteReference"/>
          <w:rFonts w:eastAsia="MS Mincho"/>
          <w:szCs w:val="24"/>
        </w:rPr>
        <w:footnoteReference w:id="134"/>
      </w:r>
      <w:r w:rsidRPr="00E22C4B">
        <w:rPr>
          <w:szCs w:val="24"/>
        </w:rPr>
        <w:t xml:space="preserve"> </w:t>
      </w:r>
      <w:r w:rsidR="009C2797">
        <w:rPr>
          <w:szCs w:val="24"/>
        </w:rPr>
        <w:t>The discourse of ‘child rescue’ developed</w:t>
      </w:r>
      <w:r w:rsidR="00C67724">
        <w:rPr>
          <w:szCs w:val="24"/>
        </w:rPr>
        <w:t xml:space="preserve"> by moral entrepreneurs</w:t>
      </w:r>
      <w:r w:rsidR="009C2797">
        <w:rPr>
          <w:szCs w:val="24"/>
        </w:rPr>
        <w:t xml:space="preserve"> in the second half of the century provided a powerful rationale for such intervention.</w:t>
      </w:r>
      <w:r w:rsidR="009C2797">
        <w:rPr>
          <w:rStyle w:val="FootnoteReference"/>
          <w:szCs w:val="24"/>
        </w:rPr>
        <w:footnoteReference w:id="135"/>
      </w:r>
      <w:r w:rsidR="006409E4" w:rsidRPr="006409E4">
        <w:rPr>
          <w:szCs w:val="24"/>
        </w:rPr>
        <w:t xml:space="preserve"> </w:t>
      </w:r>
      <w:r w:rsidR="006409E4">
        <w:rPr>
          <w:szCs w:val="24"/>
        </w:rPr>
        <w:t>The effect of this discourse, however, was frequently to subordinate</w:t>
      </w:r>
      <w:r w:rsidR="006409E4" w:rsidRPr="00E22C4B">
        <w:rPr>
          <w:szCs w:val="24"/>
        </w:rPr>
        <w:t xml:space="preserve"> the welfare of individual children to the welfare of the state. </w:t>
      </w:r>
      <w:r w:rsidR="009C2797">
        <w:rPr>
          <w:szCs w:val="24"/>
        </w:rPr>
        <w:t xml:space="preserve"> </w:t>
      </w:r>
      <w:r w:rsidRPr="00E22C4B">
        <w:rPr>
          <w:szCs w:val="24"/>
        </w:rPr>
        <w:t>One philanthropist</w:t>
      </w:r>
      <w:r w:rsidR="006409E4">
        <w:rPr>
          <w:szCs w:val="24"/>
        </w:rPr>
        <w:t>, for example,</w:t>
      </w:r>
      <w:r w:rsidRPr="00E22C4B">
        <w:rPr>
          <w:szCs w:val="24"/>
        </w:rPr>
        <w:t xml:space="preserve"> told a select committee in 1888 that </w:t>
      </w:r>
      <w:r w:rsidR="00772687" w:rsidRPr="00E22C4B">
        <w:rPr>
          <w:szCs w:val="24"/>
        </w:rPr>
        <w:t xml:space="preserve">it was </w:t>
      </w:r>
      <w:r w:rsidR="00772687">
        <w:rPr>
          <w:szCs w:val="24"/>
        </w:rPr>
        <w:t>legitimate</w:t>
      </w:r>
      <w:r w:rsidR="00772687" w:rsidRPr="00E22C4B">
        <w:rPr>
          <w:szCs w:val="24"/>
        </w:rPr>
        <w:t xml:space="preserve"> to separate </w:t>
      </w:r>
      <w:r w:rsidR="006409E4">
        <w:rPr>
          <w:szCs w:val="24"/>
        </w:rPr>
        <w:t xml:space="preserve">children </w:t>
      </w:r>
      <w:r w:rsidR="00772687">
        <w:rPr>
          <w:szCs w:val="24"/>
        </w:rPr>
        <w:t xml:space="preserve">from </w:t>
      </w:r>
      <w:r w:rsidR="00772687" w:rsidRPr="00E22C4B">
        <w:rPr>
          <w:szCs w:val="24"/>
        </w:rPr>
        <w:t>the</w:t>
      </w:r>
      <w:r w:rsidR="00772687">
        <w:rPr>
          <w:szCs w:val="24"/>
        </w:rPr>
        <w:t>ir</w:t>
      </w:r>
      <w:r w:rsidR="006409E4">
        <w:rPr>
          <w:szCs w:val="24"/>
        </w:rPr>
        <w:t xml:space="preserve"> pauper </w:t>
      </w:r>
      <w:r w:rsidR="006409E4">
        <w:rPr>
          <w:szCs w:val="24"/>
        </w:rPr>
        <w:lastRenderedPageBreak/>
        <w:t>parents</w:t>
      </w:r>
      <w:r w:rsidR="00772687" w:rsidRPr="00E22C4B">
        <w:rPr>
          <w:szCs w:val="24"/>
        </w:rPr>
        <w:t xml:space="preserve"> </w:t>
      </w:r>
      <w:r w:rsidRPr="00E22C4B">
        <w:rPr>
          <w:szCs w:val="24"/>
        </w:rPr>
        <w:t>because ‘pauperism is hereditary and transmitted from parent to children’.</w:t>
      </w:r>
      <w:r w:rsidRPr="00E22C4B">
        <w:rPr>
          <w:rStyle w:val="FootnoteReference"/>
          <w:rFonts w:eastAsia="MS Mincho"/>
          <w:szCs w:val="24"/>
        </w:rPr>
        <w:footnoteReference w:id="136"/>
      </w:r>
      <w:r w:rsidRPr="00E22C4B">
        <w:rPr>
          <w:szCs w:val="24"/>
        </w:rPr>
        <w:t xml:space="preserve"> The same logic lay behind Thomas Barnardo’s </w:t>
      </w:r>
      <w:r w:rsidR="001A2BA6">
        <w:rPr>
          <w:szCs w:val="24"/>
        </w:rPr>
        <w:t xml:space="preserve">illegal </w:t>
      </w:r>
      <w:r w:rsidRPr="00E22C4B">
        <w:rPr>
          <w:szCs w:val="24"/>
        </w:rPr>
        <w:t>practice of hiding children from their families by sending them abroad.</w:t>
      </w:r>
      <w:r w:rsidRPr="00E22C4B">
        <w:rPr>
          <w:rStyle w:val="FootnoteReference"/>
          <w:rFonts w:eastAsia="MS Mincho"/>
          <w:szCs w:val="24"/>
        </w:rPr>
        <w:footnoteReference w:id="137"/>
      </w:r>
      <w:r w:rsidRPr="00E22C4B">
        <w:rPr>
          <w:szCs w:val="24"/>
        </w:rPr>
        <w:t xml:space="preserve"> The 1890s saw a series of legislative proposals designed to make it harder for poor parents to remove their children from institutions.</w:t>
      </w:r>
      <w:r w:rsidRPr="00E22C4B">
        <w:rPr>
          <w:rStyle w:val="FootnoteReference"/>
          <w:rFonts w:eastAsia="MS Mincho"/>
          <w:szCs w:val="24"/>
        </w:rPr>
        <w:footnoteReference w:id="138"/>
      </w:r>
      <w:r w:rsidRPr="00E22C4B">
        <w:rPr>
          <w:szCs w:val="24"/>
        </w:rPr>
        <w:t xml:space="preserve"> Many of these measure were opposed by judges in the House of Lords who understood them as an attack on paternal rights recognised by law.</w:t>
      </w:r>
      <w:r w:rsidRPr="00E22C4B">
        <w:rPr>
          <w:rStyle w:val="FootnoteReference"/>
          <w:rFonts w:eastAsia="MS Mincho"/>
          <w:szCs w:val="24"/>
        </w:rPr>
        <w:footnoteReference w:id="139"/>
      </w:r>
      <w:r w:rsidRPr="00E22C4B">
        <w:rPr>
          <w:szCs w:val="24"/>
        </w:rPr>
        <w:t xml:space="preserve"> They were able successfully to substitute for the wilder schemes the 1891 Custody of Children Act, which did little more than restate the current law on habeas corpus.</w:t>
      </w:r>
      <w:r w:rsidRPr="00E22C4B">
        <w:rPr>
          <w:rStyle w:val="FootnoteReference"/>
          <w:rFonts w:eastAsia="MS Mincho"/>
          <w:szCs w:val="24"/>
        </w:rPr>
        <w:footnoteReference w:id="140"/>
      </w:r>
      <w:r w:rsidRPr="00E22C4B">
        <w:rPr>
          <w:szCs w:val="24"/>
        </w:rPr>
        <w:t xml:space="preserve"> Nevertheless, the </w:t>
      </w:r>
      <w:r w:rsidR="002E71A9">
        <w:rPr>
          <w:szCs w:val="24"/>
        </w:rPr>
        <w:t>poor l</w:t>
      </w:r>
      <w:r w:rsidRPr="00E22C4B">
        <w:rPr>
          <w:szCs w:val="24"/>
        </w:rPr>
        <w:t>aw continued to erode the common law rights of fathers</w:t>
      </w:r>
      <w:r w:rsidR="002E71A9">
        <w:rPr>
          <w:szCs w:val="24"/>
        </w:rPr>
        <w:t>, with t</w:t>
      </w:r>
      <w:r w:rsidRPr="00E22C4B">
        <w:rPr>
          <w:szCs w:val="24"/>
        </w:rPr>
        <w:t xml:space="preserve">he 1899 </w:t>
      </w:r>
      <w:r w:rsidR="002E71A9">
        <w:rPr>
          <w:szCs w:val="24"/>
        </w:rPr>
        <w:t>Poo</w:t>
      </w:r>
      <w:r w:rsidR="006409E4">
        <w:rPr>
          <w:szCs w:val="24"/>
        </w:rPr>
        <w:t>r</w:t>
      </w:r>
      <w:r w:rsidR="002E71A9">
        <w:rPr>
          <w:szCs w:val="24"/>
        </w:rPr>
        <w:t xml:space="preserve"> Law Amendment </w:t>
      </w:r>
      <w:r w:rsidRPr="00E22C4B">
        <w:rPr>
          <w:szCs w:val="24"/>
        </w:rPr>
        <w:t>Act allow</w:t>
      </w:r>
      <w:r w:rsidR="002E71A9">
        <w:rPr>
          <w:szCs w:val="24"/>
        </w:rPr>
        <w:t>ing</w:t>
      </w:r>
      <w:r w:rsidRPr="00E22C4B">
        <w:rPr>
          <w:szCs w:val="24"/>
        </w:rPr>
        <w:t xml:space="preserve"> poor law guardians to assume the ‘powers and rights’ of a parent where the biological parent was considered ‘unfit to have control of the child by reason of … vicious habits or mode of life’.</w:t>
      </w:r>
      <w:r w:rsidRPr="00E22C4B">
        <w:rPr>
          <w:rStyle w:val="FootnoteReference"/>
          <w:rFonts w:eastAsia="MS Mincho"/>
          <w:szCs w:val="24"/>
        </w:rPr>
        <w:footnoteReference w:id="141"/>
      </w:r>
      <w:r w:rsidRPr="00E22C4B">
        <w:rPr>
          <w:szCs w:val="24"/>
        </w:rPr>
        <w:t xml:space="preserve"> </w:t>
      </w:r>
      <w:r w:rsidR="00D33592">
        <w:rPr>
          <w:szCs w:val="24"/>
        </w:rPr>
        <w:t>T</w:t>
      </w:r>
      <w:r w:rsidRPr="00E22C4B">
        <w:rPr>
          <w:szCs w:val="24"/>
        </w:rPr>
        <w:t>he 1908 Children’s Act</w:t>
      </w:r>
      <w:r w:rsidR="00D33592">
        <w:rPr>
          <w:szCs w:val="24"/>
        </w:rPr>
        <w:t xml:space="preserve"> continued this trend</w:t>
      </w:r>
      <w:r w:rsidRPr="00E22C4B">
        <w:rPr>
          <w:szCs w:val="24"/>
        </w:rPr>
        <w:t>.</w:t>
      </w:r>
      <w:r w:rsidRPr="00E22C4B">
        <w:rPr>
          <w:rStyle w:val="FootnoteReference"/>
          <w:rFonts w:eastAsia="MS Mincho"/>
          <w:szCs w:val="24"/>
        </w:rPr>
        <w:footnoteReference w:id="142"/>
      </w:r>
    </w:p>
    <w:p w14:paraId="6C737F5F" w14:textId="1293945E" w:rsidR="00225FE2" w:rsidRPr="00E22C4B" w:rsidRDefault="00C50174" w:rsidP="00225FE2">
      <w:pPr>
        <w:pStyle w:val="Ben1"/>
        <w:rPr>
          <w:szCs w:val="24"/>
        </w:rPr>
      </w:pPr>
      <w:r>
        <w:rPr>
          <w:szCs w:val="24"/>
        </w:rPr>
        <w:t xml:space="preserve">Lydia Murdoch has shown how Victorian institutions tried to </w:t>
      </w:r>
      <w:r w:rsidR="00C67724">
        <w:rPr>
          <w:szCs w:val="24"/>
        </w:rPr>
        <w:t xml:space="preserve">avoid confronting the </w:t>
      </w:r>
      <w:r>
        <w:rPr>
          <w:szCs w:val="24"/>
        </w:rPr>
        <w:t xml:space="preserve">clash between </w:t>
      </w:r>
      <w:r w:rsidR="00C67724">
        <w:rPr>
          <w:szCs w:val="24"/>
        </w:rPr>
        <w:t>their practice and the rights of parents by</w:t>
      </w:r>
      <w:r>
        <w:rPr>
          <w:szCs w:val="24"/>
        </w:rPr>
        <w:t xml:space="preserve"> </w:t>
      </w:r>
      <w:r w:rsidR="00C67724">
        <w:rPr>
          <w:szCs w:val="24"/>
        </w:rPr>
        <w:t xml:space="preserve">invoking </w:t>
      </w:r>
      <w:r>
        <w:rPr>
          <w:szCs w:val="24"/>
        </w:rPr>
        <w:t>the fiction that the children in need of ‘rescue’ had no parents.</w:t>
      </w:r>
      <w:r>
        <w:rPr>
          <w:rStyle w:val="FootnoteReference"/>
          <w:szCs w:val="24"/>
        </w:rPr>
        <w:footnoteReference w:id="143"/>
      </w:r>
      <w:r w:rsidR="00A93DE9">
        <w:rPr>
          <w:szCs w:val="24"/>
        </w:rPr>
        <w:t xml:space="preserve"> When paternal rights had to be confronted, e</w:t>
      </w:r>
      <w:r w:rsidR="00225FE2" w:rsidRPr="00E22C4B">
        <w:rPr>
          <w:szCs w:val="24"/>
        </w:rPr>
        <w:t xml:space="preserve">ach </w:t>
      </w:r>
      <w:r w:rsidR="006409E4">
        <w:rPr>
          <w:szCs w:val="24"/>
        </w:rPr>
        <w:t>institutional intervention</w:t>
      </w:r>
      <w:r w:rsidR="00225FE2" w:rsidRPr="00E22C4B">
        <w:rPr>
          <w:szCs w:val="24"/>
        </w:rPr>
        <w:t xml:space="preserve"> could be justified as an application of </w:t>
      </w:r>
      <w:r w:rsidR="006409E4">
        <w:rPr>
          <w:szCs w:val="24"/>
        </w:rPr>
        <w:t>equity’s</w:t>
      </w:r>
      <w:r w:rsidR="00225FE2" w:rsidRPr="00E22C4B">
        <w:rPr>
          <w:szCs w:val="24"/>
        </w:rPr>
        <w:t xml:space="preserve"> principle </w:t>
      </w:r>
      <w:r w:rsidR="006409E4">
        <w:rPr>
          <w:szCs w:val="24"/>
        </w:rPr>
        <w:t xml:space="preserve">that </w:t>
      </w:r>
      <w:r w:rsidR="00225FE2" w:rsidRPr="00E22C4B">
        <w:rPr>
          <w:szCs w:val="24"/>
        </w:rPr>
        <w:lastRenderedPageBreak/>
        <w:t>fathers</w:t>
      </w:r>
      <w:r w:rsidR="006409E4">
        <w:rPr>
          <w:szCs w:val="24"/>
        </w:rPr>
        <w:t xml:space="preserve"> could be deprived</w:t>
      </w:r>
      <w:r w:rsidR="00225FE2" w:rsidRPr="00E22C4B">
        <w:rPr>
          <w:szCs w:val="24"/>
        </w:rPr>
        <w:t xml:space="preserve"> of their children when they posed a threat to the children’s moral welfare. What was different was the sweeping way in which </w:t>
      </w:r>
      <w:r w:rsidR="006409E4">
        <w:rPr>
          <w:szCs w:val="24"/>
        </w:rPr>
        <w:t>this</w:t>
      </w:r>
      <w:r w:rsidR="006409E4" w:rsidRPr="00E22C4B">
        <w:rPr>
          <w:szCs w:val="24"/>
        </w:rPr>
        <w:t xml:space="preserve"> </w:t>
      </w:r>
      <w:r w:rsidR="00225FE2" w:rsidRPr="00E22C4B">
        <w:rPr>
          <w:szCs w:val="24"/>
        </w:rPr>
        <w:t>principle was applied to the poor</w:t>
      </w:r>
      <w:r w:rsidR="00B92C58">
        <w:rPr>
          <w:szCs w:val="24"/>
        </w:rPr>
        <w:t>: poverty itself became a justification for interference</w:t>
      </w:r>
      <w:r w:rsidR="00225FE2" w:rsidRPr="00E22C4B">
        <w:rPr>
          <w:szCs w:val="24"/>
        </w:rPr>
        <w:t xml:space="preserve">. The distinction is explained by the </w:t>
      </w:r>
      <w:r w:rsidR="009900F7">
        <w:rPr>
          <w:szCs w:val="24"/>
        </w:rPr>
        <w:t>legislature’s</w:t>
      </w:r>
      <w:r w:rsidR="00225FE2" w:rsidRPr="00E22C4B">
        <w:rPr>
          <w:szCs w:val="24"/>
        </w:rPr>
        <w:t xml:space="preserve"> assum</w:t>
      </w:r>
      <w:r w:rsidR="009900F7">
        <w:rPr>
          <w:szCs w:val="24"/>
        </w:rPr>
        <w:t>ption</w:t>
      </w:r>
      <w:r w:rsidR="00225FE2" w:rsidRPr="00E22C4B">
        <w:rPr>
          <w:szCs w:val="24"/>
        </w:rPr>
        <w:t xml:space="preserve"> that working-class men were morally inferior to their social superiors and therefore posed a danger to the morals of their children </w:t>
      </w:r>
      <w:r w:rsidR="00225FE2" w:rsidRPr="00E22C4B">
        <w:rPr>
          <w:i/>
          <w:szCs w:val="24"/>
        </w:rPr>
        <w:t>as a class</w:t>
      </w:r>
      <w:r w:rsidR="00225FE2" w:rsidRPr="00E22C4B">
        <w:rPr>
          <w:szCs w:val="24"/>
        </w:rPr>
        <w:t>. Acts of moral delinquency among upper-class fathers were understood as regrettable individual lapses, whereas the delinquencies of the poor were understood as a social problem which justified state intervention. In this way the state accorded a much higher value to the paternal rights of affluent fathers than to those of poor fathers.</w:t>
      </w:r>
    </w:p>
    <w:p w14:paraId="2D5D6D0A" w14:textId="42AFA6CD" w:rsidR="005214C6" w:rsidRDefault="00225FE2" w:rsidP="00E64F2F">
      <w:pPr>
        <w:pStyle w:val="Ben1"/>
        <w:rPr>
          <w:szCs w:val="24"/>
        </w:rPr>
      </w:pPr>
      <w:r w:rsidRPr="00E22C4B">
        <w:rPr>
          <w:szCs w:val="24"/>
        </w:rPr>
        <w:t xml:space="preserve">How was it possible to put this class politics into action, given the defence of paternal privileges in the superior courts? </w:t>
      </w:r>
      <w:r w:rsidR="00C50174">
        <w:rPr>
          <w:szCs w:val="24"/>
        </w:rPr>
        <w:t xml:space="preserve"> The </w:t>
      </w:r>
      <w:r w:rsidR="00E64F2F">
        <w:rPr>
          <w:szCs w:val="24"/>
        </w:rPr>
        <w:t>answer</w:t>
      </w:r>
      <w:r w:rsidRPr="00E22C4B">
        <w:rPr>
          <w:szCs w:val="24"/>
        </w:rPr>
        <w:t xml:space="preserve"> lies in the structure of the juridical state</w:t>
      </w:r>
      <w:r w:rsidR="005214C6">
        <w:rPr>
          <w:szCs w:val="24"/>
        </w:rPr>
        <w:t xml:space="preserve">, which created both a functional and an intellectual gulf between the superior courts and institutions dealing with the poor. </w:t>
      </w:r>
      <w:r w:rsidRPr="00E22C4B">
        <w:rPr>
          <w:szCs w:val="24"/>
        </w:rPr>
        <w:t xml:space="preserve">As the state’s police function expanded in the nineteenth century, </w:t>
      </w:r>
      <w:r w:rsidR="0013548B">
        <w:rPr>
          <w:szCs w:val="24"/>
        </w:rPr>
        <w:t>new courts were created to</w:t>
      </w:r>
      <w:r w:rsidRPr="00E22C4B">
        <w:rPr>
          <w:szCs w:val="24"/>
        </w:rPr>
        <w:t xml:space="preserve"> cater specifically for the poor: county courts to handle small debts, and </w:t>
      </w:r>
      <w:r w:rsidR="00893F14">
        <w:rPr>
          <w:szCs w:val="24"/>
        </w:rPr>
        <w:t xml:space="preserve">new </w:t>
      </w:r>
      <w:r w:rsidRPr="00E22C4B">
        <w:rPr>
          <w:szCs w:val="24"/>
        </w:rPr>
        <w:t>magistrates’ courts to handle petty criminal offences</w:t>
      </w:r>
      <w:r w:rsidR="009F0468">
        <w:rPr>
          <w:szCs w:val="24"/>
        </w:rPr>
        <w:t xml:space="preserve"> (magistrates also sat </w:t>
      </w:r>
      <w:r w:rsidR="009F0468">
        <w:rPr>
          <w:i/>
          <w:szCs w:val="24"/>
        </w:rPr>
        <w:t>ex officio</w:t>
      </w:r>
      <w:r w:rsidR="009F0468">
        <w:rPr>
          <w:szCs w:val="24"/>
        </w:rPr>
        <w:t xml:space="preserve"> as poor law guardians).</w:t>
      </w:r>
      <w:r w:rsidRPr="00E22C4B">
        <w:rPr>
          <w:rStyle w:val="FootnoteReference"/>
          <w:rFonts w:eastAsia="MS Mincho"/>
          <w:szCs w:val="24"/>
        </w:rPr>
        <w:footnoteReference w:id="144"/>
      </w:r>
      <w:r w:rsidRPr="00E22C4B">
        <w:rPr>
          <w:szCs w:val="24"/>
        </w:rPr>
        <w:t xml:space="preserve"> This produced a legal structure </w:t>
      </w:r>
      <w:r w:rsidR="005214C6">
        <w:rPr>
          <w:szCs w:val="24"/>
        </w:rPr>
        <w:t xml:space="preserve">deliberately </w:t>
      </w:r>
      <w:r w:rsidRPr="00E22C4B">
        <w:rPr>
          <w:szCs w:val="24"/>
        </w:rPr>
        <w:t xml:space="preserve">stratified by class: in 1922, for example, </w:t>
      </w:r>
      <w:r w:rsidR="005214C6">
        <w:rPr>
          <w:szCs w:val="24"/>
        </w:rPr>
        <w:t>a senior</w:t>
      </w:r>
      <w:r w:rsidRPr="00E22C4B">
        <w:rPr>
          <w:szCs w:val="24"/>
        </w:rPr>
        <w:t xml:space="preserve"> magistrate argued that such courts ought to be ‘kept for the class to which </w:t>
      </w:r>
      <w:r w:rsidR="003C6916">
        <w:rPr>
          <w:szCs w:val="24"/>
        </w:rPr>
        <w:t>[they are]</w:t>
      </w:r>
      <w:r w:rsidRPr="00E22C4B">
        <w:rPr>
          <w:szCs w:val="24"/>
        </w:rPr>
        <w:t xml:space="preserve"> intended, that is to say, the working class’.</w:t>
      </w:r>
      <w:r w:rsidRPr="00E22C4B">
        <w:rPr>
          <w:rStyle w:val="FootnoteReference"/>
          <w:rFonts w:eastAsia="MS Mincho"/>
          <w:szCs w:val="24"/>
        </w:rPr>
        <w:footnoteReference w:id="145"/>
      </w:r>
      <w:r w:rsidRPr="00E22C4B">
        <w:rPr>
          <w:szCs w:val="24"/>
        </w:rPr>
        <w:t xml:space="preserve"> During the debates on the 1886 Infants Act it was urged that jurisdiction ought to be given to the county courts if justice was to be accessible to the poor but</w:t>
      </w:r>
      <w:r w:rsidR="008D523A">
        <w:rPr>
          <w:szCs w:val="24"/>
        </w:rPr>
        <w:t>,</w:t>
      </w:r>
      <w:r w:rsidRPr="00E22C4B">
        <w:rPr>
          <w:szCs w:val="24"/>
        </w:rPr>
        <w:t xml:space="preserve"> </w:t>
      </w:r>
      <w:r w:rsidR="00893F14">
        <w:rPr>
          <w:szCs w:val="24"/>
        </w:rPr>
        <w:t xml:space="preserve">since those </w:t>
      </w:r>
      <w:r w:rsidR="00893F14">
        <w:rPr>
          <w:szCs w:val="24"/>
        </w:rPr>
        <w:lastRenderedPageBreak/>
        <w:t>court</w:t>
      </w:r>
      <w:r w:rsidR="008D523A">
        <w:rPr>
          <w:szCs w:val="24"/>
        </w:rPr>
        <w:t>s</w:t>
      </w:r>
      <w:r w:rsidR="00893F14">
        <w:rPr>
          <w:szCs w:val="24"/>
        </w:rPr>
        <w:t xml:space="preserve"> were deemed inappropriate for more affluent families</w:t>
      </w:r>
      <w:r w:rsidR="008D523A">
        <w:rPr>
          <w:szCs w:val="24"/>
        </w:rPr>
        <w:t>,</w:t>
      </w:r>
      <w:r w:rsidR="00893F14">
        <w:rPr>
          <w:szCs w:val="24"/>
        </w:rPr>
        <w:t xml:space="preserve"> </w:t>
      </w:r>
      <w:r w:rsidRPr="00E22C4B">
        <w:rPr>
          <w:szCs w:val="24"/>
        </w:rPr>
        <w:t xml:space="preserve">MPs insisted that </w:t>
      </w:r>
      <w:r w:rsidR="00893F14">
        <w:rPr>
          <w:szCs w:val="24"/>
        </w:rPr>
        <w:t>litigants</w:t>
      </w:r>
      <w:r w:rsidRPr="00E22C4B">
        <w:rPr>
          <w:szCs w:val="24"/>
        </w:rPr>
        <w:t xml:space="preserve"> should have the power to transfer their cases to the High Court.</w:t>
      </w:r>
      <w:r w:rsidRPr="00E22C4B">
        <w:rPr>
          <w:rStyle w:val="FootnoteReference"/>
          <w:rFonts w:eastAsia="MS Mincho"/>
          <w:szCs w:val="24"/>
        </w:rPr>
        <w:footnoteReference w:id="146"/>
      </w:r>
      <w:r w:rsidRPr="00E22C4B">
        <w:rPr>
          <w:szCs w:val="24"/>
        </w:rPr>
        <w:t xml:space="preserve"> As it happened, the poor appear not to have used the county courts to settle child custody disputes at all.</w:t>
      </w:r>
      <w:r w:rsidRPr="00E22C4B">
        <w:rPr>
          <w:rStyle w:val="FootnoteReference"/>
          <w:rFonts w:eastAsia="MS Mincho"/>
          <w:szCs w:val="24"/>
        </w:rPr>
        <w:footnoteReference w:id="147"/>
      </w:r>
      <w:r w:rsidRPr="00E22C4B">
        <w:rPr>
          <w:szCs w:val="24"/>
        </w:rPr>
        <w:t xml:space="preserve"> Not only did the cost of applying to the county court remain prohibitively high, but the poor had no need of the county courts once magistrates were empowered to make custody orders by the </w:t>
      </w:r>
      <w:r w:rsidR="009E0DC3">
        <w:rPr>
          <w:szCs w:val="24"/>
        </w:rPr>
        <w:t xml:space="preserve">1878 Matrimonial Causes Act and </w:t>
      </w:r>
      <w:r w:rsidRPr="00E22C4B">
        <w:rPr>
          <w:szCs w:val="24"/>
        </w:rPr>
        <w:t>1895 Summary Jurisdiction Act.</w:t>
      </w:r>
      <w:r w:rsidR="009F3604">
        <w:rPr>
          <w:rStyle w:val="FootnoteReference"/>
          <w:szCs w:val="24"/>
        </w:rPr>
        <w:footnoteReference w:id="148"/>
      </w:r>
      <w:r w:rsidRPr="00E22C4B">
        <w:rPr>
          <w:szCs w:val="24"/>
        </w:rPr>
        <w:t xml:space="preserve"> Thus the central apparatus for regulating custody disputes shifted from the courts that we have been concerned with thus far to courts of summary jurisdiction.</w:t>
      </w:r>
      <w:r w:rsidR="00A027DA">
        <w:rPr>
          <w:rStyle w:val="FootnoteReference"/>
          <w:szCs w:val="24"/>
        </w:rPr>
        <w:footnoteReference w:id="149"/>
      </w:r>
      <w:r w:rsidRPr="00E22C4B">
        <w:rPr>
          <w:szCs w:val="24"/>
        </w:rPr>
        <w:t xml:space="preserve"> </w:t>
      </w:r>
    </w:p>
    <w:p w14:paraId="25EA5E25" w14:textId="679ED957" w:rsidR="00225FE2" w:rsidRPr="00E22C4B" w:rsidRDefault="00225FE2" w:rsidP="00225FE2">
      <w:pPr>
        <w:pStyle w:val="Ben1"/>
        <w:rPr>
          <w:szCs w:val="24"/>
        </w:rPr>
      </w:pPr>
      <w:r w:rsidRPr="00E22C4B">
        <w:rPr>
          <w:szCs w:val="24"/>
        </w:rPr>
        <w:t xml:space="preserve">The </w:t>
      </w:r>
      <w:r w:rsidR="005214C6">
        <w:rPr>
          <w:szCs w:val="24"/>
        </w:rPr>
        <w:t xml:space="preserve">intellectual </w:t>
      </w:r>
      <w:r w:rsidRPr="00E22C4B">
        <w:rPr>
          <w:szCs w:val="24"/>
        </w:rPr>
        <w:t>gulf between the two was wide</w:t>
      </w:r>
      <w:r w:rsidR="00893F14">
        <w:rPr>
          <w:szCs w:val="24"/>
        </w:rPr>
        <w:t xml:space="preserve">. Social elites </w:t>
      </w:r>
      <w:r w:rsidR="009F0468">
        <w:rPr>
          <w:szCs w:val="24"/>
        </w:rPr>
        <w:t>frequently voiced</w:t>
      </w:r>
      <w:r w:rsidR="00893F14">
        <w:rPr>
          <w:szCs w:val="24"/>
        </w:rPr>
        <w:t xml:space="preserve"> doubts about the quality of the judges practising in inferior courts</w:t>
      </w:r>
      <w:r w:rsidR="009F0468">
        <w:rPr>
          <w:szCs w:val="24"/>
        </w:rPr>
        <w:t xml:space="preserve">, </w:t>
      </w:r>
      <w:r w:rsidR="003C4D51">
        <w:rPr>
          <w:szCs w:val="24"/>
        </w:rPr>
        <w:t>and legal elites expressed considerable dissatisfaction with the jurisdiction granted to magistrates in matrimonial causes.</w:t>
      </w:r>
      <w:r w:rsidR="003C4D51" w:rsidRPr="003C4D51">
        <w:rPr>
          <w:rStyle w:val="FootnoteReference"/>
          <w:rFonts w:eastAsia="MS Mincho"/>
          <w:szCs w:val="24"/>
        </w:rPr>
        <w:t xml:space="preserve"> </w:t>
      </w:r>
      <w:r w:rsidR="003C4D51" w:rsidRPr="00E22C4B">
        <w:rPr>
          <w:rStyle w:val="FootnoteReference"/>
          <w:rFonts w:eastAsia="MS Mincho"/>
          <w:szCs w:val="24"/>
        </w:rPr>
        <w:footnoteReference w:id="150"/>
      </w:r>
      <w:r w:rsidR="009F0468">
        <w:rPr>
          <w:szCs w:val="24"/>
        </w:rPr>
        <w:t xml:space="preserve"> </w:t>
      </w:r>
      <w:r w:rsidRPr="00E22C4B">
        <w:rPr>
          <w:szCs w:val="24"/>
        </w:rPr>
        <w:t>Sir Paul Lawrence, a high court Chancery judge, proved completely ignorant of the jurisdiction being applied in these inferior courts when questioned in 1922.</w:t>
      </w:r>
      <w:r w:rsidRPr="00E22C4B">
        <w:rPr>
          <w:rStyle w:val="FootnoteReference"/>
          <w:rFonts w:eastAsia="MS Mincho"/>
          <w:szCs w:val="24"/>
        </w:rPr>
        <w:footnoteReference w:id="151"/>
      </w:r>
      <w:r w:rsidRPr="00E22C4B">
        <w:rPr>
          <w:szCs w:val="24"/>
        </w:rPr>
        <w:t xml:space="preserve"> As </w:t>
      </w:r>
      <w:r w:rsidR="009D1EC2">
        <w:rPr>
          <w:szCs w:val="24"/>
        </w:rPr>
        <w:t>a</w:t>
      </w:r>
      <w:r w:rsidRPr="00E22C4B">
        <w:rPr>
          <w:szCs w:val="24"/>
        </w:rPr>
        <w:t xml:space="preserve"> magistrate explained to </w:t>
      </w:r>
      <w:r w:rsidR="008D523A">
        <w:rPr>
          <w:szCs w:val="24"/>
        </w:rPr>
        <w:t>a select</w:t>
      </w:r>
      <w:r w:rsidR="008D523A" w:rsidRPr="00E22C4B">
        <w:rPr>
          <w:szCs w:val="24"/>
        </w:rPr>
        <w:t xml:space="preserve"> </w:t>
      </w:r>
      <w:r w:rsidRPr="00E22C4B">
        <w:rPr>
          <w:szCs w:val="24"/>
        </w:rPr>
        <w:t xml:space="preserve">committee, courts of summary jurisdiction </w:t>
      </w:r>
      <w:r w:rsidRPr="00E22C4B">
        <w:rPr>
          <w:szCs w:val="24"/>
        </w:rPr>
        <w:lastRenderedPageBreak/>
        <w:t>were already ‘exercising a very extensive jurisdiction over the children when we order separation of the parents. We have to decide what is to become of the children in every case, whether we shall send them to schools, whether we shall send them to new guardians, or what not.’</w:t>
      </w:r>
      <w:r w:rsidRPr="00E22C4B">
        <w:rPr>
          <w:rStyle w:val="FootnoteReference"/>
          <w:rFonts w:eastAsia="MS Mincho"/>
          <w:szCs w:val="24"/>
        </w:rPr>
        <w:footnoteReference w:id="152"/>
      </w:r>
      <w:r w:rsidRPr="00E22C4B">
        <w:rPr>
          <w:szCs w:val="24"/>
        </w:rPr>
        <w:t xml:space="preserve"> This made a nonsense of Lawrence’s efforts to ‘deprecate a Court of Summary Jurisdiction having anything to do with the custody and bringing up and maintenance of children, however humble.’</w:t>
      </w:r>
      <w:r w:rsidRPr="00E22C4B">
        <w:rPr>
          <w:rStyle w:val="FootnoteReference"/>
          <w:rFonts w:eastAsia="MS Mincho"/>
          <w:szCs w:val="24"/>
        </w:rPr>
        <w:footnoteReference w:id="153"/>
      </w:r>
    </w:p>
    <w:p w14:paraId="6F01E689" w14:textId="4387CEE3" w:rsidR="0044405B" w:rsidRDefault="00557251" w:rsidP="006F4BB1">
      <w:pPr>
        <w:pStyle w:val="Ben1"/>
      </w:pPr>
      <w:r>
        <w:rPr>
          <w:szCs w:val="24"/>
        </w:rPr>
        <w:t>In this way</w:t>
      </w:r>
      <w:r w:rsidR="00225FE2" w:rsidRPr="00E22C4B">
        <w:rPr>
          <w:szCs w:val="24"/>
        </w:rPr>
        <w:t xml:space="preserve">, </w:t>
      </w:r>
      <w:r w:rsidR="009A2EE9">
        <w:rPr>
          <w:szCs w:val="24"/>
        </w:rPr>
        <w:t xml:space="preserve">a class-based double standard in child custody law was made possible by the peculiar structure </w:t>
      </w:r>
      <w:r w:rsidR="00225FE2" w:rsidRPr="00E22C4B">
        <w:rPr>
          <w:szCs w:val="24"/>
        </w:rPr>
        <w:t>of the juridical state. By the 1920s, however, this class-stratified approach to ju</w:t>
      </w:r>
      <w:r w:rsidR="0045284D">
        <w:rPr>
          <w:szCs w:val="24"/>
        </w:rPr>
        <w:t>stice was coming under pressure a</w:t>
      </w:r>
      <w:r w:rsidR="00225FE2" w:rsidRPr="00E22C4B">
        <w:rPr>
          <w:szCs w:val="24"/>
        </w:rPr>
        <w:t xml:space="preserve">mid the political and industrial conflicts </w:t>
      </w:r>
      <w:r w:rsidR="0045284D" w:rsidRPr="00E22C4B">
        <w:rPr>
          <w:szCs w:val="24"/>
        </w:rPr>
        <w:t>in a self-consciously democratic age</w:t>
      </w:r>
      <w:r w:rsidR="0045284D">
        <w:rPr>
          <w:szCs w:val="24"/>
        </w:rPr>
        <w:t>.</w:t>
      </w:r>
      <w:r w:rsidR="00225FE2" w:rsidRPr="00E22C4B">
        <w:rPr>
          <w:szCs w:val="24"/>
        </w:rPr>
        <w:t xml:space="preserve"> I</w:t>
      </w:r>
      <w:r w:rsidR="0045284D">
        <w:rPr>
          <w:szCs w:val="24"/>
        </w:rPr>
        <w:t>n 1922</w:t>
      </w:r>
      <w:r w:rsidR="00225FE2" w:rsidRPr="00E22C4B">
        <w:rPr>
          <w:szCs w:val="24"/>
        </w:rPr>
        <w:t xml:space="preserve"> the Permanent Secretary in the Lord Chancellor’s Office said that he ‘should extremely deplore the idea or the practice that the children of one particular class of persons should be dealt with in the High Court and another class in another kind of Court’.</w:t>
      </w:r>
      <w:r w:rsidR="00225FE2" w:rsidRPr="00E22C4B">
        <w:rPr>
          <w:rStyle w:val="FootnoteReference"/>
          <w:rFonts w:eastAsia="MS Mincho"/>
          <w:szCs w:val="24"/>
        </w:rPr>
        <w:footnoteReference w:id="154"/>
      </w:r>
      <w:r w:rsidR="00225FE2" w:rsidRPr="00E22C4B">
        <w:rPr>
          <w:szCs w:val="24"/>
        </w:rPr>
        <w:t xml:space="preserve"> Such talk remained platitudinous: it was the 1920 Administration of Justice Act (which allowed divorce cases to be tried in the provinces by Assize judges), </w:t>
      </w:r>
      <w:r w:rsidR="0002230C">
        <w:rPr>
          <w:szCs w:val="24"/>
        </w:rPr>
        <w:t xml:space="preserve">the abolition of the poor law, </w:t>
      </w:r>
      <w:r w:rsidR="00225FE2" w:rsidRPr="00E22C4B">
        <w:rPr>
          <w:szCs w:val="24"/>
        </w:rPr>
        <w:t xml:space="preserve">the extension of the procedure </w:t>
      </w:r>
      <w:r w:rsidR="0002230C">
        <w:rPr>
          <w:szCs w:val="24"/>
        </w:rPr>
        <w:t xml:space="preserve">to help the poor with legal costs </w:t>
      </w:r>
      <w:r w:rsidR="00225FE2" w:rsidRPr="00E22C4B">
        <w:rPr>
          <w:szCs w:val="24"/>
        </w:rPr>
        <w:t xml:space="preserve">in 1914, and then the introduction of legal aid in 1949, that </w:t>
      </w:r>
      <w:r w:rsidR="009A2EE9">
        <w:rPr>
          <w:szCs w:val="24"/>
        </w:rPr>
        <w:t>began to</w:t>
      </w:r>
      <w:r w:rsidR="00225FE2" w:rsidRPr="00E22C4B">
        <w:rPr>
          <w:szCs w:val="24"/>
        </w:rPr>
        <w:t xml:space="preserve"> undermine the class-stratified</w:t>
      </w:r>
      <w:r w:rsidR="009A2EE9">
        <w:rPr>
          <w:szCs w:val="24"/>
        </w:rPr>
        <w:t xml:space="preserve"> legal</w:t>
      </w:r>
      <w:r w:rsidR="00225FE2" w:rsidRPr="00E22C4B">
        <w:rPr>
          <w:szCs w:val="24"/>
        </w:rPr>
        <w:t xml:space="preserve"> structure that had emerged in the nineteenth century</w:t>
      </w:r>
      <w:r w:rsidR="009A2EE9">
        <w:rPr>
          <w:szCs w:val="24"/>
        </w:rPr>
        <w:t>, but the process remains incomplete</w:t>
      </w:r>
      <w:r w:rsidR="00225FE2" w:rsidRPr="00E22C4B">
        <w:rPr>
          <w:szCs w:val="24"/>
        </w:rPr>
        <w:t>.</w:t>
      </w:r>
      <w:r w:rsidR="00225FE2" w:rsidRPr="00E22C4B">
        <w:rPr>
          <w:rStyle w:val="FootnoteReference"/>
          <w:rFonts w:eastAsia="MS Mincho"/>
          <w:szCs w:val="24"/>
        </w:rPr>
        <w:footnoteReference w:id="155"/>
      </w:r>
    </w:p>
    <w:p w14:paraId="635FE25E" w14:textId="77777777" w:rsidR="004559A7" w:rsidRPr="004559A7" w:rsidRDefault="004559A7" w:rsidP="006F4BB1">
      <w:pPr>
        <w:pStyle w:val="Ben1"/>
      </w:pPr>
    </w:p>
    <w:p w14:paraId="1573BB7C" w14:textId="4C18A791" w:rsidR="0074442F" w:rsidRPr="00B92C58" w:rsidRDefault="0079415B" w:rsidP="00B92C58">
      <w:pPr>
        <w:pStyle w:val="Ben1"/>
        <w:jc w:val="center"/>
      </w:pPr>
      <w:r>
        <w:t>VII</w:t>
      </w:r>
    </w:p>
    <w:p w14:paraId="29DF718E" w14:textId="314BF073" w:rsidR="0074442F" w:rsidRDefault="0074442F" w:rsidP="006F4BB1">
      <w:pPr>
        <w:pStyle w:val="Ben1"/>
      </w:pPr>
    </w:p>
    <w:p w14:paraId="219E15FB" w14:textId="559C2611" w:rsidR="002E5F91" w:rsidRDefault="00E303B1" w:rsidP="00E303B1">
      <w:pPr>
        <w:pStyle w:val="Ben1"/>
        <w:rPr>
          <w:szCs w:val="24"/>
        </w:rPr>
      </w:pPr>
      <w:r w:rsidRPr="00774D23">
        <w:rPr>
          <w:szCs w:val="24"/>
        </w:rPr>
        <w:lastRenderedPageBreak/>
        <w:t>The</w:t>
      </w:r>
      <w:r>
        <w:rPr>
          <w:szCs w:val="24"/>
        </w:rPr>
        <w:t xml:space="preserve"> two most famous child custody cases of the nineteenth century, the</w:t>
      </w:r>
      <w:r w:rsidRPr="00774D23">
        <w:rPr>
          <w:szCs w:val="24"/>
        </w:rPr>
        <w:t xml:space="preserve"> Agar-Ellis cases of 1878 and 1883</w:t>
      </w:r>
      <w:r>
        <w:rPr>
          <w:szCs w:val="24"/>
        </w:rPr>
        <w:t>,</w:t>
      </w:r>
      <w:r w:rsidRPr="00774D23">
        <w:rPr>
          <w:szCs w:val="24"/>
        </w:rPr>
        <w:t xml:space="preserve"> are frequently cited </w:t>
      </w:r>
      <w:r>
        <w:rPr>
          <w:szCs w:val="24"/>
        </w:rPr>
        <w:t xml:space="preserve">by </w:t>
      </w:r>
      <w:r w:rsidR="00536C5A">
        <w:rPr>
          <w:szCs w:val="24"/>
        </w:rPr>
        <w:t xml:space="preserve">lawyers and </w:t>
      </w:r>
      <w:r>
        <w:rPr>
          <w:szCs w:val="24"/>
        </w:rPr>
        <w:t xml:space="preserve">historians </w:t>
      </w:r>
      <w:r w:rsidRPr="00774D23">
        <w:rPr>
          <w:szCs w:val="24"/>
        </w:rPr>
        <w:t>as a simple statement of the law in the nineteenth century.</w:t>
      </w:r>
      <w:r w:rsidRPr="00774D23">
        <w:rPr>
          <w:rStyle w:val="FootnoteReference"/>
          <w:szCs w:val="24"/>
        </w:rPr>
        <w:footnoteReference w:id="156"/>
      </w:r>
      <w:r w:rsidRPr="00774D23">
        <w:rPr>
          <w:szCs w:val="24"/>
        </w:rPr>
        <w:t xml:space="preserve"> </w:t>
      </w:r>
      <w:r>
        <w:rPr>
          <w:szCs w:val="24"/>
        </w:rPr>
        <w:t>W</w:t>
      </w:r>
      <w:r w:rsidRPr="00774D23">
        <w:rPr>
          <w:szCs w:val="24"/>
        </w:rPr>
        <w:t xml:space="preserve">e </w:t>
      </w:r>
      <w:r>
        <w:rPr>
          <w:szCs w:val="24"/>
        </w:rPr>
        <w:t>have</w:t>
      </w:r>
      <w:r w:rsidRPr="00774D23">
        <w:rPr>
          <w:szCs w:val="24"/>
        </w:rPr>
        <w:t xml:space="preserve"> see</w:t>
      </w:r>
      <w:r>
        <w:rPr>
          <w:szCs w:val="24"/>
        </w:rPr>
        <w:t>n</w:t>
      </w:r>
      <w:r w:rsidRPr="00774D23">
        <w:rPr>
          <w:szCs w:val="24"/>
        </w:rPr>
        <w:t xml:space="preserve"> that </w:t>
      </w:r>
      <w:r w:rsidR="001F68A2">
        <w:rPr>
          <w:szCs w:val="24"/>
        </w:rPr>
        <w:t xml:space="preserve">they </w:t>
      </w:r>
      <w:r w:rsidR="001F68A2" w:rsidRPr="00774D23">
        <w:rPr>
          <w:szCs w:val="24"/>
        </w:rPr>
        <w:t>were no such thing</w:t>
      </w:r>
      <w:r w:rsidR="001F68A2">
        <w:rPr>
          <w:szCs w:val="24"/>
        </w:rPr>
        <w:t>, but</w:t>
      </w:r>
      <w:r w:rsidRPr="00774D23">
        <w:rPr>
          <w:szCs w:val="24"/>
        </w:rPr>
        <w:t xml:space="preserve"> a short-lived backlash against trends threatening paternal rights</w:t>
      </w:r>
      <w:r w:rsidR="001F68A2">
        <w:rPr>
          <w:szCs w:val="24"/>
        </w:rPr>
        <w:t xml:space="preserve"> –</w:t>
      </w:r>
      <w:r w:rsidRPr="00774D23">
        <w:rPr>
          <w:szCs w:val="24"/>
        </w:rPr>
        <w:t xml:space="preserve"> trends driven by processes of state formation. The 1878 judgement </w:t>
      </w:r>
      <w:r>
        <w:rPr>
          <w:szCs w:val="24"/>
        </w:rPr>
        <w:t xml:space="preserve">reaffirming a father’s right to determine his children’s religion </w:t>
      </w:r>
      <w:r w:rsidRPr="00774D23">
        <w:rPr>
          <w:szCs w:val="24"/>
        </w:rPr>
        <w:t>is best understood as an attempt to protect English law from</w:t>
      </w:r>
      <w:r w:rsidR="00513E27">
        <w:rPr>
          <w:szCs w:val="24"/>
        </w:rPr>
        <w:t xml:space="preserve"> Irish precedents: a product of the ambiguities o</w:t>
      </w:r>
      <w:r w:rsidRPr="00774D23">
        <w:rPr>
          <w:szCs w:val="24"/>
        </w:rPr>
        <w:t>f the 1801 Act of Union. The 1883 ruling</w:t>
      </w:r>
      <w:r>
        <w:rPr>
          <w:szCs w:val="24"/>
        </w:rPr>
        <w:t>, which</w:t>
      </w:r>
      <w:r w:rsidRPr="00E303B1">
        <w:rPr>
          <w:szCs w:val="24"/>
        </w:rPr>
        <w:t xml:space="preserve"> </w:t>
      </w:r>
      <w:r w:rsidRPr="00774D23">
        <w:rPr>
          <w:szCs w:val="24"/>
        </w:rPr>
        <w:t>insist</w:t>
      </w:r>
      <w:r>
        <w:rPr>
          <w:szCs w:val="24"/>
        </w:rPr>
        <w:t>ed</w:t>
      </w:r>
      <w:r w:rsidRPr="00774D23">
        <w:rPr>
          <w:szCs w:val="24"/>
        </w:rPr>
        <w:t xml:space="preserve"> that unless the child’s life or morals were in serious peril no court should second-guess </w:t>
      </w:r>
      <w:r>
        <w:rPr>
          <w:szCs w:val="24"/>
        </w:rPr>
        <w:t>a father,</w:t>
      </w:r>
      <w:r w:rsidRPr="00774D23">
        <w:rPr>
          <w:szCs w:val="24"/>
        </w:rPr>
        <w:t xml:space="preserve"> is best seen as a</w:t>
      </w:r>
      <w:r w:rsidR="00055A68">
        <w:rPr>
          <w:szCs w:val="24"/>
        </w:rPr>
        <w:t>n</w:t>
      </w:r>
      <w:r w:rsidRPr="00774D23">
        <w:rPr>
          <w:szCs w:val="24"/>
        </w:rPr>
        <w:t xml:space="preserve"> attempt by common lawyers to resist </w:t>
      </w:r>
      <w:r w:rsidR="00055A68">
        <w:rPr>
          <w:szCs w:val="24"/>
        </w:rPr>
        <w:t>the Judicature Acts’ efforts</w:t>
      </w:r>
      <w:r w:rsidRPr="00774D23">
        <w:rPr>
          <w:szCs w:val="24"/>
        </w:rPr>
        <w:t xml:space="preserve"> to </w:t>
      </w:r>
      <w:r w:rsidR="00055A68">
        <w:rPr>
          <w:szCs w:val="24"/>
        </w:rPr>
        <w:t>give priority to equity where it came into conflict with law</w:t>
      </w:r>
      <w:r w:rsidRPr="00774D23">
        <w:rPr>
          <w:szCs w:val="24"/>
        </w:rPr>
        <w:t>.</w:t>
      </w:r>
      <w:r w:rsidRPr="00774D23">
        <w:rPr>
          <w:rStyle w:val="FootnoteReference"/>
          <w:szCs w:val="24"/>
        </w:rPr>
        <w:footnoteReference w:id="157"/>
      </w:r>
      <w:r w:rsidRPr="00774D23">
        <w:rPr>
          <w:szCs w:val="24"/>
        </w:rPr>
        <w:t xml:space="preserve"> </w:t>
      </w:r>
      <w:r w:rsidR="002E5F91">
        <w:rPr>
          <w:szCs w:val="24"/>
        </w:rPr>
        <w:t>What broader lessons can be derived from this story?</w:t>
      </w:r>
    </w:p>
    <w:p w14:paraId="3F8E3E91" w14:textId="3CF5E948" w:rsidR="00E303B1" w:rsidRPr="00774D23" w:rsidRDefault="002E5F91" w:rsidP="00E303B1">
      <w:pPr>
        <w:pStyle w:val="Ben1"/>
        <w:rPr>
          <w:szCs w:val="24"/>
        </w:rPr>
      </w:pPr>
      <w:r>
        <w:rPr>
          <w:szCs w:val="24"/>
        </w:rPr>
        <w:t>First, we have seen that the laws underpinning the gender order were radically unstable, and constantly being reconstructed in the act of adjudication</w:t>
      </w:r>
      <w:r w:rsidR="00E303B1" w:rsidRPr="00774D23">
        <w:rPr>
          <w:szCs w:val="24"/>
        </w:rPr>
        <w:t>.</w:t>
      </w:r>
      <w:r>
        <w:rPr>
          <w:szCs w:val="24"/>
        </w:rPr>
        <w:t xml:space="preserve"> Such coherence as the law possessed was </w:t>
      </w:r>
      <w:r w:rsidR="00586CDF">
        <w:rPr>
          <w:szCs w:val="24"/>
        </w:rPr>
        <w:t>not derived simply from adherence to precedents:</w:t>
      </w:r>
      <w:r w:rsidR="00586CDF" w:rsidRPr="00586CDF">
        <w:rPr>
          <w:szCs w:val="24"/>
        </w:rPr>
        <w:t xml:space="preserve"> </w:t>
      </w:r>
      <w:r w:rsidR="00586CDF">
        <w:rPr>
          <w:szCs w:val="24"/>
        </w:rPr>
        <w:t>in the course of this investigation we have seen many instances of how the same cases could be cited in support of radically different positions (witness the history of the concept of ‘marital duty’). Coherence also derived</w:t>
      </w:r>
      <w:r>
        <w:rPr>
          <w:szCs w:val="24"/>
        </w:rPr>
        <w:t xml:space="preserve"> from the consistency with which judges drew upon a particular set of ideas about paternity</w:t>
      </w:r>
      <w:r w:rsidR="00653213">
        <w:rPr>
          <w:szCs w:val="24"/>
        </w:rPr>
        <w:t>, childhood</w:t>
      </w:r>
      <w:r>
        <w:rPr>
          <w:szCs w:val="24"/>
        </w:rPr>
        <w:t xml:space="preserve"> and male domestic authority</w:t>
      </w:r>
      <w:r w:rsidR="00586CDF" w:rsidRPr="00586CDF">
        <w:rPr>
          <w:szCs w:val="24"/>
        </w:rPr>
        <w:t xml:space="preserve"> </w:t>
      </w:r>
      <w:r w:rsidR="00586CDF">
        <w:rPr>
          <w:szCs w:val="24"/>
        </w:rPr>
        <w:t>as they sought to construct a coherent doctrine from the relevant case law.</w:t>
      </w:r>
      <w:r>
        <w:rPr>
          <w:szCs w:val="24"/>
        </w:rPr>
        <w:t xml:space="preserve"> Th</w:t>
      </w:r>
      <w:r w:rsidR="00586CDF">
        <w:rPr>
          <w:szCs w:val="24"/>
        </w:rPr>
        <w:t>is</w:t>
      </w:r>
      <w:r>
        <w:rPr>
          <w:szCs w:val="24"/>
        </w:rPr>
        <w:t xml:space="preserve"> intellectual work by judges must lie at the heart of explanations for the persistence of sexual inequalities in the face of the many transformations that the law underwent during the long nineteenth </w:t>
      </w:r>
      <w:r>
        <w:rPr>
          <w:szCs w:val="24"/>
        </w:rPr>
        <w:lastRenderedPageBreak/>
        <w:t xml:space="preserve">century. </w:t>
      </w:r>
      <w:r w:rsidR="005E42E3">
        <w:rPr>
          <w:szCs w:val="24"/>
        </w:rPr>
        <w:t>Any history of the law must therefore also be a history of</w:t>
      </w:r>
      <w:r w:rsidR="00220B8A">
        <w:rPr>
          <w:szCs w:val="24"/>
        </w:rPr>
        <w:t xml:space="preserve"> historically </w:t>
      </w:r>
      <w:r w:rsidR="00843506">
        <w:rPr>
          <w:szCs w:val="24"/>
        </w:rPr>
        <w:t>specific</w:t>
      </w:r>
      <w:r w:rsidR="005E42E3">
        <w:rPr>
          <w:szCs w:val="24"/>
        </w:rPr>
        <w:t xml:space="preserve"> judicial mentalities.</w:t>
      </w:r>
    </w:p>
    <w:p w14:paraId="11F8B58F" w14:textId="16BFBC11" w:rsidR="00A764FD" w:rsidRDefault="003848EC" w:rsidP="006F4BB1">
      <w:pPr>
        <w:pStyle w:val="Ben1"/>
      </w:pPr>
      <w:r>
        <w:t xml:space="preserve">Second, </w:t>
      </w:r>
      <w:r w:rsidR="00A764FD">
        <w:t>we have charted how paternal rights were undermined by two forces: a growing awareness of the autonomy of c</w:t>
      </w:r>
      <w:r w:rsidR="00B604F9">
        <w:t>hildren, which developed out of an evangelical emphasis on the sanctity of the individual’s relationship with God</w:t>
      </w:r>
      <w:r w:rsidR="00A764FD">
        <w:t xml:space="preserve">; and a growing belief that paternal rights ought to be contingent on </w:t>
      </w:r>
      <w:r w:rsidR="00B604F9">
        <w:t>fathers’</w:t>
      </w:r>
      <w:r w:rsidR="00A764FD">
        <w:t xml:space="preserve"> behaviour towards </w:t>
      </w:r>
      <w:r w:rsidR="00B604F9">
        <w:t xml:space="preserve">their </w:t>
      </w:r>
      <w:r w:rsidR="00A764FD">
        <w:t>spouses.</w:t>
      </w:r>
      <w:r w:rsidR="00B604F9">
        <w:t xml:space="preserve"> Both struck at the heart of a public doctrine which held that wives and children ought to subordinate their wills to that of the male head of household.</w:t>
      </w:r>
      <w:r w:rsidR="00A26FA5">
        <w:t xml:space="preserve"> Neither position represented an advance towards a recognition of inalienable maternal rights or sexual equality.</w:t>
      </w:r>
    </w:p>
    <w:p w14:paraId="5F13D534" w14:textId="4C052832" w:rsidR="00235480" w:rsidRDefault="00A26FA5" w:rsidP="001E4846">
      <w:pPr>
        <w:pStyle w:val="Ben1"/>
      </w:pPr>
      <w:r>
        <w:t xml:space="preserve">Third, </w:t>
      </w:r>
      <w:r w:rsidR="00235480">
        <w:t>the project to fuse law and equity in the 1870s has been highlighted as a particularly significant moment in nineteenth-century gender politics. Once again the argument could be extended further, because it was at exactly this time that campaigns to secure property rights for married women highlighted divergences between law and equity. The task of interpreting the 1882 Married Women’s Property Act fell to the protagonists discussed above – notably Esher and Lindley.</w:t>
      </w:r>
      <w:r w:rsidR="00235480">
        <w:rPr>
          <w:rStyle w:val="FootnoteReference"/>
        </w:rPr>
        <w:footnoteReference w:id="158"/>
      </w:r>
      <w:r w:rsidR="00235480">
        <w:t xml:space="preserve"> Those cases, which perpetuated the peculiar status of married women’s property, now deserve reconsideration.</w:t>
      </w:r>
    </w:p>
    <w:p w14:paraId="4654DD90" w14:textId="68E13BFE" w:rsidR="005E42E3" w:rsidRDefault="00235480" w:rsidP="00235480">
      <w:pPr>
        <w:pStyle w:val="Ben1"/>
      </w:pPr>
      <w:r>
        <w:t xml:space="preserve">Fourth, </w:t>
      </w:r>
      <w:r w:rsidR="00710B82">
        <w:t>we have seen that t</w:t>
      </w:r>
      <w:r w:rsidR="00055A68">
        <w:t xml:space="preserve">he two unions created uncertain relationships between the four nations which unsettled </w:t>
      </w:r>
      <w:r w:rsidR="0058386B">
        <w:t xml:space="preserve">aspects of the gender order: </w:t>
      </w:r>
      <w:r w:rsidR="00055A68">
        <w:t xml:space="preserve">parental rights </w:t>
      </w:r>
      <w:r w:rsidR="00171AD3">
        <w:t>and</w:t>
      </w:r>
      <w:r w:rsidR="005E42E3">
        <w:t xml:space="preserve"> divorce law</w:t>
      </w:r>
      <w:r w:rsidR="008D523A">
        <w:t>. A</w:t>
      </w:r>
      <w:r w:rsidR="005E42E3">
        <w:t xml:space="preserve"> similar point could be made about the constructive tension between English and Scottish law in the debates on </w:t>
      </w:r>
      <w:r w:rsidR="00287B08">
        <w:t>matrimonial p</w:t>
      </w:r>
      <w:r w:rsidR="005E42E3">
        <w:t>roperty</w:t>
      </w:r>
      <w:r w:rsidR="00287B08">
        <w:t xml:space="preserve"> law in</w:t>
      </w:r>
      <w:r w:rsidR="005E42E3">
        <w:t xml:space="preserve"> the 1880s.</w:t>
      </w:r>
      <w:r w:rsidR="00F01B77">
        <w:rPr>
          <w:rStyle w:val="FootnoteReference"/>
        </w:rPr>
        <w:footnoteReference w:id="159"/>
      </w:r>
      <w:r w:rsidR="00710B82">
        <w:t xml:space="preserve"> </w:t>
      </w:r>
      <w:r w:rsidR="000A664B">
        <w:t xml:space="preserve">This same tension remained </w:t>
      </w:r>
      <w:r w:rsidR="000B03EE">
        <w:t>an important driver of reform</w:t>
      </w:r>
      <w:r w:rsidR="000A664B">
        <w:t xml:space="preserve"> even into the late twentieth century, as Adrian </w:t>
      </w:r>
      <w:r w:rsidR="000A664B">
        <w:lastRenderedPageBreak/>
        <w:t>Williamson has shown in his study of the law regarding marital rape.</w:t>
      </w:r>
      <w:r w:rsidR="000A664B">
        <w:rPr>
          <w:rStyle w:val="FootnoteReference"/>
        </w:rPr>
        <w:footnoteReference w:id="160"/>
      </w:r>
      <w:r w:rsidR="000A664B">
        <w:t xml:space="preserve"> </w:t>
      </w:r>
      <w:r w:rsidR="00710B82">
        <w:t>This pattern of relationships is very different from that which existed between Britain and its imperial territories.</w:t>
      </w:r>
      <w:r w:rsidR="00710B82" w:rsidRPr="00710B82">
        <w:t xml:space="preserve"> </w:t>
      </w:r>
      <w:r w:rsidR="00710B82">
        <w:t>British laws influenced colonial law far more than colonial law affected English or Scottish law, and British judges rarely cited colonial precedents in the way that their colonial counterparts cited British judgements.</w:t>
      </w:r>
      <w:r w:rsidR="008D523A">
        <w:rPr>
          <w:rStyle w:val="FootnoteReference"/>
        </w:rPr>
        <w:footnoteReference w:id="161"/>
      </w:r>
      <w:r w:rsidR="00710B82">
        <w:t xml:space="preserve"> </w:t>
      </w:r>
      <w:r w:rsidR="001E4846">
        <w:t>T</w:t>
      </w:r>
      <w:r w:rsidR="00710B82">
        <w:t xml:space="preserve">he white settler colonies quickly copied </w:t>
      </w:r>
      <w:r w:rsidR="001E4846">
        <w:t>aspects of the 1886 Infants Act.</w:t>
      </w:r>
      <w:r w:rsidR="001E4846">
        <w:rPr>
          <w:rStyle w:val="FootnoteReference"/>
        </w:rPr>
        <w:footnoteReference w:id="162"/>
      </w:r>
      <w:r w:rsidR="001E4846" w:rsidRPr="001E4846">
        <w:t xml:space="preserve"> </w:t>
      </w:r>
      <w:r w:rsidR="001E4846">
        <w:t xml:space="preserve">This was partly </w:t>
      </w:r>
      <w:r w:rsidR="00470E6F">
        <w:t>because</w:t>
      </w:r>
      <w:r w:rsidR="001E4846">
        <w:t xml:space="preserve"> colonial lawyers associated professionalism with adherence to English models, and partly because colonial reformers wanted to benefit from the case law generated by British courts without needing to </w:t>
      </w:r>
      <w:r w:rsidR="00E02D07">
        <w:t>reinvent the wheel</w:t>
      </w:r>
      <w:r w:rsidR="001E4846">
        <w:t>.</w:t>
      </w:r>
      <w:r w:rsidR="001E4846">
        <w:rPr>
          <w:rStyle w:val="FootnoteReference"/>
        </w:rPr>
        <w:footnoteReference w:id="163"/>
      </w:r>
      <w:r w:rsidR="001E4846">
        <w:t xml:space="preserve"> But when (following the 1865 Colonial Laws Validity Act) colonial legislatures innovated, as when British Columbia gave mothers and fathers equal custody rights in 1917, metropolitan lawmakers never felt obliged to follow</w:t>
      </w:r>
      <w:r w:rsidR="009020B4">
        <w:t>: the empire was treated merely as a social laboratory offering</w:t>
      </w:r>
      <w:r w:rsidR="005B3A77">
        <w:t xml:space="preserve"> useful information – it did not set an agenda for reform.</w:t>
      </w:r>
      <w:r w:rsidR="002D5DEB">
        <w:rPr>
          <w:rStyle w:val="FootnoteReference"/>
        </w:rPr>
        <w:footnoteReference w:id="164"/>
      </w:r>
      <w:r w:rsidR="009020B4">
        <w:t xml:space="preserve"> This made</w:t>
      </w:r>
      <w:r w:rsidR="001E4846">
        <w:t xml:space="preserve"> the relationship between colonial law and English law qualitatively </w:t>
      </w:r>
      <w:r w:rsidR="001E4846">
        <w:lastRenderedPageBreak/>
        <w:t xml:space="preserve">different to the relationships between the laws of the home nations. Benton and Ford have described the British </w:t>
      </w:r>
      <w:r w:rsidR="00C96579">
        <w:t>Empire</w:t>
      </w:r>
      <w:r w:rsidR="001E4846">
        <w:t xml:space="preserve"> as having a ‘built-in structure of legal pluralism’; within this pluralism were asymmetric relations of influence.</w:t>
      </w:r>
      <w:r w:rsidR="001E4846">
        <w:rPr>
          <w:rStyle w:val="FootnoteReference"/>
        </w:rPr>
        <w:footnoteReference w:id="165"/>
      </w:r>
      <w:r w:rsidR="001E4846">
        <w:t xml:space="preserve"> One might therefore argue that</w:t>
      </w:r>
      <w:r w:rsidR="00710B82">
        <w:t xml:space="preserve"> the stability of the late-Victorian patriarchal settlement </w:t>
      </w:r>
      <w:r w:rsidR="001E4846">
        <w:t>rested on</w:t>
      </w:r>
      <w:r w:rsidR="00710B82">
        <w:t xml:space="preserve"> the ability of the British state to resist innovations elsewhere in the empire.</w:t>
      </w:r>
    </w:p>
    <w:p w14:paraId="35356706" w14:textId="4F947552" w:rsidR="0053648D" w:rsidRDefault="00E5313E" w:rsidP="00A26FA5">
      <w:pPr>
        <w:pStyle w:val="Ben1"/>
      </w:pPr>
      <w:r>
        <w:t>Finally, the account presented here has asked what the history of state formation would look like if we integrated dispute resolution through civil law into that story. Doing so underlines the significance of nineteenth-century reforms of the legal system, and emphasises</w:t>
      </w:r>
      <w:r w:rsidR="00F637FC">
        <w:t xml:space="preserve"> the complex anatomy of the patriarchal state</w:t>
      </w:r>
      <w:r>
        <w:t xml:space="preserve"> as</w:t>
      </w:r>
      <w:r w:rsidR="00441C8D">
        <w:t xml:space="preserve"> a </w:t>
      </w:r>
      <w:r w:rsidR="00220B8A">
        <w:t>series of sit</w:t>
      </w:r>
      <w:r w:rsidR="00C21FCF">
        <w:t>es in which gendered interests we</w:t>
      </w:r>
      <w:r w:rsidR="00220B8A">
        <w:t>re constructed and contested.</w:t>
      </w:r>
      <w:r w:rsidR="00220B8A">
        <w:rPr>
          <w:rStyle w:val="FootnoteReference"/>
        </w:rPr>
        <w:footnoteReference w:id="166"/>
      </w:r>
      <w:r w:rsidR="002870FE">
        <w:t xml:space="preserve"> The dynamic interactions between these sites could generate change independently of feminist protest or parliamentary activism.</w:t>
      </w:r>
      <w:r w:rsidR="00B052DD">
        <w:t xml:space="preserve"> </w:t>
      </w:r>
      <w:r w:rsidR="00C21FCF">
        <w:t xml:space="preserve">The complexity of this structure also facilitated a class politics in which the patriarchal privileges of poorer men were accorded a less secure status than those of the rich. </w:t>
      </w:r>
      <w:r w:rsidR="00B052DD">
        <w:t>We have followed two processes by which the state tried to move beyond the tangled webs</w:t>
      </w:r>
      <w:r w:rsidR="00E339FD">
        <w:t xml:space="preserve"> of authority</w:t>
      </w:r>
      <w:r w:rsidR="00B052DD">
        <w:t xml:space="preserve"> that characterized </w:t>
      </w:r>
      <w:r w:rsidR="00B052DD" w:rsidRPr="00201B63">
        <w:rPr>
          <w:i/>
        </w:rPr>
        <w:t>ancien</w:t>
      </w:r>
      <w:r w:rsidR="00B052DD" w:rsidRPr="00315133">
        <w:rPr>
          <w:i/>
        </w:rPr>
        <w:t xml:space="preserve"> </w:t>
      </w:r>
      <w:r w:rsidR="00B052DD">
        <w:rPr>
          <w:i/>
        </w:rPr>
        <w:t>regime</w:t>
      </w:r>
      <w:r w:rsidR="00B052DD">
        <w:t xml:space="preserve"> states: attempts to rationalise jurisdictional complexity within England, and attempts to harmonise laws between the three kingdoms of England and Wales, Scotland and Ireland. </w:t>
      </w:r>
      <w:r w:rsidR="00E339FD">
        <w:t xml:space="preserve">These two processes </w:t>
      </w:r>
      <w:r w:rsidR="00E339FD">
        <w:lastRenderedPageBreak/>
        <w:t>transformed the juridical state into its modern form during the nineteenth century, but they also unsettled paternal rights in a way that</w:t>
      </w:r>
      <w:r w:rsidR="00A9026B">
        <w:t xml:space="preserve"> required active management. The sexual inequalities confronted by the late Victorian women’s movement were not timeless</w:t>
      </w:r>
      <w:r w:rsidR="00B23A7C">
        <w:t xml:space="preserve"> prejudices or ancient laws, but modes of discrimination</w:t>
      </w:r>
      <w:r w:rsidR="00B23A7C" w:rsidRPr="00B23A7C">
        <w:t xml:space="preserve"> </w:t>
      </w:r>
      <w:r w:rsidR="00B23A7C">
        <w:t>recently reconstructed by a male judicial elite on whom historical judgement has been suspended for too long.</w:t>
      </w:r>
      <w:r w:rsidR="00C414AF">
        <w:rPr>
          <w:rStyle w:val="FootnoteReference"/>
        </w:rPr>
        <w:footnoteReference w:id="167"/>
      </w:r>
    </w:p>
    <w:p w14:paraId="3A6F42B1" w14:textId="2BBA2002" w:rsidR="00FA49D5" w:rsidRDefault="00FA49D5" w:rsidP="00E423BB">
      <w:pPr>
        <w:pStyle w:val="Ben1"/>
      </w:pPr>
    </w:p>
    <w:sectPr w:rsidR="00FA49D5">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Author" w:initials="A">
    <w:p w14:paraId="4071C5A8" w14:textId="1CAB0C37" w:rsidR="00B914E5" w:rsidRDefault="00B914E5">
      <w:pPr>
        <w:pStyle w:val="CommentText"/>
      </w:pPr>
      <w:r>
        <w:rPr>
          <w:rStyle w:val="CommentReference"/>
        </w:rPr>
        <w:annotationRef/>
      </w:r>
      <w:r>
        <w:t>Footnote needed.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071C5A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F70A41" w14:textId="77777777" w:rsidR="00B914E5" w:rsidRDefault="00B914E5" w:rsidP="006375FB">
      <w:r>
        <w:separator/>
      </w:r>
    </w:p>
  </w:endnote>
  <w:endnote w:type="continuationSeparator" w:id="0">
    <w:p w14:paraId="157B5DD7" w14:textId="77777777" w:rsidR="00B914E5" w:rsidRDefault="00B914E5" w:rsidP="006375FB">
      <w:r>
        <w:continuationSeparator/>
      </w:r>
    </w:p>
  </w:endnote>
  <w:endnote w:type="continuationNotice" w:id="1">
    <w:p w14:paraId="7A0987BA" w14:textId="77777777" w:rsidR="00B914E5" w:rsidRDefault="00B914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Kursiv">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B4BE17" w14:textId="77777777" w:rsidR="00B914E5" w:rsidRDefault="00B914E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19ED8E" w14:textId="77777777" w:rsidR="00B914E5" w:rsidRDefault="00B914E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BFE9BE" w14:textId="77777777" w:rsidR="00B914E5" w:rsidRDefault="00B914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A71507" w14:textId="77777777" w:rsidR="00B914E5" w:rsidRDefault="00B914E5" w:rsidP="006375FB">
      <w:r>
        <w:separator/>
      </w:r>
    </w:p>
  </w:footnote>
  <w:footnote w:type="continuationSeparator" w:id="0">
    <w:p w14:paraId="7B8B6C67" w14:textId="77777777" w:rsidR="00B914E5" w:rsidRDefault="00B914E5" w:rsidP="006375FB">
      <w:r>
        <w:continuationSeparator/>
      </w:r>
    </w:p>
  </w:footnote>
  <w:footnote w:type="continuationNotice" w:id="1">
    <w:p w14:paraId="312F389D" w14:textId="77777777" w:rsidR="00B914E5" w:rsidRDefault="00B914E5"/>
  </w:footnote>
  <w:footnote w:id="2">
    <w:p w14:paraId="54D60D70" w14:textId="3BBFBB1F" w:rsidR="00B914E5" w:rsidRPr="002B136E" w:rsidRDefault="00B914E5" w:rsidP="00873D52">
      <w:pPr>
        <w:pStyle w:val="FootnoteText"/>
      </w:pPr>
      <w:r>
        <w:rPr>
          <w:rStyle w:val="FootnoteReference"/>
        </w:rPr>
        <w:footnoteRef/>
      </w:r>
      <w:r>
        <w:t xml:space="preserve"> The literature on legal indeterminacy is enormous. I have been particularly influenced by the following: Joseph William Singer, ‘The player and the cards: nihilism and legal theory’, </w:t>
      </w:r>
      <w:r>
        <w:rPr>
          <w:i/>
        </w:rPr>
        <w:t xml:space="preserve">Yale Law </w:t>
      </w:r>
      <w:r w:rsidRPr="00C414AF">
        <w:t>Journal</w:t>
      </w:r>
      <w:r>
        <w:t xml:space="preserve"> 94.1 (1984), pp. 1–70; </w:t>
      </w:r>
      <w:r w:rsidRPr="00C414AF">
        <w:t>Ken</w:t>
      </w:r>
      <w:r>
        <w:t xml:space="preserve"> Kress, ‘Legal indeterminacy’, </w:t>
      </w:r>
      <w:r>
        <w:rPr>
          <w:i/>
        </w:rPr>
        <w:t>California Law Review</w:t>
      </w:r>
      <w:r>
        <w:t xml:space="preserve"> 77 (1989), pp. 283–337; William Twining and David Miers, </w:t>
      </w:r>
      <w:r>
        <w:rPr>
          <w:i/>
        </w:rPr>
        <w:t>How to do things with rules</w:t>
      </w:r>
      <w:r>
        <w:t xml:space="preserve"> (4</w:t>
      </w:r>
      <w:r w:rsidRPr="003E4F25">
        <w:rPr>
          <w:vertAlign w:val="superscript"/>
        </w:rPr>
        <w:t>th</w:t>
      </w:r>
      <w:r>
        <w:t xml:space="preserve"> ed., Cambridge, 1999); Stefanie Lindquist and Frank B. Cross, ‘Empirically testing Dworkin’s chain novel theory: studying the path of precedent’, </w:t>
      </w:r>
      <w:r>
        <w:rPr>
          <w:i/>
        </w:rPr>
        <w:t xml:space="preserve">New York University Law Review </w:t>
      </w:r>
      <w:r>
        <w:t xml:space="preserve"> 80 (2005), pp. 1156–1206; Jeremy Waldron, ‘Did Dworkin ever answer the crits?’ in Scott Hershovitz, ed., </w:t>
      </w:r>
      <w:r>
        <w:rPr>
          <w:i/>
        </w:rPr>
        <w:t xml:space="preserve">Exploring law’s empire: the jurisprudence of Ronald Dworkin </w:t>
      </w:r>
      <w:r>
        <w:t>(Oxford, 2006), pp. 155–82;</w:t>
      </w:r>
      <w:r w:rsidRPr="00244616">
        <w:t xml:space="preserve"> </w:t>
      </w:r>
      <w:r>
        <w:t xml:space="preserve">Neil Duxbury, </w:t>
      </w:r>
      <w:r>
        <w:rPr>
          <w:i/>
        </w:rPr>
        <w:t xml:space="preserve">The nature and authority of precedent </w:t>
      </w:r>
      <w:r>
        <w:t xml:space="preserve">(Cambridge, 2008); Brian Z. Tamanaha, </w:t>
      </w:r>
      <w:r>
        <w:rPr>
          <w:i/>
        </w:rPr>
        <w:t xml:space="preserve">Beyond the formalist-realist divide: the role of politics in judging </w:t>
      </w:r>
      <w:r>
        <w:t xml:space="preserve">(Princeton, 2010); Rosemary C. Hunter, Clare McGlynn and Erika Rackley, </w:t>
      </w:r>
      <w:r>
        <w:rPr>
          <w:i/>
        </w:rPr>
        <w:t xml:space="preserve">Feminist judgements: from theory to practice </w:t>
      </w:r>
      <w:r>
        <w:t xml:space="preserve">(Oxford, 2010); </w:t>
      </w:r>
      <w:r w:rsidRPr="00FA15EF">
        <w:t>Joanne Conaghan</w:t>
      </w:r>
      <w:r>
        <w:t xml:space="preserve">, </w:t>
      </w:r>
      <w:r w:rsidRPr="00244616">
        <w:rPr>
          <w:i/>
        </w:rPr>
        <w:t xml:space="preserve">Law and </w:t>
      </w:r>
      <w:r>
        <w:rPr>
          <w:i/>
        </w:rPr>
        <w:t>g</w:t>
      </w:r>
      <w:r w:rsidRPr="00244616">
        <w:rPr>
          <w:i/>
        </w:rPr>
        <w:t xml:space="preserve">ender </w:t>
      </w:r>
      <w:r>
        <w:t>(Oxford, 2013).</w:t>
      </w:r>
    </w:p>
  </w:footnote>
  <w:footnote w:id="3">
    <w:p w14:paraId="044B98E1" w14:textId="043234E1" w:rsidR="00B914E5" w:rsidRPr="00C337DB" w:rsidRDefault="00B914E5" w:rsidP="00CD1BCF">
      <w:pPr>
        <w:pStyle w:val="FootnoteText"/>
      </w:pPr>
      <w:r>
        <w:rPr>
          <w:rStyle w:val="FootnoteReference"/>
        </w:rPr>
        <w:footnoteRef/>
      </w:r>
      <w:r>
        <w:t xml:space="preserve"> Michael Lobban, </w:t>
      </w:r>
      <w:r>
        <w:rPr>
          <w:i/>
        </w:rPr>
        <w:t>The common law and English jurisprudence, 1760</w:t>
      </w:r>
      <w:r>
        <w:t>–</w:t>
      </w:r>
      <w:r>
        <w:rPr>
          <w:i/>
        </w:rPr>
        <w:t xml:space="preserve">1820 </w:t>
      </w:r>
      <w:r>
        <w:t xml:space="preserve">(Oxford, 1991); Julia Rudolph, </w:t>
      </w:r>
      <w:r>
        <w:rPr>
          <w:i/>
        </w:rPr>
        <w:t>Common law and Enlightenment in England, 1689</w:t>
      </w:r>
      <w:r>
        <w:t>–</w:t>
      </w:r>
      <w:r>
        <w:rPr>
          <w:i/>
        </w:rPr>
        <w:t xml:space="preserve">1750 </w:t>
      </w:r>
      <w:r>
        <w:t>(Woodbridge, 2013).</w:t>
      </w:r>
    </w:p>
  </w:footnote>
  <w:footnote w:id="4">
    <w:p w14:paraId="7DADA581" w14:textId="0920E5F2" w:rsidR="00B914E5" w:rsidRPr="004B2B2C" w:rsidRDefault="00B914E5">
      <w:pPr>
        <w:pStyle w:val="FootnoteText"/>
      </w:pPr>
      <w:r>
        <w:rPr>
          <w:rStyle w:val="FootnoteReference"/>
        </w:rPr>
        <w:footnoteRef/>
      </w:r>
      <w:r>
        <w:t xml:space="preserve"> Tim Stretton, ‘Coverture and unity of person in Blackstone’s </w:t>
      </w:r>
      <w:r>
        <w:rPr>
          <w:i/>
        </w:rPr>
        <w:t>Commentaries</w:t>
      </w:r>
      <w:r>
        <w:t xml:space="preserve">’ in Wilfrid Prest, ed., </w:t>
      </w:r>
      <w:r>
        <w:rPr>
          <w:i/>
        </w:rPr>
        <w:t xml:space="preserve">Blackstone and his </w:t>
      </w:r>
      <w:r w:rsidRPr="00F70E3F">
        <w:rPr>
          <w:i/>
        </w:rPr>
        <w:t>Commentaries</w:t>
      </w:r>
      <w:r>
        <w:rPr>
          <w:i/>
        </w:rPr>
        <w:t xml:space="preserve">: biography, law, history </w:t>
      </w:r>
      <w:r>
        <w:t xml:space="preserve">(Oxford, 2009), pp. 111–27; Tim Stretton and Krista J. Kesselring, </w:t>
      </w:r>
      <w:r>
        <w:rPr>
          <w:i/>
        </w:rPr>
        <w:t>Married women and the law: coverture in England and the common law world</w:t>
      </w:r>
      <w:r>
        <w:t xml:space="preserve"> (Quebec, 2013), pp. 3–23.</w:t>
      </w:r>
    </w:p>
  </w:footnote>
  <w:footnote w:id="5">
    <w:p w14:paraId="083CAC3B" w14:textId="243416E9" w:rsidR="00B914E5" w:rsidRPr="00AB386D" w:rsidRDefault="00B914E5">
      <w:pPr>
        <w:pStyle w:val="FootnoteText"/>
      </w:pPr>
      <w:r>
        <w:rPr>
          <w:rStyle w:val="FootnoteReference"/>
        </w:rPr>
        <w:footnoteRef/>
      </w:r>
      <w:r>
        <w:t xml:space="preserve"> Steve Hedley, ‘Words, words, words: making sense of legal judgements, 1875–1940’ in Chantal Stebbings, ed., </w:t>
      </w:r>
      <w:r>
        <w:rPr>
          <w:i/>
        </w:rPr>
        <w:t>Law reporting in Britain</w:t>
      </w:r>
      <w:r>
        <w:t xml:space="preserve"> (1995), pp. 169–86; William Cornish, ‘Sources of law’ in </w:t>
      </w:r>
      <w:r>
        <w:rPr>
          <w:i/>
        </w:rPr>
        <w:t xml:space="preserve">The Oxford History of the Laws of England </w:t>
      </w:r>
      <w:r w:rsidRPr="00AB386D">
        <w:t xml:space="preserve">[hereafter </w:t>
      </w:r>
      <w:r>
        <w:rPr>
          <w:i/>
        </w:rPr>
        <w:t>OHLE</w:t>
      </w:r>
      <w:r>
        <w:t>]</w:t>
      </w:r>
      <w:r w:rsidRPr="00CD0894">
        <w:rPr>
          <w:i/>
        </w:rPr>
        <w:t xml:space="preserve">, </w:t>
      </w:r>
      <w:r>
        <w:rPr>
          <w:i/>
        </w:rPr>
        <w:t>vol. XI 1820</w:t>
      </w:r>
      <w:r>
        <w:t>–</w:t>
      </w:r>
      <w:r>
        <w:rPr>
          <w:i/>
        </w:rPr>
        <w:t>1914: English legal system</w:t>
      </w:r>
      <w:r>
        <w:t xml:space="preserve"> (Oxford, 2010), pp, 41–71. Jim Evans, ‘Change in the doctrine of precedent during the nineteenth century’ in Laurence Goldstein, </w:t>
      </w:r>
      <w:r>
        <w:rPr>
          <w:i/>
        </w:rPr>
        <w:t xml:space="preserve">Precedent in law </w:t>
      </w:r>
      <w:r>
        <w:t>(Oxford, 1987), pp. 35–72.</w:t>
      </w:r>
    </w:p>
  </w:footnote>
  <w:footnote w:id="6">
    <w:p w14:paraId="1886FD66" w14:textId="20E8CFD7" w:rsidR="00B914E5" w:rsidRPr="0002757A" w:rsidRDefault="00B914E5" w:rsidP="00367DCA">
      <w:pPr>
        <w:pStyle w:val="FootnoteText"/>
      </w:pPr>
      <w:r>
        <w:rPr>
          <w:rStyle w:val="FootnoteReference"/>
        </w:rPr>
        <w:footnoteRef/>
      </w:r>
      <w:r>
        <w:t xml:space="preserve"> E.g. Philip Harling, </w:t>
      </w:r>
      <w:r>
        <w:rPr>
          <w:i/>
        </w:rPr>
        <w:t xml:space="preserve">The modern British state: an historical </w:t>
      </w:r>
      <w:r w:rsidRPr="00C414AF">
        <w:t>introduction</w:t>
      </w:r>
      <w:r>
        <w:t xml:space="preserve"> (Cambridge, 2001); cf. </w:t>
      </w:r>
      <w:r w:rsidRPr="004C6AB6">
        <w:t xml:space="preserve">Margot Finn, ‘The authority of the law’ in Peter Mandler, ed., </w:t>
      </w:r>
      <w:r w:rsidRPr="004C6AB6">
        <w:rPr>
          <w:i/>
        </w:rPr>
        <w:t>Liberty and authority</w:t>
      </w:r>
      <w:r>
        <w:rPr>
          <w:i/>
        </w:rPr>
        <w:t xml:space="preserve"> in Victorian Britain </w:t>
      </w:r>
      <w:r>
        <w:t xml:space="preserve">(Oxford, 2006), pp. 159–78. The large literature on crime can be surveyed in V. A. C. Gatrell, ‘Crime, authority and the policeman-state’ in F. M. L. Thompson, </w:t>
      </w:r>
      <w:r>
        <w:rPr>
          <w:i/>
        </w:rPr>
        <w:t>The Cambridge social history of Britain, 1750</w:t>
      </w:r>
      <w:r>
        <w:t>–</w:t>
      </w:r>
      <w:r w:rsidRPr="00AF73D9">
        <w:rPr>
          <w:i/>
        </w:rPr>
        <w:t>1950, vol. 3: social agencies and institutions</w:t>
      </w:r>
      <w:r w:rsidRPr="00AF73D9">
        <w:t xml:space="preserve"> (Cambridge, 1993), pp. 243</w:t>
      </w:r>
      <w:r>
        <w:t>–</w:t>
      </w:r>
      <w:r w:rsidRPr="00AF73D9">
        <w:t xml:space="preserve">310. </w:t>
      </w:r>
      <w:r>
        <w:t xml:space="preserve">There are of course, exceptions to this sweeping generalisation, including Olive Anderson, </w:t>
      </w:r>
      <w:r w:rsidRPr="00795BCB">
        <w:t xml:space="preserve">‘The state, civil society and separation in Victorian marriage’, </w:t>
      </w:r>
      <w:r w:rsidRPr="00795BCB">
        <w:rPr>
          <w:i/>
          <w:iCs/>
        </w:rPr>
        <w:t>Past and Present</w:t>
      </w:r>
      <w:r>
        <w:t xml:space="preserve"> 163 (1998), pp.161–201; K. D. Ewing and C. A. Gearty, </w:t>
      </w:r>
      <w:r>
        <w:rPr>
          <w:i/>
        </w:rPr>
        <w:t xml:space="preserve">The struggle for civil liberties: political freedom and the rule of law in Britain, 1914–1945 </w:t>
      </w:r>
      <w:r>
        <w:t xml:space="preserve">(Oxford, 2000), and Michael Lobban, ‘Private law’ and the laissez-faire state’ in Martin Hewitt, ed., </w:t>
      </w:r>
      <w:r>
        <w:rPr>
          <w:i/>
        </w:rPr>
        <w:t>The Victorian World</w:t>
      </w:r>
      <w:r>
        <w:t xml:space="preserve"> (Abingdon, 2012) pp. 398–413.</w:t>
      </w:r>
    </w:p>
  </w:footnote>
  <w:footnote w:id="7">
    <w:p w14:paraId="23BC1F1A" w14:textId="0A409D95" w:rsidR="00B914E5" w:rsidRDefault="00B914E5">
      <w:pPr>
        <w:pStyle w:val="FootnoteText"/>
      </w:pPr>
      <w:r>
        <w:rPr>
          <w:rStyle w:val="FootnoteReference"/>
        </w:rPr>
        <w:footnoteRef/>
      </w:r>
      <w:r>
        <w:t xml:space="preserve"> R. W. Kostal, </w:t>
      </w:r>
      <w:r>
        <w:rPr>
          <w:i/>
        </w:rPr>
        <w:t xml:space="preserve">A jurisprudence of power: Victorian empire and the rule of law </w:t>
      </w:r>
      <w:r>
        <w:t xml:space="preserve">(Oxford, 2005), pp. 2, 95. Cf. P. Corrigan and D. Sayer, </w:t>
      </w:r>
      <w:r w:rsidRPr="0034698A">
        <w:rPr>
          <w:i/>
        </w:rPr>
        <w:t>T</w:t>
      </w:r>
      <w:r w:rsidRPr="009E2FB0">
        <w:rPr>
          <w:rStyle w:val="a-size-large"/>
          <w:i/>
        </w:rPr>
        <w:t>he great arch: state formation, cultural revolution and the rise of capitalism</w:t>
      </w:r>
      <w:r>
        <w:t xml:space="preserve"> (Oxford, 1985); Christopher W. Brooks, </w:t>
      </w:r>
      <w:r w:rsidRPr="005967DD">
        <w:rPr>
          <w:i/>
        </w:rPr>
        <w:t>Law, politics and society in early modern England</w:t>
      </w:r>
      <w:r>
        <w:t xml:space="preserve">, (Cambridge, 2008); James S. Hart, </w:t>
      </w:r>
      <w:r>
        <w:rPr>
          <w:i/>
        </w:rPr>
        <w:t>The rule of law, 1603</w:t>
      </w:r>
      <w:r>
        <w:t>–</w:t>
      </w:r>
      <w:r>
        <w:rPr>
          <w:i/>
        </w:rPr>
        <w:t xml:space="preserve">1660: crowns, courts and judges </w:t>
      </w:r>
      <w:r>
        <w:t>(Abingdon, 2003);</w:t>
      </w:r>
      <w:r>
        <w:rPr>
          <w:i/>
        </w:rPr>
        <w:t xml:space="preserve"> </w:t>
      </w:r>
      <w:r>
        <w:t xml:space="preserve">Craig Muldrew, </w:t>
      </w:r>
      <w:r w:rsidRPr="005967DD">
        <w:rPr>
          <w:rStyle w:val="fn"/>
          <w:i/>
        </w:rPr>
        <w:t>The economy of obligation</w:t>
      </w:r>
      <w:r w:rsidRPr="005967DD">
        <w:rPr>
          <w:i/>
        </w:rPr>
        <w:t xml:space="preserve">: </w:t>
      </w:r>
      <w:r w:rsidRPr="005967DD">
        <w:rPr>
          <w:rStyle w:val="Subtitle1"/>
          <w:i/>
        </w:rPr>
        <w:t>the culture of credit and social relations in early modern England</w:t>
      </w:r>
      <w:r>
        <w:rPr>
          <w:rStyle w:val="Subtitle1"/>
          <w:i/>
        </w:rPr>
        <w:t xml:space="preserve"> </w:t>
      </w:r>
      <w:r>
        <w:rPr>
          <w:rStyle w:val="Subtitle1"/>
        </w:rPr>
        <w:t>(Basingstoke, 1998);</w:t>
      </w:r>
      <w:r>
        <w:t xml:space="preserve"> Lauren Benton, ‘Colonial law and cultural difference: jurisdictional politics and the formation of the colonial state’, </w:t>
      </w:r>
      <w:r>
        <w:rPr>
          <w:i/>
        </w:rPr>
        <w:t xml:space="preserve">Comparative Studies in Society and History </w:t>
      </w:r>
      <w:r>
        <w:t xml:space="preserve">41 (1999), pp. 563–74; idem., </w:t>
      </w:r>
      <w:r>
        <w:rPr>
          <w:i/>
        </w:rPr>
        <w:t>A search for sovereignty: law and geography in European empires, 1400</w:t>
      </w:r>
      <w:r>
        <w:t>–</w:t>
      </w:r>
      <w:r>
        <w:rPr>
          <w:i/>
        </w:rPr>
        <w:t xml:space="preserve">1900 </w:t>
      </w:r>
      <w:r>
        <w:t xml:space="preserve">(Cambridge, 2010); Paul Halliday, </w:t>
      </w:r>
      <w:r>
        <w:rPr>
          <w:i/>
        </w:rPr>
        <w:t xml:space="preserve">Habeas corpus from England to Empire </w:t>
      </w:r>
      <w:r>
        <w:t xml:space="preserve">(Cambridge, Mass., 2010); Duncan Bell, ed., </w:t>
      </w:r>
      <w:r>
        <w:rPr>
          <w:i/>
        </w:rPr>
        <w:t xml:space="preserve">Victorian visions of global order </w:t>
      </w:r>
      <w:r>
        <w:t>(Cambridge, 2007).</w:t>
      </w:r>
    </w:p>
  </w:footnote>
  <w:footnote w:id="8">
    <w:p w14:paraId="48AA6D64" w14:textId="6BEA11A7" w:rsidR="00B914E5" w:rsidRPr="00D02FBD" w:rsidRDefault="00B914E5" w:rsidP="00367DCA">
      <w:pPr>
        <w:pStyle w:val="FootnoteText"/>
      </w:pPr>
      <w:r>
        <w:rPr>
          <w:rStyle w:val="FootnoteReference"/>
        </w:rPr>
        <w:footnoteRef/>
      </w:r>
      <w:r>
        <w:t xml:space="preserve"> Robert Stevens, </w:t>
      </w:r>
      <w:r>
        <w:rPr>
          <w:i/>
        </w:rPr>
        <w:t>The independence of the judiciary</w:t>
      </w:r>
      <w:r>
        <w:t xml:space="preserve"> (Oxford, 1993); Sir Lewis Namier, </w:t>
      </w:r>
      <w:r>
        <w:rPr>
          <w:i/>
        </w:rPr>
        <w:t>The structure of politics at the accession of George III</w:t>
      </w:r>
      <w:r>
        <w:t xml:space="preserve"> (2</w:t>
      </w:r>
      <w:r w:rsidRPr="00125B88">
        <w:rPr>
          <w:vertAlign w:val="superscript"/>
        </w:rPr>
        <w:t>nd</w:t>
      </w:r>
      <w:r>
        <w:t xml:space="preserve"> ed., London, 1957), p. 54;</w:t>
      </w:r>
      <w:r w:rsidRPr="00D642EC">
        <w:t xml:space="preserve"> </w:t>
      </w:r>
      <w:r>
        <w:t xml:space="preserve">John Brewer, ‘The Wilkites and the law, 1763–74’ in John Brewer and John Styles, eds., </w:t>
      </w:r>
      <w:r>
        <w:rPr>
          <w:i/>
        </w:rPr>
        <w:t xml:space="preserve">An ungovernable people: the English and their laws in the seventeenth and eighteenth centuries </w:t>
      </w:r>
      <w:r>
        <w:t>(London, 1980), p. 133.</w:t>
      </w:r>
    </w:p>
  </w:footnote>
  <w:footnote w:id="9">
    <w:p w14:paraId="7D367CFB" w14:textId="598789C4" w:rsidR="00B914E5" w:rsidRDefault="00B914E5">
      <w:pPr>
        <w:pStyle w:val="FootnoteText"/>
      </w:pPr>
      <w:r>
        <w:rPr>
          <w:rStyle w:val="FootnoteReference"/>
        </w:rPr>
        <w:footnoteRef/>
      </w:r>
      <w:r>
        <w:t xml:space="preserve"> William </w:t>
      </w:r>
      <w:r w:rsidRPr="00315133">
        <w:t xml:space="preserve">Doyle, ‘The Union in a European context’, </w:t>
      </w:r>
      <w:r w:rsidRPr="00315133">
        <w:rPr>
          <w:i/>
        </w:rPr>
        <w:t>T</w:t>
      </w:r>
      <w:r>
        <w:rPr>
          <w:i/>
        </w:rPr>
        <w:t xml:space="preserve">ransaction of the </w:t>
      </w:r>
      <w:r w:rsidRPr="00315133">
        <w:rPr>
          <w:i/>
        </w:rPr>
        <w:t>R</w:t>
      </w:r>
      <w:r>
        <w:rPr>
          <w:i/>
        </w:rPr>
        <w:t xml:space="preserve">oyal </w:t>
      </w:r>
      <w:r w:rsidRPr="00315133">
        <w:rPr>
          <w:i/>
        </w:rPr>
        <w:t>H</w:t>
      </w:r>
      <w:r>
        <w:rPr>
          <w:i/>
        </w:rPr>
        <w:t xml:space="preserve">istorical </w:t>
      </w:r>
      <w:r w:rsidRPr="00315133">
        <w:rPr>
          <w:i/>
        </w:rPr>
        <w:t>S</w:t>
      </w:r>
      <w:r>
        <w:rPr>
          <w:i/>
        </w:rPr>
        <w:t>ociety</w:t>
      </w:r>
      <w:r w:rsidRPr="00315133">
        <w:t xml:space="preserve"> </w:t>
      </w:r>
      <w:r>
        <w:t xml:space="preserve">10 </w:t>
      </w:r>
      <w:r w:rsidRPr="00315133">
        <w:t>(2000), p. 168.</w:t>
      </w:r>
    </w:p>
  </w:footnote>
  <w:footnote w:id="10">
    <w:p w14:paraId="196A806C" w14:textId="42D8F96A" w:rsidR="00B914E5" w:rsidRPr="00F60E28" w:rsidRDefault="00B914E5" w:rsidP="00751815">
      <w:pPr>
        <w:pStyle w:val="FootnoteText"/>
        <w:rPr>
          <w:sz w:val="48"/>
          <w:lang w:eastAsia="en-GB"/>
        </w:rPr>
      </w:pPr>
      <w:r>
        <w:rPr>
          <w:rStyle w:val="FootnoteReference"/>
        </w:rPr>
        <w:footnoteRef/>
      </w:r>
      <w:r>
        <w:t xml:space="preserve"> The best overviews are Patrick Polden, ‘The courts of law’ in </w:t>
      </w:r>
      <w:r>
        <w:rPr>
          <w:i/>
        </w:rPr>
        <w:t>OHLE vol. XI</w:t>
      </w:r>
      <w:r>
        <w:t xml:space="preserve">, pp. 525–955; and W. R. Cornish and G. de N. Clark, </w:t>
      </w:r>
      <w:r>
        <w:rPr>
          <w:i/>
        </w:rPr>
        <w:t xml:space="preserve">Law and society in England, 1750–1950 </w:t>
      </w:r>
      <w:r>
        <w:t xml:space="preserve">(London, 1989), pp. 29–72. See also Michael Lobban, ‘“Old wine in new bottles”: the concept and practice of law reform, c. 1780–1830’ in Arthur Burns and Joanna Innes, eds., </w:t>
      </w:r>
      <w:r>
        <w:rPr>
          <w:i/>
        </w:rPr>
        <w:t xml:space="preserve">Rethinking the age of reform: Britain, 1780–1850 </w:t>
      </w:r>
      <w:r>
        <w:t>(Cambridge, 2003), pp. 114–35.</w:t>
      </w:r>
    </w:p>
  </w:footnote>
  <w:footnote w:id="11">
    <w:p w14:paraId="66993BFD" w14:textId="18E53DF0" w:rsidR="00B914E5" w:rsidRDefault="00B914E5" w:rsidP="00233BC5">
      <w:pPr>
        <w:pStyle w:val="FootnoteText"/>
      </w:pPr>
      <w:r>
        <w:rPr>
          <w:rStyle w:val="FootnoteReference"/>
        </w:rPr>
        <w:footnoteRef/>
      </w:r>
      <w:r>
        <w:t xml:space="preserve"> Lauren Benton and Lisa Ford, </w:t>
      </w:r>
      <w:r>
        <w:rPr>
          <w:i/>
        </w:rPr>
        <w:t xml:space="preserve">Rage for order: the British empire and the origins of international law, 1800–1850 </w:t>
      </w:r>
      <w:r>
        <w:t>(Harvard, 2016).</w:t>
      </w:r>
    </w:p>
  </w:footnote>
  <w:footnote w:id="12">
    <w:p w14:paraId="063CC94B" w14:textId="2D85DF47" w:rsidR="00B914E5" w:rsidRPr="00802772" w:rsidRDefault="00B914E5">
      <w:pPr>
        <w:pStyle w:val="FootnoteText"/>
      </w:pPr>
      <w:r>
        <w:rPr>
          <w:rStyle w:val="FootnoteReference"/>
        </w:rPr>
        <w:footnoteRef/>
      </w:r>
      <w:r>
        <w:t xml:space="preserve"> For a useful overview see Alvin Jackson, </w:t>
      </w:r>
      <w:r>
        <w:rPr>
          <w:i/>
        </w:rPr>
        <w:t>The two unions: Ireland, Scotland, and the survival of the United Kingdom, 1707</w:t>
      </w:r>
      <w:r>
        <w:t>–</w:t>
      </w:r>
      <w:r>
        <w:rPr>
          <w:i/>
        </w:rPr>
        <w:t xml:space="preserve">2007 </w:t>
      </w:r>
      <w:r>
        <w:t>(Oxford, 2012).</w:t>
      </w:r>
    </w:p>
  </w:footnote>
  <w:footnote w:id="13">
    <w:p w14:paraId="6A831E14" w14:textId="77777777" w:rsidR="00B914E5" w:rsidRDefault="00B914E5" w:rsidP="001C44FD">
      <w:pPr>
        <w:pStyle w:val="FootnoteText"/>
      </w:pPr>
      <w:r>
        <w:rPr>
          <w:rStyle w:val="FootnoteReference"/>
        </w:rPr>
        <w:footnoteRef/>
      </w:r>
      <w:r>
        <w:t xml:space="preserve"> 39 &amp; 40 Geo. III, c. 67 (1800).</w:t>
      </w:r>
    </w:p>
  </w:footnote>
  <w:footnote w:id="14">
    <w:p w14:paraId="4325C9D2" w14:textId="63A45C67" w:rsidR="00B914E5" w:rsidRDefault="00B914E5" w:rsidP="001C44FD">
      <w:pPr>
        <w:pStyle w:val="FootnoteText"/>
      </w:pPr>
      <w:r>
        <w:rPr>
          <w:rStyle w:val="FootnoteReference"/>
        </w:rPr>
        <w:footnoteRef/>
      </w:r>
      <w:r>
        <w:t xml:space="preserve"> Joanna Innes, ‘Legislating for three kingdoms: how the Westminster parliament legislated for England, Scotland and Ireland, 1707–1830’ in Julian Hoppit, ed., </w:t>
      </w:r>
      <w:r>
        <w:rPr>
          <w:i/>
        </w:rPr>
        <w:t xml:space="preserve">Parliaments, nations and identities in Britain and Ireland, 1660–1850’ </w:t>
      </w:r>
      <w:r>
        <w:t>(Manchester, 2003), p. 29.</w:t>
      </w:r>
    </w:p>
  </w:footnote>
  <w:footnote w:id="15">
    <w:p w14:paraId="4345ACC2" w14:textId="7FBE9D3C" w:rsidR="00B914E5" w:rsidRPr="00B5613A" w:rsidRDefault="00B914E5" w:rsidP="001C44FD">
      <w:pPr>
        <w:pStyle w:val="FootnoteText"/>
      </w:pPr>
      <w:r>
        <w:rPr>
          <w:rStyle w:val="FootnoteReference"/>
        </w:rPr>
        <w:footnoteRef/>
      </w:r>
      <w:r>
        <w:t xml:space="preserve"> </w:t>
      </w:r>
      <w:r w:rsidR="00B016DB">
        <w:rPr>
          <w:rStyle w:val="FootnoteTextChar"/>
        </w:rPr>
        <w:t xml:space="preserve">J. F. </w:t>
      </w:r>
      <w:r w:rsidR="00B016DB" w:rsidRPr="00D635E1">
        <w:rPr>
          <w:rStyle w:val="FootnoteTextChar"/>
        </w:rPr>
        <w:t xml:space="preserve">McEldowney and </w:t>
      </w:r>
      <w:r w:rsidR="00B016DB">
        <w:rPr>
          <w:rStyle w:val="FootnoteTextChar"/>
        </w:rPr>
        <w:t xml:space="preserve">Paul </w:t>
      </w:r>
      <w:r w:rsidR="00B016DB" w:rsidRPr="00D635E1">
        <w:rPr>
          <w:rStyle w:val="FootnoteTextChar"/>
        </w:rPr>
        <w:t>O’Higgins</w:t>
      </w:r>
      <w:r w:rsidR="00B016DB">
        <w:rPr>
          <w:rStyle w:val="FootnoteTextChar"/>
        </w:rPr>
        <w:t>,</w:t>
      </w:r>
      <w:r w:rsidR="00B016DB" w:rsidRPr="00D635E1">
        <w:rPr>
          <w:rStyle w:val="FootnoteTextChar"/>
        </w:rPr>
        <w:t xml:space="preserve"> </w:t>
      </w:r>
      <w:r w:rsidR="00B016DB" w:rsidRPr="007A08CF">
        <w:t xml:space="preserve">‘Irish legal history and the nineteenth century’ in </w:t>
      </w:r>
      <w:r w:rsidR="00B016DB">
        <w:t>idem</w:t>
      </w:r>
      <w:r w:rsidR="00B016DB" w:rsidRPr="007A08CF">
        <w:t xml:space="preserve">, </w:t>
      </w:r>
      <w:r w:rsidR="00B016DB">
        <w:rPr>
          <w:rStyle w:val="FootnoteTextChar"/>
        </w:rPr>
        <w:t>eds.</w:t>
      </w:r>
      <w:r w:rsidR="00B016DB" w:rsidRPr="00D635E1">
        <w:rPr>
          <w:rStyle w:val="FootnoteTextChar"/>
        </w:rPr>
        <w:t xml:space="preserve">, </w:t>
      </w:r>
      <w:r w:rsidR="00B016DB" w:rsidRPr="00D635E1">
        <w:rPr>
          <w:rStyle w:val="FootnoteTextChar"/>
          <w:i/>
        </w:rPr>
        <w:t>The common law tradition</w:t>
      </w:r>
      <w:r w:rsidR="00B016DB">
        <w:rPr>
          <w:rStyle w:val="FootnoteTextChar"/>
          <w:i/>
        </w:rPr>
        <w:t xml:space="preserve"> </w:t>
      </w:r>
      <w:r w:rsidR="00B016DB" w:rsidRPr="00D635E1">
        <w:rPr>
          <w:rStyle w:val="FootnoteTextChar"/>
        </w:rPr>
        <w:t>(Dublin, 1990)</w:t>
      </w:r>
      <w:r w:rsidR="00B016DB">
        <w:rPr>
          <w:rStyle w:val="FootnoteTextChar"/>
        </w:rPr>
        <w:t>, p. 229</w:t>
      </w:r>
      <w:r w:rsidR="00B016DB">
        <w:rPr>
          <w:rStyle w:val="FootnoteTextChar"/>
        </w:rPr>
        <w:t xml:space="preserve">; </w:t>
      </w:r>
      <w:r w:rsidRPr="00F2229F">
        <w:t xml:space="preserve">W. N. Osborough, </w:t>
      </w:r>
      <w:r w:rsidRPr="00F2229F">
        <w:rPr>
          <w:i/>
        </w:rPr>
        <w:t xml:space="preserve">Studies in Irish legal history </w:t>
      </w:r>
      <w:r w:rsidRPr="00F2229F">
        <w:t>(Dublin, 1999), p. 247</w:t>
      </w:r>
      <w:r>
        <w:t xml:space="preserve">; </w:t>
      </w:r>
      <w:r>
        <w:rPr>
          <w:rStyle w:val="FootnoteTextChar"/>
        </w:rPr>
        <w:t xml:space="preserve">J. C. Brady, ‘Legal developments, 1801–79’ in W. E. Vaughan, </w:t>
      </w:r>
      <w:r>
        <w:rPr>
          <w:rStyle w:val="FootnoteTextChar"/>
          <w:i/>
        </w:rPr>
        <w:t>A new history of Ireland vol. 5: Ireland under the Union, 1801–70</w:t>
      </w:r>
      <w:r>
        <w:rPr>
          <w:rStyle w:val="FootnoteTextChar"/>
        </w:rPr>
        <w:t xml:space="preserve"> (Oxford, 1989), p. 469. </w:t>
      </w:r>
      <w:r>
        <w:t xml:space="preserve">On similarities in statute law see Neal Garnham, ‘The criminal law, 1692–1760: England and Ireland compared’ in S. J. Connolly, </w:t>
      </w:r>
      <w:r>
        <w:rPr>
          <w:i/>
        </w:rPr>
        <w:t xml:space="preserve">Kingdoms united? Great Britain and Ireland since 1500 </w:t>
      </w:r>
      <w:r>
        <w:t>(Dublin, 1999), p. 219.</w:t>
      </w:r>
    </w:p>
  </w:footnote>
  <w:footnote w:id="16">
    <w:p w14:paraId="612FE7A3" w14:textId="4EA2FF0E" w:rsidR="00B914E5" w:rsidRDefault="00B914E5" w:rsidP="00807F2B">
      <w:r w:rsidRPr="00D806A4">
        <w:rPr>
          <w:rStyle w:val="FootnoteReference"/>
        </w:rPr>
        <w:footnoteRef/>
      </w:r>
      <w:r w:rsidRPr="00304ED9">
        <w:rPr>
          <w:rStyle w:val="FootnoteTextChar"/>
        </w:rPr>
        <w:t xml:space="preserve"> On legal elites, see</w:t>
      </w:r>
      <w:r>
        <w:t xml:space="preserve"> </w:t>
      </w:r>
      <w:r w:rsidRPr="00D635E1">
        <w:rPr>
          <w:rStyle w:val="FootnoteTextChar"/>
        </w:rPr>
        <w:t xml:space="preserve">Garnham, ‘The criminal law’, p. 218; Osborough, </w:t>
      </w:r>
      <w:r w:rsidRPr="00D635E1">
        <w:rPr>
          <w:rStyle w:val="FootnoteTextChar"/>
          <w:i/>
        </w:rPr>
        <w:t>Studies in Irish legal history</w:t>
      </w:r>
      <w:r w:rsidRPr="00D635E1">
        <w:rPr>
          <w:rStyle w:val="FootnoteTextChar"/>
        </w:rPr>
        <w:t>, p. 247; McEldowney and O’Higgins</w:t>
      </w:r>
      <w:r>
        <w:rPr>
          <w:rStyle w:val="FootnoteTextChar"/>
        </w:rPr>
        <w:t>, ‘Irish legal history’, p. 229. On attempted assimilation of laws see</w:t>
      </w:r>
      <w:r w:rsidRPr="00304ED9">
        <w:t xml:space="preserve"> </w:t>
      </w:r>
      <w:r w:rsidRPr="00304ED9">
        <w:rPr>
          <w:rStyle w:val="FootnoteTextChar"/>
        </w:rPr>
        <w:t>K. Theodore Hoppen, ‘An incorporating union? British politicians and Ireland, 1800</w:t>
      </w:r>
      <w:r>
        <w:rPr>
          <w:rStyle w:val="FootnoteTextChar"/>
        </w:rPr>
        <w:t>–</w:t>
      </w:r>
      <w:r w:rsidRPr="00304ED9">
        <w:rPr>
          <w:rStyle w:val="FootnoteTextChar"/>
        </w:rPr>
        <w:t xml:space="preserve">1830’, </w:t>
      </w:r>
      <w:r w:rsidRPr="00304ED9">
        <w:rPr>
          <w:rStyle w:val="FootnoteTextChar"/>
          <w:i/>
        </w:rPr>
        <w:t>English Historical Review</w:t>
      </w:r>
      <w:r w:rsidRPr="00304ED9">
        <w:rPr>
          <w:rStyle w:val="FootnoteTextChar"/>
        </w:rPr>
        <w:t xml:space="preserve"> 501 (2008), p. 341; Innes, ‘Legislating for three kingdoms’, p. 37.</w:t>
      </w:r>
    </w:p>
  </w:footnote>
  <w:footnote w:id="17">
    <w:p w14:paraId="6BDE0341" w14:textId="0FF128DD" w:rsidR="00B914E5" w:rsidRDefault="00B914E5" w:rsidP="001C44FD">
      <w:pPr>
        <w:pStyle w:val="FootnoteText"/>
      </w:pPr>
      <w:r>
        <w:rPr>
          <w:rStyle w:val="FootnoteReference"/>
        </w:rPr>
        <w:footnoteRef/>
      </w:r>
      <w:r>
        <w:t xml:space="preserve"> B</w:t>
      </w:r>
      <w:r w:rsidRPr="009A50AE">
        <w:t xml:space="preserve">rian P. Levack, </w:t>
      </w:r>
      <w:r>
        <w:rPr>
          <w:i/>
        </w:rPr>
        <w:t>The f</w:t>
      </w:r>
      <w:r w:rsidRPr="00DF5725">
        <w:rPr>
          <w:i/>
        </w:rPr>
        <w:t xml:space="preserve">ormation of the British </w:t>
      </w:r>
      <w:r>
        <w:rPr>
          <w:i/>
        </w:rPr>
        <w:t>s</w:t>
      </w:r>
      <w:r w:rsidRPr="00DF5725">
        <w:rPr>
          <w:i/>
        </w:rPr>
        <w:t>tate: England, Scotland and the Union, 1603</w:t>
      </w:r>
      <w:r>
        <w:rPr>
          <w:i/>
        </w:rPr>
        <w:t>–</w:t>
      </w:r>
      <w:r w:rsidRPr="00DF5725">
        <w:rPr>
          <w:i/>
        </w:rPr>
        <w:t>1707</w:t>
      </w:r>
      <w:r w:rsidRPr="009A50AE">
        <w:t xml:space="preserve"> (Oxford, 1987)</w:t>
      </w:r>
      <w:r>
        <w:t>, pp. 85–8.</w:t>
      </w:r>
      <w:r w:rsidRPr="0043361A">
        <w:t xml:space="preserve"> </w:t>
      </w:r>
      <w:r w:rsidRPr="00BD2FD2">
        <w:t xml:space="preserve">David Walker, </w:t>
      </w:r>
      <w:r w:rsidRPr="00DF5725">
        <w:rPr>
          <w:i/>
        </w:rPr>
        <w:t>A legal history of Scotland vol. V</w:t>
      </w:r>
      <w:r>
        <w:rPr>
          <w:i/>
        </w:rPr>
        <w:t>:</w:t>
      </w:r>
      <w:r w:rsidRPr="00DF5725">
        <w:rPr>
          <w:i/>
        </w:rPr>
        <w:t xml:space="preserve"> the eighteenth century </w:t>
      </w:r>
      <w:r w:rsidRPr="00BD2FD2">
        <w:t>(</w:t>
      </w:r>
      <w:r>
        <w:t xml:space="preserve">Edinburgh, </w:t>
      </w:r>
      <w:r w:rsidRPr="00BD2FD2">
        <w:t>1998), p</w:t>
      </w:r>
      <w:r>
        <w:t>p. 84–100, 445–6.</w:t>
      </w:r>
    </w:p>
  </w:footnote>
  <w:footnote w:id="18">
    <w:p w14:paraId="505B131B" w14:textId="065C36EB" w:rsidR="00B914E5" w:rsidRPr="00635C85" w:rsidRDefault="00B914E5" w:rsidP="008E54DE">
      <w:pPr>
        <w:pStyle w:val="FootnoteText"/>
      </w:pPr>
      <w:r>
        <w:rPr>
          <w:rStyle w:val="FootnoteReference"/>
        </w:rPr>
        <w:footnoteRef/>
      </w:r>
      <w:r>
        <w:t xml:space="preserve"> </w:t>
      </w:r>
      <w:r w:rsidRPr="00B11B3A">
        <w:rPr>
          <w:rStyle w:val="FootnoteTextChar"/>
        </w:rPr>
        <w:t xml:space="preserve">David Walker, </w:t>
      </w:r>
      <w:r w:rsidRPr="00B11B3A">
        <w:rPr>
          <w:rStyle w:val="FootnoteTextChar"/>
          <w:i/>
        </w:rPr>
        <w:t>A legal history of Scotland vol. VI</w:t>
      </w:r>
      <w:r>
        <w:rPr>
          <w:rStyle w:val="FootnoteTextChar"/>
          <w:i/>
        </w:rPr>
        <w:t>:</w:t>
      </w:r>
      <w:r w:rsidRPr="00B11B3A">
        <w:rPr>
          <w:rStyle w:val="FootnoteTextChar"/>
          <w:i/>
        </w:rPr>
        <w:t xml:space="preserve"> the nineteenth century</w:t>
      </w:r>
      <w:r>
        <w:rPr>
          <w:rStyle w:val="FootnoteTextChar"/>
          <w:i/>
        </w:rPr>
        <w:t xml:space="preserve"> </w:t>
      </w:r>
      <w:r>
        <w:rPr>
          <w:rStyle w:val="FootnoteTextChar"/>
        </w:rPr>
        <w:t xml:space="preserve">(Edinburgh, 2001), pp. 323–9. Jim Smyth and Alan McKinlay, ‘Whigs, Tories and Scottish legal reform, c. 1785–1832’, </w:t>
      </w:r>
      <w:r>
        <w:rPr>
          <w:rStyle w:val="FootnoteTextChar"/>
          <w:i/>
        </w:rPr>
        <w:t>Crime, History and Societies</w:t>
      </w:r>
      <w:r>
        <w:rPr>
          <w:rStyle w:val="FootnoteTextChar"/>
        </w:rPr>
        <w:t>, 15 (2011), pp. 111–32.</w:t>
      </w:r>
    </w:p>
  </w:footnote>
  <w:footnote w:id="19">
    <w:p w14:paraId="66F388C1" w14:textId="22A4B0BA" w:rsidR="00B914E5" w:rsidRDefault="00B914E5" w:rsidP="0054460D">
      <w:pPr>
        <w:pStyle w:val="FootnoteText"/>
      </w:pPr>
      <w:r>
        <w:rPr>
          <w:rStyle w:val="FootnoteReference"/>
        </w:rPr>
        <w:footnoteRef/>
      </w:r>
      <w:r>
        <w:t xml:space="preserve"> </w:t>
      </w:r>
      <w:r w:rsidRPr="00B11B3A">
        <w:rPr>
          <w:rStyle w:val="FootnoteTextChar"/>
        </w:rPr>
        <w:t xml:space="preserve">Walker, </w:t>
      </w:r>
      <w:r w:rsidRPr="00B11B3A">
        <w:rPr>
          <w:rStyle w:val="FootnoteTextChar"/>
          <w:i/>
        </w:rPr>
        <w:t>A legal history of Scotland vol. VI</w:t>
      </w:r>
      <w:r w:rsidRPr="00B11B3A">
        <w:rPr>
          <w:rStyle w:val="FootnoteTextChar"/>
        </w:rPr>
        <w:t xml:space="preserve"> (2001), pp.</w:t>
      </w:r>
      <w:r>
        <w:rPr>
          <w:rStyle w:val="FootnoteTextChar"/>
        </w:rPr>
        <w:t xml:space="preserve"> 306–7, 311;</w:t>
      </w:r>
      <w:r w:rsidRPr="004E73CA">
        <w:t xml:space="preserve"> </w:t>
      </w:r>
      <w:r>
        <w:t xml:space="preserve">Patrick Polden, ‘The courts of law’ in </w:t>
      </w:r>
      <w:r>
        <w:rPr>
          <w:i/>
        </w:rPr>
        <w:t>OHLE vol. XI</w:t>
      </w:r>
      <w:r>
        <w:t>, p. 530;</w:t>
      </w:r>
      <w:r w:rsidRPr="00A052D0">
        <w:t xml:space="preserve"> </w:t>
      </w:r>
      <w:r w:rsidRPr="00E44F55">
        <w:t>A. J. MacLean, ‘The House of Lords and appeals from the High Court of Judiciary, 1707</w:t>
      </w:r>
      <w:r>
        <w:t>–</w:t>
      </w:r>
      <w:r w:rsidRPr="00E44F55">
        <w:t xml:space="preserve">1887’, </w:t>
      </w:r>
      <w:r w:rsidRPr="00E44F55">
        <w:rPr>
          <w:i/>
        </w:rPr>
        <w:t>Juridical Review</w:t>
      </w:r>
      <w:r w:rsidRPr="00E44F55">
        <w:t xml:space="preserve"> (1985), pp. 192</w:t>
      </w:r>
      <w:r>
        <w:t>–</w:t>
      </w:r>
      <w:r w:rsidRPr="00E44F55">
        <w:t>226</w:t>
      </w:r>
      <w:r>
        <w:t xml:space="preserve">; A. J. MacLean, ‘The 1707 Union: Scots law and the House of Lords’, </w:t>
      </w:r>
      <w:r>
        <w:rPr>
          <w:i/>
        </w:rPr>
        <w:t xml:space="preserve">Journal of Legal </w:t>
      </w:r>
      <w:r w:rsidRPr="005C6290">
        <w:rPr>
          <w:i/>
        </w:rPr>
        <w:t>History</w:t>
      </w:r>
      <w:r>
        <w:t>, 4 (1983), pp. 50–75.</w:t>
      </w:r>
    </w:p>
  </w:footnote>
  <w:footnote w:id="20">
    <w:p w14:paraId="5CF8B2F0" w14:textId="231C9435" w:rsidR="00B914E5" w:rsidRPr="00463FB5" w:rsidRDefault="00B914E5" w:rsidP="001C44FD">
      <w:pPr>
        <w:pStyle w:val="FootnoteText"/>
      </w:pPr>
      <w:r>
        <w:rPr>
          <w:rStyle w:val="FootnoteReference"/>
        </w:rPr>
        <w:footnoteRef/>
      </w:r>
      <w:r>
        <w:t xml:space="preserve"> </w:t>
      </w:r>
      <w:r w:rsidRPr="00B11B3A">
        <w:rPr>
          <w:rStyle w:val="FootnoteTextChar"/>
        </w:rPr>
        <w:t xml:space="preserve">Walker, </w:t>
      </w:r>
      <w:r w:rsidRPr="00B11B3A">
        <w:rPr>
          <w:rStyle w:val="FootnoteTextChar"/>
          <w:i/>
        </w:rPr>
        <w:t>A legal history of Scotland vol. VI</w:t>
      </w:r>
      <w:r>
        <w:rPr>
          <w:rStyle w:val="FootnoteTextChar"/>
        </w:rPr>
        <w:t>, pp. 14–15</w:t>
      </w:r>
    </w:p>
  </w:footnote>
  <w:footnote w:id="21">
    <w:p w14:paraId="4BF57CF9" w14:textId="1A6E776B" w:rsidR="00B914E5" w:rsidRPr="00AB09C3" w:rsidRDefault="00B914E5" w:rsidP="001C44FD">
      <w:pPr>
        <w:pStyle w:val="FootnoteText"/>
      </w:pPr>
      <w:r>
        <w:rPr>
          <w:rStyle w:val="FootnoteReference"/>
        </w:rPr>
        <w:footnoteRef/>
      </w:r>
      <w:r>
        <w:t xml:space="preserve"> </w:t>
      </w:r>
      <w:r w:rsidRPr="00B11B3A">
        <w:rPr>
          <w:rStyle w:val="FootnoteTextChar"/>
        </w:rPr>
        <w:t xml:space="preserve">Walker, </w:t>
      </w:r>
      <w:r w:rsidRPr="00B11B3A">
        <w:rPr>
          <w:rStyle w:val="FootnoteTextChar"/>
          <w:i/>
        </w:rPr>
        <w:t>A legal history of Scotland vol. VI</w:t>
      </w:r>
      <w:r>
        <w:rPr>
          <w:rStyle w:val="FootnoteTextChar"/>
        </w:rPr>
        <w:t>, pp. 314–18.</w:t>
      </w:r>
    </w:p>
  </w:footnote>
  <w:footnote w:id="22">
    <w:p w14:paraId="23C849DB" w14:textId="1AE80643" w:rsidR="00B914E5" w:rsidRDefault="00B914E5" w:rsidP="001C44FD">
      <w:pPr>
        <w:pStyle w:val="FootnoteText"/>
      </w:pPr>
      <w:r>
        <w:rPr>
          <w:rStyle w:val="FootnoteReference"/>
        </w:rPr>
        <w:footnoteRef/>
      </w:r>
      <w:r>
        <w:rPr>
          <w:rStyle w:val="FootnoteTextChar"/>
        </w:rPr>
        <w:t xml:space="preserve"> </w:t>
      </w:r>
      <w:r w:rsidRPr="00B11B3A">
        <w:rPr>
          <w:rStyle w:val="FootnoteTextChar"/>
        </w:rPr>
        <w:t xml:space="preserve">Walker, </w:t>
      </w:r>
      <w:r w:rsidRPr="00B11B3A">
        <w:rPr>
          <w:rStyle w:val="FootnoteTextChar"/>
          <w:i/>
        </w:rPr>
        <w:t>A legal history of Scotland vol. VI</w:t>
      </w:r>
      <w:r>
        <w:rPr>
          <w:rStyle w:val="FootnoteTextChar"/>
        </w:rPr>
        <w:t>, pp. 30, 788, 824, 1053–4.</w:t>
      </w:r>
      <w:r>
        <w:t xml:space="preserve"> </w:t>
      </w:r>
    </w:p>
  </w:footnote>
  <w:footnote w:id="23">
    <w:p w14:paraId="6DF8DDD5" w14:textId="02E177CB" w:rsidR="00B914E5" w:rsidRPr="005975EC" w:rsidRDefault="00B914E5" w:rsidP="0034269D">
      <w:pPr>
        <w:pStyle w:val="FootnoteText"/>
        <w:rPr>
          <w:rFonts w:ascii="Arial" w:eastAsia="Times New Roman" w:hAnsi="Arial" w:cs="Arial"/>
          <w:lang w:eastAsia="en-GB"/>
        </w:rPr>
      </w:pPr>
      <w:r>
        <w:rPr>
          <w:rStyle w:val="FootnoteReference"/>
        </w:rPr>
        <w:footnoteRef/>
      </w:r>
      <w:r>
        <w:t xml:space="preserve"> Paul Halliday, </w:t>
      </w:r>
      <w:r>
        <w:rPr>
          <w:i/>
        </w:rPr>
        <w:t>Habeas corpus</w:t>
      </w:r>
      <w:r>
        <w:t>, pp.</w:t>
      </w:r>
      <w:r>
        <w:rPr>
          <w:i/>
        </w:rPr>
        <w:t xml:space="preserve"> </w:t>
      </w:r>
      <w:r>
        <w:t xml:space="preserve">127–33; John Seymour, ‘Parens patriae and wardship powers: their nature and origins’, </w:t>
      </w:r>
      <w:r>
        <w:rPr>
          <w:i/>
        </w:rPr>
        <w:t>Oxford Journal of Legal Studies</w:t>
      </w:r>
      <w:r>
        <w:t xml:space="preserve"> 14 (1994), pp. 159–88; Sarah Abramowicz, ‘English child custody law, 1660–1839: the origins of judicial intervention in paternal custody’, </w:t>
      </w:r>
      <w:r>
        <w:rPr>
          <w:i/>
        </w:rPr>
        <w:t>Columbia Law Review</w:t>
      </w:r>
      <w:r>
        <w:t xml:space="preserve"> 99.5 (1999), </w:t>
      </w:r>
      <w:r w:rsidRPr="00763C5D">
        <w:t>p. 13</w:t>
      </w:r>
      <w:r>
        <w:t>44–92.</w:t>
      </w:r>
    </w:p>
  </w:footnote>
  <w:footnote w:id="24">
    <w:p w14:paraId="7F632644" w14:textId="77777777" w:rsidR="00B914E5" w:rsidRPr="00BB102C" w:rsidRDefault="00B914E5" w:rsidP="0034269D">
      <w:pPr>
        <w:pStyle w:val="FootnoteText"/>
      </w:pPr>
      <w:r>
        <w:rPr>
          <w:rStyle w:val="FootnoteReference"/>
        </w:rPr>
        <w:footnoteRef/>
      </w:r>
      <w:r>
        <w:t xml:space="preserve"> Paul Halliday, </w:t>
      </w:r>
      <w:r>
        <w:rPr>
          <w:i/>
        </w:rPr>
        <w:t>Habeas corpus</w:t>
      </w:r>
      <w:r>
        <w:t xml:space="preserve">, p. 131; Sarah Abramowicz, ‘English child custody law’, </w:t>
      </w:r>
      <w:r w:rsidRPr="00763C5D">
        <w:t>p. 1356</w:t>
      </w:r>
      <w:r>
        <w:t>.</w:t>
      </w:r>
    </w:p>
  </w:footnote>
  <w:footnote w:id="25">
    <w:p w14:paraId="19C00281" w14:textId="77777777" w:rsidR="00B914E5" w:rsidRPr="003E1F19" w:rsidRDefault="00B914E5" w:rsidP="0034269D">
      <w:pPr>
        <w:pStyle w:val="FootnoteText"/>
      </w:pPr>
      <w:r>
        <w:rPr>
          <w:rStyle w:val="FootnoteReference"/>
        </w:rPr>
        <w:footnoteRef/>
      </w:r>
      <w:r>
        <w:t xml:space="preserve"> See for example </w:t>
      </w:r>
      <w:r>
        <w:rPr>
          <w:i/>
        </w:rPr>
        <w:t xml:space="preserve">Ex parte Skinner </w:t>
      </w:r>
      <w:r>
        <w:t>27 Eng. Rep. 710 (1824).</w:t>
      </w:r>
    </w:p>
  </w:footnote>
  <w:footnote w:id="26">
    <w:p w14:paraId="762CD5D1" w14:textId="4B3A8576" w:rsidR="00B914E5" w:rsidRPr="00F801DE" w:rsidRDefault="00B914E5" w:rsidP="0034269D">
      <w:pPr>
        <w:pStyle w:val="FootnoteText"/>
      </w:pPr>
      <w:r>
        <w:rPr>
          <w:rStyle w:val="FootnoteReference"/>
        </w:rPr>
        <w:footnoteRef/>
      </w:r>
      <w:r>
        <w:t xml:space="preserve"> Susan Staves, </w:t>
      </w:r>
      <w:r>
        <w:rPr>
          <w:i/>
        </w:rPr>
        <w:t xml:space="preserve">Married women’s separate property in England, 1660–1833 </w:t>
      </w:r>
      <w:r>
        <w:t xml:space="preserve">(Cambridge, Mass., 1990), pp. 178–95; James Oldham, ‘Creditors and the feme covert’ in Matthew Dyson and David Ibbetson, eds., </w:t>
      </w:r>
      <w:r>
        <w:rPr>
          <w:i/>
        </w:rPr>
        <w:t>Law and legal process</w:t>
      </w:r>
      <w:r>
        <w:t xml:space="preserve"> (Cambridge, 2013), pp. 217–45.</w:t>
      </w:r>
    </w:p>
  </w:footnote>
  <w:footnote w:id="27">
    <w:p w14:paraId="3113B3A7" w14:textId="7EDA77AE" w:rsidR="00B914E5" w:rsidRDefault="00B914E5" w:rsidP="0034269D">
      <w:pPr>
        <w:pStyle w:val="FootnoteText"/>
      </w:pPr>
      <w:r>
        <w:rPr>
          <w:rStyle w:val="FootnoteReference"/>
        </w:rPr>
        <w:footnoteRef/>
      </w:r>
      <w:r>
        <w:t xml:space="preserve"> Danaya C. Wright, ‘</w:t>
      </w:r>
      <w:r w:rsidRPr="00BB102C">
        <w:rPr>
          <w:i/>
        </w:rPr>
        <w:t>De Manneville v. De Manneville</w:t>
      </w:r>
      <w:r>
        <w:t xml:space="preserve">: rethinking the birth of custody law under patriarchy’, </w:t>
      </w:r>
      <w:r>
        <w:rPr>
          <w:i/>
          <w:iCs/>
        </w:rPr>
        <w:t>Law and History Review</w:t>
      </w:r>
      <w:r>
        <w:t xml:space="preserve"> 17 (1999), p. 285. Halliday’s use of manuscript sources has modified Wright’s account based on</w:t>
      </w:r>
      <w:r w:rsidRPr="00276613">
        <w:t xml:space="preserve"> </w:t>
      </w:r>
      <w:r>
        <w:t>the first printed report of an inter-spousal custody case.</w:t>
      </w:r>
    </w:p>
  </w:footnote>
  <w:footnote w:id="28">
    <w:p w14:paraId="5BDFE9E7" w14:textId="0303DE65" w:rsidR="00B914E5" w:rsidRDefault="00B914E5" w:rsidP="0034269D">
      <w:pPr>
        <w:pStyle w:val="FootnoteText"/>
      </w:pPr>
      <w:r>
        <w:rPr>
          <w:rStyle w:val="FootnoteReference"/>
        </w:rPr>
        <w:footnoteRef/>
      </w:r>
      <w:r>
        <w:t xml:space="preserve"> Cf. Susan Staves, ‘Separate maintenance contracts’, </w:t>
      </w:r>
      <w:r>
        <w:rPr>
          <w:i/>
        </w:rPr>
        <w:t>Eighteenth-Century Life</w:t>
      </w:r>
      <w:r>
        <w:t xml:space="preserve"> 11 (1987), p. 86</w:t>
      </w:r>
      <w:r w:rsidRPr="002E286A">
        <w:rPr>
          <w:rStyle w:val="FootnoteTextChar"/>
        </w:rPr>
        <w:t>.</w:t>
      </w:r>
    </w:p>
  </w:footnote>
  <w:footnote w:id="29">
    <w:p w14:paraId="381D33C3" w14:textId="1E2E4486" w:rsidR="00B914E5" w:rsidRDefault="00B914E5" w:rsidP="0034269D">
      <w:pPr>
        <w:pStyle w:val="FootnoteText"/>
      </w:pPr>
      <w:r>
        <w:rPr>
          <w:rStyle w:val="FootnoteReference"/>
        </w:rPr>
        <w:footnoteRef/>
      </w:r>
      <w:r>
        <w:t xml:space="preserve"> Jamil S. Zainaldin, ‘The emergence of modern American family law: child custody, adoption, and the courts, 1796–1851’ 73 </w:t>
      </w:r>
      <w:r w:rsidRPr="004C66C0">
        <w:rPr>
          <w:i/>
        </w:rPr>
        <w:t xml:space="preserve">Northwestern University Law Review </w:t>
      </w:r>
      <w:r>
        <w:t>(1979), p.1063. n. 97.</w:t>
      </w:r>
    </w:p>
  </w:footnote>
  <w:footnote w:id="30">
    <w:p w14:paraId="53578872" w14:textId="77777777" w:rsidR="00B914E5" w:rsidRPr="007C487E" w:rsidRDefault="00B914E5" w:rsidP="0034269D">
      <w:pPr>
        <w:pStyle w:val="FootnoteText"/>
      </w:pPr>
      <w:r>
        <w:rPr>
          <w:rStyle w:val="FootnoteReference"/>
        </w:rPr>
        <w:footnoteRef/>
      </w:r>
      <w:r>
        <w:t xml:space="preserve"> See the editors’ introduction in Lucy Delap, Ben Griffin and Abi Wills, </w:t>
      </w:r>
      <w:r>
        <w:rPr>
          <w:i/>
        </w:rPr>
        <w:t xml:space="preserve">the politics of domestic authority in Britain since 1800 </w:t>
      </w:r>
      <w:r>
        <w:t>(Basingstoke, 2009).</w:t>
      </w:r>
    </w:p>
  </w:footnote>
  <w:footnote w:id="31">
    <w:p w14:paraId="601A57A0" w14:textId="70079B53" w:rsidR="00B914E5" w:rsidRPr="007D1AE0" w:rsidRDefault="00B914E5" w:rsidP="0034269D">
      <w:pPr>
        <w:pStyle w:val="FootnoteText"/>
      </w:pPr>
      <w:r>
        <w:rPr>
          <w:rStyle w:val="FootnoteReference"/>
        </w:rPr>
        <w:footnoteRef/>
      </w:r>
      <w:r>
        <w:t xml:space="preserve"> For a detailed account of this ideology see Ben Griffin, </w:t>
      </w:r>
      <w:r>
        <w:rPr>
          <w:i/>
        </w:rPr>
        <w:t>The politics of gender in Victorian Britain</w:t>
      </w:r>
      <w:r>
        <w:t xml:space="preserve"> (Cambridge, 2012), pp. 35–64.</w:t>
      </w:r>
    </w:p>
  </w:footnote>
  <w:footnote w:id="32">
    <w:p w14:paraId="6DA089A3" w14:textId="6EDEA667" w:rsidR="00B914E5" w:rsidRDefault="00B914E5" w:rsidP="0034269D">
      <w:pPr>
        <w:pStyle w:val="FootnoteText"/>
      </w:pPr>
      <w:r>
        <w:rPr>
          <w:rStyle w:val="FootnoteReference"/>
        </w:rPr>
        <w:footnoteRef/>
      </w:r>
      <w:r>
        <w:t xml:space="preserve"> </w:t>
      </w:r>
      <w:r w:rsidRPr="004763A0">
        <w:rPr>
          <w:i/>
        </w:rPr>
        <w:t>In re. Agar-Ellis, Agar-Ellis v. Lascelles</w:t>
      </w:r>
      <w:r>
        <w:t>, 10 Ch. D. 55–6 (1878). In the interests of economy and ease of use I have departed from the lawyers’ convention of citing only the first page of reported cases; in what follows all references are to the page numbers of the law reports where the relevant passage occurs.</w:t>
      </w:r>
    </w:p>
  </w:footnote>
  <w:footnote w:id="33">
    <w:p w14:paraId="42CD1D5D" w14:textId="76C6FB7B" w:rsidR="00B914E5" w:rsidRDefault="00B914E5" w:rsidP="0034269D">
      <w:pPr>
        <w:pStyle w:val="FootnoteText"/>
      </w:pPr>
      <w:r>
        <w:rPr>
          <w:rStyle w:val="FootnoteReference"/>
        </w:rPr>
        <w:footnoteRef/>
      </w:r>
      <w:r>
        <w:t xml:space="preserve"> Danaya C. Wright. ‘The crisis of child custody: a history of the birth of family law in England’, </w:t>
      </w:r>
      <w:r>
        <w:rPr>
          <w:i/>
          <w:iCs/>
        </w:rPr>
        <w:t>Columbia Journal of Gender and Law</w:t>
      </w:r>
      <w:r>
        <w:t xml:space="preserve"> 11 (2002), p. 201.</w:t>
      </w:r>
    </w:p>
  </w:footnote>
  <w:footnote w:id="34">
    <w:p w14:paraId="5210632B" w14:textId="77777777" w:rsidR="00B914E5" w:rsidRPr="000756D2" w:rsidRDefault="00B914E5" w:rsidP="00193BEA">
      <w:pPr>
        <w:rPr>
          <w:rFonts w:ascii="Arial" w:eastAsia="Times New Roman" w:hAnsi="Arial" w:cs="Arial"/>
          <w:sz w:val="20"/>
          <w:lang w:eastAsia="en-GB"/>
        </w:rPr>
      </w:pPr>
      <w:r>
        <w:rPr>
          <w:rStyle w:val="FootnoteReference"/>
        </w:rPr>
        <w:footnoteRef/>
      </w:r>
      <w:r>
        <w:t xml:space="preserve"> </w:t>
      </w:r>
      <w:r w:rsidRPr="00BE56C6">
        <w:rPr>
          <w:rStyle w:val="FootnoteTextChar"/>
        </w:rPr>
        <w:t xml:space="preserve">In 1883 the Master of the Rolls could say (inaccurately) that no court had yet decided whether a father could be deprived of custody of his children in cases of cruelty. </w:t>
      </w:r>
      <w:r w:rsidRPr="00BE56C6">
        <w:rPr>
          <w:rStyle w:val="FootnoteTextChar"/>
          <w:i/>
        </w:rPr>
        <w:t>In re Agar-Ellis, Agar-Ellis v. Lascelles</w:t>
      </w:r>
      <w:r w:rsidRPr="00BE56C6">
        <w:rPr>
          <w:rStyle w:val="FootnoteTextChar"/>
        </w:rPr>
        <w:t xml:space="preserve">, 24 Ch. D. 327 (1883). A father was deprived of custody after treating his child cruelly in </w:t>
      </w:r>
      <w:r w:rsidRPr="00BE56C6">
        <w:rPr>
          <w:rStyle w:val="FootnoteTextChar"/>
          <w:i/>
        </w:rPr>
        <w:t>Whitfield v. Hales</w:t>
      </w:r>
      <w:r w:rsidRPr="00BE56C6">
        <w:rPr>
          <w:rStyle w:val="FootnoteTextChar"/>
        </w:rPr>
        <w:t>, 12 Ves. 492 (1806). For cases setting out the limits of acceptable violence against children see R</w:t>
      </w:r>
      <w:r w:rsidRPr="00BE56C6">
        <w:rPr>
          <w:rStyle w:val="FootnoteTextChar"/>
          <w:i/>
        </w:rPr>
        <w:t>. v. Hopley</w:t>
      </w:r>
      <w:r w:rsidRPr="00BE56C6">
        <w:rPr>
          <w:rStyle w:val="FootnoteTextChar"/>
        </w:rPr>
        <w:t xml:space="preserve">, 2 F. &amp; F. 202 (1860); </w:t>
      </w:r>
      <w:r w:rsidRPr="00BE56C6">
        <w:rPr>
          <w:rStyle w:val="FootnoteTextChar"/>
          <w:i/>
        </w:rPr>
        <w:t>R. v. Conner</w:t>
      </w:r>
      <w:r w:rsidRPr="00BE56C6">
        <w:rPr>
          <w:rStyle w:val="FootnoteTextChar"/>
        </w:rPr>
        <w:t xml:space="preserve">, 7 C. &amp; P. 438 (1835), </w:t>
      </w:r>
      <w:r w:rsidRPr="00BE56C6">
        <w:rPr>
          <w:rStyle w:val="FootnoteTextChar"/>
          <w:i/>
        </w:rPr>
        <w:t>R. v. Griffin</w:t>
      </w:r>
      <w:r w:rsidRPr="00BE56C6">
        <w:rPr>
          <w:rStyle w:val="FootnoteTextChar"/>
        </w:rPr>
        <w:t>, 11 Cox C.C. 402 (1869).</w:t>
      </w:r>
    </w:p>
  </w:footnote>
  <w:footnote w:id="35">
    <w:p w14:paraId="59122CC2" w14:textId="63D2D66F" w:rsidR="00B914E5" w:rsidRDefault="00B914E5">
      <w:pPr>
        <w:pStyle w:val="FootnoteText"/>
      </w:pPr>
      <w:r>
        <w:rPr>
          <w:rStyle w:val="FootnoteReference"/>
        </w:rPr>
        <w:footnoteRef/>
      </w:r>
      <w:r>
        <w:t xml:space="preserve"> </w:t>
      </w:r>
      <w:r w:rsidRPr="000756D2">
        <w:rPr>
          <w:rStyle w:val="FootnoteTextChar"/>
        </w:rPr>
        <w:t xml:space="preserve">The basis of this principle of intervention </w:t>
      </w:r>
      <w:r>
        <w:rPr>
          <w:rStyle w:val="FootnoteTextChar"/>
        </w:rPr>
        <w:t xml:space="preserve">to prevent moral harm </w:t>
      </w:r>
      <w:r w:rsidRPr="000756D2">
        <w:rPr>
          <w:rStyle w:val="FootnoteTextChar"/>
        </w:rPr>
        <w:t xml:space="preserve">was set out in </w:t>
      </w:r>
      <w:r w:rsidRPr="000756D2">
        <w:rPr>
          <w:rStyle w:val="FootnoteTextChar"/>
          <w:i/>
        </w:rPr>
        <w:t>Rex v. Delavel</w:t>
      </w:r>
      <w:r w:rsidRPr="000756D2">
        <w:rPr>
          <w:rStyle w:val="FootnoteTextChar"/>
        </w:rPr>
        <w:t xml:space="preserve">, 97 Eng. Rep. 913 (1763); it was </w:t>
      </w:r>
      <w:r>
        <w:rPr>
          <w:rStyle w:val="FootnoteTextChar"/>
          <w:rFonts w:eastAsiaTheme="minorHAnsi"/>
        </w:rPr>
        <w:t xml:space="preserve">first reported as being used to deprive a father of </w:t>
      </w:r>
      <w:r w:rsidRPr="000756D2">
        <w:rPr>
          <w:rStyle w:val="FootnoteTextChar"/>
        </w:rPr>
        <w:t>custody</w:t>
      </w:r>
      <w:r>
        <w:rPr>
          <w:rStyle w:val="FootnoteTextChar"/>
          <w:rFonts w:eastAsiaTheme="minorHAnsi"/>
        </w:rPr>
        <w:t xml:space="preserve"> </w:t>
      </w:r>
      <w:r w:rsidRPr="000756D2">
        <w:rPr>
          <w:rStyle w:val="FootnoteTextChar"/>
        </w:rPr>
        <w:t xml:space="preserve">in </w:t>
      </w:r>
      <w:r w:rsidRPr="000756D2">
        <w:rPr>
          <w:rStyle w:val="FootnoteTextChar"/>
          <w:i/>
          <w:lang w:eastAsia="en-GB"/>
        </w:rPr>
        <w:t>Shelley v. Westbrooke</w:t>
      </w:r>
      <w:r>
        <w:rPr>
          <w:rStyle w:val="FootnoteTextChar"/>
          <w:rFonts w:eastAsiaTheme="minorHAnsi"/>
          <w:lang w:eastAsia="en-GB"/>
        </w:rPr>
        <w:t>, Jac 266,</w:t>
      </w:r>
      <w:r w:rsidRPr="000756D2">
        <w:rPr>
          <w:rStyle w:val="FootnoteTextChar"/>
          <w:lang w:eastAsia="en-GB"/>
        </w:rPr>
        <w:t xml:space="preserve"> 37 E</w:t>
      </w:r>
      <w:r>
        <w:rPr>
          <w:rStyle w:val="FootnoteTextChar"/>
          <w:rFonts w:eastAsiaTheme="minorHAnsi"/>
          <w:lang w:eastAsia="en-GB"/>
        </w:rPr>
        <w:t>ng</w:t>
      </w:r>
      <w:r w:rsidRPr="000756D2">
        <w:rPr>
          <w:rStyle w:val="FootnoteTextChar"/>
          <w:lang w:eastAsia="en-GB"/>
        </w:rPr>
        <w:t>.</w:t>
      </w:r>
      <w:r>
        <w:rPr>
          <w:rStyle w:val="FootnoteTextChar"/>
          <w:rFonts w:eastAsiaTheme="minorHAnsi"/>
          <w:lang w:eastAsia="en-GB"/>
        </w:rPr>
        <w:t xml:space="preserve"> </w:t>
      </w:r>
      <w:r w:rsidRPr="000756D2">
        <w:rPr>
          <w:rStyle w:val="FootnoteTextChar"/>
          <w:lang w:eastAsia="en-GB"/>
        </w:rPr>
        <w:t>R</w:t>
      </w:r>
      <w:r>
        <w:rPr>
          <w:rStyle w:val="FootnoteTextChar"/>
          <w:rFonts w:eastAsiaTheme="minorHAnsi"/>
          <w:lang w:eastAsia="en-GB"/>
        </w:rPr>
        <w:t>ep</w:t>
      </w:r>
      <w:r w:rsidRPr="000756D2">
        <w:rPr>
          <w:rStyle w:val="FootnoteTextChar"/>
          <w:lang w:eastAsia="en-GB"/>
        </w:rPr>
        <w:t>. 850</w:t>
      </w:r>
      <w:r>
        <w:rPr>
          <w:rStyle w:val="FootnoteTextChar"/>
          <w:rFonts w:eastAsiaTheme="minorHAnsi"/>
          <w:lang w:eastAsia="en-GB"/>
        </w:rPr>
        <w:t xml:space="preserve"> (1819). See Danaya C. Wright, ‘P</w:t>
      </w:r>
      <w:r w:rsidRPr="00410B97">
        <w:rPr>
          <w:rStyle w:val="FootnoteTextChar"/>
          <w:rFonts w:eastAsiaTheme="minorHAnsi"/>
        </w:rPr>
        <w:t xml:space="preserve">olicing sexual morality: Percy Shelley and the expansive scope of the </w:t>
      </w:r>
      <w:r w:rsidRPr="007221F9">
        <w:rPr>
          <w:rStyle w:val="FootnoteTextChar"/>
          <w:rFonts w:eastAsiaTheme="minorHAnsi"/>
          <w:i/>
        </w:rPr>
        <w:t>p</w:t>
      </w:r>
      <w:r w:rsidRPr="00D21EAB">
        <w:rPr>
          <w:rStyle w:val="FootnoteTextChar"/>
          <w:rFonts w:eastAsiaTheme="minorHAnsi"/>
          <w:i/>
        </w:rPr>
        <w:t xml:space="preserve">arens patriae </w:t>
      </w:r>
      <w:r w:rsidRPr="00410B97">
        <w:rPr>
          <w:rStyle w:val="FootnoteTextChar"/>
          <w:rFonts w:eastAsiaTheme="minorHAnsi"/>
        </w:rPr>
        <w:t>in the law of custody of children</w:t>
      </w:r>
      <w:r>
        <w:rPr>
          <w:rStyle w:val="FootnoteTextChar"/>
          <w:rFonts w:eastAsiaTheme="minorHAnsi"/>
        </w:rPr>
        <w:t>’,</w:t>
      </w:r>
      <w:r w:rsidRPr="00410B97">
        <w:rPr>
          <w:rStyle w:val="FootnoteTextChar"/>
          <w:rFonts w:eastAsiaTheme="minorHAnsi"/>
        </w:rPr>
        <w:t xml:space="preserve"> </w:t>
      </w:r>
      <w:r w:rsidRPr="00410B97">
        <w:rPr>
          <w:rStyle w:val="FootnoteTextChar"/>
          <w:rFonts w:eastAsiaTheme="minorHAnsi"/>
          <w:i/>
        </w:rPr>
        <w:t>Nineteenth-Century Gender Studies</w:t>
      </w:r>
      <w:r w:rsidRPr="00410B97">
        <w:rPr>
          <w:rStyle w:val="FootnoteTextChar"/>
          <w:rFonts w:eastAsiaTheme="minorHAnsi"/>
        </w:rPr>
        <w:t xml:space="preserve"> 8.2 </w:t>
      </w:r>
      <w:r>
        <w:rPr>
          <w:rStyle w:val="FootnoteTextChar"/>
          <w:rFonts w:eastAsiaTheme="minorHAnsi"/>
        </w:rPr>
        <w:t>(</w:t>
      </w:r>
      <w:r w:rsidRPr="00410B97">
        <w:rPr>
          <w:rStyle w:val="FootnoteTextChar"/>
          <w:rFonts w:eastAsiaTheme="minorHAnsi"/>
        </w:rPr>
        <w:t>2012)</w:t>
      </w:r>
      <w:r>
        <w:rPr>
          <w:rStyle w:val="FootnoteTextChar"/>
          <w:rFonts w:eastAsiaTheme="minorHAnsi"/>
        </w:rPr>
        <w:t>.</w:t>
      </w:r>
    </w:p>
  </w:footnote>
  <w:footnote w:id="36">
    <w:p w14:paraId="6ABA5792" w14:textId="3A800BA3" w:rsidR="00B914E5" w:rsidRPr="001F4230" w:rsidRDefault="00B914E5" w:rsidP="00193BEA">
      <w:pPr>
        <w:pStyle w:val="FootnoteText"/>
        <w:rPr>
          <w:rFonts w:ascii="Arial" w:hAnsi="Arial" w:cs="Arial"/>
        </w:rPr>
      </w:pPr>
      <w:r>
        <w:rPr>
          <w:rStyle w:val="FootnoteReference"/>
        </w:rPr>
        <w:footnoteRef/>
      </w:r>
      <w:r w:rsidRPr="001F4230">
        <w:rPr>
          <w:rStyle w:val="FootnoteTextChar"/>
        </w:rPr>
        <w:t xml:space="preserve"> </w:t>
      </w:r>
      <w:r w:rsidRPr="001F4230">
        <w:rPr>
          <w:rStyle w:val="FootnoteTextChar"/>
          <w:i/>
        </w:rPr>
        <w:t>Shelley v. Westbrooke</w:t>
      </w:r>
      <w:r w:rsidRPr="001F4230">
        <w:rPr>
          <w:rStyle w:val="FootnoteTextChar"/>
        </w:rPr>
        <w:t>, Jac 266; 37 E.R. 850</w:t>
      </w:r>
      <w:r>
        <w:rPr>
          <w:rStyle w:val="FootnoteTextChar"/>
        </w:rPr>
        <w:t xml:space="preserve"> (1819); </w:t>
      </w:r>
      <w:r w:rsidRPr="009F68BF">
        <w:rPr>
          <w:i/>
        </w:rPr>
        <w:t>Thomas v. Roberts</w:t>
      </w:r>
      <w:r>
        <w:t xml:space="preserve">, </w:t>
      </w:r>
      <w:r w:rsidRPr="009F68BF">
        <w:t>3 De G. &amp; Sm. 7</w:t>
      </w:r>
      <w:r>
        <w:t>58 (1850).</w:t>
      </w:r>
      <w:r w:rsidRPr="00193BEA">
        <w:t xml:space="preserve"> </w:t>
      </w:r>
      <w:r>
        <w:t xml:space="preserve">On adultery, see </w:t>
      </w:r>
      <w:r w:rsidRPr="00A17BD3">
        <w:rPr>
          <w:i/>
        </w:rPr>
        <w:t>Wellesley v. Duke of Beaufort</w:t>
      </w:r>
      <w:r>
        <w:t xml:space="preserve">, 2 Russ. 31 (1827); </w:t>
      </w:r>
      <w:r>
        <w:rPr>
          <w:i/>
        </w:rPr>
        <w:t>Ball v. Ball</w:t>
      </w:r>
      <w:r>
        <w:t xml:space="preserve">, </w:t>
      </w:r>
      <w:r w:rsidRPr="00DF2D90">
        <w:t>2 Sim. 35; 57 E.R. 70</w:t>
      </w:r>
      <w:r>
        <w:t xml:space="preserve">4 (1827); </w:t>
      </w:r>
      <w:r w:rsidRPr="00DF2D90">
        <w:rPr>
          <w:i/>
        </w:rPr>
        <w:t>R. v. Greenhill</w:t>
      </w:r>
      <w:r>
        <w:t xml:space="preserve">, 4 AD. &amp; E. 624 (1836). For a more lenient stance see </w:t>
      </w:r>
      <w:r w:rsidRPr="003B793C">
        <w:rPr>
          <w:i/>
        </w:rPr>
        <w:t>Hamilton v. Hector</w:t>
      </w:r>
      <w:r>
        <w:t>, L.R. 13 Eq. 521 (1872).</w:t>
      </w:r>
    </w:p>
  </w:footnote>
  <w:footnote w:id="37">
    <w:p w14:paraId="4B3D7245" w14:textId="7051FC8C" w:rsidR="00B914E5" w:rsidRPr="007B1EF5" w:rsidRDefault="00B914E5">
      <w:pPr>
        <w:pStyle w:val="FootnoteText"/>
      </w:pPr>
      <w:r>
        <w:rPr>
          <w:rStyle w:val="FootnoteReference"/>
        </w:rPr>
        <w:footnoteRef/>
      </w:r>
      <w:r>
        <w:t xml:space="preserve"> Cf. the reluctance to engage with the history of masculinity in</w:t>
      </w:r>
      <w:r w:rsidRPr="00055ECA">
        <w:t xml:space="preserve"> </w:t>
      </w:r>
      <w:r>
        <w:t xml:space="preserve">Wright, ‘The crisis of child custody’. On the significance of changing ideas about maternity, see Shanley, </w:t>
      </w:r>
      <w:r>
        <w:rPr>
          <w:i/>
        </w:rPr>
        <w:t xml:space="preserve">Feminism, marriage and the </w:t>
      </w:r>
      <w:r w:rsidRPr="00536C5A">
        <w:t>law</w:t>
      </w:r>
      <w:r>
        <w:t xml:space="preserve">, </w:t>
      </w:r>
      <w:r w:rsidRPr="00536C5A">
        <w:t>pp</w:t>
      </w:r>
      <w:r>
        <w:t xml:space="preserve">. 145–6; Griffin, </w:t>
      </w:r>
      <w:r>
        <w:rPr>
          <w:i/>
        </w:rPr>
        <w:t>Politics of gender</w:t>
      </w:r>
      <w:r>
        <w:t>, pp. 140–3.</w:t>
      </w:r>
    </w:p>
  </w:footnote>
  <w:footnote w:id="38">
    <w:p w14:paraId="1931A059" w14:textId="7AA9970F" w:rsidR="00B914E5" w:rsidRPr="006C36AD" w:rsidRDefault="00B914E5" w:rsidP="00C4638C">
      <w:pPr>
        <w:pStyle w:val="FootnoteText"/>
      </w:pPr>
      <w:r>
        <w:rPr>
          <w:rStyle w:val="FootnoteReference"/>
        </w:rPr>
        <w:footnoteRef/>
      </w:r>
      <w:r>
        <w:t xml:space="preserve"> Steven Mintz, </w:t>
      </w:r>
      <w:r>
        <w:rPr>
          <w:i/>
          <w:iCs/>
        </w:rPr>
        <w:t>A prison of expectations: the family in Victorian culture</w:t>
      </w:r>
      <w:r>
        <w:t xml:space="preserve"> (New York, 1983), ch. 3; Michael Bentley, ‘Gladstone’s heir’, </w:t>
      </w:r>
      <w:r>
        <w:rPr>
          <w:i/>
        </w:rPr>
        <w:t>English Historical Review</w:t>
      </w:r>
      <w:r>
        <w:t xml:space="preserve"> 107 (1992), pp. 906, 910; John Tosh, </w:t>
      </w:r>
      <w:r>
        <w:rPr>
          <w:i/>
        </w:rPr>
        <w:t>A man’s place</w:t>
      </w:r>
      <w:r w:rsidRPr="004300A8">
        <w:rPr>
          <w:i/>
        </w:rPr>
        <w:t xml:space="preserve"> </w:t>
      </w:r>
      <w:r w:rsidRPr="00E93814">
        <w:rPr>
          <w:i/>
        </w:rPr>
        <w:t xml:space="preserve">Masculinity and the middle class home in Victorian England </w:t>
      </w:r>
      <w:r w:rsidRPr="00E93814">
        <w:t>(</w:t>
      </w:r>
      <w:r>
        <w:t xml:space="preserve">London, </w:t>
      </w:r>
      <w:r w:rsidRPr="00E93814">
        <w:t>1999)</w:t>
      </w:r>
      <w:r>
        <w:t xml:space="preserve">, pp. 83–4, 90–2; </w:t>
      </w:r>
      <w:r>
        <w:rPr>
          <w:iCs/>
        </w:rPr>
        <w:t xml:space="preserve">Leonore Davidoff, Megan Doolittle, Janet Fish and Katherine Holden, </w:t>
      </w:r>
      <w:r>
        <w:rPr>
          <w:i/>
        </w:rPr>
        <w:t xml:space="preserve">The family story: blood, contract and intimacy, 1830–1960 </w:t>
      </w:r>
      <w:r>
        <w:rPr>
          <w:iCs/>
        </w:rPr>
        <w:t xml:space="preserve">(London, 1999), p. 141; </w:t>
      </w:r>
      <w:r>
        <w:t xml:space="preserve">Stephanie Olsen, ‘The authority of motherhood in question: fatherhood and the moral education of children in England, c. 1870–1900’, </w:t>
      </w:r>
      <w:r>
        <w:rPr>
          <w:i/>
        </w:rPr>
        <w:t>Women’</w:t>
      </w:r>
      <w:r w:rsidRPr="00D97CA0">
        <w:rPr>
          <w:i/>
        </w:rPr>
        <w:t>s History Review</w:t>
      </w:r>
      <w:r>
        <w:rPr>
          <w:i/>
        </w:rPr>
        <w:t xml:space="preserve"> </w:t>
      </w:r>
      <w:r>
        <w:t>18.5 (2009), pp. 765–80;</w:t>
      </w:r>
      <w:r w:rsidRPr="003B1D81">
        <w:t xml:space="preserve"> </w:t>
      </w:r>
      <w:r>
        <w:t xml:space="preserve">Ben Griffin, </w:t>
      </w:r>
      <w:r>
        <w:rPr>
          <w:i/>
        </w:rPr>
        <w:t>The politics of gender</w:t>
      </w:r>
      <w:r>
        <w:t xml:space="preserve">, ch. 5; Joanne Bailey, </w:t>
      </w:r>
      <w:r>
        <w:rPr>
          <w:i/>
        </w:rPr>
        <w:t xml:space="preserve">Parenting in England, 1760–1830 </w:t>
      </w:r>
      <w:r>
        <w:t xml:space="preserve">(Oxford, 2012), p. 152; Christina de Bellaigue, ‘Faith and religion’, in Colin Heywood, ed., </w:t>
      </w:r>
      <w:r>
        <w:rPr>
          <w:i/>
        </w:rPr>
        <w:t>A cultural history of childhood and family in the age of empire</w:t>
      </w:r>
      <w:r>
        <w:t xml:space="preserve"> (Oxford, 2014), p. 152; Laura King, </w:t>
      </w:r>
      <w:r>
        <w:rPr>
          <w:i/>
        </w:rPr>
        <w:t xml:space="preserve">Family men: fatherhood and masculinity in Britain, 1914–1960 </w:t>
      </w:r>
      <w:r>
        <w:t>(Oxford, 2015), pp. 59–60.</w:t>
      </w:r>
    </w:p>
  </w:footnote>
  <w:footnote w:id="39">
    <w:p w14:paraId="1FE129BC" w14:textId="77777777" w:rsidR="00B914E5" w:rsidRPr="00D97129" w:rsidRDefault="00B914E5" w:rsidP="00C4638C">
      <w:pPr>
        <w:pStyle w:val="FootnoteText"/>
        <w:rPr>
          <w:rFonts w:ascii="Arial" w:hAnsi="Arial" w:cs="Arial"/>
        </w:rPr>
      </w:pPr>
      <w:r>
        <w:rPr>
          <w:rStyle w:val="FootnoteReference"/>
        </w:rPr>
        <w:footnoteRef/>
      </w:r>
      <w:r>
        <w:t xml:space="preserve"> </w:t>
      </w:r>
      <w:r w:rsidRPr="003A06BF">
        <w:rPr>
          <w:i/>
        </w:rPr>
        <w:t>In re Meades</w:t>
      </w:r>
      <w:r>
        <w:t>, 19 W.R. 313</w:t>
      </w:r>
      <w:r w:rsidRPr="00D97129">
        <w:t xml:space="preserve">; Ir. 5 Eq. </w:t>
      </w:r>
      <w:r>
        <w:t>103 (</w:t>
      </w:r>
      <w:r w:rsidRPr="00D97129">
        <w:t>1871).</w:t>
      </w:r>
    </w:p>
  </w:footnote>
  <w:footnote w:id="40">
    <w:p w14:paraId="1C0ADC01" w14:textId="77777777" w:rsidR="00B914E5" w:rsidRDefault="00B914E5" w:rsidP="00C4638C">
      <w:pPr>
        <w:pStyle w:val="FootnoteText"/>
      </w:pPr>
      <w:r>
        <w:rPr>
          <w:rStyle w:val="FootnoteReference"/>
        </w:rPr>
        <w:footnoteRef/>
      </w:r>
      <w:r>
        <w:t xml:space="preserve"> </w:t>
      </w:r>
      <w:r w:rsidRPr="003A06BF">
        <w:rPr>
          <w:i/>
        </w:rPr>
        <w:t>In re North</w:t>
      </w:r>
      <w:r>
        <w:t>, 8 L. T. O. S. 313; 11 Jur. 7 (1846).</w:t>
      </w:r>
      <w:r w:rsidRPr="002B4697">
        <w:t xml:space="preserve"> </w:t>
      </w:r>
      <w:r>
        <w:t xml:space="preserve">This position did not go uncontested. </w:t>
      </w:r>
      <w:r w:rsidRPr="00075A8F">
        <w:t xml:space="preserve">In 1857 Chief Justice Campbell </w:t>
      </w:r>
      <w:r>
        <w:t>suggested that a widow need not be bound to raise her child in her late husband’s religion, but this was overturned when the case was taken to Chancery; subsequent cases simply ignored the doubts that Campbell had raised until they were revived in the 1890s</w:t>
      </w:r>
      <w:r w:rsidRPr="00075A8F">
        <w:t>.</w:t>
      </w:r>
      <w:r w:rsidRPr="002B4697">
        <w:rPr>
          <w:rStyle w:val="FootnoteTextChar"/>
          <w:i/>
        </w:rPr>
        <w:t xml:space="preserve"> </w:t>
      </w:r>
      <w:r w:rsidRPr="00570F2F">
        <w:rPr>
          <w:rStyle w:val="FootnoteTextChar"/>
          <w:i/>
        </w:rPr>
        <w:t>R. v. Clarke</w:t>
      </w:r>
      <w:r w:rsidRPr="00570F2F">
        <w:rPr>
          <w:rStyle w:val="FootnoteTextChar"/>
        </w:rPr>
        <w:t xml:space="preserve">, </w:t>
      </w:r>
      <w:r w:rsidRPr="00570F2F">
        <w:rPr>
          <w:rStyle w:val="FootnoteTextChar"/>
          <w:lang w:eastAsia="en-GB"/>
        </w:rPr>
        <w:t>7 E. &amp; B. 186</w:t>
      </w:r>
      <w:r w:rsidRPr="00570F2F">
        <w:rPr>
          <w:rStyle w:val="FootnoteTextChar"/>
        </w:rPr>
        <w:t xml:space="preserve">; </w:t>
      </w:r>
      <w:r w:rsidRPr="00A92D90">
        <w:rPr>
          <w:rStyle w:val="FootnoteTextChar"/>
          <w:i/>
        </w:rPr>
        <w:t>In re Alicia Race</w:t>
      </w:r>
      <w:r w:rsidRPr="00570F2F">
        <w:rPr>
          <w:rStyle w:val="FootnoteTextChar"/>
        </w:rPr>
        <w:t>, 1 H. &amp; M. 420 n.; 26 L.J.N.S.Q.B. 176 n</w:t>
      </w:r>
      <w:r w:rsidRPr="003D22DE">
        <w:rPr>
          <w:rStyle w:val="FootnoteTextChar"/>
          <w:i/>
        </w:rPr>
        <w:t>.</w:t>
      </w:r>
      <w:r w:rsidRPr="003D22DE">
        <w:rPr>
          <w:i/>
        </w:rPr>
        <w:t xml:space="preserve"> </w:t>
      </w:r>
      <w:r w:rsidRPr="003D22DE">
        <w:rPr>
          <w:rStyle w:val="FootnoteTextChar"/>
          <w:i/>
        </w:rPr>
        <w:t>R. v. Barnardo</w:t>
      </w:r>
      <w:r w:rsidRPr="003D22DE">
        <w:rPr>
          <w:rStyle w:val="FootnoteTextChar"/>
        </w:rPr>
        <w:t>, 1 Q. B. 199 (1890).</w:t>
      </w:r>
    </w:p>
  </w:footnote>
  <w:footnote w:id="41">
    <w:p w14:paraId="5A256D3C" w14:textId="77777777" w:rsidR="00B914E5" w:rsidRPr="00221E49" w:rsidRDefault="00B914E5" w:rsidP="00BA44BA">
      <w:pPr>
        <w:pStyle w:val="FootnoteText"/>
      </w:pPr>
      <w:r>
        <w:rPr>
          <w:rStyle w:val="FootnoteReference"/>
        </w:rPr>
        <w:footnoteRef/>
      </w:r>
      <w:r>
        <w:t xml:space="preserve"> Christopher Clark and Wolfram Kaiser, eds., </w:t>
      </w:r>
      <w:r>
        <w:rPr>
          <w:i/>
        </w:rPr>
        <w:t xml:space="preserve">Culture wars: secular-Catholic conflict in nineteenth-century Europe </w:t>
      </w:r>
      <w:r>
        <w:t xml:space="preserve">(Cambridge, 2003). Tine Van Osselaer and Patrick Pasture, eds., </w:t>
      </w:r>
      <w:r>
        <w:rPr>
          <w:i/>
        </w:rPr>
        <w:t>Christian homes: religion, family and domesticity in the 19</w:t>
      </w:r>
      <w:r w:rsidRPr="00221E49">
        <w:rPr>
          <w:i/>
          <w:vertAlign w:val="superscript"/>
        </w:rPr>
        <w:t>th</w:t>
      </w:r>
      <w:r>
        <w:rPr>
          <w:i/>
        </w:rPr>
        <w:t xml:space="preserve"> and 20</w:t>
      </w:r>
      <w:r w:rsidRPr="00221E49">
        <w:rPr>
          <w:i/>
          <w:vertAlign w:val="superscript"/>
        </w:rPr>
        <w:t>th</w:t>
      </w:r>
      <w:r>
        <w:rPr>
          <w:i/>
        </w:rPr>
        <w:t xml:space="preserve"> centuries </w:t>
      </w:r>
      <w:r>
        <w:t>(Leuven, 2016).</w:t>
      </w:r>
      <w:r w:rsidRPr="00E914FF">
        <w:t xml:space="preserve"> </w:t>
      </w:r>
      <w:r>
        <w:t xml:space="preserve">This battle culminated in the papacy’s </w:t>
      </w:r>
      <w:r>
        <w:rPr>
          <w:i/>
        </w:rPr>
        <w:t xml:space="preserve">Ne </w:t>
      </w:r>
      <w:r w:rsidRPr="00B210FB">
        <w:rPr>
          <w:i/>
        </w:rPr>
        <w:t>Temere</w:t>
      </w:r>
      <w:r>
        <w:t xml:space="preserve"> decree forbidding mixed marriages in 1907.</w:t>
      </w:r>
    </w:p>
  </w:footnote>
  <w:footnote w:id="42">
    <w:p w14:paraId="2B1DBB40" w14:textId="5DE05F1B" w:rsidR="00B914E5" w:rsidRPr="00097654" w:rsidRDefault="00B914E5" w:rsidP="00AD1F3D">
      <w:pPr>
        <w:pStyle w:val="FootnoteText"/>
      </w:pPr>
      <w:r>
        <w:rPr>
          <w:rStyle w:val="FootnoteReference"/>
        </w:rPr>
        <w:footnoteRef/>
      </w:r>
      <w:r>
        <w:t xml:space="preserve"> P. H. Pettit, ‘Parental control and guardianship’ in </w:t>
      </w:r>
      <w:r w:rsidRPr="00795BCB">
        <w:t>R. H. Graveson and F. R. Crane, eds.,</w:t>
      </w:r>
      <w:r w:rsidRPr="00795BCB">
        <w:rPr>
          <w:i/>
          <w:iCs/>
        </w:rPr>
        <w:t xml:space="preserve"> A century of family law</w:t>
      </w:r>
      <w:r>
        <w:t>, (1957), pp. 56–87; Danaya C. Wright, ‘</w:t>
      </w:r>
      <w:r w:rsidRPr="00BB102C">
        <w:rPr>
          <w:i/>
        </w:rPr>
        <w:t>De Manneville v. De Manneville</w:t>
      </w:r>
      <w:r>
        <w:rPr>
          <w:i/>
        </w:rPr>
        <w:t>’</w:t>
      </w:r>
      <w:r>
        <w:t>, pp. 247–307.</w:t>
      </w:r>
    </w:p>
  </w:footnote>
  <w:footnote w:id="43">
    <w:p w14:paraId="7DB646FF" w14:textId="656DF733" w:rsidR="00B914E5" w:rsidRDefault="00B914E5">
      <w:pPr>
        <w:pStyle w:val="FootnoteText"/>
      </w:pPr>
      <w:r>
        <w:rPr>
          <w:rStyle w:val="FootnoteReference"/>
        </w:rPr>
        <w:footnoteRef/>
      </w:r>
      <w:r>
        <w:t xml:space="preserve"> Harry Ferguson, ‘Cleveland in history: the abused child and child protection, 1880–1914’ in Roger Cooter, ed., </w:t>
      </w:r>
      <w:r>
        <w:rPr>
          <w:i/>
        </w:rPr>
        <w:t>In the name of the child. Health and welfare, 1880–1940</w:t>
      </w:r>
      <w:r>
        <w:t xml:space="preserve"> (London, 1992), pp. 146–73.</w:t>
      </w:r>
    </w:p>
  </w:footnote>
  <w:footnote w:id="44">
    <w:p w14:paraId="41EE4F79" w14:textId="46B14BF3" w:rsidR="00B914E5" w:rsidRPr="003D2A9F" w:rsidRDefault="00B914E5" w:rsidP="00C90029">
      <w:pPr>
        <w:pStyle w:val="FootnoteText"/>
      </w:pPr>
      <w:r>
        <w:rPr>
          <w:rStyle w:val="FootnoteReference"/>
        </w:rPr>
        <w:footnoteRef/>
      </w:r>
      <w:r>
        <w:t xml:space="preserve"> For a critique of ahistorical notions of children’s interests, see David Grossberg, ‘Who determines children’s best interests?’, </w:t>
      </w:r>
      <w:r>
        <w:rPr>
          <w:i/>
        </w:rPr>
        <w:t>Law and History Review</w:t>
      </w:r>
      <w:r>
        <w:t xml:space="preserve"> 17.2 (1999), pp. 309–14.</w:t>
      </w:r>
    </w:p>
  </w:footnote>
  <w:footnote w:id="45">
    <w:p w14:paraId="7CCB483C" w14:textId="1ABB7CC0" w:rsidR="00B914E5" w:rsidRDefault="00B914E5">
      <w:pPr>
        <w:pStyle w:val="FootnoteText"/>
      </w:pPr>
      <w:r>
        <w:rPr>
          <w:rStyle w:val="FootnoteReference"/>
        </w:rPr>
        <w:footnoteRef/>
      </w:r>
      <w:r>
        <w:t xml:space="preserve"> Sir James Knight-Bruce (1791–1866), a former Conservative MP and one of the first Lord Justices to be appointed to the Court of Appeal in Chancery.</w:t>
      </w:r>
    </w:p>
  </w:footnote>
  <w:footnote w:id="46">
    <w:p w14:paraId="0A357A80" w14:textId="77777777" w:rsidR="00B914E5" w:rsidRPr="00772B78" w:rsidRDefault="00B914E5" w:rsidP="0039029F">
      <w:pPr>
        <w:rPr>
          <w:sz w:val="20"/>
        </w:rPr>
      </w:pPr>
      <w:r w:rsidRPr="00ED615A">
        <w:rPr>
          <w:rStyle w:val="FootnoteReference"/>
          <w:sz w:val="20"/>
        </w:rPr>
        <w:footnoteRef/>
      </w:r>
      <w:r>
        <w:t xml:space="preserve"> </w:t>
      </w:r>
      <w:r w:rsidRPr="004763A0">
        <w:rPr>
          <w:rStyle w:val="FootnoteTextChar"/>
          <w:i/>
        </w:rPr>
        <w:t>Witty v. Marshall</w:t>
      </w:r>
      <w:r>
        <w:rPr>
          <w:rStyle w:val="FootnoteTextChar"/>
        </w:rPr>
        <w:t>, 1 Y. &amp; C.C.C. 70 (1841).</w:t>
      </w:r>
    </w:p>
  </w:footnote>
  <w:footnote w:id="47">
    <w:p w14:paraId="40A93EFE" w14:textId="77777777" w:rsidR="00B914E5" w:rsidRPr="003B63EF" w:rsidRDefault="00B914E5" w:rsidP="0039029F">
      <w:pPr>
        <w:rPr>
          <w:sz w:val="20"/>
        </w:rPr>
      </w:pPr>
      <w:r w:rsidRPr="00ED615A">
        <w:rPr>
          <w:rStyle w:val="FootnoteReference"/>
          <w:sz w:val="20"/>
        </w:rPr>
        <w:footnoteRef/>
      </w:r>
      <w:r>
        <w:t xml:space="preserve"> </w:t>
      </w:r>
      <w:r w:rsidRPr="004763A0">
        <w:rPr>
          <w:rStyle w:val="FootnoteTextChar"/>
          <w:i/>
        </w:rPr>
        <w:t>Witty v. Marshall</w:t>
      </w:r>
      <w:r>
        <w:rPr>
          <w:rStyle w:val="FootnoteTextChar"/>
        </w:rPr>
        <w:t>, 1 Y. &amp; C.C.C. 73 (1841).</w:t>
      </w:r>
    </w:p>
  </w:footnote>
  <w:footnote w:id="48">
    <w:p w14:paraId="37E25C7B" w14:textId="25AD9291" w:rsidR="00B914E5" w:rsidRDefault="00B914E5" w:rsidP="0039029F">
      <w:pPr>
        <w:pStyle w:val="FootnoteText"/>
      </w:pPr>
      <w:r>
        <w:rPr>
          <w:rStyle w:val="FootnoteReference"/>
        </w:rPr>
        <w:footnoteRef/>
      </w:r>
      <w:r>
        <w:t xml:space="preserve"> </w:t>
      </w:r>
      <w:r w:rsidRPr="004763A0">
        <w:rPr>
          <w:i/>
        </w:rPr>
        <w:t>Stourton v. Stourton</w:t>
      </w:r>
      <w:r w:rsidRPr="00A873C3">
        <w:t>, 8 D. M. &amp; G. 76</w:t>
      </w:r>
      <w:r>
        <w:t>7–68</w:t>
      </w:r>
      <w:r w:rsidRPr="00A873C3">
        <w:t xml:space="preserve"> (1857).</w:t>
      </w:r>
    </w:p>
  </w:footnote>
  <w:footnote w:id="49">
    <w:p w14:paraId="453C61AE" w14:textId="0EDC7CBA" w:rsidR="00B914E5" w:rsidRPr="00B214BA" w:rsidRDefault="00B914E5">
      <w:pPr>
        <w:pStyle w:val="FootnoteText"/>
      </w:pPr>
      <w:r>
        <w:rPr>
          <w:rStyle w:val="FootnoteReference"/>
        </w:rPr>
        <w:footnoteRef/>
      </w:r>
      <w:r>
        <w:t xml:space="preserve"> Sir George James Turner (1798–1867).</w:t>
      </w:r>
    </w:p>
  </w:footnote>
  <w:footnote w:id="50">
    <w:p w14:paraId="0202BC18" w14:textId="0906205A" w:rsidR="00B914E5" w:rsidRDefault="00B914E5" w:rsidP="0039029F">
      <w:pPr>
        <w:pStyle w:val="FootnoteText"/>
      </w:pPr>
      <w:r>
        <w:rPr>
          <w:rStyle w:val="FootnoteReference"/>
        </w:rPr>
        <w:footnoteRef/>
      </w:r>
      <w:r>
        <w:t xml:space="preserve"> </w:t>
      </w:r>
      <w:r w:rsidRPr="004763A0">
        <w:rPr>
          <w:i/>
        </w:rPr>
        <w:t>Stourton v. Stourton</w:t>
      </w:r>
      <w:r w:rsidRPr="00A873C3">
        <w:t xml:space="preserve">, 8 D. M. &amp; G. </w:t>
      </w:r>
      <w:r>
        <w:t xml:space="preserve">773. </w:t>
      </w:r>
    </w:p>
  </w:footnote>
  <w:footnote w:id="51">
    <w:p w14:paraId="3DF69D4A" w14:textId="77777777" w:rsidR="00B914E5" w:rsidRDefault="00B914E5" w:rsidP="0039029F">
      <w:pPr>
        <w:pStyle w:val="FootnoteText"/>
      </w:pPr>
      <w:r>
        <w:rPr>
          <w:rStyle w:val="FootnoteReference"/>
        </w:rPr>
        <w:footnoteRef/>
      </w:r>
      <w:r>
        <w:t xml:space="preserve"> However in 1889 Lord Fitzgerald told the House of Lords that his practice had been to establish the wishes of the child. </w:t>
      </w:r>
      <w:r w:rsidRPr="00321736">
        <w:rPr>
          <w:i/>
          <w:iCs/>
        </w:rPr>
        <w:t xml:space="preserve">Hansard </w:t>
      </w:r>
      <w:r w:rsidRPr="00321736">
        <w:t>338, col. 512</w:t>
      </w:r>
      <w:r>
        <w:t xml:space="preserve"> (16 July, 1889)</w:t>
      </w:r>
      <w:r w:rsidRPr="00321736">
        <w:t>.</w:t>
      </w:r>
    </w:p>
  </w:footnote>
  <w:footnote w:id="52">
    <w:p w14:paraId="2DD2FEFB" w14:textId="3BA999F4" w:rsidR="00B914E5" w:rsidRDefault="00B914E5">
      <w:pPr>
        <w:pStyle w:val="FootnoteText"/>
      </w:pPr>
      <w:r>
        <w:rPr>
          <w:rStyle w:val="FootnoteReference"/>
        </w:rPr>
        <w:footnoteRef/>
      </w:r>
      <w:r>
        <w:t xml:space="preserve"> Sir William Milbourne James (1807–81).</w:t>
      </w:r>
    </w:p>
  </w:footnote>
  <w:footnote w:id="53">
    <w:p w14:paraId="5CD12DB3" w14:textId="77777777" w:rsidR="00B914E5" w:rsidRDefault="00B914E5" w:rsidP="0039029F">
      <w:pPr>
        <w:pStyle w:val="FootnoteText"/>
      </w:pPr>
      <w:r>
        <w:rPr>
          <w:rStyle w:val="FootnoteReference"/>
        </w:rPr>
        <w:footnoteRef/>
      </w:r>
      <w:r>
        <w:t xml:space="preserve"> </w:t>
      </w:r>
      <w:r w:rsidRPr="004763A0">
        <w:rPr>
          <w:i/>
        </w:rPr>
        <w:t>Hawkesworth v. Hawkesworth</w:t>
      </w:r>
      <w:r>
        <w:t xml:space="preserve">, 6 </w:t>
      </w:r>
      <w:smartTag w:uri="urn:schemas-microsoft-com:office:smarttags" w:element="place">
        <w:smartTag w:uri="urn:schemas-microsoft-com:office:smarttags" w:element="country-region">
          <w:r>
            <w:t>Ch.</w:t>
          </w:r>
        </w:smartTag>
      </w:smartTag>
      <w:r>
        <w:t xml:space="preserve"> App. 545 (1871).</w:t>
      </w:r>
    </w:p>
  </w:footnote>
  <w:footnote w:id="54">
    <w:p w14:paraId="558A8C45" w14:textId="7483E9D3" w:rsidR="00B914E5" w:rsidRDefault="00B914E5" w:rsidP="00543877">
      <w:pPr>
        <w:pStyle w:val="FootnoteText"/>
      </w:pPr>
      <w:r>
        <w:rPr>
          <w:rStyle w:val="FootnoteReference"/>
        </w:rPr>
        <w:footnoteRef/>
      </w:r>
      <w:r>
        <w:t xml:space="preserve"> </w:t>
      </w:r>
      <w:r>
        <w:rPr>
          <w:i/>
        </w:rPr>
        <w:t>In re Magees</w:t>
      </w:r>
      <w:r w:rsidRPr="002B3528">
        <w:t>,</w:t>
      </w:r>
      <w:r>
        <w:t xml:space="preserve"> 31 Ir. Ch. Rep. 528–9 (1892). </w:t>
      </w:r>
    </w:p>
  </w:footnote>
  <w:footnote w:id="55">
    <w:p w14:paraId="01357467" w14:textId="03AE28BC" w:rsidR="00B914E5" w:rsidRDefault="00B914E5" w:rsidP="00543877">
      <w:pPr>
        <w:pStyle w:val="FootnoteText"/>
      </w:pPr>
      <w:r>
        <w:rPr>
          <w:rStyle w:val="FootnoteReference"/>
        </w:rPr>
        <w:footnoteRef/>
      </w:r>
      <w:r>
        <w:t xml:space="preserve"> S. J. D. Green, ‘The religion of the child in Edwardian Methodism: institutional reform and pedagogical reappraisal in the West Riding of Yorkshire’, </w:t>
      </w:r>
      <w:r>
        <w:rPr>
          <w:i/>
        </w:rPr>
        <w:t>Journal of British Studies</w:t>
      </w:r>
      <w:r>
        <w:t xml:space="preserve"> 30 (1991), pp. 392–7.</w:t>
      </w:r>
    </w:p>
  </w:footnote>
  <w:footnote w:id="56">
    <w:p w14:paraId="7ABF410C" w14:textId="1D5116FC" w:rsidR="00B914E5" w:rsidRPr="003D0DB2" w:rsidRDefault="00B914E5" w:rsidP="00543877">
      <w:pPr>
        <w:pStyle w:val="FootnoteText"/>
      </w:pPr>
      <w:r>
        <w:rPr>
          <w:rStyle w:val="FootnoteReference"/>
        </w:rPr>
        <w:footnoteRef/>
      </w:r>
      <w:r>
        <w:t xml:space="preserve"> </w:t>
      </w:r>
      <w:r>
        <w:rPr>
          <w:i/>
        </w:rPr>
        <w:t>In re Cole</w:t>
      </w:r>
      <w:r>
        <w:t xml:space="preserve">, 16 T. L. R. 500 (1900). On the slow emergence of developmental thinking see André Turmel, </w:t>
      </w:r>
      <w:r>
        <w:rPr>
          <w:i/>
        </w:rPr>
        <w:t>A historical sociology of childhood</w:t>
      </w:r>
      <w:r>
        <w:t xml:space="preserve"> (Cambridge, 2008), ch.5.</w:t>
      </w:r>
    </w:p>
  </w:footnote>
  <w:footnote w:id="57">
    <w:p w14:paraId="5FD30AA9" w14:textId="53A2961E" w:rsidR="00B914E5" w:rsidRDefault="00B914E5" w:rsidP="0039029F">
      <w:pPr>
        <w:pStyle w:val="FootnoteText"/>
      </w:pPr>
      <w:r>
        <w:rPr>
          <w:rStyle w:val="FootnoteReference"/>
        </w:rPr>
        <w:footnoteRef/>
      </w:r>
      <w:r>
        <w:t xml:space="preserve"> On attitudes to childhood, see Harry Hendrick, </w:t>
      </w:r>
      <w:r>
        <w:rPr>
          <w:i/>
        </w:rPr>
        <w:t>Child welfare: England 1872–1989</w:t>
      </w:r>
      <w:r>
        <w:t xml:space="preserve"> (London, 1994), pp. 24–5, 29; Louise A. Jackson, </w:t>
      </w:r>
      <w:r>
        <w:rPr>
          <w:i/>
        </w:rPr>
        <w:t>Child sexual abuse in Victorian England</w:t>
      </w:r>
      <w:r>
        <w:t xml:space="preserve"> (London, 2000), pp.12–14, 17; Deborah Gorham, ‘“The maiden tribute of modern Babylon” re-examined: child prostitution and the idea of childhood in late Victorian England’, </w:t>
      </w:r>
      <w:r>
        <w:rPr>
          <w:i/>
        </w:rPr>
        <w:t>Victorian Studies</w:t>
      </w:r>
      <w:r>
        <w:t xml:space="preserve"> 21 (1978) pp. 183–211.</w:t>
      </w:r>
    </w:p>
  </w:footnote>
  <w:footnote w:id="58">
    <w:p w14:paraId="3E4CDF0B" w14:textId="0A1E2883" w:rsidR="00B914E5" w:rsidRPr="000229D1" w:rsidRDefault="00B914E5" w:rsidP="0039029F">
      <w:pPr>
        <w:pStyle w:val="FootnoteText"/>
      </w:pPr>
      <w:r>
        <w:rPr>
          <w:rStyle w:val="FootnoteReference"/>
        </w:rPr>
        <w:footnoteRef/>
      </w:r>
      <w:r>
        <w:t xml:space="preserve"> Archibald Simpson, </w:t>
      </w:r>
      <w:r>
        <w:rPr>
          <w:i/>
        </w:rPr>
        <w:t>Treatise on the law relating to infants</w:t>
      </w:r>
      <w:r>
        <w:t xml:space="preserve"> (London, 1875), p. 131.</w:t>
      </w:r>
    </w:p>
  </w:footnote>
  <w:footnote w:id="59">
    <w:p w14:paraId="0515A85B" w14:textId="20CF23A1" w:rsidR="00B914E5" w:rsidRDefault="00B914E5" w:rsidP="00A84829">
      <w:pPr>
        <w:pStyle w:val="FootnoteText"/>
      </w:pPr>
      <w:r>
        <w:rPr>
          <w:rStyle w:val="FootnoteReference"/>
        </w:rPr>
        <w:footnoteRef/>
      </w:r>
      <w:r>
        <w:t xml:space="preserve"> </w:t>
      </w:r>
      <w:r w:rsidRPr="000229D1">
        <w:rPr>
          <w:i/>
        </w:rPr>
        <w:t>In re. Agar-Ellis, Agar-Ellis v. Lascelles</w:t>
      </w:r>
      <w:r>
        <w:t xml:space="preserve"> 24 Ch. D. 320–21, 335–6 (1883).</w:t>
      </w:r>
    </w:p>
  </w:footnote>
  <w:footnote w:id="60">
    <w:p w14:paraId="0C8631C1" w14:textId="77777777" w:rsidR="00B914E5" w:rsidRDefault="00B914E5" w:rsidP="00BC406C">
      <w:pPr>
        <w:pStyle w:val="FootnoteText"/>
      </w:pPr>
      <w:r>
        <w:rPr>
          <w:rStyle w:val="FootnoteReference"/>
        </w:rPr>
        <w:footnoteRef/>
      </w:r>
      <w:r>
        <w:t xml:space="preserve"> </w:t>
      </w:r>
      <w:r w:rsidRPr="004763A0">
        <w:rPr>
          <w:i/>
        </w:rPr>
        <w:t>Davis v. Davis</w:t>
      </w:r>
      <w:r>
        <w:t>, 10 W.R. 245 (1862).</w:t>
      </w:r>
    </w:p>
  </w:footnote>
  <w:footnote w:id="61">
    <w:p w14:paraId="4E31BEAF" w14:textId="45968D5D" w:rsidR="00B914E5" w:rsidRDefault="00B914E5">
      <w:pPr>
        <w:pStyle w:val="FootnoteText"/>
      </w:pPr>
      <w:r>
        <w:rPr>
          <w:rStyle w:val="FootnoteReference"/>
        </w:rPr>
        <w:footnoteRef/>
      </w:r>
      <w:r>
        <w:t xml:space="preserve"> Sir John Wickens, (1815–73).</w:t>
      </w:r>
    </w:p>
  </w:footnote>
  <w:footnote w:id="62">
    <w:p w14:paraId="35B904D0" w14:textId="3BB9F344" w:rsidR="00B914E5" w:rsidRDefault="00B914E5" w:rsidP="0039029F">
      <w:pPr>
        <w:pStyle w:val="FootnoteText"/>
      </w:pPr>
      <w:r>
        <w:rPr>
          <w:rStyle w:val="FootnoteReference"/>
        </w:rPr>
        <w:footnoteRef/>
      </w:r>
      <w:r>
        <w:t xml:space="preserve"> </w:t>
      </w:r>
      <w:r w:rsidRPr="004763A0">
        <w:rPr>
          <w:i/>
        </w:rPr>
        <w:t>Hawkesworth v. Hawkesworth</w:t>
      </w:r>
      <w:r>
        <w:t xml:space="preserve">, 6 </w:t>
      </w:r>
      <w:smartTag w:uri="urn:schemas-microsoft-com:office:smarttags" w:element="place">
        <w:smartTag w:uri="urn:schemas-microsoft-com:office:smarttags" w:element="country-region">
          <w:r>
            <w:t>Ch.</w:t>
          </w:r>
        </w:smartTag>
      </w:smartTag>
      <w:r>
        <w:t xml:space="preserve"> App. 540–41 (1871).</w:t>
      </w:r>
    </w:p>
  </w:footnote>
  <w:footnote w:id="63">
    <w:p w14:paraId="71438CB1" w14:textId="67B6404E" w:rsidR="00B914E5" w:rsidRPr="009127A0" w:rsidRDefault="00B914E5">
      <w:pPr>
        <w:pStyle w:val="FootnoteText"/>
      </w:pPr>
      <w:r>
        <w:rPr>
          <w:rStyle w:val="FootnoteReference"/>
        </w:rPr>
        <w:footnoteRef/>
      </w:r>
      <w:r>
        <w:t xml:space="preserve"> Sir George Mellish (1814–77). Appointed lord justice of appeal in chancery in 1870. The </w:t>
      </w:r>
      <w:r>
        <w:rPr>
          <w:i/>
        </w:rPr>
        <w:t>ODNB</w:t>
      </w:r>
      <w:r>
        <w:t xml:space="preserve"> notes that ‘It was a bold move to appoint a mere common-law practitioner to such an important post in chancery, but it proved a success’.</w:t>
      </w:r>
    </w:p>
  </w:footnote>
  <w:footnote w:id="64">
    <w:p w14:paraId="15FA65B3" w14:textId="77777777" w:rsidR="00B914E5" w:rsidRDefault="00B914E5" w:rsidP="0039029F">
      <w:pPr>
        <w:pStyle w:val="FootnoteText"/>
      </w:pPr>
      <w:r>
        <w:rPr>
          <w:rStyle w:val="FootnoteReference"/>
        </w:rPr>
        <w:footnoteRef/>
      </w:r>
      <w:r>
        <w:t xml:space="preserve"> </w:t>
      </w:r>
      <w:r w:rsidRPr="004763A0">
        <w:rPr>
          <w:i/>
        </w:rPr>
        <w:t>Hawkesworth v. Hawkesworth</w:t>
      </w:r>
      <w:r>
        <w:t xml:space="preserve">, 6 </w:t>
      </w:r>
      <w:smartTag w:uri="urn:schemas-microsoft-com:office:smarttags" w:element="place">
        <w:smartTag w:uri="urn:schemas-microsoft-com:office:smarttags" w:element="country-region">
          <w:r>
            <w:t>Ch.</w:t>
          </w:r>
        </w:smartTag>
      </w:smartTag>
      <w:r>
        <w:t xml:space="preserve"> App. 543 (1871).</w:t>
      </w:r>
    </w:p>
  </w:footnote>
  <w:footnote w:id="65">
    <w:p w14:paraId="421C4391" w14:textId="55CDF0E9" w:rsidR="00B914E5" w:rsidRDefault="00B914E5" w:rsidP="0039029F">
      <w:pPr>
        <w:pStyle w:val="FootnoteText"/>
      </w:pPr>
      <w:r>
        <w:rPr>
          <w:rStyle w:val="FootnoteReference"/>
        </w:rPr>
        <w:footnoteRef/>
      </w:r>
      <w:r>
        <w:t xml:space="preserve"> </w:t>
      </w:r>
      <w:r w:rsidRPr="004763A0">
        <w:rPr>
          <w:i/>
        </w:rPr>
        <w:t>Andrews v. Salt</w:t>
      </w:r>
      <w:r>
        <w:t xml:space="preserve">, 8 </w:t>
      </w:r>
      <w:smartTag w:uri="urn:schemas-microsoft-com:office:smarttags" w:element="place">
        <w:smartTag w:uri="urn:schemas-microsoft-com:office:smarttags" w:element="country-region">
          <w:r>
            <w:t>Ch.</w:t>
          </w:r>
        </w:smartTag>
      </w:smartTag>
      <w:r>
        <w:t xml:space="preserve"> App. 622 (1873). Although only Mellish’s name is given in the report, Vice-Chancellor Malins revealed that James had been on the panel in</w:t>
      </w:r>
      <w:r w:rsidRPr="000229D1">
        <w:rPr>
          <w:i/>
        </w:rPr>
        <w:t xml:space="preserve"> In re. Agar-Ellis, Agar-Ellis v. Lascelles</w:t>
      </w:r>
      <w:r>
        <w:t xml:space="preserve">, 10 </w:t>
      </w:r>
      <w:smartTag w:uri="urn:schemas-microsoft-com:office:smarttags" w:element="place">
        <w:smartTag w:uri="urn:schemas-microsoft-com:office:smarttags" w:element="country-region">
          <w:r>
            <w:t>Ch.</w:t>
          </w:r>
        </w:smartTag>
      </w:smartTag>
      <w:r>
        <w:t xml:space="preserve"> D. 61–2 (1878).</w:t>
      </w:r>
    </w:p>
  </w:footnote>
  <w:footnote w:id="66">
    <w:p w14:paraId="40481C2D" w14:textId="0F725CAF" w:rsidR="00B914E5" w:rsidRDefault="00B914E5">
      <w:pPr>
        <w:pStyle w:val="FootnoteText"/>
      </w:pPr>
      <w:r>
        <w:rPr>
          <w:rStyle w:val="FootnoteReference"/>
        </w:rPr>
        <w:footnoteRef/>
      </w:r>
      <w:r>
        <w:t xml:space="preserve"> Thomas O’Hagan, first Baron O’Hagan (1812–85). Champion of many Irish Catholic causes; Liberal MP, 1863–5; first Catholic Lord Chancellor of Ireland since 1688.</w:t>
      </w:r>
    </w:p>
  </w:footnote>
  <w:footnote w:id="67">
    <w:p w14:paraId="5158ECB7" w14:textId="77777777" w:rsidR="00B914E5" w:rsidRPr="0080000E" w:rsidRDefault="00B914E5" w:rsidP="0039029F">
      <w:pPr>
        <w:pStyle w:val="FootnoteText"/>
      </w:pPr>
      <w:r>
        <w:rPr>
          <w:rStyle w:val="FootnoteReference"/>
        </w:rPr>
        <w:footnoteRef/>
      </w:r>
      <w:r>
        <w:t xml:space="preserve"> </w:t>
      </w:r>
      <w:r w:rsidRPr="004763A0">
        <w:rPr>
          <w:i/>
        </w:rPr>
        <w:t>Re Meade</w:t>
      </w:r>
      <w:r>
        <w:t xml:space="preserve">, 19 W. R. 315 (1871). See also </w:t>
      </w:r>
      <w:r>
        <w:rPr>
          <w:i/>
        </w:rPr>
        <w:t>In re Meades</w:t>
      </w:r>
      <w:r>
        <w:t>, 5 Ir. Eq. 98.</w:t>
      </w:r>
    </w:p>
  </w:footnote>
  <w:footnote w:id="68">
    <w:p w14:paraId="070AEBF7" w14:textId="77777777" w:rsidR="00B914E5" w:rsidRPr="00B165E5" w:rsidRDefault="00B914E5" w:rsidP="00D16D7B">
      <w:pPr>
        <w:pStyle w:val="FootnoteText"/>
      </w:pPr>
      <w:r>
        <w:rPr>
          <w:rStyle w:val="FootnoteReference"/>
        </w:rPr>
        <w:footnoteRef/>
      </w:r>
      <w:r>
        <w:t xml:space="preserve"> </w:t>
      </w:r>
      <w:r w:rsidRPr="004763A0">
        <w:rPr>
          <w:i/>
        </w:rPr>
        <w:t>Re Meade</w:t>
      </w:r>
      <w:r>
        <w:t>, 19 W. R. 314 (1871).</w:t>
      </w:r>
    </w:p>
  </w:footnote>
  <w:footnote w:id="69">
    <w:p w14:paraId="6779F86C" w14:textId="77777777" w:rsidR="00B914E5" w:rsidRPr="00B165E5" w:rsidRDefault="00B914E5" w:rsidP="0039029F">
      <w:pPr>
        <w:pStyle w:val="FootnoteText"/>
      </w:pPr>
      <w:r>
        <w:rPr>
          <w:rStyle w:val="FootnoteReference"/>
        </w:rPr>
        <w:footnoteRef/>
      </w:r>
      <w:r>
        <w:t xml:space="preserve"> </w:t>
      </w:r>
      <w:r w:rsidRPr="004763A0">
        <w:rPr>
          <w:i/>
        </w:rPr>
        <w:t>Re Meade</w:t>
      </w:r>
      <w:r>
        <w:t>, 19 W. R. 317 (1871).</w:t>
      </w:r>
    </w:p>
  </w:footnote>
  <w:footnote w:id="70">
    <w:p w14:paraId="479D3F3C" w14:textId="70A16A34" w:rsidR="00B914E5" w:rsidRDefault="00B914E5">
      <w:pPr>
        <w:pStyle w:val="FootnoteText"/>
      </w:pPr>
      <w:r>
        <w:rPr>
          <w:rStyle w:val="FootnoteReference"/>
        </w:rPr>
        <w:footnoteRef/>
      </w:r>
      <w:r>
        <w:t xml:space="preserve"> John Thomas Ball, (1815–98). Conservative MP, 1868–75. A devout member of the Church of Ireland.</w:t>
      </w:r>
    </w:p>
  </w:footnote>
  <w:footnote w:id="71">
    <w:p w14:paraId="4D3C275E" w14:textId="1ECA3AEE" w:rsidR="00B914E5" w:rsidRDefault="00B914E5" w:rsidP="0039029F">
      <w:pPr>
        <w:pStyle w:val="FootnoteText"/>
      </w:pPr>
      <w:r>
        <w:rPr>
          <w:rStyle w:val="FootnoteReference"/>
        </w:rPr>
        <w:footnoteRef/>
      </w:r>
      <w:r>
        <w:t xml:space="preserve"> </w:t>
      </w:r>
      <w:r w:rsidRPr="004763A0">
        <w:rPr>
          <w:i/>
        </w:rPr>
        <w:t>In re Grimes</w:t>
      </w:r>
      <w:r>
        <w:t>, 11 Ir. Eq. 465 (1877).</w:t>
      </w:r>
      <w:r>
        <w:t xml:space="preserve"> Emphasis added.</w:t>
      </w:r>
    </w:p>
  </w:footnote>
  <w:footnote w:id="72">
    <w:p w14:paraId="0F8A3535" w14:textId="757E7747" w:rsidR="00B914E5" w:rsidRDefault="00B914E5">
      <w:pPr>
        <w:pStyle w:val="FootnoteText"/>
      </w:pPr>
      <w:r>
        <w:rPr>
          <w:rStyle w:val="FootnoteReference"/>
        </w:rPr>
        <w:footnoteRef/>
      </w:r>
      <w:r>
        <w:t xml:space="preserve"> </w:t>
      </w:r>
      <w:r>
        <w:rPr>
          <w:rStyle w:val="headword"/>
        </w:rPr>
        <w:t>Sir Richard</w:t>
      </w:r>
      <w:r>
        <w:t xml:space="preserve"> </w:t>
      </w:r>
      <w:r>
        <w:rPr>
          <w:rStyle w:val="headword"/>
        </w:rPr>
        <w:t xml:space="preserve">Malins, </w:t>
      </w:r>
      <w:r>
        <w:t>(1805–1882).</w:t>
      </w:r>
    </w:p>
  </w:footnote>
  <w:footnote w:id="73">
    <w:p w14:paraId="6B2F28C6" w14:textId="7B744B4B" w:rsidR="00B914E5" w:rsidRDefault="00B914E5" w:rsidP="0039029F">
      <w:pPr>
        <w:pStyle w:val="FootnoteText"/>
      </w:pPr>
      <w:r>
        <w:rPr>
          <w:rStyle w:val="FootnoteReference"/>
        </w:rPr>
        <w:footnoteRef/>
      </w:r>
      <w:r>
        <w:t xml:space="preserve"> </w:t>
      </w:r>
      <w:r w:rsidRPr="004763A0">
        <w:rPr>
          <w:i/>
        </w:rPr>
        <w:t>Andrews v. Salt</w:t>
      </w:r>
      <w:r>
        <w:t xml:space="preserve">, 8 </w:t>
      </w:r>
      <w:smartTag w:uri="urn:schemas-microsoft-com:office:smarttags" w:element="place">
        <w:smartTag w:uri="urn:schemas-microsoft-com:office:smarttags" w:element="country-region">
          <w:r>
            <w:t>Ch.</w:t>
          </w:r>
        </w:smartTag>
      </w:smartTag>
      <w:r>
        <w:t xml:space="preserve"> App. 629–32 n. (1873).</w:t>
      </w:r>
    </w:p>
  </w:footnote>
  <w:footnote w:id="74">
    <w:p w14:paraId="0B3C3077" w14:textId="659741F6" w:rsidR="00B914E5" w:rsidRDefault="00B914E5" w:rsidP="0039029F">
      <w:pPr>
        <w:pStyle w:val="FootnoteText"/>
      </w:pPr>
      <w:r>
        <w:rPr>
          <w:rStyle w:val="FootnoteReference"/>
        </w:rPr>
        <w:footnoteRef/>
      </w:r>
      <w:r>
        <w:t xml:space="preserve"> William Foulkes, </w:t>
      </w:r>
      <w:r>
        <w:rPr>
          <w:i/>
        </w:rPr>
        <w:t>A generation of judges by their reporter</w:t>
      </w:r>
      <w:r>
        <w:t xml:space="preserve"> (2</w:t>
      </w:r>
      <w:r w:rsidRPr="009D44DE">
        <w:rPr>
          <w:vertAlign w:val="superscript"/>
        </w:rPr>
        <w:t>nd</w:t>
      </w:r>
      <w:r>
        <w:t xml:space="preserve"> ed., London, 1888), pp. 147–9. </w:t>
      </w:r>
      <w:r w:rsidRPr="004763A0">
        <w:rPr>
          <w:i/>
        </w:rPr>
        <w:t>In re. Agar-Ellis, Agar-Ellis v. Lascelles</w:t>
      </w:r>
      <w:r>
        <w:t>, 10 Ch. D. 61–2 (1878).</w:t>
      </w:r>
    </w:p>
  </w:footnote>
  <w:footnote w:id="75">
    <w:p w14:paraId="620C4A1C" w14:textId="77777777" w:rsidR="00B914E5" w:rsidRDefault="00B914E5" w:rsidP="0039029F">
      <w:pPr>
        <w:pStyle w:val="FootnoteText"/>
      </w:pPr>
      <w:r>
        <w:rPr>
          <w:rStyle w:val="FootnoteReference"/>
        </w:rPr>
        <w:footnoteRef/>
      </w:r>
      <w:r>
        <w:t xml:space="preserve"> </w:t>
      </w:r>
      <w:r w:rsidRPr="004763A0">
        <w:rPr>
          <w:i/>
        </w:rPr>
        <w:t>In re. Agar-Ellis, Agar-Ellis v. Lascelles</w:t>
      </w:r>
      <w:r>
        <w:t xml:space="preserve">, 10 </w:t>
      </w:r>
      <w:smartTag w:uri="urn:schemas-microsoft-com:office:smarttags" w:element="place">
        <w:smartTag w:uri="urn:schemas-microsoft-com:office:smarttags" w:element="country-region">
          <w:r>
            <w:t>Ch.</w:t>
          </w:r>
        </w:smartTag>
      </w:smartTag>
      <w:r>
        <w:t xml:space="preserve"> D. 56 (1878).</w:t>
      </w:r>
    </w:p>
  </w:footnote>
  <w:footnote w:id="76">
    <w:p w14:paraId="0C83F3C9" w14:textId="76CA7087" w:rsidR="00B914E5" w:rsidRDefault="00B914E5" w:rsidP="0039029F">
      <w:pPr>
        <w:pStyle w:val="FootnoteText"/>
      </w:pPr>
      <w:r>
        <w:rPr>
          <w:rStyle w:val="FootnoteReference"/>
        </w:rPr>
        <w:footnoteRef/>
      </w:r>
      <w:r>
        <w:t xml:space="preserve"> </w:t>
      </w:r>
      <w:r w:rsidRPr="004763A0">
        <w:rPr>
          <w:i/>
        </w:rPr>
        <w:t>In re. Agar-Ellis, Agar-Ellis v. Lascelles</w:t>
      </w:r>
      <w:r>
        <w:t xml:space="preserve">, 10 </w:t>
      </w:r>
      <w:smartTag w:uri="urn:schemas-microsoft-com:office:smarttags" w:element="place">
        <w:smartTag w:uri="urn:schemas-microsoft-com:office:smarttags" w:element="country-region">
          <w:r>
            <w:t>Ch.</w:t>
          </w:r>
        </w:smartTag>
      </w:smartTag>
      <w:r>
        <w:t xml:space="preserve"> D. 56–7 (1878).</w:t>
      </w:r>
    </w:p>
  </w:footnote>
  <w:footnote w:id="77">
    <w:p w14:paraId="3D2C10CE" w14:textId="6D731AC2" w:rsidR="00B914E5" w:rsidRDefault="00B914E5" w:rsidP="0039029F">
      <w:pPr>
        <w:pStyle w:val="FootnoteText"/>
      </w:pPr>
      <w:r>
        <w:rPr>
          <w:rStyle w:val="FootnoteReference"/>
        </w:rPr>
        <w:footnoteRef/>
      </w:r>
      <w:r>
        <w:t xml:space="preserve"> </w:t>
      </w:r>
      <w:r w:rsidRPr="004763A0">
        <w:rPr>
          <w:i/>
        </w:rPr>
        <w:t>In re. Agar-Ellis, Agar-Ellis v. Lascelles</w:t>
      </w:r>
      <w:r>
        <w:t xml:space="preserve">, 10 </w:t>
      </w:r>
      <w:smartTag w:uri="urn:schemas-microsoft-com:office:smarttags" w:element="place">
        <w:smartTag w:uri="urn:schemas-microsoft-com:office:smarttags" w:element="country-region">
          <w:r>
            <w:t>Ch.</w:t>
          </w:r>
        </w:smartTag>
      </w:smartTag>
      <w:r>
        <w:t xml:space="preserve"> D. 58 (1878).</w:t>
      </w:r>
    </w:p>
  </w:footnote>
  <w:footnote w:id="78">
    <w:p w14:paraId="750D9B8F" w14:textId="5BC81052" w:rsidR="00B914E5" w:rsidRDefault="00B914E5" w:rsidP="0039029F">
      <w:pPr>
        <w:pStyle w:val="FootnoteText"/>
      </w:pPr>
      <w:r>
        <w:rPr>
          <w:rStyle w:val="FootnoteReference"/>
        </w:rPr>
        <w:footnoteRef/>
      </w:r>
      <w:r>
        <w:t xml:space="preserve"> </w:t>
      </w:r>
      <w:r w:rsidRPr="004763A0">
        <w:rPr>
          <w:i/>
        </w:rPr>
        <w:t>In re. Agar-Ellis, Agar-Ellis v. Lascelles</w:t>
      </w:r>
      <w:r>
        <w:t xml:space="preserve">, 10 </w:t>
      </w:r>
      <w:smartTag w:uri="urn:schemas-microsoft-com:office:smarttags" w:element="place">
        <w:smartTag w:uri="urn:schemas-microsoft-com:office:smarttags" w:element="country-region">
          <w:r>
            <w:t>Ch.</w:t>
          </w:r>
        </w:smartTag>
      </w:smartTag>
      <w:r>
        <w:t xml:space="preserve"> D. 74 (1878). Italics in the original.</w:t>
      </w:r>
    </w:p>
  </w:footnote>
  <w:footnote w:id="79">
    <w:p w14:paraId="29FFE6DF" w14:textId="4F4BD60A" w:rsidR="00B914E5" w:rsidRDefault="00B914E5">
      <w:pPr>
        <w:pStyle w:val="FootnoteText"/>
      </w:pPr>
      <w:r>
        <w:rPr>
          <w:rStyle w:val="FootnoteReference"/>
        </w:rPr>
        <w:footnoteRef/>
      </w:r>
      <w:r>
        <w:t xml:space="preserve"> Sir Charles Bowen (1835–94).</w:t>
      </w:r>
    </w:p>
  </w:footnote>
  <w:footnote w:id="80">
    <w:p w14:paraId="26E48282" w14:textId="77777777" w:rsidR="00B914E5" w:rsidRDefault="00B914E5" w:rsidP="0039029F">
      <w:pPr>
        <w:pStyle w:val="FootnoteText"/>
      </w:pPr>
      <w:r>
        <w:rPr>
          <w:rStyle w:val="FootnoteReference"/>
        </w:rPr>
        <w:footnoteRef/>
      </w:r>
      <w:r>
        <w:t xml:space="preserve"> For treatment of Irish cases see</w:t>
      </w:r>
      <w:r w:rsidRPr="00DD3764">
        <w:rPr>
          <w:i/>
        </w:rPr>
        <w:t xml:space="preserve"> </w:t>
      </w:r>
      <w:r w:rsidRPr="005262C0">
        <w:rPr>
          <w:i/>
        </w:rPr>
        <w:t>In re. Agar</w:t>
      </w:r>
      <w:r>
        <w:rPr>
          <w:i/>
        </w:rPr>
        <w:t>-Ellis, Agar-Ellis v. Lascelles</w:t>
      </w:r>
      <w:r>
        <w:t>, 24 Ch. D. 320 (1883).</w:t>
      </w:r>
    </w:p>
  </w:footnote>
  <w:footnote w:id="81">
    <w:p w14:paraId="276F839A" w14:textId="2B5F2629" w:rsidR="00B914E5" w:rsidRPr="005262C0" w:rsidRDefault="00B914E5" w:rsidP="0039029F">
      <w:pPr>
        <w:pStyle w:val="FootnoteText"/>
      </w:pPr>
      <w:r>
        <w:rPr>
          <w:rStyle w:val="FootnoteReference"/>
        </w:rPr>
        <w:footnoteRef/>
      </w:r>
      <w:r>
        <w:t xml:space="preserve"> </w:t>
      </w:r>
      <w:r w:rsidRPr="005262C0">
        <w:rPr>
          <w:i/>
        </w:rPr>
        <w:t>In re. Agar</w:t>
      </w:r>
      <w:r>
        <w:rPr>
          <w:i/>
        </w:rPr>
        <w:t>-Ellis, Agar-Ellis v. Lascelles</w:t>
      </w:r>
      <w:r>
        <w:t xml:space="preserve">, 24 Ch. D. 337–8 (1883). </w:t>
      </w:r>
    </w:p>
  </w:footnote>
  <w:footnote w:id="82">
    <w:p w14:paraId="143A5F17" w14:textId="7C47B547" w:rsidR="00B914E5" w:rsidRDefault="00B914E5" w:rsidP="004B7E03">
      <w:pPr>
        <w:pStyle w:val="FootnoteText"/>
      </w:pPr>
      <w:r>
        <w:rPr>
          <w:rStyle w:val="FootnoteReference"/>
        </w:rPr>
        <w:footnoteRef/>
      </w:r>
      <w:r>
        <w:t xml:space="preserve"> For an overview see Patrick Polden, ‘The courts of law’ in </w:t>
      </w:r>
      <w:r>
        <w:rPr>
          <w:i/>
        </w:rPr>
        <w:t>OHLE vol. XI</w:t>
      </w:r>
      <w:r>
        <w:t>, pp. 757–84</w:t>
      </w:r>
    </w:p>
  </w:footnote>
  <w:footnote w:id="83">
    <w:p w14:paraId="1E5EC1C9" w14:textId="63712F93" w:rsidR="00B914E5" w:rsidRDefault="00B914E5" w:rsidP="004B7E03">
      <w:pPr>
        <w:pStyle w:val="FootnoteText"/>
      </w:pPr>
      <w:r>
        <w:rPr>
          <w:rStyle w:val="FootnoteReference"/>
        </w:rPr>
        <w:footnoteRef/>
      </w:r>
      <w:r>
        <w:t xml:space="preserve"> Michael Lobban, ‘Preparing for fusion: reforming the nineteenth-century court of Chancery, part II’, </w:t>
      </w:r>
      <w:r>
        <w:rPr>
          <w:i/>
        </w:rPr>
        <w:t xml:space="preserve">Law and History Review </w:t>
      </w:r>
      <w:r>
        <w:t xml:space="preserve">22.3 (2004), pp. 591–2, 597–8; Patrick Polden, ‘Mingling the waters: personalities, politics and the making of the Supreme Court of Judicature’, </w:t>
      </w:r>
      <w:r>
        <w:rPr>
          <w:i/>
        </w:rPr>
        <w:t>Cambridge Law Journal</w:t>
      </w:r>
      <w:r>
        <w:t xml:space="preserve"> 61 (2002), pp. 575–611.</w:t>
      </w:r>
    </w:p>
  </w:footnote>
  <w:footnote w:id="84">
    <w:p w14:paraId="343CF9FC" w14:textId="6A16756C" w:rsidR="00B914E5" w:rsidRDefault="00B914E5" w:rsidP="004B7E03">
      <w:pPr>
        <w:pStyle w:val="FootnoteText"/>
      </w:pPr>
      <w:r>
        <w:rPr>
          <w:rStyle w:val="FootnoteReference"/>
        </w:rPr>
        <w:footnoteRef/>
      </w:r>
      <w:r>
        <w:t xml:space="preserve"> </w:t>
      </w:r>
      <w:r w:rsidRPr="00F34BF7">
        <w:t xml:space="preserve">Foulkes, </w:t>
      </w:r>
      <w:r w:rsidRPr="00F34BF7">
        <w:rPr>
          <w:i/>
        </w:rPr>
        <w:t>A generation of judges</w:t>
      </w:r>
      <w:r w:rsidRPr="00F34BF7">
        <w:t>, pp. 130</w:t>
      </w:r>
      <w:r>
        <w:t>–</w:t>
      </w:r>
      <w:r w:rsidRPr="00F34BF7">
        <w:t>2;</w:t>
      </w:r>
      <w:r w:rsidRPr="00AF74C6">
        <w:t xml:space="preserve"> </w:t>
      </w:r>
      <w:r>
        <w:t xml:space="preserve">Joshua </w:t>
      </w:r>
      <w:r w:rsidRPr="007D3619">
        <w:t xml:space="preserve">Getzler, ‘Chancery reform and law reform’, </w:t>
      </w:r>
      <w:r w:rsidRPr="007D3619">
        <w:rPr>
          <w:i/>
        </w:rPr>
        <w:t>Law and History Review</w:t>
      </w:r>
      <w:r w:rsidRPr="007D3619">
        <w:t xml:space="preserve"> 22</w:t>
      </w:r>
      <w:r>
        <w:t>.3</w:t>
      </w:r>
      <w:r w:rsidRPr="007D3619">
        <w:t xml:space="preserve"> (2004), pp. 603</w:t>
      </w:r>
      <w:r>
        <w:t>–</w:t>
      </w:r>
      <w:r w:rsidRPr="007D3619">
        <w:t>4</w:t>
      </w:r>
      <w:r w:rsidRPr="00F34BF7">
        <w:t xml:space="preserve">; </w:t>
      </w:r>
      <w:r>
        <w:t>Patrick Polden, ‘Mingling the waters’, pp. 594–5; Michael Lobban, ‘Preparing for fusion’, p. 597.</w:t>
      </w:r>
    </w:p>
  </w:footnote>
  <w:footnote w:id="85">
    <w:p w14:paraId="224F1AB4" w14:textId="77777777" w:rsidR="00B914E5" w:rsidRDefault="00B914E5" w:rsidP="004B7E03">
      <w:pPr>
        <w:pStyle w:val="FootnoteText"/>
      </w:pPr>
      <w:r>
        <w:rPr>
          <w:rStyle w:val="FootnoteReference"/>
        </w:rPr>
        <w:footnoteRef/>
      </w:r>
      <w:r>
        <w:t xml:space="preserve"> 36 &amp; 37 Vict. c. 66, s. 25, (10).</w:t>
      </w:r>
      <w:r w:rsidRPr="00020261">
        <w:t xml:space="preserve"> </w:t>
      </w:r>
    </w:p>
  </w:footnote>
  <w:footnote w:id="86">
    <w:p w14:paraId="66E7A036" w14:textId="73CBB4D5" w:rsidR="00B914E5" w:rsidRDefault="00B914E5">
      <w:pPr>
        <w:pStyle w:val="FootnoteText"/>
      </w:pPr>
      <w:r>
        <w:rPr>
          <w:rStyle w:val="FootnoteReference"/>
        </w:rPr>
        <w:footnoteRef/>
      </w:r>
      <w:r>
        <w:t xml:space="preserve"> </w:t>
      </w:r>
      <w:r w:rsidRPr="005E1E1F">
        <w:t>Th</w:t>
      </w:r>
      <w:r>
        <w:t xml:space="preserve">e clash between common law and equity </w:t>
      </w:r>
      <w:r w:rsidRPr="005E1E1F">
        <w:t xml:space="preserve">is had not been an issue in the 1878 Agar-Ellis case because that had been heard on appeal by three equity lawyers – James, </w:t>
      </w:r>
      <w:r>
        <w:t xml:space="preserve">Sir Richard Baggallay (1816–1888), and Alfred Thesiger (1838–80), LLJ. As attorney general, Baggallay had overseen the passage of the 1875 Judicature Act; </w:t>
      </w:r>
      <w:r w:rsidRPr="005E1E1F">
        <w:t>Thesiger</w:t>
      </w:r>
      <w:r>
        <w:t xml:space="preserve"> was known to be</w:t>
      </w:r>
      <w:r w:rsidRPr="005E1E1F">
        <w:t xml:space="preserve"> sympathetic to the Judicature Acts.</w:t>
      </w:r>
    </w:p>
  </w:footnote>
  <w:footnote w:id="87">
    <w:p w14:paraId="08611DF1" w14:textId="68E543BE" w:rsidR="00B914E5" w:rsidRDefault="00B914E5" w:rsidP="00D11253">
      <w:pPr>
        <w:pStyle w:val="FootnoteText"/>
      </w:pPr>
      <w:r>
        <w:rPr>
          <w:rStyle w:val="FootnoteReference"/>
        </w:rPr>
        <w:footnoteRef/>
      </w:r>
      <w:r>
        <w:t xml:space="preserve"> Sir William Baliol Brett, first Viscount Esher (1815–99).</w:t>
      </w:r>
    </w:p>
  </w:footnote>
  <w:footnote w:id="88">
    <w:p w14:paraId="11E8C189" w14:textId="3E64AD4F" w:rsidR="00B914E5" w:rsidRPr="008D46A8" w:rsidRDefault="00B914E5" w:rsidP="00567562">
      <w:pPr>
        <w:pStyle w:val="FootnoteText"/>
      </w:pPr>
      <w:r>
        <w:rPr>
          <w:rStyle w:val="FootnoteReference"/>
        </w:rPr>
        <w:footnoteRef/>
      </w:r>
      <w:r>
        <w:t xml:space="preserve"> 2 &amp; 3 Vict. c. 54. For the background see Mary Lyndon Shanley, </w:t>
      </w:r>
      <w:r>
        <w:rPr>
          <w:i/>
        </w:rPr>
        <w:t xml:space="preserve">Feminism, marriage and the law in Victorian England </w:t>
      </w:r>
      <w:r>
        <w:t xml:space="preserve">(Princeton, 1989), pp. 136–8; Diane Atkinson, </w:t>
      </w:r>
      <w:r>
        <w:rPr>
          <w:i/>
        </w:rPr>
        <w:t xml:space="preserve">The criminal conversation of Mrs Norton </w:t>
      </w:r>
      <w:r>
        <w:t>(London, 2012).</w:t>
      </w:r>
    </w:p>
  </w:footnote>
  <w:footnote w:id="89">
    <w:p w14:paraId="29555147" w14:textId="77777777" w:rsidR="00B914E5" w:rsidRDefault="00B914E5" w:rsidP="00567562">
      <w:pPr>
        <w:pStyle w:val="FootnoteText"/>
      </w:pPr>
      <w:r>
        <w:rPr>
          <w:rStyle w:val="FootnoteReference"/>
        </w:rPr>
        <w:footnoteRef/>
      </w:r>
      <w:r>
        <w:t xml:space="preserve"> Danaya C. Wright, ‘The crisis of child custody’, p. 224. </w:t>
      </w:r>
    </w:p>
  </w:footnote>
  <w:footnote w:id="90">
    <w:p w14:paraId="491BE696" w14:textId="37598F02" w:rsidR="00B914E5" w:rsidRPr="00B214BA" w:rsidRDefault="00B914E5" w:rsidP="00567562">
      <w:pPr>
        <w:pStyle w:val="FootnoteText"/>
      </w:pPr>
      <w:r>
        <w:rPr>
          <w:rStyle w:val="FootnoteReference"/>
        </w:rPr>
        <w:footnoteRef/>
      </w:r>
      <w:r>
        <w:t xml:space="preserve"> Sir George James Turner (1798–1867), a Peelite who was said to be ‘on all occasions jealous to repel any attempt to narrow the limits of the jurisdiction of the court, and courageous in expanding its remedial powers to meet modern developments’. </w:t>
      </w:r>
      <w:r>
        <w:rPr>
          <w:i/>
        </w:rPr>
        <w:t>Oxford Dictionary of National Biography</w:t>
      </w:r>
      <w:r>
        <w:t>.</w:t>
      </w:r>
    </w:p>
  </w:footnote>
  <w:footnote w:id="91">
    <w:p w14:paraId="4E69E182" w14:textId="27B69E3F" w:rsidR="00B914E5" w:rsidRDefault="00B914E5" w:rsidP="00567562">
      <w:pPr>
        <w:pStyle w:val="FootnoteText"/>
      </w:pPr>
      <w:r>
        <w:rPr>
          <w:rStyle w:val="FootnoteReference"/>
        </w:rPr>
        <w:footnoteRef/>
      </w:r>
      <w:r>
        <w:t xml:space="preserve"> </w:t>
      </w:r>
      <w:r w:rsidRPr="007D14A9">
        <w:rPr>
          <w:i/>
        </w:rPr>
        <w:t>Ex parte Woodward, re Halliday's estate</w:t>
      </w:r>
      <w:r>
        <w:t xml:space="preserve"> 17 Jur. 56–7 (1852); 21 L.T.O.S. 18 (1852). Turner was building on Lord Cottenham’s judgement in </w:t>
      </w:r>
      <w:r>
        <w:rPr>
          <w:i/>
        </w:rPr>
        <w:t>Warde v. Warde</w:t>
      </w:r>
      <w:r>
        <w:t>, 2 Ph. 787–9 (1849).</w:t>
      </w:r>
    </w:p>
  </w:footnote>
  <w:footnote w:id="92">
    <w:p w14:paraId="4EFD09F9" w14:textId="23E19A1A" w:rsidR="00B914E5" w:rsidRPr="00DA6748" w:rsidRDefault="00B914E5" w:rsidP="00567562">
      <w:pPr>
        <w:autoSpaceDE w:val="0"/>
        <w:autoSpaceDN w:val="0"/>
        <w:adjustRightInd w:val="0"/>
        <w:jc w:val="left"/>
        <w:rPr>
          <w:sz w:val="20"/>
        </w:rPr>
      </w:pPr>
      <w:r w:rsidRPr="00DA6748">
        <w:rPr>
          <w:rStyle w:val="FootnoteReference"/>
          <w:sz w:val="20"/>
        </w:rPr>
        <w:footnoteRef/>
      </w:r>
      <w:r w:rsidRPr="00DA6748">
        <w:rPr>
          <w:sz w:val="20"/>
        </w:rPr>
        <w:t xml:space="preserve"> </w:t>
      </w:r>
      <w:r w:rsidRPr="00D806A4">
        <w:rPr>
          <w:rStyle w:val="FootnoteTextChar"/>
        </w:rPr>
        <w:t xml:space="preserve">20 &amp; 21 Vict. C. 85, ss. 23, 35. On the practices of the ecclesiastical courts, see S. M. Waddams, ‘English matrimonial law on the eve of reform (1828–57)’ </w:t>
      </w:r>
      <w:r w:rsidRPr="00D806A4">
        <w:rPr>
          <w:rStyle w:val="FootnoteTextChar"/>
          <w:i/>
        </w:rPr>
        <w:t>Legal History</w:t>
      </w:r>
      <w:r w:rsidRPr="00D806A4">
        <w:rPr>
          <w:rStyle w:val="FootnoteTextChar"/>
        </w:rPr>
        <w:t>, 21.2 (2000), pp. 59</w:t>
      </w:r>
      <w:r>
        <w:rPr>
          <w:rStyle w:val="FootnoteTextChar"/>
        </w:rPr>
        <w:t>–</w:t>
      </w:r>
      <w:r w:rsidRPr="00D806A4">
        <w:rPr>
          <w:rStyle w:val="FootnoteTextChar"/>
        </w:rPr>
        <w:t>82.</w:t>
      </w:r>
    </w:p>
  </w:footnote>
  <w:footnote w:id="93">
    <w:p w14:paraId="5C7475D0" w14:textId="175F5E6F" w:rsidR="00B914E5" w:rsidRPr="00812CDB" w:rsidRDefault="00B914E5" w:rsidP="00567562">
      <w:pPr>
        <w:pStyle w:val="FootnoteText"/>
      </w:pPr>
      <w:r>
        <w:rPr>
          <w:rStyle w:val="FootnoteReference"/>
        </w:rPr>
        <w:footnoteRef/>
      </w:r>
      <w:r>
        <w:t xml:space="preserve"> A. J. Hammerton, </w:t>
      </w:r>
      <w:r>
        <w:rPr>
          <w:i/>
          <w:iCs/>
        </w:rPr>
        <w:t>Cruelty and companionship</w:t>
      </w:r>
      <w:r>
        <w:rPr>
          <w:i/>
        </w:rPr>
        <w:t>: conflict in nineteenth century married life</w:t>
      </w:r>
      <w:r>
        <w:t xml:space="preserve"> (London, 1992), p. 118.</w:t>
      </w:r>
      <w:r w:rsidRPr="00731175">
        <w:t xml:space="preserve"> </w:t>
      </w:r>
      <w:r>
        <w:t xml:space="preserve">A. J. </w:t>
      </w:r>
      <w:r w:rsidRPr="00CF2E18">
        <w:t xml:space="preserve">Hammerton, </w:t>
      </w:r>
      <w:r>
        <w:rPr>
          <w:lang w:val="en-US"/>
        </w:rPr>
        <w:t xml:space="preserve">‘Victorian marriage and the law of matrimonial cruelty’, </w:t>
      </w:r>
      <w:r>
        <w:rPr>
          <w:i/>
          <w:lang w:val="en-US"/>
        </w:rPr>
        <w:t>Victorian Studies</w:t>
      </w:r>
      <w:r>
        <w:rPr>
          <w:lang w:val="en-US"/>
        </w:rPr>
        <w:t xml:space="preserve"> 33 (1990) pp. 269–92;</w:t>
      </w:r>
      <w:r w:rsidRPr="00CF2E18">
        <w:t xml:space="preserve"> Gail</w:t>
      </w:r>
      <w:r>
        <w:t xml:space="preserve"> Savage, ‘“</w:t>
      </w:r>
      <w:r w:rsidRPr="00CF2E18">
        <w:t>The instrument of an animal function</w:t>
      </w:r>
      <w:r>
        <w:t>:”</w:t>
      </w:r>
      <w:r w:rsidRPr="00CF2E18">
        <w:t xml:space="preserve"> </w:t>
      </w:r>
      <w:r>
        <w:t xml:space="preserve">marital rape and sexual cruelty in the Divorce Court, 1858–1908’ in Delap, Griffin and Wills, </w:t>
      </w:r>
      <w:r>
        <w:rPr>
          <w:i/>
        </w:rPr>
        <w:t>The politics of domestic authority</w:t>
      </w:r>
      <w:r>
        <w:t>, pp. 43–60.</w:t>
      </w:r>
    </w:p>
  </w:footnote>
  <w:footnote w:id="94">
    <w:p w14:paraId="7AD89D07" w14:textId="40B6895D" w:rsidR="00B914E5" w:rsidRDefault="00B914E5" w:rsidP="00567562">
      <w:pPr>
        <w:pStyle w:val="FootnoteText"/>
      </w:pPr>
      <w:r>
        <w:rPr>
          <w:rStyle w:val="FootnoteReference"/>
        </w:rPr>
        <w:footnoteRef/>
      </w:r>
      <w:r>
        <w:t xml:space="preserve"> Danaya C. Wright. ‘The crisis of child custody’, p. 250. </w:t>
      </w:r>
      <w:r w:rsidRPr="00197006">
        <w:t xml:space="preserve">This runs contrary to the account in Susan Maidment, </w:t>
      </w:r>
      <w:r w:rsidRPr="00197006">
        <w:rPr>
          <w:i/>
        </w:rPr>
        <w:t xml:space="preserve">Child custody and divorce </w:t>
      </w:r>
      <w:r w:rsidRPr="00197006">
        <w:t>(</w:t>
      </w:r>
      <w:r>
        <w:t xml:space="preserve">London, </w:t>
      </w:r>
      <w:r w:rsidRPr="00197006">
        <w:t>1984), pp. 120</w:t>
      </w:r>
      <w:r>
        <w:t>–</w:t>
      </w:r>
      <w:r w:rsidRPr="00197006">
        <w:t>1.</w:t>
      </w:r>
      <w:r>
        <w:t xml:space="preserve"> The relevant cases are </w:t>
      </w:r>
      <w:r>
        <w:rPr>
          <w:i/>
        </w:rPr>
        <w:t>Marsh v. Marsh</w:t>
      </w:r>
      <w:r>
        <w:t xml:space="preserve">, 28 L.J. (P.M. &amp; A.) 16 (1858); </w:t>
      </w:r>
      <w:r w:rsidRPr="00DF0A0E">
        <w:rPr>
          <w:i/>
        </w:rPr>
        <w:t>Martin v. Martin</w:t>
      </w:r>
      <w:r>
        <w:t xml:space="preserve">, 29 L.J. (P.M. &amp; A.) 106 (1859); </w:t>
      </w:r>
      <w:r>
        <w:rPr>
          <w:i/>
        </w:rPr>
        <w:t>Hyde v. Hyde</w:t>
      </w:r>
      <w:r>
        <w:t xml:space="preserve">, 29 L.J. (P.M. &amp; A.) 150 (1859); </w:t>
      </w:r>
      <w:r>
        <w:rPr>
          <w:i/>
        </w:rPr>
        <w:t>Boynton v. Boynton</w:t>
      </w:r>
      <w:r>
        <w:t>, 30 L.J. (P.M. &amp; A.) 160 (1861).</w:t>
      </w:r>
    </w:p>
  </w:footnote>
  <w:footnote w:id="95">
    <w:p w14:paraId="630D0808" w14:textId="77777777" w:rsidR="00B914E5" w:rsidRDefault="00B914E5" w:rsidP="00567562">
      <w:pPr>
        <w:pStyle w:val="FootnoteText"/>
      </w:pPr>
      <w:r>
        <w:rPr>
          <w:rStyle w:val="FootnoteReference"/>
        </w:rPr>
        <w:footnoteRef/>
      </w:r>
      <w:r>
        <w:t xml:space="preserve"> Wright, ‘The crisis of child custody’, p. 254.</w:t>
      </w:r>
    </w:p>
  </w:footnote>
  <w:footnote w:id="96">
    <w:p w14:paraId="05FA09BB" w14:textId="35C081BD" w:rsidR="00B914E5" w:rsidRDefault="00B914E5" w:rsidP="00567562">
      <w:pPr>
        <w:pStyle w:val="FootnoteText"/>
      </w:pPr>
      <w:r>
        <w:rPr>
          <w:rStyle w:val="FootnoteReference"/>
        </w:rPr>
        <w:footnoteRef/>
      </w:r>
      <w:r>
        <w:t xml:space="preserve"> </w:t>
      </w:r>
      <w:r w:rsidRPr="00AD1195">
        <w:t xml:space="preserve">Mary Shanley, </w:t>
      </w:r>
      <w:r w:rsidRPr="00AD1195">
        <w:rPr>
          <w:i/>
        </w:rPr>
        <w:t>Feminism, marriage and the law</w:t>
      </w:r>
      <w:r w:rsidRPr="00AD1195">
        <w:t>, pp. 138</w:t>
      </w:r>
      <w:r>
        <w:t>–</w:t>
      </w:r>
      <w:r w:rsidRPr="00AD1195">
        <w:t>40. On the sponsor’s ambiguous feminist commitment see Griffin,</w:t>
      </w:r>
      <w:r w:rsidRPr="00AD1195">
        <w:rPr>
          <w:i/>
        </w:rPr>
        <w:t xml:space="preserve"> The politics of gender</w:t>
      </w:r>
      <w:r w:rsidRPr="00AD1195">
        <w:t>, pp. 11, 52, 197, 241, 310.</w:t>
      </w:r>
    </w:p>
  </w:footnote>
  <w:footnote w:id="97">
    <w:p w14:paraId="6453F0D8" w14:textId="2BDA6BDB" w:rsidR="00B914E5" w:rsidRDefault="00B914E5" w:rsidP="00567562">
      <w:pPr>
        <w:pStyle w:val="FootnoteText"/>
      </w:pPr>
      <w:r>
        <w:rPr>
          <w:rStyle w:val="FootnoteReference"/>
        </w:rPr>
        <w:footnoteRef/>
      </w:r>
      <w:r>
        <w:t xml:space="preserve"> Sir George Jessel (1824–1883), Liberal MP, 1868–73; Master of the Rolls, 1873–83. The case was</w:t>
      </w:r>
      <w:r w:rsidRPr="00394E8B">
        <w:rPr>
          <w:i/>
        </w:rPr>
        <w:t xml:space="preserve"> </w:t>
      </w:r>
      <w:r w:rsidRPr="00EB016B">
        <w:rPr>
          <w:i/>
        </w:rPr>
        <w:t>In re Taylor</w:t>
      </w:r>
      <w:r>
        <w:t>, 4 Ch. D. 160 (1876).</w:t>
      </w:r>
      <w:r w:rsidRPr="00394E8B">
        <w:t xml:space="preserve"> </w:t>
      </w:r>
      <w:r>
        <w:t>For the concern about male authority in the 1870s see</w:t>
      </w:r>
      <w:r w:rsidRPr="007221F9">
        <w:t xml:space="preserve"> </w:t>
      </w:r>
      <w:r>
        <w:t xml:space="preserve">Hammerton, </w:t>
      </w:r>
      <w:r>
        <w:rPr>
          <w:i/>
        </w:rPr>
        <w:t>Cruelty and companionship</w:t>
      </w:r>
      <w:r>
        <w:t>;</w:t>
      </w:r>
      <w:r>
        <w:rPr>
          <w:i/>
        </w:rPr>
        <w:t xml:space="preserve"> </w:t>
      </w:r>
      <w:r w:rsidRPr="007221F9">
        <w:t>and</w:t>
      </w:r>
      <w:r>
        <w:t xml:space="preserve"> Ben Griffin, </w:t>
      </w:r>
      <w:r>
        <w:rPr>
          <w:i/>
        </w:rPr>
        <w:t>T</w:t>
      </w:r>
      <w:r w:rsidRPr="00157393">
        <w:rPr>
          <w:i/>
        </w:rPr>
        <w:t>he politics of gender</w:t>
      </w:r>
      <w:r>
        <w:t>, pp. 68–73, 80.</w:t>
      </w:r>
    </w:p>
  </w:footnote>
  <w:footnote w:id="98">
    <w:p w14:paraId="034B8B3A" w14:textId="77777777" w:rsidR="00B914E5" w:rsidRPr="007770EC" w:rsidRDefault="00B914E5" w:rsidP="00567562">
      <w:pPr>
        <w:pStyle w:val="FootnoteText"/>
      </w:pPr>
      <w:r>
        <w:rPr>
          <w:rStyle w:val="FootnoteReference"/>
        </w:rPr>
        <w:footnoteRef/>
      </w:r>
      <w:r>
        <w:t xml:space="preserve"> </w:t>
      </w:r>
      <w:r w:rsidRPr="00A53265">
        <w:rPr>
          <w:i/>
        </w:rPr>
        <w:t>In re Elderton</w:t>
      </w:r>
      <w:r>
        <w:t>, 25 Ch. Div. 223 (1883);</w:t>
      </w:r>
      <w:r w:rsidRPr="006560B8">
        <w:t xml:space="preserve"> </w:t>
      </w:r>
      <w:r>
        <w:rPr>
          <w:i/>
        </w:rPr>
        <w:t>Smart v. Smart</w:t>
      </w:r>
      <w:r>
        <w:t>, A.C. 432 (1892). Hereafter the concept of ‘marital duty’ appears to have faded out of use.</w:t>
      </w:r>
    </w:p>
  </w:footnote>
  <w:footnote w:id="99">
    <w:p w14:paraId="040B7E88" w14:textId="78BFAB8F" w:rsidR="00B914E5" w:rsidRPr="00230433" w:rsidRDefault="00B914E5" w:rsidP="0016686D">
      <w:pPr>
        <w:pStyle w:val="FootnoteText"/>
      </w:pPr>
      <w:r>
        <w:rPr>
          <w:rStyle w:val="FootnoteReference"/>
        </w:rPr>
        <w:footnoteRef/>
      </w:r>
      <w:r>
        <w:t xml:space="preserve"> A. Underhill, </w:t>
      </w:r>
      <w:r>
        <w:rPr>
          <w:i/>
        </w:rPr>
        <w:t>Change and decay</w:t>
      </w:r>
      <w:r w:rsidRPr="00230433">
        <w:t xml:space="preserve"> (1938), p. 87, cited in J.H. Baker,</w:t>
      </w:r>
      <w:r w:rsidRPr="00230433">
        <w:rPr>
          <w:i/>
        </w:rPr>
        <w:t xml:space="preserve"> Legal history</w:t>
      </w:r>
      <w:r>
        <w:t xml:space="preserve"> (4</w:t>
      </w:r>
      <w:r w:rsidRPr="00230433">
        <w:rPr>
          <w:vertAlign w:val="superscript"/>
        </w:rPr>
        <w:t>th</w:t>
      </w:r>
      <w:r>
        <w:t xml:space="preserve"> ed., London, 2002), p. 114.</w:t>
      </w:r>
    </w:p>
  </w:footnote>
  <w:footnote w:id="100">
    <w:p w14:paraId="4801EAC4" w14:textId="0BEE4347" w:rsidR="00B914E5" w:rsidRDefault="00B914E5" w:rsidP="0016686D">
      <w:pPr>
        <w:pStyle w:val="FootnoteText"/>
      </w:pPr>
      <w:r>
        <w:rPr>
          <w:rStyle w:val="FootnoteReference"/>
        </w:rPr>
        <w:footnoteRef/>
      </w:r>
      <w:r>
        <w:t xml:space="preserve"> Foulkes, </w:t>
      </w:r>
      <w:r>
        <w:rPr>
          <w:i/>
        </w:rPr>
        <w:t>A generation of judges</w:t>
      </w:r>
      <w:r>
        <w:t>, p. 179; Polden, ‘Mingling the waters’, p. 596.</w:t>
      </w:r>
    </w:p>
  </w:footnote>
  <w:footnote w:id="101">
    <w:p w14:paraId="0C98465C" w14:textId="4E97BD8E" w:rsidR="00B914E5" w:rsidRDefault="00B914E5" w:rsidP="0016686D">
      <w:pPr>
        <w:pStyle w:val="FootnoteText"/>
      </w:pPr>
      <w:r>
        <w:rPr>
          <w:rStyle w:val="FootnoteReference"/>
        </w:rPr>
        <w:footnoteRef/>
      </w:r>
      <w:r>
        <w:t xml:space="preserve"> Polden, ‘Mingling the waters’, p. 598.</w:t>
      </w:r>
    </w:p>
  </w:footnote>
  <w:footnote w:id="102">
    <w:p w14:paraId="3A7C3EFD" w14:textId="77777777" w:rsidR="00B914E5" w:rsidRDefault="00B914E5" w:rsidP="00DD519E">
      <w:pPr>
        <w:pStyle w:val="FootnoteText"/>
      </w:pPr>
      <w:r>
        <w:rPr>
          <w:rStyle w:val="FootnoteReference"/>
        </w:rPr>
        <w:footnoteRef/>
      </w:r>
      <w:r>
        <w:t xml:space="preserve"> </w:t>
      </w:r>
      <w:r w:rsidRPr="00AD65ED">
        <w:rPr>
          <w:i/>
        </w:rPr>
        <w:t>In re Agar-Ellis, Agar-Ellis v. Lascelles</w:t>
      </w:r>
      <w:r>
        <w:t>, 24 Ch. D. 317 (1883).</w:t>
      </w:r>
    </w:p>
  </w:footnote>
  <w:footnote w:id="103">
    <w:p w14:paraId="74C26AEE" w14:textId="46B1DB4E" w:rsidR="00B914E5" w:rsidRDefault="00B914E5" w:rsidP="00777FDE">
      <w:pPr>
        <w:pStyle w:val="FootnoteText"/>
      </w:pPr>
      <w:r>
        <w:rPr>
          <w:rStyle w:val="FootnoteReference"/>
        </w:rPr>
        <w:footnoteRef/>
      </w:r>
      <w:r>
        <w:t xml:space="preserve"> </w:t>
      </w:r>
      <w:r w:rsidRPr="00AD65ED">
        <w:rPr>
          <w:i/>
        </w:rPr>
        <w:t>In re Agar-Ellis, Agar-Ellis v. Lascelles</w:t>
      </w:r>
      <w:r>
        <w:t xml:space="preserve">, 24 Ch. D. 323, 326–8 (1883). He explained himself in </w:t>
      </w:r>
      <w:r w:rsidRPr="00662EFE">
        <w:rPr>
          <w:i/>
        </w:rPr>
        <w:t>R. v. Gyngall</w:t>
      </w:r>
      <w:r>
        <w:t>, 2 Q.B. 238–41 (1893).</w:t>
      </w:r>
    </w:p>
  </w:footnote>
  <w:footnote w:id="104">
    <w:p w14:paraId="07DD76AB" w14:textId="77777777" w:rsidR="00B914E5" w:rsidRPr="009A3EE7" w:rsidRDefault="00B914E5" w:rsidP="0079415B">
      <w:pPr>
        <w:pStyle w:val="FootnoteText"/>
      </w:pPr>
      <w:r>
        <w:rPr>
          <w:rStyle w:val="FootnoteReference"/>
        </w:rPr>
        <w:footnoteRef/>
      </w:r>
      <w:r>
        <w:t xml:space="preserve"> E.g. </w:t>
      </w:r>
      <w:r>
        <w:rPr>
          <w:iCs/>
        </w:rPr>
        <w:t xml:space="preserve">Davidoff, Doolittle, Fish and Holden, </w:t>
      </w:r>
      <w:r>
        <w:rPr>
          <w:i/>
        </w:rPr>
        <w:t>The family story</w:t>
      </w:r>
      <w:r>
        <w:t>, p. 137.</w:t>
      </w:r>
    </w:p>
  </w:footnote>
  <w:footnote w:id="105">
    <w:p w14:paraId="76A7CE3E" w14:textId="77777777" w:rsidR="00B914E5" w:rsidRDefault="00B914E5" w:rsidP="00A10363">
      <w:pPr>
        <w:pStyle w:val="FootnoteText"/>
      </w:pPr>
      <w:r>
        <w:rPr>
          <w:rStyle w:val="FootnoteReference"/>
        </w:rPr>
        <w:footnoteRef/>
      </w:r>
      <w:r>
        <w:t xml:space="preserve"> Elizabeth Wolstenholme Elmy, </w:t>
      </w:r>
      <w:r>
        <w:rPr>
          <w:i/>
        </w:rPr>
        <w:t>The Infants Act, 1886: The record of a three years’ effort for legislative reform, with its results</w:t>
      </w:r>
      <w:r>
        <w:t xml:space="preserve"> (Manchester, 1888).</w:t>
      </w:r>
    </w:p>
  </w:footnote>
  <w:footnote w:id="106">
    <w:p w14:paraId="1EA019D6" w14:textId="303711D5" w:rsidR="00B914E5" w:rsidRPr="00F54A46" w:rsidRDefault="00B914E5" w:rsidP="00A10363">
      <w:pPr>
        <w:pStyle w:val="FootnoteText"/>
      </w:pPr>
      <w:r>
        <w:rPr>
          <w:rStyle w:val="FootnoteReference"/>
        </w:rPr>
        <w:footnoteRef/>
      </w:r>
      <w:r>
        <w:t xml:space="preserve"> </w:t>
      </w:r>
      <w:r w:rsidRPr="00AD1195">
        <w:t xml:space="preserve">Ben Griffin, </w:t>
      </w:r>
      <w:r w:rsidRPr="00AD1195">
        <w:rPr>
          <w:i/>
        </w:rPr>
        <w:t>The politics of gender</w:t>
      </w:r>
      <w:r w:rsidRPr="00AD1195">
        <w:t>, ch. 5</w:t>
      </w:r>
      <w:r>
        <w:t xml:space="preserve">. Mary Shanley, </w:t>
      </w:r>
      <w:r>
        <w:rPr>
          <w:i/>
        </w:rPr>
        <w:t>Feminism, marriage and the law</w:t>
      </w:r>
      <w:r>
        <w:t>, pp. 141–50.</w:t>
      </w:r>
    </w:p>
  </w:footnote>
  <w:footnote w:id="107">
    <w:p w14:paraId="7F0BDD36" w14:textId="01D2C5CA" w:rsidR="00B914E5" w:rsidRDefault="00B914E5" w:rsidP="00A10363">
      <w:pPr>
        <w:pStyle w:val="FootnoteText"/>
      </w:pPr>
      <w:r>
        <w:rPr>
          <w:rStyle w:val="FootnoteReference"/>
        </w:rPr>
        <w:footnoteRef/>
      </w:r>
      <w:r>
        <w:t xml:space="preserve"> T. Carlaw Martin, </w:t>
      </w:r>
      <w:r>
        <w:rPr>
          <w:i/>
        </w:rPr>
        <w:t xml:space="preserve">The custody and guardianship of children (Scotland) </w:t>
      </w:r>
      <w:r>
        <w:t>(Edinburgh, 1884).</w:t>
      </w:r>
    </w:p>
  </w:footnote>
  <w:footnote w:id="108">
    <w:p w14:paraId="053262D9" w14:textId="6BCC2D9B" w:rsidR="00B914E5" w:rsidRDefault="00B914E5" w:rsidP="00A10363">
      <w:pPr>
        <w:pStyle w:val="FootnoteText"/>
      </w:pPr>
      <w:r>
        <w:rPr>
          <w:rStyle w:val="FootnoteReference"/>
        </w:rPr>
        <w:footnoteRef/>
      </w:r>
      <w:r>
        <w:t xml:space="preserve"> On marriage, see Rebecca Probert, </w:t>
      </w:r>
      <w:r>
        <w:rPr>
          <w:i/>
        </w:rPr>
        <w:t xml:space="preserve">Marriage law and practice in the long eighteenth century: a reassessment </w:t>
      </w:r>
      <w:r>
        <w:t xml:space="preserve">(Cambridge, 2005). On divorce, see Leah Leneman, </w:t>
      </w:r>
      <w:r>
        <w:rPr>
          <w:i/>
        </w:rPr>
        <w:t>Alienated affections: the Scottish experience of divorce and separation, 1684–1830</w:t>
      </w:r>
      <w:r>
        <w:t xml:space="preserve"> (Edinburgh, 1998), ch. 11.</w:t>
      </w:r>
      <w:r w:rsidRPr="00BD5DAE">
        <w:rPr>
          <w:i/>
        </w:rPr>
        <w:t xml:space="preserve"> </w:t>
      </w:r>
      <w:r>
        <w:t xml:space="preserve">On bigamy, the major case was </w:t>
      </w:r>
      <w:r>
        <w:rPr>
          <w:i/>
        </w:rPr>
        <w:t>Sugden, otherwise Lolley, v. Lolley</w:t>
      </w:r>
      <w:r>
        <w:t xml:space="preserve">, 2 Clark &amp; Finn., 567 (1812); James Fergusson, </w:t>
      </w:r>
      <w:r>
        <w:rPr>
          <w:i/>
        </w:rPr>
        <w:t xml:space="preserve">Reports of some recent decisions by the Consistorial Court of Scotland, in actions of divorce, concluding for dissolution of marriages celebrated under the English law </w:t>
      </w:r>
      <w:r>
        <w:t xml:space="preserve">(Edinburgh, 1817); Leonard Shelford, </w:t>
      </w:r>
      <w:r>
        <w:rPr>
          <w:i/>
        </w:rPr>
        <w:t xml:space="preserve">Practical treatise of the law of marriage and divorce </w:t>
      </w:r>
      <w:r>
        <w:t xml:space="preserve">(Philadephia, 1841), p. 477. Lawrence Stone, </w:t>
      </w:r>
      <w:r>
        <w:rPr>
          <w:i/>
        </w:rPr>
        <w:t>Road to divorce</w:t>
      </w:r>
      <w:r>
        <w:t xml:space="preserve"> (Oxford, 1995), pp. 358–9; Leneman, op. cit, pp. 223–4.</w:t>
      </w:r>
      <w:r w:rsidRPr="00FE4D80">
        <w:t xml:space="preserve"> </w:t>
      </w:r>
      <w:r>
        <w:t xml:space="preserve">The Irish courts pronounced on the same point in </w:t>
      </w:r>
      <w:r w:rsidRPr="000A3ADC">
        <w:rPr>
          <w:i/>
        </w:rPr>
        <w:t>Maghee v McAllister</w:t>
      </w:r>
      <w:r w:rsidRPr="000A3ADC">
        <w:t xml:space="preserve"> 3 I</w:t>
      </w:r>
      <w:r>
        <w:t>.</w:t>
      </w:r>
      <w:r w:rsidRPr="000A3ADC">
        <w:t>Ch</w:t>
      </w:r>
      <w:r>
        <w:t>.</w:t>
      </w:r>
      <w:r w:rsidRPr="000A3ADC">
        <w:t xml:space="preserve"> R</w:t>
      </w:r>
      <w:r>
        <w:t>.</w:t>
      </w:r>
      <w:r w:rsidRPr="000A3ADC">
        <w:t xml:space="preserve"> 604(1853)</w:t>
      </w:r>
      <w:r>
        <w:t xml:space="preserve">, in which they took the opposite line to the English judges in </w:t>
      </w:r>
      <w:r>
        <w:rPr>
          <w:i/>
        </w:rPr>
        <w:t>Lolley, v. Lolley</w:t>
      </w:r>
      <w:r w:rsidRPr="000A3ADC">
        <w:t>.</w:t>
      </w:r>
    </w:p>
  </w:footnote>
  <w:footnote w:id="109">
    <w:p w14:paraId="7906C69E" w14:textId="781B5E5F" w:rsidR="00B914E5" w:rsidRDefault="00B914E5" w:rsidP="00A10363">
      <w:pPr>
        <w:pStyle w:val="FootnoteText"/>
      </w:pPr>
      <w:r>
        <w:rPr>
          <w:rStyle w:val="FootnoteReference"/>
        </w:rPr>
        <w:footnoteRef/>
      </w:r>
      <w:r>
        <w:t xml:space="preserve"> </w:t>
      </w:r>
      <w:r w:rsidRPr="00FD2827">
        <w:rPr>
          <w:i/>
        </w:rPr>
        <w:t>Harvey v. Fairnie</w:t>
      </w:r>
      <w:r>
        <w:t xml:space="preserve">, </w:t>
      </w:r>
      <w:r w:rsidRPr="00F22030">
        <w:rPr>
          <w:lang w:eastAsia="en-GB"/>
        </w:rPr>
        <w:t xml:space="preserve">8 App Cas </w:t>
      </w:r>
      <w:r>
        <w:rPr>
          <w:lang w:eastAsia="en-GB"/>
        </w:rPr>
        <w:t xml:space="preserve">50, 62 </w:t>
      </w:r>
      <w:r w:rsidRPr="00F22030">
        <w:rPr>
          <w:lang w:eastAsia="en-GB"/>
        </w:rPr>
        <w:t>(1882)</w:t>
      </w:r>
      <w:r>
        <w:rPr>
          <w:lang w:eastAsia="en-GB"/>
        </w:rPr>
        <w:t>;</w:t>
      </w:r>
      <w:r w:rsidRPr="00F22030">
        <w:rPr>
          <w:lang w:eastAsia="en-GB"/>
        </w:rPr>
        <w:t xml:space="preserve"> [1881</w:t>
      </w:r>
      <w:r>
        <w:rPr>
          <w:lang w:eastAsia="en-GB"/>
        </w:rPr>
        <w:t>–</w:t>
      </w:r>
      <w:r w:rsidRPr="00F22030">
        <w:rPr>
          <w:lang w:eastAsia="en-GB"/>
        </w:rPr>
        <w:t>5] All ER Rep 5</w:t>
      </w:r>
      <w:r>
        <w:rPr>
          <w:lang w:eastAsia="en-GB"/>
        </w:rPr>
        <w:t>4, 60.</w:t>
      </w:r>
      <w:r w:rsidRPr="003C5574">
        <w:rPr>
          <w:rStyle w:val="FootnoteTextChar"/>
        </w:rPr>
        <w:t xml:space="preserve"> Watson similarly urged judges to consult ‘treatises on international law’ when ruling on a jurisdictional dispute between Scottish and English divorce law in 1895. </w:t>
      </w:r>
      <w:r w:rsidRPr="001C3A6A">
        <w:rPr>
          <w:rStyle w:val="FootnoteTextChar"/>
          <w:i/>
        </w:rPr>
        <w:t>Le Mesurier v Le Mesurier</w:t>
      </w:r>
      <w:r>
        <w:rPr>
          <w:rStyle w:val="FootnoteTextChar"/>
        </w:rPr>
        <w:t>,</w:t>
      </w:r>
      <w:r w:rsidRPr="001C3A6A">
        <w:rPr>
          <w:rStyle w:val="FootnoteTextChar"/>
          <w:i/>
        </w:rPr>
        <w:t xml:space="preserve"> </w:t>
      </w:r>
      <w:r w:rsidRPr="001C3A6A">
        <w:rPr>
          <w:rStyle w:val="FootnoteTextChar"/>
        </w:rPr>
        <w:t>[1895</w:t>
      </w:r>
      <w:r>
        <w:rPr>
          <w:rStyle w:val="FootnoteTextChar"/>
        </w:rPr>
        <w:t>–</w:t>
      </w:r>
      <w:r w:rsidRPr="001C3A6A">
        <w:rPr>
          <w:rStyle w:val="FootnoteTextChar"/>
        </w:rPr>
        <w:t>99] All ER Rep 845</w:t>
      </w:r>
      <w:r>
        <w:rPr>
          <w:rStyle w:val="FootnoteTextChar"/>
        </w:rPr>
        <w:t xml:space="preserve"> (1895).</w:t>
      </w:r>
      <w:r w:rsidRPr="00D20A8B">
        <w:t xml:space="preserve"> </w:t>
      </w:r>
      <w:r>
        <w:t xml:space="preserve">On this theme see Casper Sylvest, ‘The foundations of Victorian international law’; and Jennifer Pitts, ‘Boundaries of Victorian international law’, both in Duncan Bell, ed., </w:t>
      </w:r>
      <w:r>
        <w:rPr>
          <w:i/>
        </w:rPr>
        <w:t xml:space="preserve">Victorian visions of global order </w:t>
      </w:r>
      <w:r>
        <w:t>(Cambridge, 2007).</w:t>
      </w:r>
      <w:r w:rsidRPr="00D20A8B">
        <w:t xml:space="preserve"> </w:t>
      </w:r>
      <w:r>
        <w:t xml:space="preserve">The issue of conflicting matrimonial jurisdictions became more complicated with the growth of empire: see </w:t>
      </w:r>
      <w:r w:rsidRPr="001C3A6A">
        <w:rPr>
          <w:rStyle w:val="FootnoteTextChar"/>
          <w:i/>
        </w:rPr>
        <w:t>Le Mesurier v Le Mesurier</w:t>
      </w:r>
      <w:r>
        <w:rPr>
          <w:rStyle w:val="FootnoteTextChar"/>
        </w:rPr>
        <w:t>,</w:t>
      </w:r>
      <w:r w:rsidRPr="001C3A6A">
        <w:rPr>
          <w:rStyle w:val="FootnoteTextChar"/>
          <w:i/>
        </w:rPr>
        <w:t xml:space="preserve"> </w:t>
      </w:r>
      <w:r w:rsidRPr="001C3A6A">
        <w:rPr>
          <w:rStyle w:val="FootnoteTextChar"/>
        </w:rPr>
        <w:t>[1895</w:t>
      </w:r>
      <w:r>
        <w:rPr>
          <w:rStyle w:val="FootnoteTextChar"/>
        </w:rPr>
        <w:t>–</w:t>
      </w:r>
      <w:r w:rsidRPr="001C3A6A">
        <w:rPr>
          <w:rStyle w:val="FootnoteTextChar"/>
        </w:rPr>
        <w:t>99] All ER Rep 8</w:t>
      </w:r>
      <w:r>
        <w:rPr>
          <w:rStyle w:val="FootnoteTextChar"/>
        </w:rPr>
        <w:t>36 (1895), discussing</w:t>
      </w:r>
      <w:r w:rsidRPr="00AB772B">
        <w:t xml:space="preserve"> </w:t>
      </w:r>
      <w:r w:rsidRPr="00AB772B">
        <w:rPr>
          <w:i/>
        </w:rPr>
        <w:t>Brodie v Brodie</w:t>
      </w:r>
      <w:r>
        <w:t>,</w:t>
      </w:r>
      <w:r w:rsidRPr="00AB772B">
        <w:t xml:space="preserve"> 164 E</w:t>
      </w:r>
      <w:r>
        <w:t>ng. Rep.</w:t>
      </w:r>
      <w:r w:rsidRPr="00AB772B">
        <w:t xml:space="preserve"> 995</w:t>
      </w:r>
      <w:r>
        <w:t xml:space="preserve"> </w:t>
      </w:r>
      <w:r w:rsidRPr="00AB772B">
        <w:t>(1861)</w:t>
      </w:r>
      <w:r>
        <w:t xml:space="preserve">; </w:t>
      </w:r>
      <w:r>
        <w:rPr>
          <w:i/>
          <w:iCs/>
        </w:rPr>
        <w:t>Jack v Jack</w:t>
      </w:r>
      <w:r>
        <w:t xml:space="preserve"> 24 Dunl. (Ct. of Sess) 467 (1862); </w:t>
      </w:r>
      <w:r>
        <w:rPr>
          <w:i/>
          <w:iCs/>
        </w:rPr>
        <w:t>Hume v Hume</w:t>
      </w:r>
      <w:r>
        <w:t xml:space="preserve">, 24 Dunl (Ct of Sess) 1342. See also </w:t>
      </w:r>
      <w:r w:rsidRPr="00031D80">
        <w:rPr>
          <w:i/>
        </w:rPr>
        <w:t>Brook v Brook</w:t>
      </w:r>
      <w:r>
        <w:t xml:space="preserve">, </w:t>
      </w:r>
      <w:r w:rsidRPr="00031D80">
        <w:t>11 E</w:t>
      </w:r>
      <w:r>
        <w:t xml:space="preserve">ng. </w:t>
      </w:r>
      <w:r w:rsidRPr="00031D80">
        <w:t>R</w:t>
      </w:r>
      <w:r>
        <w:t>ep.</w:t>
      </w:r>
      <w:r w:rsidRPr="00031D80">
        <w:t xml:space="preserve"> 703</w:t>
      </w:r>
      <w:r>
        <w:t xml:space="preserve"> (1861); </w:t>
      </w:r>
      <w:r w:rsidRPr="00BE0D39">
        <w:rPr>
          <w:i/>
        </w:rPr>
        <w:t>Le Sueur v Le Sueur</w:t>
      </w:r>
      <w:r>
        <w:t xml:space="preserve">, </w:t>
      </w:r>
      <w:r w:rsidRPr="00BE0D39">
        <w:t>1 PD 139</w:t>
      </w:r>
      <w:r>
        <w:t xml:space="preserve"> </w:t>
      </w:r>
      <w:r w:rsidRPr="00BE0D39">
        <w:t>(1876)</w:t>
      </w:r>
      <w:r>
        <w:t xml:space="preserve">; and </w:t>
      </w:r>
      <w:r w:rsidRPr="00BE0D39">
        <w:rPr>
          <w:i/>
        </w:rPr>
        <w:t>Niboyet v Niboyet</w:t>
      </w:r>
      <w:r>
        <w:t>,</w:t>
      </w:r>
      <w:r w:rsidRPr="00BE0D39">
        <w:t xml:space="preserve"> 4 P</w:t>
      </w:r>
      <w:r>
        <w:t xml:space="preserve">. </w:t>
      </w:r>
      <w:r w:rsidRPr="00BE0D39">
        <w:t>D</w:t>
      </w:r>
      <w:r>
        <w:t>.</w:t>
      </w:r>
      <w:r w:rsidRPr="00BE0D39">
        <w:t xml:space="preserve"> 1</w:t>
      </w:r>
      <w:r>
        <w:t xml:space="preserve"> </w:t>
      </w:r>
      <w:r w:rsidRPr="00BE0D39">
        <w:t>(1878)</w:t>
      </w:r>
      <w:r>
        <w:t>.</w:t>
      </w:r>
    </w:p>
  </w:footnote>
  <w:footnote w:id="110">
    <w:p w14:paraId="13FE868D" w14:textId="0EB281E7" w:rsidR="00B914E5" w:rsidRDefault="00B914E5" w:rsidP="00A10363">
      <w:pPr>
        <w:pStyle w:val="FootnoteText"/>
      </w:pPr>
      <w:r>
        <w:rPr>
          <w:rStyle w:val="FootnoteReference"/>
        </w:rPr>
        <w:footnoteRef/>
      </w:r>
      <w:r>
        <w:t xml:space="preserve"> </w:t>
      </w:r>
      <w:r w:rsidRPr="00E26E84">
        <w:rPr>
          <w:i/>
        </w:rPr>
        <w:t>First report of the commissioners appointed by Her Majesty to enquire into the law of divorce</w:t>
      </w:r>
      <w:r>
        <w:t xml:space="preserve"> </w:t>
      </w:r>
      <w:r>
        <w:rPr>
          <w:i/>
        </w:rPr>
        <w:t xml:space="preserve">Parliamentary Papers </w:t>
      </w:r>
      <w:r>
        <w:t>(hereafter P.P.) 1852–3, vol. 40 (paper 1604), para. 50. See also the evidence of the Lord Advocate of Scotland and J. A. Maconochie, ibid, pp. 59–69.</w:t>
      </w:r>
      <w:r w:rsidRPr="00FE2B2B">
        <w:t xml:space="preserve"> </w:t>
      </w:r>
      <w:r>
        <w:t xml:space="preserve">Stone, </w:t>
      </w:r>
      <w:r>
        <w:rPr>
          <w:i/>
        </w:rPr>
        <w:t>Road to divorce</w:t>
      </w:r>
      <w:r>
        <w:t xml:space="preserve">, p. 357; </w:t>
      </w:r>
      <w:r w:rsidRPr="00791FD6">
        <w:t>R. B. Outhwaite,</w:t>
      </w:r>
      <w:r w:rsidRPr="00791FD6">
        <w:rPr>
          <w:i/>
        </w:rPr>
        <w:t xml:space="preserve"> The rise and fall of the English ecclesiastical courts, 1500</w:t>
      </w:r>
      <w:r>
        <w:rPr>
          <w:i/>
        </w:rPr>
        <w:t>–</w:t>
      </w:r>
      <w:r w:rsidRPr="00791FD6">
        <w:rPr>
          <w:i/>
        </w:rPr>
        <w:t xml:space="preserve">1860 </w:t>
      </w:r>
      <w:r w:rsidRPr="00791FD6">
        <w:t>(</w:t>
      </w:r>
      <w:r>
        <w:t xml:space="preserve">Cambridge, </w:t>
      </w:r>
      <w:r w:rsidRPr="00791FD6">
        <w:t>2007)</w:t>
      </w:r>
      <w:r>
        <w:t xml:space="preserve">, pp. 129–31; Patrick Polden, ‘The courts of law’ in </w:t>
      </w:r>
      <w:r>
        <w:rPr>
          <w:i/>
        </w:rPr>
        <w:t>OHLE vol. XI</w:t>
      </w:r>
      <w:r>
        <w:t>, pp. 694–6, 708.</w:t>
      </w:r>
    </w:p>
  </w:footnote>
  <w:footnote w:id="111">
    <w:p w14:paraId="267C791C" w14:textId="77777777" w:rsidR="00B914E5" w:rsidRDefault="00B914E5" w:rsidP="00A10363">
      <w:pPr>
        <w:pStyle w:val="FootnoteText"/>
      </w:pPr>
      <w:r>
        <w:rPr>
          <w:rStyle w:val="FootnoteReference"/>
        </w:rPr>
        <w:footnoteRef/>
      </w:r>
      <w:r>
        <w:t xml:space="preserve"> In Ireland a new Court for Matrimonial Causes and Matters was set up to handle the business of the ecclesiastical courts dissolved after the disestablishment of the Irish Church in 1869. </w:t>
      </w:r>
      <w:r w:rsidRPr="00110B2F">
        <w:t xml:space="preserve">Osborough, </w:t>
      </w:r>
      <w:r w:rsidRPr="00110B2F">
        <w:rPr>
          <w:i/>
        </w:rPr>
        <w:t>Studies in Irish legal history</w:t>
      </w:r>
      <w:r>
        <w:t>, p. 256.</w:t>
      </w:r>
    </w:p>
  </w:footnote>
  <w:footnote w:id="112">
    <w:p w14:paraId="103EEF42" w14:textId="77777777" w:rsidR="00B914E5" w:rsidRPr="00D70266" w:rsidRDefault="00B914E5" w:rsidP="00A10363">
      <w:pPr>
        <w:pStyle w:val="FootnoteText"/>
      </w:pPr>
      <w:r>
        <w:rPr>
          <w:rStyle w:val="FootnoteReference"/>
        </w:rPr>
        <w:footnoteRef/>
      </w:r>
      <w:r>
        <w:t xml:space="preserve"> </w:t>
      </w:r>
      <w:r>
        <w:rPr>
          <w:i/>
        </w:rPr>
        <w:t>Lang v. Lang</w:t>
      </w:r>
      <w:r>
        <w:t xml:space="preserve">, 7 Macph. 447 (1869). See the further comments by Lord Ardmillan in </w:t>
      </w:r>
      <w:r>
        <w:rPr>
          <w:i/>
        </w:rPr>
        <w:t>Nicholson v. Nicholson</w:t>
      </w:r>
      <w:r>
        <w:t xml:space="preserve">, 7 Macph. 1125 (1869). For a particularly harsh application of the law, see </w:t>
      </w:r>
      <w:r w:rsidRPr="00D02651">
        <w:rPr>
          <w:rStyle w:val="FootnoteTextChar"/>
          <w:i/>
        </w:rPr>
        <w:t>Steuart v. Steuart</w:t>
      </w:r>
      <w:r w:rsidRPr="00D02651">
        <w:rPr>
          <w:rStyle w:val="FootnoteTextChar"/>
        </w:rPr>
        <w:t>, 8 Macph. 821 (1870).</w:t>
      </w:r>
    </w:p>
  </w:footnote>
  <w:footnote w:id="113">
    <w:p w14:paraId="596D6069" w14:textId="16ECC561" w:rsidR="00B914E5" w:rsidRDefault="00B914E5" w:rsidP="00A10363">
      <w:pPr>
        <w:pStyle w:val="FootnoteText"/>
      </w:pPr>
      <w:r>
        <w:rPr>
          <w:rStyle w:val="FootnoteReference"/>
        </w:rPr>
        <w:footnoteRef/>
      </w:r>
      <w:r>
        <w:t xml:space="preserve"> </w:t>
      </w:r>
      <w:r>
        <w:rPr>
          <w:i/>
        </w:rPr>
        <w:t>Hansard</w:t>
      </w:r>
      <w:r>
        <w:t xml:space="preserve"> 286, col. 815 (26 March 1884). See also Sir Richard Assheton Cross, </w:t>
      </w:r>
      <w:r w:rsidRPr="002A4936">
        <w:rPr>
          <w:rStyle w:val="FootnoteTextChar"/>
        </w:rPr>
        <w:t>ibid,</w:t>
      </w:r>
      <w:r>
        <w:rPr>
          <w:rStyle w:val="FootnoteTextChar"/>
        </w:rPr>
        <w:t xml:space="preserve"> col. 833–</w:t>
      </w:r>
      <w:r w:rsidRPr="00477F36">
        <w:rPr>
          <w:rStyle w:val="FootnoteTextChar"/>
        </w:rPr>
        <w:t xml:space="preserve">4; </w:t>
      </w:r>
      <w:r>
        <w:rPr>
          <w:rStyle w:val="FootnoteTextChar"/>
        </w:rPr>
        <w:t xml:space="preserve">John Blair Balfour (Lord Advocate), </w:t>
      </w:r>
      <w:r w:rsidRPr="00477F36">
        <w:rPr>
          <w:rStyle w:val="FootnoteTextChar"/>
        </w:rPr>
        <w:t>ibid, col. 838</w:t>
      </w:r>
      <w:r>
        <w:rPr>
          <w:rStyle w:val="FootnoteTextChar"/>
        </w:rPr>
        <w:t>–</w:t>
      </w:r>
      <w:r w:rsidRPr="00477F36">
        <w:rPr>
          <w:rStyle w:val="FootnoteTextChar"/>
        </w:rPr>
        <w:t>9.</w:t>
      </w:r>
    </w:p>
  </w:footnote>
  <w:footnote w:id="114">
    <w:p w14:paraId="54188724" w14:textId="145CD7E8" w:rsidR="00B914E5" w:rsidRDefault="00B914E5" w:rsidP="00A10363">
      <w:pPr>
        <w:pStyle w:val="FootnoteText"/>
      </w:pPr>
      <w:r>
        <w:rPr>
          <w:rStyle w:val="FootnoteReference"/>
        </w:rPr>
        <w:footnoteRef/>
      </w:r>
      <w:r>
        <w:t xml:space="preserve"> </w:t>
      </w:r>
      <w:r w:rsidRPr="00D8784C">
        <w:t xml:space="preserve"> </w:t>
      </w:r>
      <w:r w:rsidRPr="00AD1195">
        <w:t xml:space="preserve">Ben Griffin, </w:t>
      </w:r>
      <w:r w:rsidRPr="00AD1195">
        <w:rPr>
          <w:i/>
        </w:rPr>
        <w:t>The politics of gender</w:t>
      </w:r>
      <w:r>
        <w:t>, pp. 150–9.</w:t>
      </w:r>
    </w:p>
  </w:footnote>
  <w:footnote w:id="115">
    <w:p w14:paraId="4C05589A" w14:textId="77777777" w:rsidR="00B914E5" w:rsidRDefault="00B914E5" w:rsidP="00A10363">
      <w:pPr>
        <w:pStyle w:val="FootnoteText"/>
      </w:pPr>
      <w:r>
        <w:rPr>
          <w:rStyle w:val="FootnoteReference"/>
        </w:rPr>
        <w:footnoteRef/>
      </w:r>
      <w:r>
        <w:t xml:space="preserve"> </w:t>
      </w:r>
      <w:r>
        <w:rPr>
          <w:i/>
        </w:rPr>
        <w:t>In re McGrath</w:t>
      </w:r>
      <w:r>
        <w:t xml:space="preserve">, 2 Ch. D. 511 (1892); </w:t>
      </w:r>
      <w:r>
        <w:rPr>
          <w:i/>
        </w:rPr>
        <w:t>In re McGrath</w:t>
      </w:r>
      <w:r>
        <w:t>, 1 Ch. 147 (1893). The headnote to this case misrepresents the argument that Lindley made in his judgement.</w:t>
      </w:r>
    </w:p>
  </w:footnote>
  <w:footnote w:id="116">
    <w:p w14:paraId="0424F4B3" w14:textId="77777777" w:rsidR="00B914E5" w:rsidRPr="002D311E" w:rsidRDefault="00B914E5" w:rsidP="00A10363">
      <w:pPr>
        <w:pStyle w:val="FootnoteText"/>
      </w:pPr>
      <w:r>
        <w:rPr>
          <w:rStyle w:val="FootnoteReference"/>
        </w:rPr>
        <w:footnoteRef/>
      </w:r>
      <w:r>
        <w:t xml:space="preserve"> </w:t>
      </w:r>
      <w:r>
        <w:rPr>
          <w:i/>
        </w:rPr>
        <w:t>Times</w:t>
      </w:r>
      <w:r>
        <w:t>, 14 Oct. 1913, p. 11, col. c.</w:t>
      </w:r>
    </w:p>
  </w:footnote>
  <w:footnote w:id="117">
    <w:p w14:paraId="18CC27F5" w14:textId="48D3A590" w:rsidR="00B914E5" w:rsidRDefault="00B914E5" w:rsidP="00A10363">
      <w:pPr>
        <w:pStyle w:val="FootnoteText"/>
      </w:pPr>
      <w:r>
        <w:rPr>
          <w:rStyle w:val="FootnoteReference"/>
        </w:rPr>
        <w:footnoteRef/>
      </w:r>
      <w:r>
        <w:t xml:space="preserve"> Sir Edward Ebenezer Kay (1822–1897).</w:t>
      </w:r>
    </w:p>
  </w:footnote>
  <w:footnote w:id="118">
    <w:p w14:paraId="6B25ACEE" w14:textId="7A836DAF" w:rsidR="00B914E5" w:rsidRDefault="00B914E5" w:rsidP="00A10363">
      <w:pPr>
        <w:pStyle w:val="FootnoteText"/>
      </w:pPr>
      <w:r>
        <w:rPr>
          <w:rStyle w:val="FootnoteReference"/>
        </w:rPr>
        <w:footnoteRef/>
      </w:r>
      <w:r>
        <w:t xml:space="preserve"> </w:t>
      </w:r>
      <w:r>
        <w:rPr>
          <w:i/>
        </w:rPr>
        <w:t>R. v. Gyngall</w:t>
      </w:r>
      <w:r>
        <w:t>, 2 Q.B. 236 (1893).</w:t>
      </w:r>
    </w:p>
  </w:footnote>
  <w:footnote w:id="119">
    <w:p w14:paraId="1F6818E1" w14:textId="56AF4C48" w:rsidR="00B914E5" w:rsidRDefault="00B914E5" w:rsidP="00A10363">
      <w:pPr>
        <w:pStyle w:val="FootnoteText"/>
      </w:pPr>
      <w:r>
        <w:rPr>
          <w:rStyle w:val="FootnoteReference"/>
        </w:rPr>
        <w:footnoteRef/>
      </w:r>
      <w:r>
        <w:t xml:space="preserve"> </w:t>
      </w:r>
      <w:r>
        <w:rPr>
          <w:i/>
        </w:rPr>
        <w:t>R. v. Gyngall</w:t>
      </w:r>
      <w:r>
        <w:t>, 2 Q.B. 236–7, 246–53 (1893).</w:t>
      </w:r>
      <w:r w:rsidRPr="00DA47E2">
        <w:t xml:space="preserve"> </w:t>
      </w:r>
      <w:r>
        <w:t>Kay also implied that the lower court had been wrong not to interview the daughter, and distinguished between the ways in which writs of habeas corpus were handled in common law and equity – a distinction that Esher had rejected.</w:t>
      </w:r>
    </w:p>
  </w:footnote>
  <w:footnote w:id="120">
    <w:p w14:paraId="778F314C" w14:textId="77777777" w:rsidR="00B914E5" w:rsidRDefault="00B914E5" w:rsidP="00A10363">
      <w:pPr>
        <w:pStyle w:val="FootnoteText"/>
      </w:pPr>
      <w:r>
        <w:rPr>
          <w:rStyle w:val="FootnoteReference"/>
        </w:rPr>
        <w:footnoteRef/>
      </w:r>
      <w:r>
        <w:t xml:space="preserve"> </w:t>
      </w:r>
      <w:r>
        <w:rPr>
          <w:i/>
        </w:rPr>
        <w:t>R. v. Gyngall</w:t>
      </w:r>
      <w:r>
        <w:t>, 2 Q.B. 248 (1893).</w:t>
      </w:r>
    </w:p>
  </w:footnote>
  <w:footnote w:id="121">
    <w:p w14:paraId="4B632E57" w14:textId="1E0E56B3" w:rsidR="00B914E5" w:rsidRPr="000866AF" w:rsidRDefault="00B914E5" w:rsidP="00A10363">
      <w:pPr>
        <w:pStyle w:val="FootnoteText"/>
      </w:pPr>
      <w:r>
        <w:rPr>
          <w:rStyle w:val="FootnoteReference"/>
        </w:rPr>
        <w:footnoteRef/>
      </w:r>
      <w:r>
        <w:t xml:space="preserve"> </w:t>
      </w:r>
      <w:r>
        <w:rPr>
          <w:i/>
        </w:rPr>
        <w:t>R. v. Gyngall</w:t>
      </w:r>
      <w:r>
        <w:t>, 2 Q.B. 240–2 (1893).</w:t>
      </w:r>
      <w:r w:rsidRPr="00E44A7B">
        <w:t xml:space="preserve"> </w:t>
      </w:r>
      <w:r>
        <w:t>Specifically, he reinterpreted his earlier claims about habeas corpus procedures and withdrew his claims about jurisdiction over wards of court.</w:t>
      </w:r>
    </w:p>
  </w:footnote>
  <w:footnote w:id="122">
    <w:p w14:paraId="36F591A7" w14:textId="77777777" w:rsidR="00B914E5" w:rsidRPr="00DE0912" w:rsidRDefault="00B914E5" w:rsidP="00A10363">
      <w:pPr>
        <w:pStyle w:val="FootnoteText"/>
      </w:pPr>
      <w:r>
        <w:rPr>
          <w:rStyle w:val="FootnoteReference"/>
        </w:rPr>
        <w:footnoteRef/>
      </w:r>
      <w:r>
        <w:t xml:space="preserve"> </w:t>
      </w:r>
      <w:r>
        <w:rPr>
          <w:i/>
        </w:rPr>
        <w:t>Thomasset v. Thomasset</w:t>
      </w:r>
      <w:r>
        <w:t>, P. 300 (1894).</w:t>
      </w:r>
    </w:p>
  </w:footnote>
  <w:footnote w:id="123">
    <w:p w14:paraId="3F318371" w14:textId="0EDC448C" w:rsidR="00B914E5" w:rsidRDefault="00B914E5">
      <w:pPr>
        <w:pStyle w:val="FootnoteText"/>
      </w:pPr>
      <w:r>
        <w:rPr>
          <w:rStyle w:val="FootnoteReference"/>
        </w:rPr>
        <w:footnoteRef/>
      </w:r>
      <w:r>
        <w:t xml:space="preserve"> For an account of the law in the twentieth century, see Stephen Cretney, </w:t>
      </w:r>
      <w:r>
        <w:rPr>
          <w:i/>
        </w:rPr>
        <w:t xml:space="preserve">Family law in the twentieth </w:t>
      </w:r>
      <w:r w:rsidRPr="0024264D">
        <w:rPr>
          <w:i/>
        </w:rPr>
        <w:t>century</w:t>
      </w:r>
      <w:r>
        <w:t xml:space="preserve"> (Oxford, 2003), c</w:t>
      </w:r>
      <w:r w:rsidRPr="0024264D">
        <w:t>h</w:t>
      </w:r>
      <w:r>
        <w:t>. 16.</w:t>
      </w:r>
    </w:p>
  </w:footnote>
  <w:footnote w:id="124">
    <w:p w14:paraId="34B0F3A7" w14:textId="2720E420" w:rsidR="00B914E5" w:rsidRPr="00E70253" w:rsidRDefault="00B914E5">
      <w:pPr>
        <w:pStyle w:val="FootnoteText"/>
        <w:rPr>
          <w:i/>
        </w:rPr>
      </w:pPr>
      <w:r>
        <w:rPr>
          <w:rStyle w:val="FootnoteReference"/>
        </w:rPr>
        <w:footnoteRef/>
      </w:r>
      <w:r>
        <w:t xml:space="preserve"> </w:t>
      </w:r>
      <w:r>
        <w:rPr>
          <w:i/>
        </w:rPr>
        <w:t>Minutes of evidence taken by the joint select committee on the guardianship of Infants Bill, together with the proceedings of the committee and appendix</w:t>
      </w:r>
      <w:r>
        <w:t xml:space="preserve">, </w:t>
      </w:r>
      <w:r w:rsidRPr="00E70253">
        <w:t xml:space="preserve">House of Lords Sessional </w:t>
      </w:r>
      <w:r>
        <w:t>Papers, 1923 (paper 180) [hereafter 1922 Select Committee; names of witnesses appear in brackets after each reference], q. 775–6 (Sir Paul Ogden Lawrence).</w:t>
      </w:r>
    </w:p>
  </w:footnote>
  <w:footnote w:id="125">
    <w:p w14:paraId="015A5E7E" w14:textId="77777777" w:rsidR="00B914E5" w:rsidRDefault="00B914E5" w:rsidP="005D6E56">
      <w:pPr>
        <w:pStyle w:val="FootnoteText"/>
      </w:pPr>
      <w:r>
        <w:rPr>
          <w:rStyle w:val="FootnoteReference"/>
        </w:rPr>
        <w:footnoteRef/>
      </w:r>
      <w:r>
        <w:t xml:space="preserve"> </w:t>
      </w:r>
      <w:r>
        <w:rPr>
          <w:rStyle w:val="st"/>
        </w:rPr>
        <w:t>49 &amp; 50 Vict. c. 27, s. 5.</w:t>
      </w:r>
    </w:p>
  </w:footnote>
  <w:footnote w:id="126">
    <w:p w14:paraId="32C7F1D8" w14:textId="25750FB0" w:rsidR="00B914E5" w:rsidRDefault="00B914E5" w:rsidP="00666DC3">
      <w:pPr>
        <w:pStyle w:val="FootnoteText"/>
      </w:pPr>
      <w:r>
        <w:rPr>
          <w:rStyle w:val="FootnoteReference"/>
        </w:rPr>
        <w:footnoteRef/>
      </w:r>
      <w:r>
        <w:t xml:space="preserve"> 1922 Select Committee, q. 816, 834–9, 844; </w:t>
      </w:r>
      <w:r>
        <w:rPr>
          <w:i/>
        </w:rPr>
        <w:t>Proceedings of the joint committee on the Guardianship of Infants Bill, together with the minutes of evidence and an appendix</w:t>
      </w:r>
      <w:r>
        <w:t>, House of Lords Sessional Papers, 1924 (papers 95, 163)</w:t>
      </w:r>
      <w:r w:rsidRPr="003F4573">
        <w:t xml:space="preserve"> </w:t>
      </w:r>
      <w:r>
        <w:t>[hereafter 1923 Select Committee], q. 861–3, 886 (Sir Paul Ogden Lawrence).</w:t>
      </w:r>
    </w:p>
  </w:footnote>
  <w:footnote w:id="127">
    <w:p w14:paraId="64454D94" w14:textId="405292B7" w:rsidR="00B914E5" w:rsidRDefault="00B914E5">
      <w:pPr>
        <w:pStyle w:val="FootnoteText"/>
      </w:pPr>
      <w:r>
        <w:rPr>
          <w:rStyle w:val="FootnoteReference"/>
        </w:rPr>
        <w:footnoteRef/>
      </w:r>
      <w:r>
        <w:t xml:space="preserve"> Steven Cretney, </w:t>
      </w:r>
      <w:r>
        <w:rPr>
          <w:i/>
        </w:rPr>
        <w:t>Law, law reform and the family</w:t>
      </w:r>
      <w:r>
        <w:t xml:space="preserve"> (Oxford, 1998), p. 177, esp. n. 139; see also the discussion of </w:t>
      </w:r>
      <w:r>
        <w:rPr>
          <w:i/>
        </w:rPr>
        <w:t>Re Carroll (No. 2)</w:t>
      </w:r>
      <w:r>
        <w:t>, ([1931] 1 KB 317) on p. 178, n. 143.</w:t>
      </w:r>
    </w:p>
  </w:footnote>
  <w:footnote w:id="128">
    <w:p w14:paraId="4F40B486" w14:textId="267448E2" w:rsidR="00B914E5" w:rsidRPr="001B09DB" w:rsidRDefault="00B914E5">
      <w:pPr>
        <w:pStyle w:val="FootnoteText"/>
      </w:pPr>
      <w:r>
        <w:rPr>
          <w:rStyle w:val="FootnoteReference"/>
        </w:rPr>
        <w:footnoteRef/>
      </w:r>
      <w:r>
        <w:t xml:space="preserve"> There is a vast literature on these changes. On childhood see Hugh Cunningham, </w:t>
      </w:r>
      <w:r>
        <w:rPr>
          <w:i/>
        </w:rPr>
        <w:t>The children of the poor.</w:t>
      </w:r>
      <w:r w:rsidRPr="00FA7878">
        <w:rPr>
          <w:i/>
        </w:rPr>
        <w:t xml:space="preserve"> </w:t>
      </w:r>
      <w:r>
        <w:rPr>
          <w:i/>
        </w:rPr>
        <w:t>Representations of childhood since the seventeenth century</w:t>
      </w:r>
      <w:r>
        <w:t xml:space="preserve"> (Oxford, 1991); Carolyn Steedman, ‘Bodies, figures and physiology. Margaret McMillan and the late nineteenth-century remaking of working-class childhood’ in Roger Cooter, ed., </w:t>
      </w:r>
      <w:r>
        <w:rPr>
          <w:i/>
        </w:rPr>
        <w:t>In the name of the child. Health and welfare, 1880–1940</w:t>
      </w:r>
      <w:r>
        <w:t xml:space="preserve"> (London, 1992), pp. 19–44; idem,</w:t>
      </w:r>
      <w:r w:rsidRPr="003165AB">
        <w:rPr>
          <w:i/>
        </w:rPr>
        <w:t xml:space="preserve"> </w:t>
      </w:r>
      <w:r w:rsidRPr="00DC220C">
        <w:rPr>
          <w:i/>
        </w:rPr>
        <w:t>Strange dislocations.</w:t>
      </w:r>
      <w:r>
        <w:rPr>
          <w:i/>
        </w:rPr>
        <w:t xml:space="preserve"> Childhood and the idea of human interiority, 1780–1930 </w:t>
      </w:r>
      <w:r>
        <w:t xml:space="preserve">(London, 1995), pp. 67–70. On maternity and marriage see A. J. Hammerton, </w:t>
      </w:r>
      <w:r>
        <w:rPr>
          <w:i/>
        </w:rPr>
        <w:t>Cruelty and companionship</w:t>
      </w:r>
      <w:r>
        <w:t>;</w:t>
      </w:r>
      <w:r w:rsidRPr="00896B02">
        <w:t xml:space="preserve"> </w:t>
      </w:r>
      <w:r>
        <w:t xml:space="preserve">Marcus Collins, </w:t>
      </w:r>
      <w:r>
        <w:rPr>
          <w:i/>
        </w:rPr>
        <w:t>Modern love: an intimate history of men and women in Britain, 1900–2000</w:t>
      </w:r>
      <w:r>
        <w:t xml:space="preserve"> (London, 2003); Ben Griffin, </w:t>
      </w:r>
      <w:r>
        <w:rPr>
          <w:i/>
        </w:rPr>
        <w:t>Politics of gender</w:t>
      </w:r>
      <w:r>
        <w:t>, pp. 63–4, 111–36, 140–3.</w:t>
      </w:r>
    </w:p>
  </w:footnote>
  <w:footnote w:id="129">
    <w:p w14:paraId="6C3FDFBB" w14:textId="5B9E79FB" w:rsidR="00F61FDD" w:rsidRPr="00F61FDD" w:rsidRDefault="00F61FDD">
      <w:pPr>
        <w:pStyle w:val="FootnoteText"/>
      </w:pPr>
      <w:r>
        <w:rPr>
          <w:rStyle w:val="FootnoteReference"/>
        </w:rPr>
        <w:footnoteRef/>
      </w:r>
      <w:r>
        <w:t xml:space="preserve"> On Catholic sponsorship see </w:t>
      </w:r>
      <w:r w:rsidRPr="004763A0">
        <w:rPr>
          <w:i/>
        </w:rPr>
        <w:t>In re Grimes</w:t>
      </w:r>
      <w:r>
        <w:t>, 11 Ir. Eq. 465 (1877)</w:t>
      </w:r>
      <w:r w:rsidR="008623CE">
        <w:t xml:space="preserve">; such interventions are most visible in the litigation against Thomas Barnardo between 1889 and 1891, see </w:t>
      </w:r>
      <w:r w:rsidR="00B12BAC">
        <w:t xml:space="preserve">Lydia Murdoch, </w:t>
      </w:r>
      <w:r w:rsidR="00B12BAC">
        <w:rPr>
          <w:i/>
        </w:rPr>
        <w:t>Imagined orphans: poor families, child welfare and contested citizenship in London</w:t>
      </w:r>
      <w:r w:rsidR="00B12BAC">
        <w:t xml:space="preserve"> (2006), p. 114</w:t>
      </w:r>
      <w:r>
        <w:t xml:space="preserve">. For poor litigants see </w:t>
      </w:r>
      <w:r>
        <w:rPr>
          <w:i/>
        </w:rPr>
        <w:t>In re Scanlon</w:t>
      </w:r>
      <w:r>
        <w:t xml:space="preserve">, 40 Ch. D. 200 (1888); </w:t>
      </w:r>
      <w:r>
        <w:rPr>
          <w:i/>
        </w:rPr>
        <w:t xml:space="preserve">In re Violet Nevin </w:t>
      </w:r>
      <w:r>
        <w:t xml:space="preserve">2 Ch. 299 (1891); </w:t>
      </w:r>
      <w:r>
        <w:rPr>
          <w:i/>
        </w:rPr>
        <w:t>In re McGrath</w:t>
      </w:r>
      <w:r>
        <w:t>, 2 Ch. D. 496 (1892).</w:t>
      </w:r>
    </w:p>
  </w:footnote>
  <w:footnote w:id="130">
    <w:p w14:paraId="743B9E3E" w14:textId="69BA667A" w:rsidR="00B914E5" w:rsidRPr="00B92C58" w:rsidRDefault="00B914E5">
      <w:pPr>
        <w:pStyle w:val="FootnoteText"/>
      </w:pPr>
      <w:r>
        <w:rPr>
          <w:rStyle w:val="FootnoteReference"/>
        </w:rPr>
        <w:footnoteRef/>
      </w:r>
      <w:r>
        <w:t xml:space="preserve"> E.g. ‘The state </w:t>
      </w:r>
      <w:r>
        <w:rPr>
          <w:i/>
        </w:rPr>
        <w:t>in loco parentis</w:t>
      </w:r>
      <w:r>
        <w:t xml:space="preserve">’, </w:t>
      </w:r>
      <w:r>
        <w:rPr>
          <w:i/>
        </w:rPr>
        <w:t>London Quarterly Review</w:t>
      </w:r>
      <w:r>
        <w:t>, vol.</w:t>
      </w:r>
      <w:r>
        <w:rPr>
          <w:i/>
        </w:rPr>
        <w:t xml:space="preserve"> </w:t>
      </w:r>
      <w:r>
        <w:t>75 (Jan. 1891), pp. 256–75.</w:t>
      </w:r>
    </w:p>
  </w:footnote>
  <w:footnote w:id="131">
    <w:p w14:paraId="0DD1E43E" w14:textId="77777777" w:rsidR="00B914E5" w:rsidRDefault="00B914E5" w:rsidP="00225FE2">
      <w:pPr>
        <w:pStyle w:val="FootnoteText"/>
      </w:pPr>
      <w:r>
        <w:rPr>
          <w:rStyle w:val="FootnoteReference"/>
        </w:rPr>
        <w:footnoteRef/>
      </w:r>
      <w:r>
        <w:t xml:space="preserve"> 1868 Poor Law Amendment Act, 31 &amp; 32 Vict, c. 122, s. 22.</w:t>
      </w:r>
    </w:p>
  </w:footnote>
  <w:footnote w:id="132">
    <w:p w14:paraId="482DE7CE" w14:textId="1C3EA84B" w:rsidR="00B914E5" w:rsidRPr="002F4F30" w:rsidRDefault="00B914E5" w:rsidP="00225FE2">
      <w:pPr>
        <w:pStyle w:val="FootnoteText"/>
      </w:pPr>
      <w:r>
        <w:rPr>
          <w:rStyle w:val="FootnoteReference"/>
        </w:rPr>
        <w:footnoteRef/>
      </w:r>
      <w:r>
        <w:t xml:space="preserve"> Murdoch, </w:t>
      </w:r>
      <w:r>
        <w:rPr>
          <w:i/>
        </w:rPr>
        <w:t>Imagined orphans</w:t>
      </w:r>
      <w:r>
        <w:t>, pp. 95–8.</w:t>
      </w:r>
    </w:p>
  </w:footnote>
  <w:footnote w:id="133">
    <w:p w14:paraId="2422960A" w14:textId="77777777" w:rsidR="00B914E5" w:rsidRDefault="00B914E5" w:rsidP="00225FE2">
      <w:pPr>
        <w:pStyle w:val="FootnoteText"/>
      </w:pPr>
      <w:r>
        <w:rPr>
          <w:rStyle w:val="FootnoteReference"/>
        </w:rPr>
        <w:footnoteRef/>
      </w:r>
      <w:r>
        <w:t xml:space="preserve"> 20 &amp; 21 Vict. c. 48, s. 6.</w:t>
      </w:r>
    </w:p>
  </w:footnote>
  <w:footnote w:id="134">
    <w:p w14:paraId="5DE2CD0E" w14:textId="77777777" w:rsidR="00B914E5" w:rsidRPr="00325845" w:rsidRDefault="00B914E5" w:rsidP="00225FE2">
      <w:pPr>
        <w:pStyle w:val="FootnoteText"/>
      </w:pPr>
      <w:r>
        <w:rPr>
          <w:rStyle w:val="FootnoteReference"/>
        </w:rPr>
        <w:footnoteRef/>
      </w:r>
      <w:r>
        <w:t xml:space="preserve"> Bowyer: </w:t>
      </w:r>
      <w:r>
        <w:rPr>
          <w:i/>
        </w:rPr>
        <w:t>Hansard</w:t>
      </w:r>
      <w:r>
        <w:t xml:space="preserve"> 145, cols. 184 (11 May 1857).</w:t>
      </w:r>
      <w:r w:rsidRPr="00676F8B">
        <w:rPr>
          <w:i/>
        </w:rPr>
        <w:t xml:space="preserve"> </w:t>
      </w:r>
      <w:r>
        <w:t xml:space="preserve">Adderley: </w:t>
      </w:r>
      <w:r>
        <w:rPr>
          <w:i/>
        </w:rPr>
        <w:t>Hansard</w:t>
      </w:r>
      <w:r>
        <w:t xml:space="preserve"> 145, col. 1945 (17 June 1857).</w:t>
      </w:r>
    </w:p>
  </w:footnote>
  <w:footnote w:id="135">
    <w:p w14:paraId="3CE09670" w14:textId="49EAE967" w:rsidR="00B914E5" w:rsidRPr="009C2797" w:rsidRDefault="00B914E5">
      <w:pPr>
        <w:pStyle w:val="FootnoteText"/>
      </w:pPr>
      <w:r>
        <w:rPr>
          <w:rStyle w:val="FootnoteReference"/>
        </w:rPr>
        <w:footnoteRef/>
      </w:r>
      <w:r>
        <w:t xml:space="preserve"> Shurlee Swain and Margot Hillel, </w:t>
      </w:r>
      <w:r>
        <w:rPr>
          <w:i/>
        </w:rPr>
        <w:t>Child, nation, race and empire: child rescue discourse, England, Canada and Australia, 1850–1915</w:t>
      </w:r>
      <w:r>
        <w:t xml:space="preserve"> (Manchester, 2010); Hendrick, </w:t>
      </w:r>
      <w:r>
        <w:rPr>
          <w:i/>
        </w:rPr>
        <w:t>Child welfare</w:t>
      </w:r>
      <w:r>
        <w:t xml:space="preserve">; George Behlmer, </w:t>
      </w:r>
      <w:r>
        <w:rPr>
          <w:i/>
        </w:rPr>
        <w:t>Child abuse and moral reform in England 1870–1908</w:t>
      </w:r>
      <w:r>
        <w:t xml:space="preserve"> (Stanford, 1982).</w:t>
      </w:r>
      <w:r w:rsidRPr="00C67724">
        <w:t xml:space="preserve"> </w:t>
      </w:r>
      <w:r>
        <w:t xml:space="preserve">On ‘moral entrepreneurs’ see Jennifer Davis, ‘The London garrotting panic of 1862’, in V. A. C. Gatrell, B. Lenman and G. Parker, eds., </w:t>
      </w:r>
      <w:r>
        <w:rPr>
          <w:i/>
          <w:iCs/>
        </w:rPr>
        <w:t>Crime and the law: the social history of crime in western Europe since 1500</w:t>
      </w:r>
      <w:r>
        <w:t xml:space="preserve"> (London, 1980), p. 199.</w:t>
      </w:r>
    </w:p>
  </w:footnote>
  <w:footnote w:id="136">
    <w:p w14:paraId="60E1809A" w14:textId="74A95728" w:rsidR="00B914E5" w:rsidRDefault="00B914E5" w:rsidP="00225FE2">
      <w:pPr>
        <w:pStyle w:val="FootnoteText"/>
      </w:pPr>
      <w:r>
        <w:rPr>
          <w:rStyle w:val="FootnoteReference"/>
        </w:rPr>
        <w:footnoteRef/>
      </w:r>
      <w:r>
        <w:t xml:space="preserve"> </w:t>
      </w:r>
      <w:r>
        <w:rPr>
          <w:i/>
        </w:rPr>
        <w:t>Report from the Select Committee of the House of Lords on Poor Law relief</w:t>
      </w:r>
      <w:r>
        <w:t xml:space="preserve">, </w:t>
      </w:r>
      <w:r>
        <w:rPr>
          <w:i/>
        </w:rPr>
        <w:t>P.P.</w:t>
      </w:r>
      <w:r>
        <w:t xml:space="preserve"> 1888, XV [hereafter 1888 </w:t>
      </w:r>
      <w:r w:rsidRPr="00834DAB">
        <w:t>Select Committee</w:t>
      </w:r>
      <w:r>
        <w:t>], q. 3944–5 (</w:t>
      </w:r>
      <w:r w:rsidRPr="00AA175F">
        <w:t>Wilhelmina Hall</w:t>
      </w:r>
      <w:r>
        <w:t>). Cf. ibid, q. 5413–15 (Rev. R. H. Hadden).</w:t>
      </w:r>
    </w:p>
  </w:footnote>
  <w:footnote w:id="137">
    <w:p w14:paraId="5E3D6CC7" w14:textId="77777777" w:rsidR="00B914E5" w:rsidRPr="008B25D5" w:rsidRDefault="00B914E5" w:rsidP="00225FE2">
      <w:pPr>
        <w:pStyle w:val="FootnoteText"/>
      </w:pPr>
      <w:r>
        <w:rPr>
          <w:rStyle w:val="FootnoteReference"/>
        </w:rPr>
        <w:footnoteRef/>
      </w:r>
      <w:r>
        <w:t xml:space="preserve"> </w:t>
      </w:r>
      <w:r w:rsidRPr="008B25D5">
        <w:rPr>
          <w:i/>
        </w:rPr>
        <w:t>R. v Barnardo</w:t>
      </w:r>
      <w:r>
        <w:t xml:space="preserve">, 23 Q. B. D. 305 (1889); </w:t>
      </w:r>
      <w:r w:rsidRPr="008B25D5">
        <w:rPr>
          <w:i/>
        </w:rPr>
        <w:t>R. v Barnardo</w:t>
      </w:r>
      <w:r>
        <w:rPr>
          <w:i/>
        </w:rPr>
        <w:t>. Gossage’s case</w:t>
      </w:r>
      <w:r>
        <w:t xml:space="preserve">, 24 Q. B. D. 283 (1890); </w:t>
      </w:r>
      <w:r w:rsidRPr="008B25D5">
        <w:rPr>
          <w:i/>
        </w:rPr>
        <w:t>R. v Barnardo</w:t>
      </w:r>
      <w:r>
        <w:t xml:space="preserve">, 1 Q. B. 194 (1890); </w:t>
      </w:r>
      <w:r>
        <w:rPr>
          <w:i/>
        </w:rPr>
        <w:t>Barnardo v. McHugh</w:t>
      </w:r>
      <w:r>
        <w:t xml:space="preserve">, A. C. 3888 (1891); </w:t>
      </w:r>
      <w:r>
        <w:rPr>
          <w:i/>
        </w:rPr>
        <w:t>Barnardo v. Ford</w:t>
      </w:r>
      <w:r>
        <w:t>, A. C. 326 (1892).</w:t>
      </w:r>
    </w:p>
  </w:footnote>
  <w:footnote w:id="138">
    <w:p w14:paraId="7582F731" w14:textId="2B5667ED" w:rsidR="00B914E5" w:rsidRPr="00EA0326" w:rsidRDefault="00B914E5" w:rsidP="00225FE2">
      <w:pPr>
        <w:pStyle w:val="FootnoteText"/>
      </w:pPr>
      <w:r>
        <w:rPr>
          <w:rStyle w:val="FootnoteReference"/>
        </w:rPr>
        <w:footnoteRef/>
      </w:r>
      <w:r>
        <w:t xml:space="preserve"> E.g. the 1888 Poor Law Amendment Act, the Adoption of Children Bills of 1889 and 1890, the 1890 Protection of Children Bill, the 1890 Custody of Children Bill, and the 1891 Custody of Children Act. For a treatment of this theme with specific reference to the poor law see Murdoch, </w:t>
      </w:r>
      <w:r>
        <w:rPr>
          <w:i/>
        </w:rPr>
        <w:t>Imagined orphans</w:t>
      </w:r>
      <w:r>
        <w:t>.</w:t>
      </w:r>
      <w:r w:rsidRPr="00865CA0">
        <w:t xml:space="preserve"> </w:t>
      </w:r>
      <w:r>
        <w:t xml:space="preserve">For the history of adoption in this context, see George Behlmer, </w:t>
      </w:r>
      <w:r>
        <w:rPr>
          <w:i/>
        </w:rPr>
        <w:t xml:space="preserve">Friends of the family: the English home and its guardians, 1850–1940 </w:t>
      </w:r>
      <w:r w:rsidRPr="00EA0326">
        <w:t>(Stanford, 1998)</w:t>
      </w:r>
      <w:r>
        <w:t xml:space="preserve">, ch. 6; Cretney, </w:t>
      </w:r>
      <w:r>
        <w:rPr>
          <w:i/>
        </w:rPr>
        <w:t>Family law</w:t>
      </w:r>
      <w:r>
        <w:t xml:space="preserve">, pp. 596–627; </w:t>
      </w:r>
      <w:r w:rsidRPr="00396B67">
        <w:rPr>
          <w:lang w:eastAsia="en-GB"/>
        </w:rPr>
        <w:t>Jenny Keating,</w:t>
      </w:r>
      <w:r w:rsidRPr="001A1262">
        <w:rPr>
          <w:lang w:eastAsia="en-GB"/>
        </w:rPr>
        <w:t xml:space="preserve"> </w:t>
      </w:r>
      <w:r>
        <w:rPr>
          <w:i/>
          <w:lang w:eastAsia="en-GB"/>
        </w:rPr>
        <w:t>A</w:t>
      </w:r>
      <w:r w:rsidRPr="001A1262">
        <w:rPr>
          <w:i/>
          <w:lang w:eastAsia="en-GB"/>
        </w:rPr>
        <w:t xml:space="preserve"> child for keeps: the history of adoption in England, 1918</w:t>
      </w:r>
      <w:r>
        <w:rPr>
          <w:i/>
          <w:lang w:eastAsia="en-GB"/>
        </w:rPr>
        <w:t>–</w:t>
      </w:r>
      <w:r w:rsidRPr="001A1262">
        <w:rPr>
          <w:i/>
          <w:lang w:eastAsia="en-GB"/>
        </w:rPr>
        <w:t>45</w:t>
      </w:r>
      <w:r w:rsidRPr="001A1262">
        <w:rPr>
          <w:lang w:eastAsia="en-GB"/>
        </w:rPr>
        <w:t xml:space="preserve"> </w:t>
      </w:r>
      <w:r>
        <w:rPr>
          <w:lang w:eastAsia="en-GB"/>
        </w:rPr>
        <w:t>(Basingstoke, 2009).</w:t>
      </w:r>
    </w:p>
  </w:footnote>
  <w:footnote w:id="139">
    <w:p w14:paraId="3C51F808" w14:textId="52CBB85C" w:rsidR="00B914E5" w:rsidRDefault="00B914E5" w:rsidP="00225FE2">
      <w:pPr>
        <w:pStyle w:val="FootnoteText"/>
      </w:pPr>
      <w:r>
        <w:rPr>
          <w:rStyle w:val="FootnoteReference"/>
        </w:rPr>
        <w:footnoteRef/>
      </w:r>
      <w:r>
        <w:t xml:space="preserve"> See, for examples, Lord Halsbury, </w:t>
      </w:r>
      <w:r w:rsidRPr="00F17C21">
        <w:rPr>
          <w:i/>
          <w:iCs/>
        </w:rPr>
        <w:t xml:space="preserve">Hansard </w:t>
      </w:r>
      <w:r w:rsidRPr="00F17C21">
        <w:t>343, col. 1394</w:t>
      </w:r>
      <w:r>
        <w:t>–5 (25 Apr. 1890). Lord Morris,</w:t>
      </w:r>
      <w:r w:rsidRPr="001A60B4">
        <w:t xml:space="preserve"> </w:t>
      </w:r>
      <w:r w:rsidRPr="00F17C21">
        <w:rPr>
          <w:i/>
          <w:iCs/>
        </w:rPr>
        <w:t xml:space="preserve">Hansard </w:t>
      </w:r>
      <w:r>
        <w:t>343, col. 1401–</w:t>
      </w:r>
      <w:r w:rsidRPr="001A60B4">
        <w:t>2</w:t>
      </w:r>
      <w:r>
        <w:t>. (25 Apr. 1890).</w:t>
      </w:r>
    </w:p>
  </w:footnote>
  <w:footnote w:id="140">
    <w:p w14:paraId="2FA50DAB" w14:textId="77777777" w:rsidR="00B914E5" w:rsidRDefault="00B914E5" w:rsidP="00225FE2">
      <w:pPr>
        <w:pStyle w:val="FootnoteText"/>
      </w:pPr>
      <w:r>
        <w:rPr>
          <w:rStyle w:val="FootnoteReference"/>
        </w:rPr>
        <w:footnoteRef/>
      </w:r>
      <w:r>
        <w:t xml:space="preserve"> 54 Vict. c. 3, s. 3.</w:t>
      </w:r>
    </w:p>
  </w:footnote>
  <w:footnote w:id="141">
    <w:p w14:paraId="6A0A2CE4" w14:textId="77777777" w:rsidR="00B914E5" w:rsidRPr="00CF1D90" w:rsidRDefault="00B914E5" w:rsidP="00225FE2">
      <w:pPr>
        <w:pStyle w:val="FootnoteText"/>
      </w:pPr>
      <w:r>
        <w:rPr>
          <w:rStyle w:val="FootnoteReference"/>
        </w:rPr>
        <w:footnoteRef/>
      </w:r>
      <w:r>
        <w:t xml:space="preserve"> Cretney, </w:t>
      </w:r>
      <w:r>
        <w:rPr>
          <w:i/>
        </w:rPr>
        <w:t>Family law</w:t>
      </w:r>
      <w:r>
        <w:t>, p. 641.</w:t>
      </w:r>
    </w:p>
  </w:footnote>
  <w:footnote w:id="142">
    <w:p w14:paraId="23690384" w14:textId="77777777" w:rsidR="00B914E5" w:rsidRPr="001D362B" w:rsidRDefault="00B914E5" w:rsidP="00225FE2">
      <w:pPr>
        <w:pStyle w:val="FootnoteText"/>
      </w:pPr>
      <w:r>
        <w:rPr>
          <w:rStyle w:val="FootnoteReference"/>
        </w:rPr>
        <w:footnoteRef/>
      </w:r>
      <w:r>
        <w:t xml:space="preserve"> Cretney, </w:t>
      </w:r>
      <w:r>
        <w:rPr>
          <w:i/>
        </w:rPr>
        <w:t>Family law</w:t>
      </w:r>
      <w:r>
        <w:t xml:space="preserve">, p. 648. On the practice of the courts see Behlmer, </w:t>
      </w:r>
      <w:r>
        <w:rPr>
          <w:i/>
        </w:rPr>
        <w:t>Friends</w:t>
      </w:r>
      <w:r>
        <w:t>, ch. 5.</w:t>
      </w:r>
    </w:p>
  </w:footnote>
  <w:footnote w:id="143">
    <w:p w14:paraId="26091A16" w14:textId="77777777" w:rsidR="00B914E5" w:rsidRPr="00A23E29" w:rsidRDefault="00B914E5" w:rsidP="00C50174">
      <w:pPr>
        <w:pStyle w:val="FootnoteText"/>
      </w:pPr>
      <w:r>
        <w:rPr>
          <w:rStyle w:val="FootnoteReference"/>
        </w:rPr>
        <w:footnoteRef/>
      </w:r>
      <w:r>
        <w:t xml:space="preserve"> Murdoch, </w:t>
      </w:r>
      <w:r>
        <w:rPr>
          <w:i/>
        </w:rPr>
        <w:t>Imagined orphans.</w:t>
      </w:r>
    </w:p>
  </w:footnote>
  <w:footnote w:id="144">
    <w:p w14:paraId="0EB8ACE2" w14:textId="6239D25C" w:rsidR="00B914E5" w:rsidRDefault="00B914E5" w:rsidP="00225FE2">
      <w:pPr>
        <w:pStyle w:val="FootnoteText"/>
      </w:pPr>
      <w:r>
        <w:rPr>
          <w:rStyle w:val="FootnoteReference"/>
        </w:rPr>
        <w:footnoteRef/>
      </w:r>
      <w:r>
        <w:t xml:space="preserve"> David Phillips, ‘“A new engine of power and authority”: the institutionalization of law-enforcement in England, 1780–1830’ in Gatrell, Lenman and Parker, eds., </w:t>
      </w:r>
      <w:r>
        <w:rPr>
          <w:i/>
        </w:rPr>
        <w:t>Crime and the law</w:t>
      </w:r>
      <w:r>
        <w:t xml:space="preserve">, pp. 155–89; Patrick Polden, </w:t>
      </w:r>
      <w:r>
        <w:rPr>
          <w:i/>
        </w:rPr>
        <w:t xml:space="preserve">A history of the county court, 1846–1971 </w:t>
      </w:r>
      <w:r>
        <w:t xml:space="preserve">(Cambridge, 1999); Jennifer Davis, ‘A poor man's system of justice: the London police courts in the second half of the nineteenth century’, </w:t>
      </w:r>
      <w:r w:rsidRPr="00B10E05">
        <w:rPr>
          <w:i/>
        </w:rPr>
        <w:t>Historical Journal</w:t>
      </w:r>
      <w:r>
        <w:t xml:space="preserve">, 27.2 (1984), pp. 309–335. </w:t>
      </w:r>
    </w:p>
  </w:footnote>
  <w:footnote w:id="145">
    <w:p w14:paraId="5DCD09FB" w14:textId="662F2BF5" w:rsidR="00B914E5" w:rsidRDefault="00B914E5" w:rsidP="00225FE2">
      <w:pPr>
        <w:pStyle w:val="FootnoteText"/>
      </w:pPr>
      <w:r>
        <w:rPr>
          <w:rStyle w:val="FootnoteReference"/>
        </w:rPr>
        <w:footnoteRef/>
      </w:r>
      <w:r>
        <w:t xml:space="preserve"> 1922 Select Committee, q. 99 (Biron); cf. q. 185 (Wemyss and Hubback). Cf. Paul Johnson, ‘Class law in Victorian England’, </w:t>
      </w:r>
      <w:r>
        <w:rPr>
          <w:i/>
        </w:rPr>
        <w:t xml:space="preserve">Past and Present </w:t>
      </w:r>
      <w:r>
        <w:t>141 (1993), pp. 147–169.</w:t>
      </w:r>
    </w:p>
  </w:footnote>
  <w:footnote w:id="146">
    <w:p w14:paraId="1E04BEA6" w14:textId="7D082419" w:rsidR="00B914E5" w:rsidRDefault="00B914E5" w:rsidP="00225FE2">
      <w:pPr>
        <w:pStyle w:val="FootnoteText"/>
      </w:pPr>
      <w:r>
        <w:rPr>
          <w:rStyle w:val="FootnoteReference"/>
        </w:rPr>
        <w:footnoteRef/>
      </w:r>
      <w:r>
        <w:t xml:space="preserve"> </w:t>
      </w:r>
      <w:r w:rsidRPr="00AD1195">
        <w:t>Griffin, ‘Class, gender and liberalism’, pp. 84</w:t>
      </w:r>
      <w:r>
        <w:t>–</w:t>
      </w:r>
      <w:r w:rsidRPr="00AD1195">
        <w:t>5.</w:t>
      </w:r>
    </w:p>
  </w:footnote>
  <w:footnote w:id="147">
    <w:p w14:paraId="37129F53" w14:textId="77777777" w:rsidR="00B914E5" w:rsidRDefault="00B914E5" w:rsidP="00225FE2">
      <w:pPr>
        <w:pStyle w:val="FootnoteText"/>
      </w:pPr>
      <w:r>
        <w:rPr>
          <w:rStyle w:val="FootnoteReference"/>
        </w:rPr>
        <w:footnoteRef/>
      </w:r>
      <w:r>
        <w:t xml:space="preserve"> 1922 Select Committee, q. 753 (Sir Paul Lawrence); 1923 Select Committee, q. 4 (Edward Leslie Burgin), q. 1294 (Edgar Brierley).</w:t>
      </w:r>
    </w:p>
  </w:footnote>
  <w:footnote w:id="148">
    <w:p w14:paraId="1791756C" w14:textId="6B771D1E" w:rsidR="00B914E5" w:rsidRDefault="00B914E5">
      <w:pPr>
        <w:pStyle w:val="FootnoteText"/>
      </w:pPr>
      <w:r>
        <w:rPr>
          <w:rStyle w:val="FootnoteReference"/>
        </w:rPr>
        <w:footnoteRef/>
      </w:r>
      <w:r>
        <w:t xml:space="preserve"> On county court costs see 1923 Select Committee, q. 1254, 1715 (Lord Terrington). The 1878 Act allowed magistrates to give custody of children under the age of ten to any woman who had been granted a judicial separation when her husband was convicted of an aggravated assault upon her; the 1895 Act extended this jurisdiction to cover children up to the age of 16 and extended the grounds on which a separation could be granted; neither applied to Ireland.</w:t>
      </w:r>
    </w:p>
  </w:footnote>
  <w:footnote w:id="149">
    <w:p w14:paraId="60090699" w14:textId="3C5DDB3A" w:rsidR="00B914E5" w:rsidRPr="000C1FFA" w:rsidRDefault="00B914E5">
      <w:pPr>
        <w:pStyle w:val="FootnoteText"/>
      </w:pPr>
      <w:r>
        <w:rPr>
          <w:rStyle w:val="FootnoteReference"/>
        </w:rPr>
        <w:footnoteRef/>
      </w:r>
      <w:r>
        <w:t xml:space="preserve"> On courts of summary jurisdiction, see Anderson, </w:t>
      </w:r>
      <w:r w:rsidRPr="00795BCB">
        <w:t>‘The state, civil society and separation</w:t>
      </w:r>
      <w:r>
        <w:t xml:space="preserve">’. For a discussion of High Court scrutiny of magistrates’ decisions, see Gail Savage, ‘“The magistrates are men”: working-class marital conflict and appeals from the magistrates’ court to the Divorce Court after 1895’ in George Robb and Nancy Erber, eds., </w:t>
      </w:r>
      <w:r>
        <w:rPr>
          <w:i/>
        </w:rPr>
        <w:t xml:space="preserve">Disorder in the court: trials and sexual conflict at the turn of the century </w:t>
      </w:r>
      <w:r>
        <w:t>(Basingstoke, 1999), pp. 231–49.</w:t>
      </w:r>
    </w:p>
  </w:footnote>
  <w:footnote w:id="150">
    <w:p w14:paraId="08396BE3" w14:textId="7C92CDA6" w:rsidR="00B914E5" w:rsidRDefault="00B914E5" w:rsidP="003C4D51">
      <w:pPr>
        <w:pStyle w:val="FootnoteText"/>
      </w:pPr>
      <w:r>
        <w:rPr>
          <w:rStyle w:val="FootnoteReference"/>
        </w:rPr>
        <w:footnoteRef/>
      </w:r>
      <w:r>
        <w:t xml:space="preserve"> On county courts, Polden, </w:t>
      </w:r>
      <w:r>
        <w:rPr>
          <w:i/>
        </w:rPr>
        <w:t>A history of the county courts</w:t>
      </w:r>
      <w:r>
        <w:t xml:space="preserve">, pp. 50–1, 66–7. For distrust of magistrates see </w:t>
      </w:r>
      <w:r w:rsidRPr="00E60121">
        <w:rPr>
          <w:bCs/>
          <w:i/>
        </w:rPr>
        <w:t>Report of the Royal Commission on Divorce and Matrimonial Causes</w:t>
      </w:r>
      <w:r>
        <w:rPr>
          <w:bCs/>
        </w:rPr>
        <w:t xml:space="preserve">, </w:t>
      </w:r>
      <w:r w:rsidRPr="00E60121">
        <w:t>Cd. 6478</w:t>
      </w:r>
      <w:r>
        <w:t xml:space="preserve"> </w:t>
      </w:r>
      <w:r>
        <w:rPr>
          <w:bCs/>
        </w:rPr>
        <w:t>(</w:t>
      </w:r>
      <w:r>
        <w:t>1912–13)</w:t>
      </w:r>
      <w:r>
        <w:rPr>
          <w:bCs/>
        </w:rPr>
        <w:t xml:space="preserve">, pp. 68–9; </w:t>
      </w:r>
      <w:r w:rsidRPr="000E4390">
        <w:rPr>
          <w:bCs/>
          <w:i/>
        </w:rPr>
        <w:t>Minutes of evidence taken before the Royal Commission on Divorce and Matrimonial Causes</w:t>
      </w:r>
      <w:r>
        <w:rPr>
          <w:bCs/>
          <w:i/>
        </w:rPr>
        <w:t>,</w:t>
      </w:r>
      <w:r>
        <w:rPr>
          <w:bCs/>
        </w:rPr>
        <w:t xml:space="preserve"> Vol. </w:t>
      </w:r>
      <w:r w:rsidRPr="000E4390">
        <w:rPr>
          <w:bCs/>
        </w:rPr>
        <w:t>I.</w:t>
      </w:r>
      <w:r w:rsidRPr="000E4390">
        <w:t xml:space="preserve"> </w:t>
      </w:r>
      <w:r>
        <w:t>Cd. 6479 (</w:t>
      </w:r>
      <w:r w:rsidRPr="000E4390">
        <w:t>1912</w:t>
      </w:r>
      <w:r>
        <w:t>–</w:t>
      </w:r>
      <w:r w:rsidRPr="000E4390">
        <w:t>13</w:t>
      </w:r>
      <w:r>
        <w:t>), q. 1421–7; 1922 Select Committee, q. 756, 769, 799 (Lawrence); 1923 Select Committee, q. 1192 (Chapman), 1225 (Wemyss), 1699 (Biron).</w:t>
      </w:r>
    </w:p>
  </w:footnote>
  <w:footnote w:id="151">
    <w:p w14:paraId="0595AB84" w14:textId="1A2D98CB" w:rsidR="00B914E5" w:rsidRDefault="00B914E5" w:rsidP="00225FE2">
      <w:pPr>
        <w:pStyle w:val="FootnoteText"/>
      </w:pPr>
      <w:r>
        <w:rPr>
          <w:rStyle w:val="FootnoteReference"/>
        </w:rPr>
        <w:footnoteRef/>
      </w:r>
      <w:r>
        <w:t xml:space="preserve"> Lawrence 1922 Select Committee, q. 744, 755, 760, 857.</w:t>
      </w:r>
    </w:p>
  </w:footnote>
  <w:footnote w:id="152">
    <w:p w14:paraId="59E19449" w14:textId="77777777" w:rsidR="00B914E5" w:rsidRDefault="00B914E5" w:rsidP="00225FE2">
      <w:pPr>
        <w:pStyle w:val="FootnoteText"/>
      </w:pPr>
      <w:r>
        <w:rPr>
          <w:rStyle w:val="FootnoteReference"/>
        </w:rPr>
        <w:footnoteRef/>
      </w:r>
      <w:r>
        <w:t xml:space="preserve"> 1923 Select Committee, 1228 (Chapman).</w:t>
      </w:r>
    </w:p>
  </w:footnote>
  <w:footnote w:id="153">
    <w:p w14:paraId="3E028A3D" w14:textId="77777777" w:rsidR="00B914E5" w:rsidRDefault="00B914E5" w:rsidP="00225FE2">
      <w:pPr>
        <w:pStyle w:val="FootnoteText"/>
      </w:pPr>
      <w:r>
        <w:rPr>
          <w:rStyle w:val="FootnoteReference"/>
        </w:rPr>
        <w:footnoteRef/>
      </w:r>
      <w:r>
        <w:t xml:space="preserve"> 1922 Select Committee, q. 755.</w:t>
      </w:r>
    </w:p>
  </w:footnote>
  <w:footnote w:id="154">
    <w:p w14:paraId="3A737F1F" w14:textId="77777777" w:rsidR="00B914E5" w:rsidRDefault="00B914E5" w:rsidP="00225FE2">
      <w:pPr>
        <w:pStyle w:val="FootnoteText"/>
      </w:pPr>
      <w:r>
        <w:rPr>
          <w:rStyle w:val="FootnoteReference"/>
        </w:rPr>
        <w:footnoteRef/>
      </w:r>
      <w:r>
        <w:t xml:space="preserve"> 1922 Select Committee, q. 307; cf. q. 1523 (Greig).</w:t>
      </w:r>
    </w:p>
  </w:footnote>
  <w:footnote w:id="155">
    <w:p w14:paraId="7BE0A83E" w14:textId="3C3A10E7" w:rsidR="00B914E5" w:rsidRPr="00CD440F" w:rsidRDefault="00B914E5" w:rsidP="00225FE2">
      <w:pPr>
        <w:pStyle w:val="FootnoteText"/>
      </w:pPr>
      <w:r>
        <w:rPr>
          <w:rStyle w:val="FootnoteReference"/>
        </w:rPr>
        <w:footnoteRef/>
      </w:r>
      <w:r>
        <w:t xml:space="preserve"> Richard I. Morgan, ‘The introduction of civil legal aid in England and Wales, 1914–1949’, </w:t>
      </w:r>
      <w:r>
        <w:rPr>
          <w:i/>
        </w:rPr>
        <w:t>Twentieth Century British History</w:t>
      </w:r>
      <w:r>
        <w:t>, 5.1 (1994), pp. 38–76.</w:t>
      </w:r>
    </w:p>
  </w:footnote>
  <w:footnote w:id="156">
    <w:p w14:paraId="4F03169E" w14:textId="50A2FAE7" w:rsidR="00B914E5" w:rsidRPr="009A3EE7" w:rsidRDefault="00B914E5" w:rsidP="009F510A">
      <w:pPr>
        <w:pStyle w:val="FootnoteText"/>
      </w:pPr>
      <w:r>
        <w:rPr>
          <w:rStyle w:val="FootnoteReference"/>
        </w:rPr>
        <w:footnoteRef/>
      </w:r>
      <w:r>
        <w:t xml:space="preserve"> E.g. </w:t>
      </w:r>
      <w:r>
        <w:rPr>
          <w:iCs/>
        </w:rPr>
        <w:t xml:space="preserve">Davidoff, Doolittle, Fish and Holden, </w:t>
      </w:r>
      <w:r>
        <w:rPr>
          <w:i/>
        </w:rPr>
        <w:t>The family story</w:t>
      </w:r>
      <w:r>
        <w:t>, p. 137.</w:t>
      </w:r>
    </w:p>
  </w:footnote>
  <w:footnote w:id="157">
    <w:p w14:paraId="57623DD1" w14:textId="77777777" w:rsidR="00B914E5" w:rsidRPr="005262C0" w:rsidRDefault="00B914E5" w:rsidP="00E303B1">
      <w:pPr>
        <w:pStyle w:val="FootnoteText"/>
      </w:pPr>
      <w:r>
        <w:rPr>
          <w:rStyle w:val="FootnoteReference"/>
        </w:rPr>
        <w:footnoteRef/>
      </w:r>
      <w:r>
        <w:t xml:space="preserve"> </w:t>
      </w:r>
      <w:r w:rsidRPr="005262C0">
        <w:rPr>
          <w:i/>
        </w:rPr>
        <w:t>In re. Agar</w:t>
      </w:r>
      <w:r>
        <w:rPr>
          <w:i/>
        </w:rPr>
        <w:t>-Ellis, Agar-Ellis v. Lascelles</w:t>
      </w:r>
      <w:r>
        <w:t>, 24 Ch. D. 317 (1883).</w:t>
      </w:r>
    </w:p>
  </w:footnote>
  <w:footnote w:id="158">
    <w:p w14:paraId="7CE3F50E" w14:textId="77777777" w:rsidR="00B914E5" w:rsidRDefault="00B914E5" w:rsidP="00235480">
      <w:pPr>
        <w:pStyle w:val="FootnoteText"/>
      </w:pPr>
      <w:r>
        <w:rPr>
          <w:rStyle w:val="FootnoteReference"/>
        </w:rPr>
        <w:footnoteRef/>
      </w:r>
      <w:r>
        <w:t xml:space="preserve"> E.g. </w:t>
      </w:r>
      <w:r w:rsidRPr="00F6281A">
        <w:rPr>
          <w:i/>
        </w:rPr>
        <w:t>Palliser v. Gurney</w:t>
      </w:r>
      <w:r>
        <w:t>, 19 Q. B. D. 519 (1887).</w:t>
      </w:r>
    </w:p>
  </w:footnote>
  <w:footnote w:id="159">
    <w:p w14:paraId="30D3C0DD" w14:textId="1E6A4FCC" w:rsidR="00B914E5" w:rsidRDefault="00B914E5">
      <w:pPr>
        <w:pStyle w:val="FootnoteText"/>
      </w:pPr>
      <w:r>
        <w:rPr>
          <w:rStyle w:val="FootnoteReference"/>
        </w:rPr>
        <w:footnoteRef/>
      </w:r>
      <w:r>
        <w:t xml:space="preserve"> </w:t>
      </w:r>
      <w:r w:rsidRPr="00AD1195">
        <w:t xml:space="preserve">Griffin, </w:t>
      </w:r>
      <w:r w:rsidRPr="00AD1195">
        <w:rPr>
          <w:i/>
        </w:rPr>
        <w:t>The politics of gender</w:t>
      </w:r>
      <w:r w:rsidRPr="00AD1195">
        <w:t>, pp. 94</w:t>
      </w:r>
      <w:r>
        <w:t>–</w:t>
      </w:r>
      <w:r w:rsidRPr="00AD1195">
        <w:t>5.</w:t>
      </w:r>
      <w:r>
        <w:t xml:space="preserve"> Significant differences remained after 1882, e.g. </w:t>
      </w:r>
      <w:r w:rsidRPr="00C30EFE">
        <w:rPr>
          <w:i/>
        </w:rPr>
        <w:t>Edward v. Cheyne</w:t>
      </w:r>
      <w:r>
        <w:t xml:space="preserve"> (no. 2), 13 App. Cas. 385 (H. L.) (1888).</w:t>
      </w:r>
    </w:p>
  </w:footnote>
  <w:footnote w:id="160">
    <w:p w14:paraId="3EF0D474" w14:textId="37E9A160" w:rsidR="00B914E5" w:rsidRPr="000A664B" w:rsidRDefault="00B914E5" w:rsidP="000A664B">
      <w:pPr>
        <w:pStyle w:val="FootnoteText"/>
      </w:pPr>
      <w:r>
        <w:rPr>
          <w:rStyle w:val="FootnoteReference"/>
        </w:rPr>
        <w:footnoteRef/>
      </w:r>
      <w:r>
        <w:t xml:space="preserve"> Adrian Williamson, ‘The law and politics of marital rape in England, 1945–1994’, </w:t>
      </w:r>
      <w:r>
        <w:rPr>
          <w:i/>
        </w:rPr>
        <w:t>Women’s History Review</w:t>
      </w:r>
      <w:r>
        <w:t xml:space="preserve"> 26.3 (2017), pp. 390–1, 400.</w:t>
      </w:r>
    </w:p>
  </w:footnote>
  <w:footnote w:id="161">
    <w:p w14:paraId="2DC27ECB" w14:textId="18E0BD50" w:rsidR="00B914E5" w:rsidRPr="00D806A4" w:rsidRDefault="00B914E5">
      <w:pPr>
        <w:pStyle w:val="FootnoteText"/>
        <w:rPr>
          <w:i/>
        </w:rPr>
      </w:pPr>
      <w:r>
        <w:rPr>
          <w:rStyle w:val="FootnoteReference"/>
        </w:rPr>
        <w:footnoteRef/>
      </w:r>
      <w:r>
        <w:t xml:space="preserve"> Jeremy Finn, ‘Sometimes persuasive authority: Dominion case law and English judges, 1895–1970’ in Hamar Foster, Benjamin L. Berger and A. R. Buck, eds., </w:t>
      </w:r>
      <w:r>
        <w:rPr>
          <w:i/>
        </w:rPr>
        <w:t xml:space="preserve">The grand experiment: law and legal culture in British settler societies </w:t>
      </w:r>
      <w:r>
        <w:t xml:space="preserve"> (Vancouver, 2008).</w:t>
      </w:r>
      <w:r>
        <w:rPr>
          <w:i/>
        </w:rPr>
        <w:t xml:space="preserve"> </w:t>
      </w:r>
    </w:p>
  </w:footnote>
  <w:footnote w:id="162">
    <w:p w14:paraId="1A9B652F" w14:textId="00CB6CF3" w:rsidR="00B914E5" w:rsidRDefault="00B914E5">
      <w:pPr>
        <w:pStyle w:val="FootnoteText"/>
      </w:pPr>
      <w:r>
        <w:rPr>
          <w:rStyle w:val="FootnoteReference"/>
        </w:rPr>
        <w:footnoteRef/>
      </w:r>
      <w:r>
        <w:t xml:space="preserve"> </w:t>
      </w:r>
      <w:r w:rsidRPr="00CC03EA">
        <w:t xml:space="preserve">1887 Guardianship and Custody of Infants Act (South Australia); 1891 Guardianship and Custody of Infants Act (Queensland); 1920 Guardianship of Infants Act (Western Australia); 1899 Infants Custody and Settlement Act (New South Wales), which re-enacted large parts of the 1875 Custody of Infants Act; 1890 Marriage Act (Victoria); 1908 Infants Act (New Zealand); 1887 Guardianship of Minors Act (Ontario); 1890 New Brunswick Practice and Proceedings in Supreme Court in Equity Act. On Australian law see </w:t>
      </w:r>
      <w:r w:rsidRPr="00CC03EA">
        <w:rPr>
          <w:lang w:eastAsia="en-GB"/>
        </w:rPr>
        <w:t xml:space="preserve">David J. Clark and Gerard McCoy, </w:t>
      </w:r>
      <w:r w:rsidRPr="00CC03EA">
        <w:rPr>
          <w:i/>
          <w:lang w:eastAsia="en-GB"/>
        </w:rPr>
        <w:t xml:space="preserve">Habeas Corpus: Australia, New Zealand, the South Pacific </w:t>
      </w:r>
      <w:r w:rsidRPr="00CC03EA">
        <w:rPr>
          <w:lang w:eastAsia="en-GB"/>
        </w:rPr>
        <w:t xml:space="preserve">(2000); Colin James, ‘Winners and losers: the father factor in Australian child custody law’, </w:t>
      </w:r>
      <w:r w:rsidRPr="00CC03EA">
        <w:rPr>
          <w:i/>
          <w:lang w:eastAsia="en-GB"/>
        </w:rPr>
        <w:t xml:space="preserve">ANZLH E-Journal </w:t>
      </w:r>
      <w:r w:rsidRPr="00CC03EA">
        <w:rPr>
          <w:lang w:eastAsia="en-GB"/>
        </w:rPr>
        <w:t>(2005).</w:t>
      </w:r>
      <w:r w:rsidRPr="00CC03EA">
        <w:t xml:space="preserve"> On Canadian law see Constance Backhouse, </w:t>
      </w:r>
      <w:r w:rsidRPr="00CC03EA">
        <w:rPr>
          <w:i/>
        </w:rPr>
        <w:t>Petticoats and prejudice: women and law in nineteenth-century Canada</w:t>
      </w:r>
      <w:r w:rsidRPr="00CC03EA">
        <w:t xml:space="preserve"> (Toronto, 1991), pp. 203</w:t>
      </w:r>
      <w:r>
        <w:t>–</w:t>
      </w:r>
      <w:r w:rsidRPr="00CC03EA">
        <w:t xml:space="preserve">5; idem, ‘Shifting patterns in nineteenth century custody law’ in David H. Flaherty, ed., </w:t>
      </w:r>
      <w:r w:rsidRPr="00CC03EA">
        <w:rPr>
          <w:i/>
        </w:rPr>
        <w:t>Essays in the history of Canadian law</w:t>
      </w:r>
      <w:r w:rsidRPr="00CC03EA">
        <w:t xml:space="preserve"> vol. 1 (Toronto, 1981).</w:t>
      </w:r>
    </w:p>
  </w:footnote>
  <w:footnote w:id="163">
    <w:p w14:paraId="5A0E8E0F" w14:textId="171F5350" w:rsidR="00B914E5" w:rsidRDefault="00B914E5" w:rsidP="001E4846">
      <w:pPr>
        <w:pStyle w:val="FootnoteText"/>
      </w:pPr>
      <w:r>
        <w:rPr>
          <w:rStyle w:val="FootnoteReference"/>
        </w:rPr>
        <w:footnoteRef/>
      </w:r>
      <w:r>
        <w:t xml:space="preserve"> On professionalization, see </w:t>
      </w:r>
      <w:r w:rsidRPr="00B71AB1">
        <w:t>Rebecca Veinott and Philip Girard, ‘Married women’s property law in Nova Scotia, 1850</w:t>
      </w:r>
      <w:r>
        <w:t>–</w:t>
      </w:r>
      <w:r w:rsidRPr="00B71AB1">
        <w:t xml:space="preserve">1900’ in Janet Guildford and Suzanne Morton, eds., </w:t>
      </w:r>
      <w:r w:rsidRPr="00B71AB1">
        <w:rPr>
          <w:i/>
        </w:rPr>
        <w:t xml:space="preserve">Separate </w:t>
      </w:r>
      <w:r>
        <w:rPr>
          <w:i/>
        </w:rPr>
        <w:t>spheres: women’s worlds in the nineteenth-century</w:t>
      </w:r>
      <w:r w:rsidRPr="00B71AB1">
        <w:rPr>
          <w:i/>
        </w:rPr>
        <w:t xml:space="preserve"> Maritimes </w:t>
      </w:r>
      <w:r w:rsidRPr="00B71AB1">
        <w:t>(Fredricton, 1995)</w:t>
      </w:r>
      <w:r>
        <w:t xml:space="preserve">, p. 89. On the desire to benefit from metropolitan case law Lori Chambers, </w:t>
      </w:r>
      <w:r w:rsidRPr="00111451">
        <w:rPr>
          <w:i/>
        </w:rPr>
        <w:t>Married women and property Law in Victorian Ontario</w:t>
      </w:r>
      <w:r>
        <w:t xml:space="preserve"> (Toronto, 1997), pp. 138, 141, 144.</w:t>
      </w:r>
      <w:r w:rsidRPr="009F116A">
        <w:t xml:space="preserve"> </w:t>
      </w:r>
      <w:r>
        <w:t xml:space="preserve">The same point might be made about Australian practice: see Alex C. Castles, ‘The reception and status of English law in Australia’, </w:t>
      </w:r>
      <w:r>
        <w:rPr>
          <w:i/>
        </w:rPr>
        <w:t>Adelaide Law Review</w:t>
      </w:r>
      <w:r>
        <w:t>, 2.1 (1963), p.10.</w:t>
      </w:r>
    </w:p>
  </w:footnote>
  <w:footnote w:id="164">
    <w:p w14:paraId="30CFAF9D" w14:textId="4C9F1D46" w:rsidR="00B914E5" w:rsidRDefault="00B914E5" w:rsidP="00B9467A">
      <w:pPr>
        <w:pStyle w:val="FootnoteText"/>
      </w:pPr>
      <w:r>
        <w:rPr>
          <w:rStyle w:val="FootnoteReference"/>
        </w:rPr>
        <w:footnoteRef/>
      </w:r>
      <w:r>
        <w:t xml:space="preserve"> On the constitutional position, see Enid Campbell, ‘Colonial legislation and the laws of England’, </w:t>
      </w:r>
      <w:r>
        <w:rPr>
          <w:i/>
        </w:rPr>
        <w:t>University of Tasmania Law Review</w:t>
      </w:r>
      <w:r>
        <w:t xml:space="preserve"> 3 (1965), pp. 148–75; Alex C. Castles, ‘The reception and status of English law in Australia’; Jason L. Pierce, ‘</w:t>
      </w:r>
      <w:r w:rsidRPr="009F510A">
        <w:t>A sketch of Australian Constitutional History</w:t>
      </w:r>
      <w:r>
        <w:t xml:space="preserve">’, </w:t>
      </w:r>
      <w:r>
        <w:rPr>
          <w:rFonts w:ascii="GaramondKursiv" w:hAnsi="GaramondKursiv" w:cs="GaramondKursiv"/>
          <w:i/>
          <w:iCs/>
        </w:rPr>
        <w:t xml:space="preserve">Green Bag, </w:t>
      </w:r>
      <w:r>
        <w:rPr>
          <w:rFonts w:ascii="GaramondKursiv" w:hAnsi="GaramondKursiv" w:cs="GaramondKursiv"/>
          <w:iCs/>
        </w:rPr>
        <w:t>10 (</w:t>
      </w:r>
      <w:r>
        <w:t>2007), pp. 327–345. In 1922 Sir James Greig was despatched by parliament to compile a digest of child custody law throughout the world, and witnesses were summoned to give evidence about the experiences of British Columbia, New Zealand, and the USA.</w:t>
      </w:r>
      <w:r w:rsidRPr="00E24005">
        <w:t xml:space="preserve"> </w:t>
      </w:r>
      <w:r>
        <w:t xml:space="preserve">1923 Select Committee, q. 1404–1573 (Greig); see also evidence </w:t>
      </w:r>
      <w:r w:rsidRPr="00D353E9">
        <w:t xml:space="preserve">of </w:t>
      </w:r>
      <w:r>
        <w:t xml:space="preserve">F.C. Wade on British Columbia, </w:t>
      </w:r>
      <w:r w:rsidRPr="00D353E9">
        <w:t>Valentine Worthington</w:t>
      </w:r>
      <w:r>
        <w:t xml:space="preserve"> on New York, and F. Sharp on New Zealand.</w:t>
      </w:r>
      <w:r w:rsidRPr="00E24005">
        <w:t xml:space="preserve"> </w:t>
      </w:r>
      <w:r>
        <w:t xml:space="preserve">One of the most striking features of these proceedings is the lack of interest in the examples set by countries outside the common law Anglo-world. The same approach was taken by the 1912–13 Gorell Commission, </w:t>
      </w:r>
      <w:r w:rsidRPr="00E60121">
        <w:rPr>
          <w:bCs/>
          <w:i/>
        </w:rPr>
        <w:t>Report of the Royal Commission on Divorce and Matrimonial Causes</w:t>
      </w:r>
      <w:r>
        <w:rPr>
          <w:bCs/>
        </w:rPr>
        <w:t xml:space="preserve">, </w:t>
      </w:r>
      <w:r w:rsidRPr="00E60121">
        <w:t>Cd. 6478</w:t>
      </w:r>
      <w:r>
        <w:t xml:space="preserve"> </w:t>
      </w:r>
      <w:r>
        <w:rPr>
          <w:bCs/>
        </w:rPr>
        <w:t>(</w:t>
      </w:r>
      <w:r>
        <w:t>1912–13)</w:t>
      </w:r>
      <w:r>
        <w:rPr>
          <w:bCs/>
        </w:rPr>
        <w:t>, pp. 18–28.</w:t>
      </w:r>
    </w:p>
  </w:footnote>
  <w:footnote w:id="165">
    <w:p w14:paraId="587E4553" w14:textId="77777777" w:rsidR="00B914E5" w:rsidRPr="009F510A" w:rsidRDefault="00B914E5" w:rsidP="001E4846">
      <w:pPr>
        <w:pStyle w:val="FootnoteText"/>
      </w:pPr>
      <w:r>
        <w:rPr>
          <w:rStyle w:val="FootnoteReference"/>
        </w:rPr>
        <w:footnoteRef/>
      </w:r>
      <w:r>
        <w:t xml:space="preserve"> Benton and Ford, </w:t>
      </w:r>
      <w:r>
        <w:rPr>
          <w:i/>
        </w:rPr>
        <w:t>Rage for order</w:t>
      </w:r>
      <w:r>
        <w:t>, p. 195.</w:t>
      </w:r>
    </w:p>
  </w:footnote>
  <w:footnote w:id="166">
    <w:p w14:paraId="45EE38BF" w14:textId="2B96827A" w:rsidR="00B914E5" w:rsidRDefault="00B914E5" w:rsidP="00441C8D">
      <w:pPr>
        <w:pStyle w:val="FootnoteText"/>
      </w:pPr>
      <w:r>
        <w:rPr>
          <w:rStyle w:val="FootnoteReference"/>
        </w:rPr>
        <w:footnoteRef/>
      </w:r>
      <w:r>
        <w:t xml:space="preserve"> </w:t>
      </w:r>
      <w:r>
        <w:rPr>
          <w:iCs/>
        </w:rPr>
        <w:t xml:space="preserve">S. Franzway, D. Court, and R. W. Connell, </w:t>
      </w:r>
      <w:r>
        <w:rPr>
          <w:i/>
        </w:rPr>
        <w:t xml:space="preserve">Staking a claim: feminism, bureaucracy and the state </w:t>
      </w:r>
      <w:r>
        <w:rPr>
          <w:iCs/>
        </w:rPr>
        <w:t xml:space="preserve">(Cambridge, 1989), pp. 42–3, 52; </w:t>
      </w:r>
      <w:r>
        <w:t xml:space="preserve">R. W. Connell, ‘The state, gender and sexual politics: theory and appraisal’, </w:t>
      </w:r>
      <w:r>
        <w:rPr>
          <w:i/>
          <w:iCs/>
        </w:rPr>
        <w:t>Theory and Society</w:t>
      </w:r>
      <w:r>
        <w:t xml:space="preserve"> 19 (1990), pp. 507–44.</w:t>
      </w:r>
    </w:p>
  </w:footnote>
  <w:footnote w:id="167">
    <w:p w14:paraId="45D73674" w14:textId="481843CF" w:rsidR="00B914E5" w:rsidRPr="00C414AF" w:rsidRDefault="00B914E5">
      <w:pPr>
        <w:pStyle w:val="FootnoteText"/>
      </w:pPr>
      <w:r>
        <w:rPr>
          <w:rStyle w:val="FootnoteReference"/>
        </w:rPr>
        <w:footnoteRef/>
      </w:r>
      <w:r>
        <w:t xml:space="preserve"> Cf. Patrick Polden, ‘Judging judges: the reputations of nineteenth-century judges and their sources’ in Anthony Musson and Chantal Stebbings, eds., </w:t>
      </w:r>
      <w:r>
        <w:rPr>
          <w:i/>
        </w:rPr>
        <w:t>Making legal history</w:t>
      </w:r>
      <w:r>
        <w:t xml:space="preserve"> (Cambridge, 2012), pp. 53–71.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DC409B" w14:textId="77777777" w:rsidR="00B914E5" w:rsidRDefault="00B914E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1867305"/>
      <w:docPartObj>
        <w:docPartGallery w:val="Page Numbers (Top of Page)"/>
        <w:docPartUnique/>
      </w:docPartObj>
    </w:sdtPr>
    <w:sdtEndPr>
      <w:rPr>
        <w:noProof/>
      </w:rPr>
    </w:sdtEndPr>
    <w:sdtContent>
      <w:p w14:paraId="66E5FB6F" w14:textId="77777777" w:rsidR="00B914E5" w:rsidRDefault="00B914E5">
        <w:pPr>
          <w:pStyle w:val="Header"/>
          <w:jc w:val="right"/>
        </w:pPr>
        <w:r>
          <w:fldChar w:fldCharType="begin"/>
        </w:r>
        <w:r>
          <w:instrText xml:space="preserve"> PAGE   \* MERGEFORMAT </w:instrText>
        </w:r>
        <w:r>
          <w:fldChar w:fldCharType="separate"/>
        </w:r>
        <w:r w:rsidR="00D806A4">
          <w:rPr>
            <w:noProof/>
          </w:rPr>
          <w:t>1</w:t>
        </w:r>
        <w:r>
          <w:rPr>
            <w:noProof/>
          </w:rPr>
          <w:fldChar w:fldCharType="end"/>
        </w:r>
      </w:p>
    </w:sdtContent>
  </w:sdt>
  <w:p w14:paraId="1FEBC10B" w14:textId="77777777" w:rsidR="00B914E5" w:rsidRDefault="00B914E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6E231" w14:textId="77777777" w:rsidR="00B914E5" w:rsidRDefault="00B914E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A5233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51557BF2"/>
    <w:multiLevelType w:val="hybridMultilevel"/>
    <w:tmpl w:val="FF94985A"/>
    <w:lvl w:ilvl="0" w:tplc="1068C80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6235565F"/>
    <w:multiLevelType w:val="hybridMultilevel"/>
    <w:tmpl w:val="7F0C7A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4"/>
  <w:removePersonalInformation/>
  <w:removeDateAndTime/>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5FB"/>
    <w:rsid w:val="00001444"/>
    <w:rsid w:val="00011AAB"/>
    <w:rsid w:val="00011C8B"/>
    <w:rsid w:val="00015AF6"/>
    <w:rsid w:val="00016172"/>
    <w:rsid w:val="000178E3"/>
    <w:rsid w:val="00021628"/>
    <w:rsid w:val="0002230C"/>
    <w:rsid w:val="000231D3"/>
    <w:rsid w:val="00026428"/>
    <w:rsid w:val="00031D80"/>
    <w:rsid w:val="00033B05"/>
    <w:rsid w:val="00035607"/>
    <w:rsid w:val="00035D81"/>
    <w:rsid w:val="00037529"/>
    <w:rsid w:val="0004203C"/>
    <w:rsid w:val="00042492"/>
    <w:rsid w:val="00043A34"/>
    <w:rsid w:val="00043C96"/>
    <w:rsid w:val="0004600F"/>
    <w:rsid w:val="00046142"/>
    <w:rsid w:val="0004645B"/>
    <w:rsid w:val="00046FBA"/>
    <w:rsid w:val="00053BEE"/>
    <w:rsid w:val="00055546"/>
    <w:rsid w:val="00055A68"/>
    <w:rsid w:val="00055D7C"/>
    <w:rsid w:val="00055ECA"/>
    <w:rsid w:val="000639BA"/>
    <w:rsid w:val="0006409E"/>
    <w:rsid w:val="0006548C"/>
    <w:rsid w:val="00065C30"/>
    <w:rsid w:val="00066886"/>
    <w:rsid w:val="0007072E"/>
    <w:rsid w:val="00070F1D"/>
    <w:rsid w:val="000730E4"/>
    <w:rsid w:val="00073678"/>
    <w:rsid w:val="00074C92"/>
    <w:rsid w:val="000773AA"/>
    <w:rsid w:val="0008255C"/>
    <w:rsid w:val="00084E15"/>
    <w:rsid w:val="00085C11"/>
    <w:rsid w:val="00085FBC"/>
    <w:rsid w:val="000922B0"/>
    <w:rsid w:val="0009569A"/>
    <w:rsid w:val="00096497"/>
    <w:rsid w:val="00097654"/>
    <w:rsid w:val="000A3ADC"/>
    <w:rsid w:val="000A47DB"/>
    <w:rsid w:val="000A664B"/>
    <w:rsid w:val="000A6D09"/>
    <w:rsid w:val="000A704C"/>
    <w:rsid w:val="000B03EE"/>
    <w:rsid w:val="000B1FAB"/>
    <w:rsid w:val="000B6456"/>
    <w:rsid w:val="000B700C"/>
    <w:rsid w:val="000C0C5C"/>
    <w:rsid w:val="000C14DF"/>
    <w:rsid w:val="000C1FFA"/>
    <w:rsid w:val="000C2A92"/>
    <w:rsid w:val="000C5F11"/>
    <w:rsid w:val="000C6C53"/>
    <w:rsid w:val="000C6CDF"/>
    <w:rsid w:val="000C7A6D"/>
    <w:rsid w:val="000D1E96"/>
    <w:rsid w:val="000D49A8"/>
    <w:rsid w:val="000D533D"/>
    <w:rsid w:val="000E5E2E"/>
    <w:rsid w:val="000E6623"/>
    <w:rsid w:val="000E6F49"/>
    <w:rsid w:val="000E71A7"/>
    <w:rsid w:val="000F13F1"/>
    <w:rsid w:val="000F1A2A"/>
    <w:rsid w:val="000F20E5"/>
    <w:rsid w:val="000F29BE"/>
    <w:rsid w:val="000F3834"/>
    <w:rsid w:val="000F6D99"/>
    <w:rsid w:val="001002D2"/>
    <w:rsid w:val="001018D9"/>
    <w:rsid w:val="00104EF5"/>
    <w:rsid w:val="001065A3"/>
    <w:rsid w:val="00106795"/>
    <w:rsid w:val="00107A47"/>
    <w:rsid w:val="001112E8"/>
    <w:rsid w:val="00111451"/>
    <w:rsid w:val="00121A54"/>
    <w:rsid w:val="001259B0"/>
    <w:rsid w:val="00125B88"/>
    <w:rsid w:val="00135007"/>
    <w:rsid w:val="0013529D"/>
    <w:rsid w:val="0013548B"/>
    <w:rsid w:val="00136FD5"/>
    <w:rsid w:val="00140FC6"/>
    <w:rsid w:val="00144C78"/>
    <w:rsid w:val="00154212"/>
    <w:rsid w:val="00154317"/>
    <w:rsid w:val="0015696A"/>
    <w:rsid w:val="00157393"/>
    <w:rsid w:val="001578EA"/>
    <w:rsid w:val="00160BDF"/>
    <w:rsid w:val="00162957"/>
    <w:rsid w:val="00162994"/>
    <w:rsid w:val="00162B47"/>
    <w:rsid w:val="00162EDE"/>
    <w:rsid w:val="00163C8A"/>
    <w:rsid w:val="0016686D"/>
    <w:rsid w:val="00171AD3"/>
    <w:rsid w:val="00172BEE"/>
    <w:rsid w:val="0017707C"/>
    <w:rsid w:val="00177A3C"/>
    <w:rsid w:val="00177CBE"/>
    <w:rsid w:val="001827B3"/>
    <w:rsid w:val="00182BEE"/>
    <w:rsid w:val="00186B1E"/>
    <w:rsid w:val="0018705C"/>
    <w:rsid w:val="001873D3"/>
    <w:rsid w:val="00192163"/>
    <w:rsid w:val="00192B97"/>
    <w:rsid w:val="00192FD8"/>
    <w:rsid w:val="001935EE"/>
    <w:rsid w:val="001939FE"/>
    <w:rsid w:val="00193BEA"/>
    <w:rsid w:val="00195C4C"/>
    <w:rsid w:val="00197006"/>
    <w:rsid w:val="0019787F"/>
    <w:rsid w:val="001A151B"/>
    <w:rsid w:val="001A219A"/>
    <w:rsid w:val="001A285A"/>
    <w:rsid w:val="001A2BA6"/>
    <w:rsid w:val="001A64A4"/>
    <w:rsid w:val="001A6D7A"/>
    <w:rsid w:val="001A7498"/>
    <w:rsid w:val="001B09DB"/>
    <w:rsid w:val="001B0CE6"/>
    <w:rsid w:val="001B137D"/>
    <w:rsid w:val="001B2D3B"/>
    <w:rsid w:val="001B62E6"/>
    <w:rsid w:val="001C027F"/>
    <w:rsid w:val="001C09B6"/>
    <w:rsid w:val="001C0F8C"/>
    <w:rsid w:val="001C187A"/>
    <w:rsid w:val="001C3A6A"/>
    <w:rsid w:val="001C44FD"/>
    <w:rsid w:val="001C56DC"/>
    <w:rsid w:val="001C7142"/>
    <w:rsid w:val="001D4902"/>
    <w:rsid w:val="001D70E1"/>
    <w:rsid w:val="001E0010"/>
    <w:rsid w:val="001E110B"/>
    <w:rsid w:val="001E2CFF"/>
    <w:rsid w:val="001E3F37"/>
    <w:rsid w:val="001E4846"/>
    <w:rsid w:val="001E7D98"/>
    <w:rsid w:val="001F0E20"/>
    <w:rsid w:val="001F3ABE"/>
    <w:rsid w:val="001F68A2"/>
    <w:rsid w:val="001F6E81"/>
    <w:rsid w:val="001F7B70"/>
    <w:rsid w:val="00200823"/>
    <w:rsid w:val="00201B63"/>
    <w:rsid w:val="00202428"/>
    <w:rsid w:val="00202E88"/>
    <w:rsid w:val="00203F01"/>
    <w:rsid w:val="0020632B"/>
    <w:rsid w:val="002113F5"/>
    <w:rsid w:val="00217024"/>
    <w:rsid w:val="002206F5"/>
    <w:rsid w:val="00220B8A"/>
    <w:rsid w:val="00221E49"/>
    <w:rsid w:val="002242FB"/>
    <w:rsid w:val="002243D9"/>
    <w:rsid w:val="0022521F"/>
    <w:rsid w:val="00225FE2"/>
    <w:rsid w:val="0023060C"/>
    <w:rsid w:val="00232CB1"/>
    <w:rsid w:val="00233A59"/>
    <w:rsid w:val="00233BC5"/>
    <w:rsid w:val="00234D5C"/>
    <w:rsid w:val="00235480"/>
    <w:rsid w:val="00235E35"/>
    <w:rsid w:val="002375FB"/>
    <w:rsid w:val="002409B4"/>
    <w:rsid w:val="0024264D"/>
    <w:rsid w:val="00244616"/>
    <w:rsid w:val="002455C2"/>
    <w:rsid w:val="00245DD5"/>
    <w:rsid w:val="00247DEA"/>
    <w:rsid w:val="00251D47"/>
    <w:rsid w:val="0025212B"/>
    <w:rsid w:val="002521FB"/>
    <w:rsid w:val="0025474A"/>
    <w:rsid w:val="0025781C"/>
    <w:rsid w:val="00260C0C"/>
    <w:rsid w:val="00262F3F"/>
    <w:rsid w:val="00263B28"/>
    <w:rsid w:val="00263DDA"/>
    <w:rsid w:val="00264020"/>
    <w:rsid w:val="0026427B"/>
    <w:rsid w:val="0026498B"/>
    <w:rsid w:val="00267031"/>
    <w:rsid w:val="0027161E"/>
    <w:rsid w:val="00273DF6"/>
    <w:rsid w:val="00276613"/>
    <w:rsid w:val="002824BD"/>
    <w:rsid w:val="0028291B"/>
    <w:rsid w:val="002870FE"/>
    <w:rsid w:val="00287B08"/>
    <w:rsid w:val="00291C4F"/>
    <w:rsid w:val="002934FB"/>
    <w:rsid w:val="002959FF"/>
    <w:rsid w:val="00296C84"/>
    <w:rsid w:val="00297DEA"/>
    <w:rsid w:val="00297E6E"/>
    <w:rsid w:val="002A08FB"/>
    <w:rsid w:val="002A17EA"/>
    <w:rsid w:val="002A27BF"/>
    <w:rsid w:val="002A7490"/>
    <w:rsid w:val="002B2777"/>
    <w:rsid w:val="002B29D0"/>
    <w:rsid w:val="002B3126"/>
    <w:rsid w:val="002B3528"/>
    <w:rsid w:val="002B4697"/>
    <w:rsid w:val="002B511E"/>
    <w:rsid w:val="002C02DC"/>
    <w:rsid w:val="002C052D"/>
    <w:rsid w:val="002C0D01"/>
    <w:rsid w:val="002C1957"/>
    <w:rsid w:val="002C1F0D"/>
    <w:rsid w:val="002C2DA4"/>
    <w:rsid w:val="002D04B3"/>
    <w:rsid w:val="002D080B"/>
    <w:rsid w:val="002D1667"/>
    <w:rsid w:val="002D16DA"/>
    <w:rsid w:val="002D21BA"/>
    <w:rsid w:val="002D5DEB"/>
    <w:rsid w:val="002D739F"/>
    <w:rsid w:val="002E4757"/>
    <w:rsid w:val="002E47DF"/>
    <w:rsid w:val="002E5420"/>
    <w:rsid w:val="002E5F91"/>
    <w:rsid w:val="002E71A9"/>
    <w:rsid w:val="002F082F"/>
    <w:rsid w:val="002F0E22"/>
    <w:rsid w:val="002F1026"/>
    <w:rsid w:val="002F1194"/>
    <w:rsid w:val="002F4725"/>
    <w:rsid w:val="002F5F0C"/>
    <w:rsid w:val="00302838"/>
    <w:rsid w:val="00302DDD"/>
    <w:rsid w:val="00303897"/>
    <w:rsid w:val="00304694"/>
    <w:rsid w:val="00304ECE"/>
    <w:rsid w:val="00304ED9"/>
    <w:rsid w:val="00306CFC"/>
    <w:rsid w:val="00313715"/>
    <w:rsid w:val="003149EE"/>
    <w:rsid w:val="00315133"/>
    <w:rsid w:val="00316684"/>
    <w:rsid w:val="00317E03"/>
    <w:rsid w:val="00321648"/>
    <w:rsid w:val="00321A80"/>
    <w:rsid w:val="003229FB"/>
    <w:rsid w:val="00325252"/>
    <w:rsid w:val="003265C5"/>
    <w:rsid w:val="00326676"/>
    <w:rsid w:val="00327F62"/>
    <w:rsid w:val="00330E40"/>
    <w:rsid w:val="00331DA0"/>
    <w:rsid w:val="00332758"/>
    <w:rsid w:val="0033434F"/>
    <w:rsid w:val="00334782"/>
    <w:rsid w:val="00336E25"/>
    <w:rsid w:val="0034046C"/>
    <w:rsid w:val="00341818"/>
    <w:rsid w:val="00341F20"/>
    <w:rsid w:val="003420A4"/>
    <w:rsid w:val="0034269D"/>
    <w:rsid w:val="00343D6B"/>
    <w:rsid w:val="0034427A"/>
    <w:rsid w:val="003451C6"/>
    <w:rsid w:val="0034698A"/>
    <w:rsid w:val="00347760"/>
    <w:rsid w:val="0035076C"/>
    <w:rsid w:val="003519C6"/>
    <w:rsid w:val="003520C6"/>
    <w:rsid w:val="00352505"/>
    <w:rsid w:val="003535A5"/>
    <w:rsid w:val="003549F9"/>
    <w:rsid w:val="00354FD3"/>
    <w:rsid w:val="0036295C"/>
    <w:rsid w:val="00362CAD"/>
    <w:rsid w:val="00365990"/>
    <w:rsid w:val="003660C3"/>
    <w:rsid w:val="00366F65"/>
    <w:rsid w:val="00367DCA"/>
    <w:rsid w:val="0037049D"/>
    <w:rsid w:val="00370A6C"/>
    <w:rsid w:val="0037119A"/>
    <w:rsid w:val="00372157"/>
    <w:rsid w:val="003730BA"/>
    <w:rsid w:val="00373AEB"/>
    <w:rsid w:val="00376B3C"/>
    <w:rsid w:val="00381DE0"/>
    <w:rsid w:val="00382129"/>
    <w:rsid w:val="00382553"/>
    <w:rsid w:val="00383407"/>
    <w:rsid w:val="00383ED3"/>
    <w:rsid w:val="003848EC"/>
    <w:rsid w:val="00385A07"/>
    <w:rsid w:val="00385ADC"/>
    <w:rsid w:val="00385BC3"/>
    <w:rsid w:val="00385C9F"/>
    <w:rsid w:val="0039029F"/>
    <w:rsid w:val="003912B1"/>
    <w:rsid w:val="0039417A"/>
    <w:rsid w:val="003944A0"/>
    <w:rsid w:val="00394E8B"/>
    <w:rsid w:val="00395013"/>
    <w:rsid w:val="003A1047"/>
    <w:rsid w:val="003A3D6A"/>
    <w:rsid w:val="003A4511"/>
    <w:rsid w:val="003A5F71"/>
    <w:rsid w:val="003A5FEB"/>
    <w:rsid w:val="003A72A8"/>
    <w:rsid w:val="003B007B"/>
    <w:rsid w:val="003B36BB"/>
    <w:rsid w:val="003B3DC4"/>
    <w:rsid w:val="003B594E"/>
    <w:rsid w:val="003C1EEC"/>
    <w:rsid w:val="003C43AE"/>
    <w:rsid w:val="003C4D51"/>
    <w:rsid w:val="003C4E63"/>
    <w:rsid w:val="003C5574"/>
    <w:rsid w:val="003C5D3A"/>
    <w:rsid w:val="003C63E6"/>
    <w:rsid w:val="003C6916"/>
    <w:rsid w:val="003C719A"/>
    <w:rsid w:val="003D0DB2"/>
    <w:rsid w:val="003D1DD7"/>
    <w:rsid w:val="003D2A9F"/>
    <w:rsid w:val="003D3A39"/>
    <w:rsid w:val="003D72EC"/>
    <w:rsid w:val="003E0D78"/>
    <w:rsid w:val="003E1F19"/>
    <w:rsid w:val="003E4CD2"/>
    <w:rsid w:val="003E4E67"/>
    <w:rsid w:val="003E6834"/>
    <w:rsid w:val="003E7BA9"/>
    <w:rsid w:val="003F03E9"/>
    <w:rsid w:val="003F119B"/>
    <w:rsid w:val="003F2037"/>
    <w:rsid w:val="003F21C2"/>
    <w:rsid w:val="003F2875"/>
    <w:rsid w:val="003F326D"/>
    <w:rsid w:val="003F373A"/>
    <w:rsid w:val="003F4573"/>
    <w:rsid w:val="003F7E75"/>
    <w:rsid w:val="00402D6E"/>
    <w:rsid w:val="00402F26"/>
    <w:rsid w:val="0040439E"/>
    <w:rsid w:val="00406690"/>
    <w:rsid w:val="00407423"/>
    <w:rsid w:val="00412B52"/>
    <w:rsid w:val="00416485"/>
    <w:rsid w:val="004169B8"/>
    <w:rsid w:val="004171F5"/>
    <w:rsid w:val="004172C7"/>
    <w:rsid w:val="00417B37"/>
    <w:rsid w:val="00420BBB"/>
    <w:rsid w:val="00421B91"/>
    <w:rsid w:val="00422BC6"/>
    <w:rsid w:val="00426ADF"/>
    <w:rsid w:val="004300A8"/>
    <w:rsid w:val="00431170"/>
    <w:rsid w:val="0043484C"/>
    <w:rsid w:val="0043521B"/>
    <w:rsid w:val="00435F61"/>
    <w:rsid w:val="00436456"/>
    <w:rsid w:val="00437CB3"/>
    <w:rsid w:val="004415AC"/>
    <w:rsid w:val="004419D5"/>
    <w:rsid w:val="00441C8D"/>
    <w:rsid w:val="00443957"/>
    <w:rsid w:val="0044405B"/>
    <w:rsid w:val="00445A60"/>
    <w:rsid w:val="004463FB"/>
    <w:rsid w:val="00447922"/>
    <w:rsid w:val="00447949"/>
    <w:rsid w:val="00452228"/>
    <w:rsid w:val="0045284D"/>
    <w:rsid w:val="00452D7C"/>
    <w:rsid w:val="00454A6C"/>
    <w:rsid w:val="00455028"/>
    <w:rsid w:val="004559A7"/>
    <w:rsid w:val="004572BD"/>
    <w:rsid w:val="004611B1"/>
    <w:rsid w:val="00462777"/>
    <w:rsid w:val="00462ABC"/>
    <w:rsid w:val="00466C7F"/>
    <w:rsid w:val="00467D94"/>
    <w:rsid w:val="004701A2"/>
    <w:rsid w:val="00470D0C"/>
    <w:rsid w:val="00470E6F"/>
    <w:rsid w:val="0047363C"/>
    <w:rsid w:val="00475818"/>
    <w:rsid w:val="004762DB"/>
    <w:rsid w:val="00476CCE"/>
    <w:rsid w:val="00477E64"/>
    <w:rsid w:val="004807B5"/>
    <w:rsid w:val="00481326"/>
    <w:rsid w:val="00481681"/>
    <w:rsid w:val="0048250B"/>
    <w:rsid w:val="00485F4B"/>
    <w:rsid w:val="00486EC5"/>
    <w:rsid w:val="00490669"/>
    <w:rsid w:val="00490BFA"/>
    <w:rsid w:val="004919F6"/>
    <w:rsid w:val="00495530"/>
    <w:rsid w:val="00495E07"/>
    <w:rsid w:val="004970A4"/>
    <w:rsid w:val="004A1BDD"/>
    <w:rsid w:val="004A2191"/>
    <w:rsid w:val="004A4F1D"/>
    <w:rsid w:val="004B25F9"/>
    <w:rsid w:val="004B2B2C"/>
    <w:rsid w:val="004B2BB5"/>
    <w:rsid w:val="004B3697"/>
    <w:rsid w:val="004B3F7C"/>
    <w:rsid w:val="004B46EA"/>
    <w:rsid w:val="004B4C48"/>
    <w:rsid w:val="004B5249"/>
    <w:rsid w:val="004B6ADF"/>
    <w:rsid w:val="004B7E03"/>
    <w:rsid w:val="004C09B4"/>
    <w:rsid w:val="004C0D9D"/>
    <w:rsid w:val="004C1138"/>
    <w:rsid w:val="004C25CB"/>
    <w:rsid w:val="004C26E1"/>
    <w:rsid w:val="004C2795"/>
    <w:rsid w:val="004C33CC"/>
    <w:rsid w:val="004C470E"/>
    <w:rsid w:val="004C66C0"/>
    <w:rsid w:val="004C6AB6"/>
    <w:rsid w:val="004C6D2C"/>
    <w:rsid w:val="004D327E"/>
    <w:rsid w:val="004D373F"/>
    <w:rsid w:val="004D52AC"/>
    <w:rsid w:val="004D667D"/>
    <w:rsid w:val="004D75C0"/>
    <w:rsid w:val="004D7BA6"/>
    <w:rsid w:val="004E018C"/>
    <w:rsid w:val="004E17AC"/>
    <w:rsid w:val="004E2FA5"/>
    <w:rsid w:val="004E34D1"/>
    <w:rsid w:val="004E4546"/>
    <w:rsid w:val="004E6490"/>
    <w:rsid w:val="004E766F"/>
    <w:rsid w:val="004F09D7"/>
    <w:rsid w:val="004F1B21"/>
    <w:rsid w:val="004F39CB"/>
    <w:rsid w:val="004F4459"/>
    <w:rsid w:val="004F4920"/>
    <w:rsid w:val="00503600"/>
    <w:rsid w:val="005041ED"/>
    <w:rsid w:val="00504318"/>
    <w:rsid w:val="0050489A"/>
    <w:rsid w:val="0050657F"/>
    <w:rsid w:val="0050747D"/>
    <w:rsid w:val="00513E27"/>
    <w:rsid w:val="00513E56"/>
    <w:rsid w:val="00516D94"/>
    <w:rsid w:val="00520DD6"/>
    <w:rsid w:val="005214C6"/>
    <w:rsid w:val="00522C21"/>
    <w:rsid w:val="00524948"/>
    <w:rsid w:val="00525385"/>
    <w:rsid w:val="00527340"/>
    <w:rsid w:val="00532E86"/>
    <w:rsid w:val="00535205"/>
    <w:rsid w:val="0053648D"/>
    <w:rsid w:val="00536C5A"/>
    <w:rsid w:val="005371E9"/>
    <w:rsid w:val="00537F98"/>
    <w:rsid w:val="00541068"/>
    <w:rsid w:val="0054211C"/>
    <w:rsid w:val="005424E9"/>
    <w:rsid w:val="00542BE1"/>
    <w:rsid w:val="00542CAC"/>
    <w:rsid w:val="00543843"/>
    <w:rsid w:val="00543877"/>
    <w:rsid w:val="0054460D"/>
    <w:rsid w:val="005447F5"/>
    <w:rsid w:val="005455DD"/>
    <w:rsid w:val="005502BE"/>
    <w:rsid w:val="00550F2E"/>
    <w:rsid w:val="00551373"/>
    <w:rsid w:val="00551B01"/>
    <w:rsid w:val="00554EC1"/>
    <w:rsid w:val="0055518E"/>
    <w:rsid w:val="00555CEA"/>
    <w:rsid w:val="00557251"/>
    <w:rsid w:val="00561058"/>
    <w:rsid w:val="00561E0C"/>
    <w:rsid w:val="00564864"/>
    <w:rsid w:val="00564CFE"/>
    <w:rsid w:val="00567562"/>
    <w:rsid w:val="00567D96"/>
    <w:rsid w:val="005709C5"/>
    <w:rsid w:val="00570D18"/>
    <w:rsid w:val="0057269F"/>
    <w:rsid w:val="005729B6"/>
    <w:rsid w:val="00576EDC"/>
    <w:rsid w:val="00580B14"/>
    <w:rsid w:val="0058386B"/>
    <w:rsid w:val="00586A81"/>
    <w:rsid w:val="00586CDF"/>
    <w:rsid w:val="005874CB"/>
    <w:rsid w:val="00594E42"/>
    <w:rsid w:val="005975EC"/>
    <w:rsid w:val="0059768F"/>
    <w:rsid w:val="005A413A"/>
    <w:rsid w:val="005A5B79"/>
    <w:rsid w:val="005B234C"/>
    <w:rsid w:val="005B39A3"/>
    <w:rsid w:val="005B3A77"/>
    <w:rsid w:val="005B476C"/>
    <w:rsid w:val="005B5762"/>
    <w:rsid w:val="005C01DE"/>
    <w:rsid w:val="005C0816"/>
    <w:rsid w:val="005C13F4"/>
    <w:rsid w:val="005C3B87"/>
    <w:rsid w:val="005C4673"/>
    <w:rsid w:val="005C748E"/>
    <w:rsid w:val="005D304F"/>
    <w:rsid w:val="005D3104"/>
    <w:rsid w:val="005D37F8"/>
    <w:rsid w:val="005D5ADB"/>
    <w:rsid w:val="005D6E56"/>
    <w:rsid w:val="005E0184"/>
    <w:rsid w:val="005E42E3"/>
    <w:rsid w:val="005E4534"/>
    <w:rsid w:val="005E5BA9"/>
    <w:rsid w:val="005E5CA3"/>
    <w:rsid w:val="005E61B5"/>
    <w:rsid w:val="005E66AB"/>
    <w:rsid w:val="005E70AA"/>
    <w:rsid w:val="005F3CEB"/>
    <w:rsid w:val="005F4729"/>
    <w:rsid w:val="005F493B"/>
    <w:rsid w:val="005F4C64"/>
    <w:rsid w:val="005F622B"/>
    <w:rsid w:val="005F664C"/>
    <w:rsid w:val="005F770D"/>
    <w:rsid w:val="006014EC"/>
    <w:rsid w:val="00601F47"/>
    <w:rsid w:val="00602532"/>
    <w:rsid w:val="006061DE"/>
    <w:rsid w:val="00606CA6"/>
    <w:rsid w:val="00607F6C"/>
    <w:rsid w:val="00610D66"/>
    <w:rsid w:val="00611D32"/>
    <w:rsid w:val="00611E32"/>
    <w:rsid w:val="0061516D"/>
    <w:rsid w:val="0061751A"/>
    <w:rsid w:val="00621012"/>
    <w:rsid w:val="00621A7E"/>
    <w:rsid w:val="006242D7"/>
    <w:rsid w:val="00624C77"/>
    <w:rsid w:val="00625D70"/>
    <w:rsid w:val="00631355"/>
    <w:rsid w:val="00635C85"/>
    <w:rsid w:val="0063607B"/>
    <w:rsid w:val="006375FB"/>
    <w:rsid w:val="006379AF"/>
    <w:rsid w:val="00640291"/>
    <w:rsid w:val="006409E4"/>
    <w:rsid w:val="00640C16"/>
    <w:rsid w:val="00641756"/>
    <w:rsid w:val="00647107"/>
    <w:rsid w:val="00650FC0"/>
    <w:rsid w:val="006510F6"/>
    <w:rsid w:val="00653213"/>
    <w:rsid w:val="00654858"/>
    <w:rsid w:val="00657A40"/>
    <w:rsid w:val="0066273A"/>
    <w:rsid w:val="006629D0"/>
    <w:rsid w:val="0066518F"/>
    <w:rsid w:val="00665898"/>
    <w:rsid w:val="00666DC3"/>
    <w:rsid w:val="006672BA"/>
    <w:rsid w:val="00670199"/>
    <w:rsid w:val="00670E43"/>
    <w:rsid w:val="006718AD"/>
    <w:rsid w:val="00672BDC"/>
    <w:rsid w:val="00674D5F"/>
    <w:rsid w:val="006758B4"/>
    <w:rsid w:val="00677AC4"/>
    <w:rsid w:val="00681020"/>
    <w:rsid w:val="00681070"/>
    <w:rsid w:val="00683825"/>
    <w:rsid w:val="00683D03"/>
    <w:rsid w:val="00686B04"/>
    <w:rsid w:val="00686E1E"/>
    <w:rsid w:val="0068722A"/>
    <w:rsid w:val="0068756B"/>
    <w:rsid w:val="00687E95"/>
    <w:rsid w:val="00691238"/>
    <w:rsid w:val="00694998"/>
    <w:rsid w:val="00696660"/>
    <w:rsid w:val="00696C96"/>
    <w:rsid w:val="00697505"/>
    <w:rsid w:val="006A0761"/>
    <w:rsid w:val="006A0B52"/>
    <w:rsid w:val="006A190F"/>
    <w:rsid w:val="006A45D3"/>
    <w:rsid w:val="006A597C"/>
    <w:rsid w:val="006B2177"/>
    <w:rsid w:val="006B2270"/>
    <w:rsid w:val="006B3349"/>
    <w:rsid w:val="006B42FA"/>
    <w:rsid w:val="006C307F"/>
    <w:rsid w:val="006C36AD"/>
    <w:rsid w:val="006C5B24"/>
    <w:rsid w:val="006C741F"/>
    <w:rsid w:val="006C7A8D"/>
    <w:rsid w:val="006D0523"/>
    <w:rsid w:val="006D0C39"/>
    <w:rsid w:val="006D1159"/>
    <w:rsid w:val="006D1593"/>
    <w:rsid w:val="006D1CDC"/>
    <w:rsid w:val="006D2643"/>
    <w:rsid w:val="006D3169"/>
    <w:rsid w:val="006D3AE7"/>
    <w:rsid w:val="006D432B"/>
    <w:rsid w:val="006D4BC0"/>
    <w:rsid w:val="006D7F83"/>
    <w:rsid w:val="006E0DA1"/>
    <w:rsid w:val="006E25AE"/>
    <w:rsid w:val="006E2AEC"/>
    <w:rsid w:val="006E5676"/>
    <w:rsid w:val="006F32F6"/>
    <w:rsid w:val="006F4045"/>
    <w:rsid w:val="006F45CE"/>
    <w:rsid w:val="006F46A9"/>
    <w:rsid w:val="006F4BB1"/>
    <w:rsid w:val="00703BD6"/>
    <w:rsid w:val="007046CF"/>
    <w:rsid w:val="007054C8"/>
    <w:rsid w:val="00707B58"/>
    <w:rsid w:val="00710B82"/>
    <w:rsid w:val="00711C1D"/>
    <w:rsid w:val="00712BF8"/>
    <w:rsid w:val="00715CBD"/>
    <w:rsid w:val="00717DE6"/>
    <w:rsid w:val="00717E8B"/>
    <w:rsid w:val="00717F73"/>
    <w:rsid w:val="007211F2"/>
    <w:rsid w:val="00721AB0"/>
    <w:rsid w:val="007221F9"/>
    <w:rsid w:val="00724248"/>
    <w:rsid w:val="00726868"/>
    <w:rsid w:val="00726F29"/>
    <w:rsid w:val="00727A96"/>
    <w:rsid w:val="007300CD"/>
    <w:rsid w:val="00732E0D"/>
    <w:rsid w:val="00735751"/>
    <w:rsid w:val="00740258"/>
    <w:rsid w:val="007421EB"/>
    <w:rsid w:val="0074442F"/>
    <w:rsid w:val="00745695"/>
    <w:rsid w:val="007463F2"/>
    <w:rsid w:val="007469CF"/>
    <w:rsid w:val="007470F6"/>
    <w:rsid w:val="007501A2"/>
    <w:rsid w:val="0075024A"/>
    <w:rsid w:val="00751815"/>
    <w:rsid w:val="0075203A"/>
    <w:rsid w:val="0075437A"/>
    <w:rsid w:val="00756622"/>
    <w:rsid w:val="00760031"/>
    <w:rsid w:val="0076060E"/>
    <w:rsid w:val="0076176A"/>
    <w:rsid w:val="0076249E"/>
    <w:rsid w:val="007626C4"/>
    <w:rsid w:val="00763C5D"/>
    <w:rsid w:val="0076413E"/>
    <w:rsid w:val="00767C5D"/>
    <w:rsid w:val="00772687"/>
    <w:rsid w:val="00772721"/>
    <w:rsid w:val="00774815"/>
    <w:rsid w:val="007751A0"/>
    <w:rsid w:val="007762D5"/>
    <w:rsid w:val="00776343"/>
    <w:rsid w:val="007778CC"/>
    <w:rsid w:val="00777FDE"/>
    <w:rsid w:val="00780362"/>
    <w:rsid w:val="0079099E"/>
    <w:rsid w:val="00791FD6"/>
    <w:rsid w:val="00792F59"/>
    <w:rsid w:val="00793B0E"/>
    <w:rsid w:val="00793E74"/>
    <w:rsid w:val="0079415B"/>
    <w:rsid w:val="00794448"/>
    <w:rsid w:val="00795634"/>
    <w:rsid w:val="007A1A39"/>
    <w:rsid w:val="007A6285"/>
    <w:rsid w:val="007A73EE"/>
    <w:rsid w:val="007B073D"/>
    <w:rsid w:val="007B1EF5"/>
    <w:rsid w:val="007B23AF"/>
    <w:rsid w:val="007B24ED"/>
    <w:rsid w:val="007B6732"/>
    <w:rsid w:val="007B7E53"/>
    <w:rsid w:val="007C1D33"/>
    <w:rsid w:val="007C487E"/>
    <w:rsid w:val="007C749B"/>
    <w:rsid w:val="007C78F8"/>
    <w:rsid w:val="007D01B2"/>
    <w:rsid w:val="007D1899"/>
    <w:rsid w:val="007D1C23"/>
    <w:rsid w:val="007D26E9"/>
    <w:rsid w:val="007D3619"/>
    <w:rsid w:val="007D382E"/>
    <w:rsid w:val="007D38BA"/>
    <w:rsid w:val="007D3E40"/>
    <w:rsid w:val="007D56B5"/>
    <w:rsid w:val="007D66AA"/>
    <w:rsid w:val="007E01B9"/>
    <w:rsid w:val="007E0374"/>
    <w:rsid w:val="007E038E"/>
    <w:rsid w:val="007E200C"/>
    <w:rsid w:val="007E4820"/>
    <w:rsid w:val="007E7E7D"/>
    <w:rsid w:val="007F24A7"/>
    <w:rsid w:val="007F26FA"/>
    <w:rsid w:val="007F3433"/>
    <w:rsid w:val="007F4323"/>
    <w:rsid w:val="007F479D"/>
    <w:rsid w:val="007F4EE8"/>
    <w:rsid w:val="00800640"/>
    <w:rsid w:val="00802772"/>
    <w:rsid w:val="00803569"/>
    <w:rsid w:val="00803FEB"/>
    <w:rsid w:val="0080474B"/>
    <w:rsid w:val="00806213"/>
    <w:rsid w:val="00806704"/>
    <w:rsid w:val="00807F2B"/>
    <w:rsid w:val="008110D3"/>
    <w:rsid w:val="00812E92"/>
    <w:rsid w:val="00813075"/>
    <w:rsid w:val="0081310D"/>
    <w:rsid w:val="008153B2"/>
    <w:rsid w:val="008172CD"/>
    <w:rsid w:val="00822019"/>
    <w:rsid w:val="00822A1D"/>
    <w:rsid w:val="00823936"/>
    <w:rsid w:val="008239BF"/>
    <w:rsid w:val="00825777"/>
    <w:rsid w:val="008305BA"/>
    <w:rsid w:val="00832F8C"/>
    <w:rsid w:val="00833AE1"/>
    <w:rsid w:val="008350EF"/>
    <w:rsid w:val="00843506"/>
    <w:rsid w:val="00843FE5"/>
    <w:rsid w:val="008452D5"/>
    <w:rsid w:val="00845ED9"/>
    <w:rsid w:val="0084654F"/>
    <w:rsid w:val="008466F0"/>
    <w:rsid w:val="0085008C"/>
    <w:rsid w:val="008506A3"/>
    <w:rsid w:val="008538F5"/>
    <w:rsid w:val="00853DB6"/>
    <w:rsid w:val="00855C39"/>
    <w:rsid w:val="00855DC5"/>
    <w:rsid w:val="00856085"/>
    <w:rsid w:val="00857CE1"/>
    <w:rsid w:val="00861618"/>
    <w:rsid w:val="008623CE"/>
    <w:rsid w:val="008635F0"/>
    <w:rsid w:val="008638B9"/>
    <w:rsid w:val="0086506D"/>
    <w:rsid w:val="00867033"/>
    <w:rsid w:val="00870337"/>
    <w:rsid w:val="008726A6"/>
    <w:rsid w:val="00872B3E"/>
    <w:rsid w:val="00873D52"/>
    <w:rsid w:val="00873E34"/>
    <w:rsid w:val="00875DC1"/>
    <w:rsid w:val="00875E51"/>
    <w:rsid w:val="00877AB7"/>
    <w:rsid w:val="00877BE4"/>
    <w:rsid w:val="00880A50"/>
    <w:rsid w:val="0088195E"/>
    <w:rsid w:val="00885D76"/>
    <w:rsid w:val="00891E05"/>
    <w:rsid w:val="0089242C"/>
    <w:rsid w:val="00892FAB"/>
    <w:rsid w:val="00893532"/>
    <w:rsid w:val="00893F14"/>
    <w:rsid w:val="00895089"/>
    <w:rsid w:val="00896B02"/>
    <w:rsid w:val="0089719F"/>
    <w:rsid w:val="008973F6"/>
    <w:rsid w:val="008A132B"/>
    <w:rsid w:val="008A1579"/>
    <w:rsid w:val="008A4D96"/>
    <w:rsid w:val="008A7DE8"/>
    <w:rsid w:val="008B0C26"/>
    <w:rsid w:val="008B0C82"/>
    <w:rsid w:val="008B1A1A"/>
    <w:rsid w:val="008B283F"/>
    <w:rsid w:val="008B2EA4"/>
    <w:rsid w:val="008B7354"/>
    <w:rsid w:val="008C2505"/>
    <w:rsid w:val="008C2B30"/>
    <w:rsid w:val="008C3BFC"/>
    <w:rsid w:val="008C5E49"/>
    <w:rsid w:val="008C7E76"/>
    <w:rsid w:val="008D1797"/>
    <w:rsid w:val="008D2B27"/>
    <w:rsid w:val="008D46A8"/>
    <w:rsid w:val="008D523A"/>
    <w:rsid w:val="008D7D6E"/>
    <w:rsid w:val="008E2420"/>
    <w:rsid w:val="008E2E2A"/>
    <w:rsid w:val="008E2F2D"/>
    <w:rsid w:val="008E2F67"/>
    <w:rsid w:val="008E4FC5"/>
    <w:rsid w:val="008E5320"/>
    <w:rsid w:val="008E54DE"/>
    <w:rsid w:val="008E6545"/>
    <w:rsid w:val="008F19EC"/>
    <w:rsid w:val="008F1DAC"/>
    <w:rsid w:val="008F4969"/>
    <w:rsid w:val="008F75F2"/>
    <w:rsid w:val="009004E1"/>
    <w:rsid w:val="009006C7"/>
    <w:rsid w:val="00900F1F"/>
    <w:rsid w:val="009020B4"/>
    <w:rsid w:val="009035B0"/>
    <w:rsid w:val="009054A1"/>
    <w:rsid w:val="00907249"/>
    <w:rsid w:val="009127A0"/>
    <w:rsid w:val="00913A04"/>
    <w:rsid w:val="00915FA9"/>
    <w:rsid w:val="00916085"/>
    <w:rsid w:val="00920938"/>
    <w:rsid w:val="00920E65"/>
    <w:rsid w:val="00921C69"/>
    <w:rsid w:val="00922585"/>
    <w:rsid w:val="00922DFF"/>
    <w:rsid w:val="00924DA0"/>
    <w:rsid w:val="00927543"/>
    <w:rsid w:val="0092769D"/>
    <w:rsid w:val="00930465"/>
    <w:rsid w:val="009306FA"/>
    <w:rsid w:val="009307FE"/>
    <w:rsid w:val="009312CE"/>
    <w:rsid w:val="00931FDA"/>
    <w:rsid w:val="0093279F"/>
    <w:rsid w:val="00934936"/>
    <w:rsid w:val="00936056"/>
    <w:rsid w:val="00937CD6"/>
    <w:rsid w:val="0094446D"/>
    <w:rsid w:val="00944737"/>
    <w:rsid w:val="0094570D"/>
    <w:rsid w:val="009504C0"/>
    <w:rsid w:val="0095234B"/>
    <w:rsid w:val="00952BDF"/>
    <w:rsid w:val="00952C74"/>
    <w:rsid w:val="00952E19"/>
    <w:rsid w:val="00953FE6"/>
    <w:rsid w:val="0095747F"/>
    <w:rsid w:val="00957A87"/>
    <w:rsid w:val="00961941"/>
    <w:rsid w:val="00963C99"/>
    <w:rsid w:val="009647FF"/>
    <w:rsid w:val="009652FF"/>
    <w:rsid w:val="009671CD"/>
    <w:rsid w:val="0097271C"/>
    <w:rsid w:val="00973644"/>
    <w:rsid w:val="0097433C"/>
    <w:rsid w:val="00982430"/>
    <w:rsid w:val="00983ED4"/>
    <w:rsid w:val="00986A87"/>
    <w:rsid w:val="009900F7"/>
    <w:rsid w:val="00991E49"/>
    <w:rsid w:val="009949F0"/>
    <w:rsid w:val="00995817"/>
    <w:rsid w:val="00995C04"/>
    <w:rsid w:val="009978E4"/>
    <w:rsid w:val="009A08EE"/>
    <w:rsid w:val="009A0AD7"/>
    <w:rsid w:val="009A267D"/>
    <w:rsid w:val="009A2EE9"/>
    <w:rsid w:val="009A3EE7"/>
    <w:rsid w:val="009A3FAF"/>
    <w:rsid w:val="009A4F9C"/>
    <w:rsid w:val="009A56FD"/>
    <w:rsid w:val="009A5DB3"/>
    <w:rsid w:val="009A5DEE"/>
    <w:rsid w:val="009A648C"/>
    <w:rsid w:val="009A7D34"/>
    <w:rsid w:val="009B488D"/>
    <w:rsid w:val="009C08E8"/>
    <w:rsid w:val="009C1ED8"/>
    <w:rsid w:val="009C2797"/>
    <w:rsid w:val="009C38DE"/>
    <w:rsid w:val="009C3914"/>
    <w:rsid w:val="009C5296"/>
    <w:rsid w:val="009C77EC"/>
    <w:rsid w:val="009C7AE1"/>
    <w:rsid w:val="009C7F6E"/>
    <w:rsid w:val="009D1EC2"/>
    <w:rsid w:val="009D2483"/>
    <w:rsid w:val="009D34CA"/>
    <w:rsid w:val="009D4B03"/>
    <w:rsid w:val="009D70FD"/>
    <w:rsid w:val="009E0DC3"/>
    <w:rsid w:val="009E2E5C"/>
    <w:rsid w:val="009E4D49"/>
    <w:rsid w:val="009F0468"/>
    <w:rsid w:val="009F116A"/>
    <w:rsid w:val="009F24D0"/>
    <w:rsid w:val="009F26F6"/>
    <w:rsid w:val="009F3604"/>
    <w:rsid w:val="009F4865"/>
    <w:rsid w:val="009F510A"/>
    <w:rsid w:val="009F6E6F"/>
    <w:rsid w:val="009F79A3"/>
    <w:rsid w:val="00A027DA"/>
    <w:rsid w:val="00A039C1"/>
    <w:rsid w:val="00A03B2B"/>
    <w:rsid w:val="00A0452F"/>
    <w:rsid w:val="00A058FE"/>
    <w:rsid w:val="00A07282"/>
    <w:rsid w:val="00A10363"/>
    <w:rsid w:val="00A13D88"/>
    <w:rsid w:val="00A15280"/>
    <w:rsid w:val="00A16EF8"/>
    <w:rsid w:val="00A20D70"/>
    <w:rsid w:val="00A21023"/>
    <w:rsid w:val="00A23398"/>
    <w:rsid w:val="00A23E29"/>
    <w:rsid w:val="00A2583E"/>
    <w:rsid w:val="00A260C5"/>
    <w:rsid w:val="00A26603"/>
    <w:rsid w:val="00A26FA5"/>
    <w:rsid w:val="00A326D3"/>
    <w:rsid w:val="00A376EC"/>
    <w:rsid w:val="00A4381F"/>
    <w:rsid w:val="00A44070"/>
    <w:rsid w:val="00A44A07"/>
    <w:rsid w:val="00A44D15"/>
    <w:rsid w:val="00A44DD8"/>
    <w:rsid w:val="00A456A8"/>
    <w:rsid w:val="00A4785D"/>
    <w:rsid w:val="00A47A55"/>
    <w:rsid w:val="00A50DC7"/>
    <w:rsid w:val="00A533FB"/>
    <w:rsid w:val="00A5375F"/>
    <w:rsid w:val="00A54609"/>
    <w:rsid w:val="00A57C82"/>
    <w:rsid w:val="00A62AB9"/>
    <w:rsid w:val="00A71984"/>
    <w:rsid w:val="00A71DEA"/>
    <w:rsid w:val="00A72C01"/>
    <w:rsid w:val="00A73C37"/>
    <w:rsid w:val="00A764FD"/>
    <w:rsid w:val="00A84829"/>
    <w:rsid w:val="00A857D9"/>
    <w:rsid w:val="00A86C79"/>
    <w:rsid w:val="00A87967"/>
    <w:rsid w:val="00A9026B"/>
    <w:rsid w:val="00A90B66"/>
    <w:rsid w:val="00A91DDF"/>
    <w:rsid w:val="00A920F2"/>
    <w:rsid w:val="00A93DE9"/>
    <w:rsid w:val="00A948C2"/>
    <w:rsid w:val="00A965EA"/>
    <w:rsid w:val="00AA222D"/>
    <w:rsid w:val="00AA2B8E"/>
    <w:rsid w:val="00AA424A"/>
    <w:rsid w:val="00AA4DAF"/>
    <w:rsid w:val="00AA6BE2"/>
    <w:rsid w:val="00AB386D"/>
    <w:rsid w:val="00AB3ECA"/>
    <w:rsid w:val="00AB640E"/>
    <w:rsid w:val="00AB772B"/>
    <w:rsid w:val="00AB7BC5"/>
    <w:rsid w:val="00AC1DB1"/>
    <w:rsid w:val="00AC364A"/>
    <w:rsid w:val="00AC407E"/>
    <w:rsid w:val="00AC47DC"/>
    <w:rsid w:val="00AC5FEE"/>
    <w:rsid w:val="00AD1F3D"/>
    <w:rsid w:val="00AD42CB"/>
    <w:rsid w:val="00AD478F"/>
    <w:rsid w:val="00AD5926"/>
    <w:rsid w:val="00AE0E10"/>
    <w:rsid w:val="00AE2389"/>
    <w:rsid w:val="00AE348F"/>
    <w:rsid w:val="00AE65F1"/>
    <w:rsid w:val="00AE7628"/>
    <w:rsid w:val="00AF411B"/>
    <w:rsid w:val="00AF4BA9"/>
    <w:rsid w:val="00AF6220"/>
    <w:rsid w:val="00AF7242"/>
    <w:rsid w:val="00AF73D9"/>
    <w:rsid w:val="00AF74C6"/>
    <w:rsid w:val="00B01645"/>
    <w:rsid w:val="00B016DB"/>
    <w:rsid w:val="00B052DD"/>
    <w:rsid w:val="00B05E05"/>
    <w:rsid w:val="00B06A01"/>
    <w:rsid w:val="00B11B3A"/>
    <w:rsid w:val="00B12BAC"/>
    <w:rsid w:val="00B13B56"/>
    <w:rsid w:val="00B1494B"/>
    <w:rsid w:val="00B14CEA"/>
    <w:rsid w:val="00B151B9"/>
    <w:rsid w:val="00B15633"/>
    <w:rsid w:val="00B1776E"/>
    <w:rsid w:val="00B17B8B"/>
    <w:rsid w:val="00B20EE3"/>
    <w:rsid w:val="00B210FB"/>
    <w:rsid w:val="00B214BA"/>
    <w:rsid w:val="00B23A7C"/>
    <w:rsid w:val="00B25D23"/>
    <w:rsid w:val="00B27682"/>
    <w:rsid w:val="00B336E4"/>
    <w:rsid w:val="00B35727"/>
    <w:rsid w:val="00B365DA"/>
    <w:rsid w:val="00B37A24"/>
    <w:rsid w:val="00B463F9"/>
    <w:rsid w:val="00B465C9"/>
    <w:rsid w:val="00B5052D"/>
    <w:rsid w:val="00B53202"/>
    <w:rsid w:val="00B5320E"/>
    <w:rsid w:val="00B542ED"/>
    <w:rsid w:val="00B56CEC"/>
    <w:rsid w:val="00B602B2"/>
    <w:rsid w:val="00B604F9"/>
    <w:rsid w:val="00B62EF4"/>
    <w:rsid w:val="00B64CFA"/>
    <w:rsid w:val="00B65E5C"/>
    <w:rsid w:val="00B66754"/>
    <w:rsid w:val="00B704FE"/>
    <w:rsid w:val="00B70CF7"/>
    <w:rsid w:val="00B76511"/>
    <w:rsid w:val="00B77450"/>
    <w:rsid w:val="00B81433"/>
    <w:rsid w:val="00B81682"/>
    <w:rsid w:val="00B84811"/>
    <w:rsid w:val="00B8510A"/>
    <w:rsid w:val="00B8551A"/>
    <w:rsid w:val="00B860A4"/>
    <w:rsid w:val="00B8681A"/>
    <w:rsid w:val="00B906DB"/>
    <w:rsid w:val="00B914E5"/>
    <w:rsid w:val="00B92163"/>
    <w:rsid w:val="00B92C58"/>
    <w:rsid w:val="00B92CE2"/>
    <w:rsid w:val="00B93754"/>
    <w:rsid w:val="00B9467A"/>
    <w:rsid w:val="00B947F8"/>
    <w:rsid w:val="00B95413"/>
    <w:rsid w:val="00BA06A3"/>
    <w:rsid w:val="00BA2E02"/>
    <w:rsid w:val="00BA44BA"/>
    <w:rsid w:val="00BA53C6"/>
    <w:rsid w:val="00BA7D34"/>
    <w:rsid w:val="00BB102C"/>
    <w:rsid w:val="00BB1905"/>
    <w:rsid w:val="00BB3677"/>
    <w:rsid w:val="00BB73F2"/>
    <w:rsid w:val="00BC406C"/>
    <w:rsid w:val="00BC42C3"/>
    <w:rsid w:val="00BC5A31"/>
    <w:rsid w:val="00BC622F"/>
    <w:rsid w:val="00BC6EC6"/>
    <w:rsid w:val="00BD0471"/>
    <w:rsid w:val="00BD0998"/>
    <w:rsid w:val="00BD10A1"/>
    <w:rsid w:val="00BD2A03"/>
    <w:rsid w:val="00BD2BBA"/>
    <w:rsid w:val="00BD2FD2"/>
    <w:rsid w:val="00BD448B"/>
    <w:rsid w:val="00BD588C"/>
    <w:rsid w:val="00BD5DAE"/>
    <w:rsid w:val="00BD5E77"/>
    <w:rsid w:val="00BD65DD"/>
    <w:rsid w:val="00BE0D1C"/>
    <w:rsid w:val="00BE0D39"/>
    <w:rsid w:val="00BF0262"/>
    <w:rsid w:val="00BF29EF"/>
    <w:rsid w:val="00BF2A44"/>
    <w:rsid w:val="00BF410E"/>
    <w:rsid w:val="00BF4A79"/>
    <w:rsid w:val="00BF4CC8"/>
    <w:rsid w:val="00BF54F5"/>
    <w:rsid w:val="00BF74F8"/>
    <w:rsid w:val="00C003D7"/>
    <w:rsid w:val="00C012D0"/>
    <w:rsid w:val="00C03975"/>
    <w:rsid w:val="00C03F40"/>
    <w:rsid w:val="00C11AEC"/>
    <w:rsid w:val="00C12C5F"/>
    <w:rsid w:val="00C1379F"/>
    <w:rsid w:val="00C13E91"/>
    <w:rsid w:val="00C13FC4"/>
    <w:rsid w:val="00C14407"/>
    <w:rsid w:val="00C1521B"/>
    <w:rsid w:val="00C1541F"/>
    <w:rsid w:val="00C166A6"/>
    <w:rsid w:val="00C166DA"/>
    <w:rsid w:val="00C17438"/>
    <w:rsid w:val="00C17DB7"/>
    <w:rsid w:val="00C20799"/>
    <w:rsid w:val="00C20B58"/>
    <w:rsid w:val="00C21FCF"/>
    <w:rsid w:val="00C236AD"/>
    <w:rsid w:val="00C23C8E"/>
    <w:rsid w:val="00C30EFE"/>
    <w:rsid w:val="00C33193"/>
    <w:rsid w:val="00C337DB"/>
    <w:rsid w:val="00C34FB7"/>
    <w:rsid w:val="00C414AF"/>
    <w:rsid w:val="00C42A47"/>
    <w:rsid w:val="00C44B34"/>
    <w:rsid w:val="00C4638C"/>
    <w:rsid w:val="00C4748F"/>
    <w:rsid w:val="00C47740"/>
    <w:rsid w:val="00C50174"/>
    <w:rsid w:val="00C50CFB"/>
    <w:rsid w:val="00C50F45"/>
    <w:rsid w:val="00C51659"/>
    <w:rsid w:val="00C529F1"/>
    <w:rsid w:val="00C54386"/>
    <w:rsid w:val="00C549FC"/>
    <w:rsid w:val="00C623EE"/>
    <w:rsid w:val="00C624CB"/>
    <w:rsid w:val="00C646FA"/>
    <w:rsid w:val="00C65F2D"/>
    <w:rsid w:val="00C67724"/>
    <w:rsid w:val="00C7250E"/>
    <w:rsid w:val="00C81EE7"/>
    <w:rsid w:val="00C8217B"/>
    <w:rsid w:val="00C8586A"/>
    <w:rsid w:val="00C85FED"/>
    <w:rsid w:val="00C90029"/>
    <w:rsid w:val="00C924DE"/>
    <w:rsid w:val="00C9320E"/>
    <w:rsid w:val="00C961A8"/>
    <w:rsid w:val="00C96579"/>
    <w:rsid w:val="00C9755F"/>
    <w:rsid w:val="00C97B7C"/>
    <w:rsid w:val="00CA0018"/>
    <w:rsid w:val="00CB0456"/>
    <w:rsid w:val="00CB0FB8"/>
    <w:rsid w:val="00CB1779"/>
    <w:rsid w:val="00CB3D42"/>
    <w:rsid w:val="00CB545B"/>
    <w:rsid w:val="00CB5C8B"/>
    <w:rsid w:val="00CB649C"/>
    <w:rsid w:val="00CB72D8"/>
    <w:rsid w:val="00CB7ADD"/>
    <w:rsid w:val="00CB7EA0"/>
    <w:rsid w:val="00CC08BF"/>
    <w:rsid w:val="00CC1E20"/>
    <w:rsid w:val="00CC2427"/>
    <w:rsid w:val="00CC40D8"/>
    <w:rsid w:val="00CD0639"/>
    <w:rsid w:val="00CD0894"/>
    <w:rsid w:val="00CD17F7"/>
    <w:rsid w:val="00CD1BCF"/>
    <w:rsid w:val="00CD5A7B"/>
    <w:rsid w:val="00CD7905"/>
    <w:rsid w:val="00CD7EA3"/>
    <w:rsid w:val="00CE0CE8"/>
    <w:rsid w:val="00CE4CED"/>
    <w:rsid w:val="00CF0E8A"/>
    <w:rsid w:val="00CF15DB"/>
    <w:rsid w:val="00CF1810"/>
    <w:rsid w:val="00CF1D96"/>
    <w:rsid w:val="00CF337A"/>
    <w:rsid w:val="00CF4055"/>
    <w:rsid w:val="00CF7522"/>
    <w:rsid w:val="00D00AF4"/>
    <w:rsid w:val="00D02651"/>
    <w:rsid w:val="00D02FBD"/>
    <w:rsid w:val="00D03361"/>
    <w:rsid w:val="00D07340"/>
    <w:rsid w:val="00D11253"/>
    <w:rsid w:val="00D12226"/>
    <w:rsid w:val="00D12737"/>
    <w:rsid w:val="00D1504A"/>
    <w:rsid w:val="00D16D7B"/>
    <w:rsid w:val="00D20A8B"/>
    <w:rsid w:val="00D21A61"/>
    <w:rsid w:val="00D21BAB"/>
    <w:rsid w:val="00D21EAB"/>
    <w:rsid w:val="00D232C0"/>
    <w:rsid w:val="00D23E13"/>
    <w:rsid w:val="00D300C8"/>
    <w:rsid w:val="00D3219E"/>
    <w:rsid w:val="00D33592"/>
    <w:rsid w:val="00D3435A"/>
    <w:rsid w:val="00D353E9"/>
    <w:rsid w:val="00D35A9B"/>
    <w:rsid w:val="00D37FEC"/>
    <w:rsid w:val="00D402C5"/>
    <w:rsid w:val="00D41337"/>
    <w:rsid w:val="00D4335C"/>
    <w:rsid w:val="00D445C3"/>
    <w:rsid w:val="00D477B7"/>
    <w:rsid w:val="00D52090"/>
    <w:rsid w:val="00D54E8B"/>
    <w:rsid w:val="00D553BE"/>
    <w:rsid w:val="00D617D1"/>
    <w:rsid w:val="00D642EC"/>
    <w:rsid w:val="00D748DB"/>
    <w:rsid w:val="00D806A4"/>
    <w:rsid w:val="00D82565"/>
    <w:rsid w:val="00D830D3"/>
    <w:rsid w:val="00D864E0"/>
    <w:rsid w:val="00D8784C"/>
    <w:rsid w:val="00D87BB6"/>
    <w:rsid w:val="00D93524"/>
    <w:rsid w:val="00D93CEE"/>
    <w:rsid w:val="00DA1167"/>
    <w:rsid w:val="00DA2C7D"/>
    <w:rsid w:val="00DA47E2"/>
    <w:rsid w:val="00DA6748"/>
    <w:rsid w:val="00DA696A"/>
    <w:rsid w:val="00DA6A04"/>
    <w:rsid w:val="00DA6B94"/>
    <w:rsid w:val="00DA6F48"/>
    <w:rsid w:val="00DB21E3"/>
    <w:rsid w:val="00DB6BAC"/>
    <w:rsid w:val="00DC2B77"/>
    <w:rsid w:val="00DC4C21"/>
    <w:rsid w:val="00DD0B90"/>
    <w:rsid w:val="00DD15F3"/>
    <w:rsid w:val="00DD519E"/>
    <w:rsid w:val="00DD57EF"/>
    <w:rsid w:val="00DD5BAE"/>
    <w:rsid w:val="00DE346E"/>
    <w:rsid w:val="00DE4B11"/>
    <w:rsid w:val="00DE5704"/>
    <w:rsid w:val="00DE7690"/>
    <w:rsid w:val="00DE7D87"/>
    <w:rsid w:val="00DF4CFE"/>
    <w:rsid w:val="00E00522"/>
    <w:rsid w:val="00E01254"/>
    <w:rsid w:val="00E02D07"/>
    <w:rsid w:val="00E06704"/>
    <w:rsid w:val="00E07F60"/>
    <w:rsid w:val="00E10544"/>
    <w:rsid w:val="00E1283C"/>
    <w:rsid w:val="00E13D9E"/>
    <w:rsid w:val="00E17F9F"/>
    <w:rsid w:val="00E20C49"/>
    <w:rsid w:val="00E23595"/>
    <w:rsid w:val="00E23781"/>
    <w:rsid w:val="00E25C1C"/>
    <w:rsid w:val="00E26E84"/>
    <w:rsid w:val="00E27EBB"/>
    <w:rsid w:val="00E27F0F"/>
    <w:rsid w:val="00E303B1"/>
    <w:rsid w:val="00E31054"/>
    <w:rsid w:val="00E31800"/>
    <w:rsid w:val="00E3268A"/>
    <w:rsid w:val="00E334E9"/>
    <w:rsid w:val="00E339FD"/>
    <w:rsid w:val="00E375C3"/>
    <w:rsid w:val="00E423BB"/>
    <w:rsid w:val="00E42DE4"/>
    <w:rsid w:val="00E43DAA"/>
    <w:rsid w:val="00E4412A"/>
    <w:rsid w:val="00E44F55"/>
    <w:rsid w:val="00E50FFD"/>
    <w:rsid w:val="00E511D0"/>
    <w:rsid w:val="00E5313E"/>
    <w:rsid w:val="00E5568F"/>
    <w:rsid w:val="00E60083"/>
    <w:rsid w:val="00E62CD1"/>
    <w:rsid w:val="00E64F2F"/>
    <w:rsid w:val="00E672A0"/>
    <w:rsid w:val="00E7008F"/>
    <w:rsid w:val="00E70253"/>
    <w:rsid w:val="00E7539E"/>
    <w:rsid w:val="00E7578B"/>
    <w:rsid w:val="00E77A2C"/>
    <w:rsid w:val="00E873BB"/>
    <w:rsid w:val="00E914FF"/>
    <w:rsid w:val="00E9200F"/>
    <w:rsid w:val="00E93BC2"/>
    <w:rsid w:val="00E95AAA"/>
    <w:rsid w:val="00E96CD6"/>
    <w:rsid w:val="00E97366"/>
    <w:rsid w:val="00E979E2"/>
    <w:rsid w:val="00EA16B6"/>
    <w:rsid w:val="00EA63CC"/>
    <w:rsid w:val="00EB0316"/>
    <w:rsid w:val="00EB0A2A"/>
    <w:rsid w:val="00EB631E"/>
    <w:rsid w:val="00EC388A"/>
    <w:rsid w:val="00EC4EDA"/>
    <w:rsid w:val="00ED0289"/>
    <w:rsid w:val="00ED02FE"/>
    <w:rsid w:val="00ED17AF"/>
    <w:rsid w:val="00ED264A"/>
    <w:rsid w:val="00ED5993"/>
    <w:rsid w:val="00EE553D"/>
    <w:rsid w:val="00EE55D8"/>
    <w:rsid w:val="00EF0C42"/>
    <w:rsid w:val="00EF327C"/>
    <w:rsid w:val="00EF726B"/>
    <w:rsid w:val="00F006EE"/>
    <w:rsid w:val="00F01B77"/>
    <w:rsid w:val="00F021D9"/>
    <w:rsid w:val="00F02363"/>
    <w:rsid w:val="00F0344F"/>
    <w:rsid w:val="00F05485"/>
    <w:rsid w:val="00F12CBC"/>
    <w:rsid w:val="00F151D4"/>
    <w:rsid w:val="00F16CCF"/>
    <w:rsid w:val="00F17101"/>
    <w:rsid w:val="00F20B90"/>
    <w:rsid w:val="00F22DF3"/>
    <w:rsid w:val="00F23D08"/>
    <w:rsid w:val="00F25422"/>
    <w:rsid w:val="00F2553E"/>
    <w:rsid w:val="00F275AB"/>
    <w:rsid w:val="00F31C3D"/>
    <w:rsid w:val="00F3478F"/>
    <w:rsid w:val="00F34BF7"/>
    <w:rsid w:val="00F40A99"/>
    <w:rsid w:val="00F432FB"/>
    <w:rsid w:val="00F437AB"/>
    <w:rsid w:val="00F46588"/>
    <w:rsid w:val="00F47498"/>
    <w:rsid w:val="00F4757C"/>
    <w:rsid w:val="00F50536"/>
    <w:rsid w:val="00F5216C"/>
    <w:rsid w:val="00F53976"/>
    <w:rsid w:val="00F54A46"/>
    <w:rsid w:val="00F563E1"/>
    <w:rsid w:val="00F576FD"/>
    <w:rsid w:val="00F57A21"/>
    <w:rsid w:val="00F600EF"/>
    <w:rsid w:val="00F60806"/>
    <w:rsid w:val="00F60AB1"/>
    <w:rsid w:val="00F60E28"/>
    <w:rsid w:val="00F61C12"/>
    <w:rsid w:val="00F61FDD"/>
    <w:rsid w:val="00F6281A"/>
    <w:rsid w:val="00F63640"/>
    <w:rsid w:val="00F637B0"/>
    <w:rsid w:val="00F637FC"/>
    <w:rsid w:val="00F647F8"/>
    <w:rsid w:val="00F70018"/>
    <w:rsid w:val="00F70E3F"/>
    <w:rsid w:val="00F73066"/>
    <w:rsid w:val="00F76108"/>
    <w:rsid w:val="00F7697F"/>
    <w:rsid w:val="00F76C2E"/>
    <w:rsid w:val="00F77C91"/>
    <w:rsid w:val="00F801DE"/>
    <w:rsid w:val="00F84361"/>
    <w:rsid w:val="00F86C0E"/>
    <w:rsid w:val="00F87649"/>
    <w:rsid w:val="00F9082A"/>
    <w:rsid w:val="00F90A84"/>
    <w:rsid w:val="00F9164D"/>
    <w:rsid w:val="00F93A8E"/>
    <w:rsid w:val="00F93CD9"/>
    <w:rsid w:val="00F94554"/>
    <w:rsid w:val="00F963C0"/>
    <w:rsid w:val="00F973E9"/>
    <w:rsid w:val="00FA15EF"/>
    <w:rsid w:val="00FA49D5"/>
    <w:rsid w:val="00FA4CD1"/>
    <w:rsid w:val="00FA6247"/>
    <w:rsid w:val="00FA7503"/>
    <w:rsid w:val="00FB0C06"/>
    <w:rsid w:val="00FB4769"/>
    <w:rsid w:val="00FB5296"/>
    <w:rsid w:val="00FB616F"/>
    <w:rsid w:val="00FB63ED"/>
    <w:rsid w:val="00FC07ED"/>
    <w:rsid w:val="00FC39C3"/>
    <w:rsid w:val="00FC4A73"/>
    <w:rsid w:val="00FC6DD3"/>
    <w:rsid w:val="00FD2827"/>
    <w:rsid w:val="00FD2E5C"/>
    <w:rsid w:val="00FD43F2"/>
    <w:rsid w:val="00FD4DE8"/>
    <w:rsid w:val="00FD7D05"/>
    <w:rsid w:val="00FE2B2B"/>
    <w:rsid w:val="00FE4D80"/>
    <w:rsid w:val="00FF01E1"/>
    <w:rsid w:val="00FF3366"/>
    <w:rsid w:val="00FF3599"/>
    <w:rsid w:val="00FF5837"/>
    <w:rsid w:val="00FF5B35"/>
    <w:rsid w:val="00FF710F"/>
    <w:rsid w:val="00FF73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4577"/>
    <o:shapelayout v:ext="edit">
      <o:idmap v:ext="edit" data="1"/>
    </o:shapelayout>
  </w:shapeDefaults>
  <w:decimalSymbol w:val="."/>
  <w:listSeparator w:val=","/>
  <w14:docId w14:val="611227B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75FB"/>
    <w:pPr>
      <w:spacing w:after="0" w:line="240" w:lineRule="auto"/>
      <w:jc w:val="both"/>
    </w:pPr>
    <w:rPr>
      <w:rFonts w:ascii="Times New Roman" w:eastAsia="MS Mincho" w:hAnsi="Times New Roman" w:cs="Times New Roman"/>
      <w:sz w:val="24"/>
      <w:szCs w:val="20"/>
      <w:lang w:eastAsia="ja-JP"/>
    </w:rPr>
  </w:style>
  <w:style w:type="paragraph" w:styleId="Heading1">
    <w:name w:val="heading 1"/>
    <w:basedOn w:val="Normal"/>
    <w:link w:val="Heading1Char"/>
    <w:uiPriority w:val="9"/>
    <w:qFormat/>
    <w:rsid w:val="00FF73DA"/>
    <w:pPr>
      <w:spacing w:before="100" w:beforeAutospacing="1" w:after="100" w:afterAutospacing="1"/>
      <w:jc w:val="left"/>
      <w:outlineLvl w:val="0"/>
    </w:pPr>
    <w:rPr>
      <w:rFonts w:eastAsia="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en1">
    <w:name w:val="Ben 1"/>
    <w:basedOn w:val="Normal"/>
    <w:link w:val="Ben1Char"/>
    <w:qFormat/>
    <w:rsid w:val="00855DC5"/>
    <w:pPr>
      <w:spacing w:line="520" w:lineRule="exact"/>
      <w:ind w:firstLine="720"/>
    </w:pPr>
    <w:rPr>
      <w:rFonts w:eastAsia="Times New Roman"/>
      <w:color w:val="000000" w:themeColor="text1"/>
      <w:lang w:eastAsia="en-US"/>
    </w:rPr>
  </w:style>
  <w:style w:type="character" w:customStyle="1" w:styleId="Ben1Char">
    <w:name w:val="Ben 1 Char"/>
    <w:basedOn w:val="DefaultParagraphFont"/>
    <w:link w:val="Ben1"/>
    <w:rsid w:val="00855DC5"/>
    <w:rPr>
      <w:rFonts w:ascii="Times New Roman" w:eastAsia="Times New Roman" w:hAnsi="Times New Roman" w:cs="Times New Roman"/>
      <w:color w:val="000000" w:themeColor="text1"/>
      <w:sz w:val="24"/>
      <w:szCs w:val="20"/>
    </w:rPr>
  </w:style>
  <w:style w:type="paragraph" w:customStyle="1" w:styleId="Ben2">
    <w:name w:val="Ben 2"/>
    <w:basedOn w:val="Normal"/>
    <w:next w:val="Ben1"/>
    <w:link w:val="Ben2Char"/>
    <w:qFormat/>
    <w:rsid w:val="003B007B"/>
    <w:pPr>
      <w:ind w:left="720"/>
    </w:pPr>
    <w:rPr>
      <w:rFonts w:eastAsiaTheme="minorHAnsi" w:cstheme="minorBidi"/>
      <w:szCs w:val="22"/>
      <w:lang w:eastAsia="en-US"/>
    </w:rPr>
  </w:style>
  <w:style w:type="character" w:customStyle="1" w:styleId="Ben2Char">
    <w:name w:val="Ben 2 Char"/>
    <w:basedOn w:val="DefaultParagraphFont"/>
    <w:link w:val="Ben2"/>
    <w:rsid w:val="003B007B"/>
    <w:rPr>
      <w:rFonts w:ascii="Times New Roman" w:hAnsi="Times New Roman"/>
      <w:sz w:val="24"/>
    </w:rPr>
  </w:style>
  <w:style w:type="paragraph" w:customStyle="1" w:styleId="Ben3">
    <w:name w:val="Ben 3"/>
    <w:basedOn w:val="Ben1"/>
    <w:link w:val="Ben3Char"/>
    <w:qFormat/>
    <w:rsid w:val="003B007B"/>
    <w:pPr>
      <w:ind w:firstLine="0"/>
    </w:pPr>
  </w:style>
  <w:style w:type="character" w:customStyle="1" w:styleId="Ben3Char">
    <w:name w:val="Ben 3 Char"/>
    <w:basedOn w:val="Ben1Char"/>
    <w:link w:val="Ben3"/>
    <w:rsid w:val="003B007B"/>
    <w:rPr>
      <w:rFonts w:ascii="Times New Roman" w:eastAsia="Times New Roman" w:hAnsi="Times New Roman" w:cs="Times New Roman"/>
      <w:color w:val="000000" w:themeColor="text1"/>
      <w:sz w:val="24"/>
      <w:szCs w:val="20"/>
    </w:rPr>
  </w:style>
  <w:style w:type="paragraph" w:styleId="FootnoteText">
    <w:name w:val="footnote text"/>
    <w:basedOn w:val="Normal"/>
    <w:link w:val="FootnoteTextChar"/>
    <w:qFormat/>
    <w:rsid w:val="006375FB"/>
    <w:pPr>
      <w:jc w:val="left"/>
    </w:pPr>
    <w:rPr>
      <w:sz w:val="20"/>
    </w:rPr>
  </w:style>
  <w:style w:type="character" w:customStyle="1" w:styleId="FootnoteTextChar">
    <w:name w:val="Footnote Text Char"/>
    <w:basedOn w:val="DefaultParagraphFont"/>
    <w:link w:val="FootnoteText"/>
    <w:rsid w:val="006375FB"/>
    <w:rPr>
      <w:rFonts w:ascii="Times New Roman" w:eastAsia="MS Mincho" w:hAnsi="Times New Roman" w:cs="Times New Roman"/>
      <w:sz w:val="20"/>
      <w:szCs w:val="20"/>
      <w:lang w:eastAsia="ja-JP"/>
    </w:rPr>
  </w:style>
  <w:style w:type="paragraph" w:styleId="BodyTextIndent">
    <w:name w:val="Body Text Indent"/>
    <w:basedOn w:val="Normal"/>
    <w:link w:val="BodyTextIndentChar"/>
    <w:rsid w:val="006375FB"/>
    <w:pPr>
      <w:spacing w:line="520" w:lineRule="exact"/>
      <w:ind w:firstLine="720"/>
    </w:pPr>
    <w:rPr>
      <w:snapToGrid w:val="0"/>
      <w:szCs w:val="24"/>
    </w:rPr>
  </w:style>
  <w:style w:type="character" w:customStyle="1" w:styleId="BodyTextIndentChar">
    <w:name w:val="Body Text Indent Char"/>
    <w:basedOn w:val="DefaultParagraphFont"/>
    <w:link w:val="BodyTextIndent"/>
    <w:rsid w:val="006375FB"/>
    <w:rPr>
      <w:rFonts w:ascii="Times New Roman" w:eastAsia="MS Mincho" w:hAnsi="Times New Roman" w:cs="Times New Roman"/>
      <w:snapToGrid w:val="0"/>
      <w:sz w:val="24"/>
      <w:szCs w:val="24"/>
      <w:lang w:eastAsia="ja-JP"/>
    </w:rPr>
  </w:style>
  <w:style w:type="character" w:styleId="FootnoteReference">
    <w:name w:val="footnote reference"/>
    <w:basedOn w:val="DefaultParagraphFont"/>
    <w:rsid w:val="006375FB"/>
    <w:rPr>
      <w:vertAlign w:val="superscript"/>
    </w:rPr>
  </w:style>
  <w:style w:type="paragraph" w:styleId="Header">
    <w:name w:val="header"/>
    <w:basedOn w:val="Normal"/>
    <w:link w:val="HeaderChar"/>
    <w:uiPriority w:val="99"/>
    <w:rsid w:val="006375FB"/>
    <w:pPr>
      <w:tabs>
        <w:tab w:val="center" w:pos="4320"/>
        <w:tab w:val="right" w:pos="8640"/>
      </w:tabs>
      <w:spacing w:line="520" w:lineRule="exact"/>
      <w:ind w:firstLine="720"/>
    </w:pPr>
  </w:style>
  <w:style w:type="character" w:customStyle="1" w:styleId="HeaderChar">
    <w:name w:val="Header Char"/>
    <w:basedOn w:val="DefaultParagraphFont"/>
    <w:link w:val="Header"/>
    <w:uiPriority w:val="99"/>
    <w:rsid w:val="006375FB"/>
    <w:rPr>
      <w:rFonts w:ascii="Times New Roman" w:eastAsia="MS Mincho" w:hAnsi="Times New Roman" w:cs="Times New Roman"/>
      <w:sz w:val="24"/>
      <w:szCs w:val="20"/>
      <w:lang w:eastAsia="ja-JP"/>
    </w:rPr>
  </w:style>
  <w:style w:type="character" w:customStyle="1" w:styleId="a-size-large">
    <w:name w:val="a-size-large"/>
    <w:basedOn w:val="DefaultParagraphFont"/>
    <w:rsid w:val="006375FB"/>
  </w:style>
  <w:style w:type="character" w:customStyle="1" w:styleId="fn">
    <w:name w:val="fn"/>
    <w:basedOn w:val="DefaultParagraphFont"/>
    <w:rsid w:val="006375FB"/>
  </w:style>
  <w:style w:type="character" w:customStyle="1" w:styleId="Subtitle1">
    <w:name w:val="Subtitle1"/>
    <w:basedOn w:val="DefaultParagraphFont"/>
    <w:rsid w:val="006375FB"/>
  </w:style>
  <w:style w:type="paragraph" w:customStyle="1" w:styleId="legtext1">
    <w:name w:val="legtext1"/>
    <w:basedOn w:val="Normal"/>
    <w:rsid w:val="00E979E2"/>
    <w:pPr>
      <w:shd w:val="clear" w:color="auto" w:fill="FFFFFF"/>
      <w:spacing w:after="120" w:line="360" w:lineRule="atLeast"/>
      <w:ind w:left="1224"/>
    </w:pPr>
    <w:rPr>
      <w:rFonts w:eastAsia="Times New Roman"/>
      <w:color w:val="000000"/>
      <w:sz w:val="19"/>
      <w:szCs w:val="19"/>
      <w:lang w:eastAsia="en-GB"/>
    </w:rPr>
  </w:style>
  <w:style w:type="character" w:customStyle="1" w:styleId="legds2">
    <w:name w:val="legds2"/>
    <w:basedOn w:val="DefaultParagraphFont"/>
    <w:rsid w:val="00E979E2"/>
    <w:rPr>
      <w:vanish w:val="0"/>
      <w:webHidden w:val="0"/>
      <w:specVanish w:val="0"/>
    </w:rPr>
  </w:style>
  <w:style w:type="character" w:customStyle="1" w:styleId="legextentrestriction7">
    <w:name w:val="legextentrestriction7"/>
    <w:basedOn w:val="DefaultParagraphFont"/>
    <w:rsid w:val="00E979E2"/>
    <w:rPr>
      <w:b/>
      <w:bCs/>
      <w:i w:val="0"/>
      <w:iCs w:val="0"/>
      <w:vanish/>
      <w:webHidden w:val="0"/>
      <w:color w:val="FFFFFF"/>
      <w:sz w:val="22"/>
      <w:szCs w:val="22"/>
      <w:shd w:val="clear" w:color="auto" w:fill="660066"/>
      <w:specVanish w:val="0"/>
    </w:rPr>
  </w:style>
  <w:style w:type="character" w:customStyle="1" w:styleId="placename">
    <w:name w:val="placename"/>
    <w:basedOn w:val="DefaultParagraphFont"/>
    <w:rsid w:val="002C1957"/>
  </w:style>
  <w:style w:type="character" w:styleId="Strong">
    <w:name w:val="Strong"/>
    <w:basedOn w:val="DefaultParagraphFont"/>
    <w:uiPriority w:val="22"/>
    <w:qFormat/>
    <w:rsid w:val="001018D9"/>
    <w:rPr>
      <w:b/>
      <w:bCs/>
    </w:rPr>
  </w:style>
  <w:style w:type="paragraph" w:styleId="BodyText">
    <w:name w:val="Body Text"/>
    <w:basedOn w:val="Normal"/>
    <w:link w:val="BodyTextChar"/>
    <w:rsid w:val="00A20D70"/>
    <w:pPr>
      <w:spacing w:after="120"/>
      <w:jc w:val="left"/>
    </w:pPr>
    <w:rPr>
      <w:rFonts w:ascii="Times" w:eastAsia="Times New Roman" w:hAnsi="Times"/>
      <w:lang w:eastAsia="en-US"/>
    </w:rPr>
  </w:style>
  <w:style w:type="character" w:customStyle="1" w:styleId="BodyTextChar">
    <w:name w:val="Body Text Char"/>
    <w:basedOn w:val="DefaultParagraphFont"/>
    <w:link w:val="BodyText"/>
    <w:rsid w:val="00A20D70"/>
    <w:rPr>
      <w:rFonts w:ascii="Times" w:eastAsia="Times New Roman" w:hAnsi="Times" w:cs="Times New Roman"/>
      <w:sz w:val="24"/>
      <w:szCs w:val="20"/>
    </w:rPr>
  </w:style>
  <w:style w:type="paragraph" w:styleId="BodyTextIndent2">
    <w:name w:val="Body Text Indent 2"/>
    <w:basedOn w:val="Normal"/>
    <w:link w:val="BodyTextIndent2Char"/>
    <w:uiPriority w:val="99"/>
    <w:semiHidden/>
    <w:unhideWhenUsed/>
    <w:rsid w:val="00780362"/>
    <w:pPr>
      <w:spacing w:after="120" w:line="480" w:lineRule="auto"/>
      <w:ind w:left="283"/>
    </w:pPr>
  </w:style>
  <w:style w:type="character" w:customStyle="1" w:styleId="BodyTextIndent2Char">
    <w:name w:val="Body Text Indent 2 Char"/>
    <w:basedOn w:val="DefaultParagraphFont"/>
    <w:link w:val="BodyTextIndent2"/>
    <w:uiPriority w:val="99"/>
    <w:semiHidden/>
    <w:rsid w:val="00780362"/>
    <w:rPr>
      <w:rFonts w:ascii="Times New Roman" w:eastAsia="MS Mincho" w:hAnsi="Times New Roman" w:cs="Times New Roman"/>
      <w:sz w:val="24"/>
      <w:szCs w:val="20"/>
      <w:lang w:eastAsia="ja-JP"/>
    </w:rPr>
  </w:style>
  <w:style w:type="character" w:customStyle="1" w:styleId="headword">
    <w:name w:val="headword"/>
    <w:basedOn w:val="DefaultParagraphFont"/>
    <w:rsid w:val="00780362"/>
  </w:style>
  <w:style w:type="character" w:customStyle="1" w:styleId="roman">
    <w:name w:val="roman"/>
    <w:basedOn w:val="DefaultParagraphFont"/>
    <w:rsid w:val="00780362"/>
  </w:style>
  <w:style w:type="character" w:customStyle="1" w:styleId="FootnoteTextChar2">
    <w:name w:val="Footnote Text Char2"/>
    <w:basedOn w:val="DefaultParagraphFont"/>
    <w:rsid w:val="008B1A1A"/>
    <w:rPr>
      <w:lang w:val="en-GB" w:eastAsia="en-US" w:bidi="ar-SA"/>
    </w:rPr>
  </w:style>
  <w:style w:type="character" w:styleId="HTMLCite">
    <w:name w:val="HTML Cite"/>
    <w:basedOn w:val="DefaultParagraphFont"/>
    <w:uiPriority w:val="99"/>
    <w:semiHidden/>
    <w:unhideWhenUsed/>
    <w:rsid w:val="00C624CB"/>
    <w:rPr>
      <w:i/>
      <w:iCs/>
    </w:rPr>
  </w:style>
  <w:style w:type="character" w:customStyle="1" w:styleId="highlight">
    <w:name w:val="highlight"/>
    <w:basedOn w:val="DefaultParagraphFont"/>
    <w:rsid w:val="008F4969"/>
  </w:style>
  <w:style w:type="character" w:customStyle="1" w:styleId="Heading1Char">
    <w:name w:val="Heading 1 Char"/>
    <w:basedOn w:val="DefaultParagraphFont"/>
    <w:link w:val="Heading1"/>
    <w:uiPriority w:val="9"/>
    <w:rsid w:val="00FF73DA"/>
    <w:rPr>
      <w:rFonts w:ascii="Times New Roman" w:eastAsia="Times New Roman" w:hAnsi="Times New Roman" w:cs="Times New Roman"/>
      <w:b/>
      <w:bCs/>
      <w:kern w:val="36"/>
      <w:sz w:val="48"/>
      <w:szCs w:val="48"/>
      <w:lang w:eastAsia="en-GB"/>
    </w:rPr>
  </w:style>
  <w:style w:type="paragraph" w:styleId="Footer">
    <w:name w:val="footer"/>
    <w:basedOn w:val="Normal"/>
    <w:link w:val="FooterChar"/>
    <w:uiPriority w:val="99"/>
    <w:unhideWhenUsed/>
    <w:rsid w:val="004B6ADF"/>
    <w:pPr>
      <w:tabs>
        <w:tab w:val="center" w:pos="4513"/>
        <w:tab w:val="right" w:pos="9026"/>
      </w:tabs>
    </w:pPr>
  </w:style>
  <w:style w:type="character" w:customStyle="1" w:styleId="FooterChar">
    <w:name w:val="Footer Char"/>
    <w:basedOn w:val="DefaultParagraphFont"/>
    <w:link w:val="Footer"/>
    <w:uiPriority w:val="99"/>
    <w:rsid w:val="004B6ADF"/>
    <w:rPr>
      <w:rFonts w:ascii="Times New Roman" w:eastAsia="MS Mincho" w:hAnsi="Times New Roman" w:cs="Times New Roman"/>
      <w:sz w:val="24"/>
      <w:szCs w:val="20"/>
      <w:lang w:eastAsia="ja-JP"/>
    </w:rPr>
  </w:style>
  <w:style w:type="character" w:customStyle="1" w:styleId="occ">
    <w:name w:val="occ"/>
    <w:basedOn w:val="DefaultParagraphFont"/>
    <w:rsid w:val="00F16CCF"/>
  </w:style>
  <w:style w:type="character" w:customStyle="1" w:styleId="st">
    <w:name w:val="st"/>
    <w:basedOn w:val="DefaultParagraphFont"/>
    <w:rsid w:val="00825777"/>
  </w:style>
  <w:style w:type="character" w:styleId="CommentReference">
    <w:name w:val="annotation reference"/>
    <w:basedOn w:val="DefaultParagraphFont"/>
    <w:uiPriority w:val="99"/>
    <w:semiHidden/>
    <w:unhideWhenUsed/>
    <w:rsid w:val="0024264D"/>
    <w:rPr>
      <w:sz w:val="16"/>
      <w:szCs w:val="16"/>
    </w:rPr>
  </w:style>
  <w:style w:type="paragraph" w:styleId="CommentText">
    <w:name w:val="annotation text"/>
    <w:basedOn w:val="Normal"/>
    <w:link w:val="CommentTextChar"/>
    <w:uiPriority w:val="99"/>
    <w:semiHidden/>
    <w:unhideWhenUsed/>
    <w:rsid w:val="0024264D"/>
    <w:rPr>
      <w:sz w:val="20"/>
    </w:rPr>
  </w:style>
  <w:style w:type="character" w:customStyle="1" w:styleId="CommentTextChar">
    <w:name w:val="Comment Text Char"/>
    <w:basedOn w:val="DefaultParagraphFont"/>
    <w:link w:val="CommentText"/>
    <w:uiPriority w:val="99"/>
    <w:semiHidden/>
    <w:rsid w:val="0024264D"/>
    <w:rPr>
      <w:rFonts w:ascii="Times New Roman" w:eastAsia="MS Mincho" w:hAnsi="Times New Roman" w:cs="Times New Roman"/>
      <w:sz w:val="20"/>
      <w:szCs w:val="20"/>
      <w:lang w:eastAsia="ja-JP"/>
    </w:rPr>
  </w:style>
  <w:style w:type="paragraph" w:styleId="CommentSubject">
    <w:name w:val="annotation subject"/>
    <w:basedOn w:val="CommentText"/>
    <w:next w:val="CommentText"/>
    <w:link w:val="CommentSubjectChar"/>
    <w:uiPriority w:val="99"/>
    <w:semiHidden/>
    <w:unhideWhenUsed/>
    <w:rsid w:val="0024264D"/>
    <w:rPr>
      <w:b/>
      <w:bCs/>
    </w:rPr>
  </w:style>
  <w:style w:type="character" w:customStyle="1" w:styleId="CommentSubjectChar">
    <w:name w:val="Comment Subject Char"/>
    <w:basedOn w:val="CommentTextChar"/>
    <w:link w:val="CommentSubject"/>
    <w:uiPriority w:val="99"/>
    <w:semiHidden/>
    <w:rsid w:val="0024264D"/>
    <w:rPr>
      <w:rFonts w:ascii="Times New Roman" w:eastAsia="MS Mincho" w:hAnsi="Times New Roman" w:cs="Times New Roman"/>
      <w:b/>
      <w:bCs/>
      <w:sz w:val="20"/>
      <w:szCs w:val="20"/>
      <w:lang w:eastAsia="ja-JP"/>
    </w:rPr>
  </w:style>
  <w:style w:type="paragraph" w:styleId="BalloonText">
    <w:name w:val="Balloon Text"/>
    <w:basedOn w:val="Normal"/>
    <w:link w:val="BalloonTextChar"/>
    <w:uiPriority w:val="99"/>
    <w:semiHidden/>
    <w:unhideWhenUsed/>
    <w:rsid w:val="002426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264D"/>
    <w:rPr>
      <w:rFonts w:ascii="Segoe UI" w:eastAsia="MS Mincho" w:hAnsi="Segoe UI" w:cs="Segoe UI"/>
      <w:sz w:val="18"/>
      <w:szCs w:val="18"/>
      <w:lang w:eastAsia="ja-JP"/>
    </w:rPr>
  </w:style>
  <w:style w:type="paragraph" w:customStyle="1" w:styleId="Default">
    <w:name w:val="Default"/>
    <w:rsid w:val="00C97B7C"/>
    <w:pPr>
      <w:autoSpaceDE w:val="0"/>
      <w:autoSpaceDN w:val="0"/>
      <w:adjustRightInd w:val="0"/>
      <w:spacing w:after="0" w:line="240" w:lineRule="auto"/>
    </w:pPr>
    <w:rPr>
      <w:rFonts w:ascii="Code" w:hAnsi="Code" w:cs="Code"/>
      <w:color w:val="000000"/>
      <w:sz w:val="24"/>
      <w:szCs w:val="24"/>
    </w:rPr>
  </w:style>
  <w:style w:type="paragraph" w:styleId="HTMLPreformatted">
    <w:name w:val="HTML Preformatted"/>
    <w:basedOn w:val="Normal"/>
    <w:link w:val="HTMLPreformattedChar"/>
    <w:uiPriority w:val="99"/>
    <w:semiHidden/>
    <w:unhideWhenUsed/>
    <w:rsid w:val="00D806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lang w:eastAsia="en-GB"/>
    </w:rPr>
  </w:style>
  <w:style w:type="character" w:customStyle="1" w:styleId="HTMLPreformattedChar">
    <w:name w:val="HTML Preformatted Char"/>
    <w:basedOn w:val="DefaultParagraphFont"/>
    <w:link w:val="HTMLPreformatted"/>
    <w:uiPriority w:val="99"/>
    <w:semiHidden/>
    <w:rsid w:val="00D806A4"/>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019384">
      <w:bodyDiv w:val="1"/>
      <w:marLeft w:val="0"/>
      <w:marRight w:val="0"/>
      <w:marTop w:val="0"/>
      <w:marBottom w:val="0"/>
      <w:divBdr>
        <w:top w:val="none" w:sz="0" w:space="0" w:color="auto"/>
        <w:left w:val="none" w:sz="0" w:space="0" w:color="auto"/>
        <w:bottom w:val="none" w:sz="0" w:space="0" w:color="auto"/>
        <w:right w:val="none" w:sz="0" w:space="0" w:color="auto"/>
      </w:divBdr>
    </w:div>
    <w:div w:id="686520020">
      <w:bodyDiv w:val="1"/>
      <w:marLeft w:val="0"/>
      <w:marRight w:val="0"/>
      <w:marTop w:val="0"/>
      <w:marBottom w:val="0"/>
      <w:divBdr>
        <w:top w:val="none" w:sz="0" w:space="0" w:color="auto"/>
        <w:left w:val="none" w:sz="0" w:space="0" w:color="auto"/>
        <w:bottom w:val="none" w:sz="0" w:space="0" w:color="auto"/>
        <w:right w:val="none" w:sz="0" w:space="0" w:color="auto"/>
      </w:divBdr>
    </w:div>
    <w:div w:id="899096532">
      <w:bodyDiv w:val="1"/>
      <w:marLeft w:val="0"/>
      <w:marRight w:val="0"/>
      <w:marTop w:val="0"/>
      <w:marBottom w:val="0"/>
      <w:divBdr>
        <w:top w:val="none" w:sz="0" w:space="0" w:color="auto"/>
        <w:left w:val="none" w:sz="0" w:space="0" w:color="auto"/>
        <w:bottom w:val="none" w:sz="0" w:space="0" w:color="auto"/>
        <w:right w:val="none" w:sz="0" w:space="0" w:color="auto"/>
      </w:divBdr>
    </w:div>
    <w:div w:id="1230650764">
      <w:bodyDiv w:val="1"/>
      <w:marLeft w:val="0"/>
      <w:marRight w:val="0"/>
      <w:marTop w:val="0"/>
      <w:marBottom w:val="0"/>
      <w:divBdr>
        <w:top w:val="none" w:sz="0" w:space="0" w:color="auto"/>
        <w:left w:val="none" w:sz="0" w:space="0" w:color="auto"/>
        <w:bottom w:val="none" w:sz="0" w:space="0" w:color="auto"/>
        <w:right w:val="none" w:sz="0" w:space="0" w:color="auto"/>
      </w:divBdr>
    </w:div>
    <w:div w:id="1247954107">
      <w:bodyDiv w:val="1"/>
      <w:marLeft w:val="0"/>
      <w:marRight w:val="0"/>
      <w:marTop w:val="0"/>
      <w:marBottom w:val="0"/>
      <w:divBdr>
        <w:top w:val="none" w:sz="0" w:space="0" w:color="auto"/>
        <w:left w:val="none" w:sz="0" w:space="0" w:color="auto"/>
        <w:bottom w:val="none" w:sz="0" w:space="0" w:color="auto"/>
        <w:right w:val="none" w:sz="0" w:space="0" w:color="auto"/>
      </w:divBdr>
      <w:divsChild>
        <w:div w:id="1150365304">
          <w:marLeft w:val="0"/>
          <w:marRight w:val="0"/>
          <w:marTop w:val="0"/>
          <w:marBottom w:val="0"/>
          <w:divBdr>
            <w:top w:val="none" w:sz="0" w:space="0" w:color="auto"/>
            <w:left w:val="none" w:sz="0" w:space="0" w:color="auto"/>
            <w:bottom w:val="none" w:sz="0" w:space="0" w:color="auto"/>
            <w:right w:val="none" w:sz="0" w:space="0" w:color="auto"/>
          </w:divBdr>
        </w:div>
      </w:divsChild>
    </w:div>
    <w:div w:id="1283269376">
      <w:bodyDiv w:val="1"/>
      <w:marLeft w:val="0"/>
      <w:marRight w:val="0"/>
      <w:marTop w:val="0"/>
      <w:marBottom w:val="0"/>
      <w:divBdr>
        <w:top w:val="none" w:sz="0" w:space="0" w:color="auto"/>
        <w:left w:val="none" w:sz="0" w:space="0" w:color="auto"/>
        <w:bottom w:val="none" w:sz="0" w:space="0" w:color="auto"/>
        <w:right w:val="none" w:sz="0" w:space="0" w:color="auto"/>
      </w:divBdr>
    </w:div>
    <w:div w:id="1301881786">
      <w:bodyDiv w:val="1"/>
      <w:marLeft w:val="0"/>
      <w:marRight w:val="0"/>
      <w:marTop w:val="0"/>
      <w:marBottom w:val="0"/>
      <w:divBdr>
        <w:top w:val="none" w:sz="0" w:space="0" w:color="auto"/>
        <w:left w:val="none" w:sz="0" w:space="0" w:color="auto"/>
        <w:bottom w:val="none" w:sz="0" w:space="0" w:color="auto"/>
        <w:right w:val="none" w:sz="0" w:space="0" w:color="auto"/>
      </w:divBdr>
    </w:div>
    <w:div w:id="1519849167">
      <w:bodyDiv w:val="1"/>
      <w:marLeft w:val="0"/>
      <w:marRight w:val="0"/>
      <w:marTop w:val="0"/>
      <w:marBottom w:val="0"/>
      <w:divBdr>
        <w:top w:val="none" w:sz="0" w:space="0" w:color="auto"/>
        <w:left w:val="none" w:sz="0" w:space="0" w:color="auto"/>
        <w:bottom w:val="none" w:sz="0" w:space="0" w:color="auto"/>
        <w:right w:val="none" w:sz="0" w:space="0" w:color="auto"/>
      </w:divBdr>
    </w:div>
    <w:div w:id="1525896809">
      <w:bodyDiv w:val="1"/>
      <w:marLeft w:val="0"/>
      <w:marRight w:val="0"/>
      <w:marTop w:val="0"/>
      <w:marBottom w:val="0"/>
      <w:divBdr>
        <w:top w:val="none" w:sz="0" w:space="0" w:color="auto"/>
        <w:left w:val="none" w:sz="0" w:space="0" w:color="auto"/>
        <w:bottom w:val="none" w:sz="0" w:space="0" w:color="auto"/>
        <w:right w:val="none" w:sz="0" w:space="0" w:color="auto"/>
      </w:divBdr>
    </w:div>
    <w:div w:id="1991640900">
      <w:bodyDiv w:val="1"/>
      <w:marLeft w:val="0"/>
      <w:marRight w:val="0"/>
      <w:marTop w:val="0"/>
      <w:marBottom w:val="0"/>
      <w:divBdr>
        <w:top w:val="none" w:sz="0" w:space="0" w:color="auto"/>
        <w:left w:val="none" w:sz="0" w:space="0" w:color="auto"/>
        <w:bottom w:val="none" w:sz="0" w:space="0" w:color="auto"/>
        <w:right w:val="none" w:sz="0" w:space="0" w:color="auto"/>
      </w:divBdr>
      <w:divsChild>
        <w:div w:id="1137717962">
          <w:marLeft w:val="0"/>
          <w:marRight w:val="0"/>
          <w:marTop w:val="0"/>
          <w:marBottom w:val="0"/>
          <w:divBdr>
            <w:top w:val="none" w:sz="0" w:space="0" w:color="auto"/>
            <w:left w:val="none" w:sz="0" w:space="0" w:color="auto"/>
            <w:bottom w:val="none" w:sz="0" w:space="0" w:color="auto"/>
            <w:right w:val="none" w:sz="0" w:space="0" w:color="auto"/>
          </w:divBdr>
          <w:divsChild>
            <w:div w:id="786043907">
              <w:marLeft w:val="0"/>
              <w:marRight w:val="0"/>
              <w:marTop w:val="0"/>
              <w:marBottom w:val="0"/>
              <w:divBdr>
                <w:top w:val="single" w:sz="2" w:space="0" w:color="FFFFFF"/>
                <w:left w:val="single" w:sz="6" w:space="0" w:color="FFFFFF"/>
                <w:bottom w:val="single" w:sz="6" w:space="0" w:color="FFFFFF"/>
                <w:right w:val="single" w:sz="6" w:space="0" w:color="FFFFFF"/>
              </w:divBdr>
              <w:divsChild>
                <w:div w:id="1080517073">
                  <w:marLeft w:val="0"/>
                  <w:marRight w:val="0"/>
                  <w:marTop w:val="0"/>
                  <w:marBottom w:val="0"/>
                  <w:divBdr>
                    <w:top w:val="single" w:sz="6" w:space="1" w:color="D3D3D3"/>
                    <w:left w:val="none" w:sz="0" w:space="0" w:color="auto"/>
                    <w:bottom w:val="none" w:sz="0" w:space="0" w:color="auto"/>
                    <w:right w:val="none" w:sz="0" w:space="0" w:color="auto"/>
                  </w:divBdr>
                  <w:divsChild>
                    <w:div w:id="73901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847DC-8281-4ADA-8AB3-2F9020E85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10145</Words>
  <Characters>57830</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2018-11-07T14:27:00Z</dcterms:created>
  <dcterms:modified xsi:type="dcterms:W3CDTF">2018-11-07T14:27:00Z</dcterms:modified>
</cp:coreProperties>
</file>