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C0FF4A" w14:textId="09F31B0A" w:rsidR="006B7EC0" w:rsidRPr="003752AF" w:rsidRDefault="005B0AAA" w:rsidP="006B7EC0">
      <w:pPr>
        <w:keepNext/>
        <w:keepLines/>
        <w:spacing w:before="240" w:after="240" w:line="240" w:lineRule="auto"/>
        <w:jc w:val="both"/>
        <w:outlineLvl w:val="0"/>
        <w:rPr>
          <w:rFonts w:eastAsiaTheme="majorEastAsia" w:cstheme="majorBidi"/>
          <w:b/>
          <w:color w:val="000000" w:themeColor="text1"/>
          <w:sz w:val="32"/>
          <w:szCs w:val="40"/>
        </w:rPr>
      </w:pPr>
      <w:r w:rsidRPr="003752AF">
        <w:rPr>
          <w:rFonts w:eastAsiaTheme="majorEastAsia" w:cstheme="majorBidi"/>
          <w:b/>
          <w:color w:val="000000" w:themeColor="text1"/>
          <w:sz w:val="36"/>
          <w:szCs w:val="40"/>
        </w:rPr>
        <w:t xml:space="preserve">Copper nanoparticles have negligible direct antibacterial </w:t>
      </w:r>
      <w:r w:rsidR="002C04DC" w:rsidRPr="003752AF">
        <w:rPr>
          <w:rFonts w:eastAsiaTheme="majorEastAsia" w:cstheme="majorBidi"/>
          <w:b/>
          <w:color w:val="000000" w:themeColor="text1"/>
          <w:sz w:val="36"/>
          <w:szCs w:val="40"/>
        </w:rPr>
        <w:t>impact</w:t>
      </w:r>
    </w:p>
    <w:p w14:paraId="68300BC7" w14:textId="77777777" w:rsidR="002933A8" w:rsidRDefault="002933A8" w:rsidP="002933A8">
      <w:pPr>
        <w:spacing w:after="0" w:line="360" w:lineRule="auto"/>
        <w:jc w:val="both"/>
        <w:rPr>
          <w:rFonts w:ascii="Calibri" w:hAnsi="Calibri"/>
          <w:szCs w:val="18"/>
        </w:rPr>
      </w:pPr>
    </w:p>
    <w:p w14:paraId="7EE40AC3" w14:textId="06C177FE" w:rsidR="006B7EC0" w:rsidRDefault="006B7EC0" w:rsidP="002933A8">
      <w:pPr>
        <w:spacing w:after="0" w:line="360" w:lineRule="auto"/>
        <w:jc w:val="both"/>
        <w:rPr>
          <w:rFonts w:ascii="Calibri" w:hAnsi="Calibri"/>
          <w:szCs w:val="18"/>
        </w:rPr>
      </w:pPr>
      <w:r>
        <w:rPr>
          <w:rFonts w:ascii="Calibri" w:hAnsi="Calibri"/>
          <w:szCs w:val="18"/>
        </w:rPr>
        <w:t>Carlos A. P. Bastos*</w:t>
      </w:r>
      <w:r w:rsidRPr="002B3D9F">
        <w:rPr>
          <w:rFonts w:ascii="Calibri" w:hAnsi="Calibri"/>
          <w:szCs w:val="18"/>
          <w:vertAlign w:val="superscript"/>
        </w:rPr>
        <w:t>a</w:t>
      </w:r>
      <w:r w:rsidRPr="00D14AA0">
        <w:rPr>
          <w:rFonts w:ascii="Calibri" w:hAnsi="Calibri"/>
          <w:szCs w:val="18"/>
        </w:rPr>
        <w:t xml:space="preserve">, Nuno </w:t>
      </w:r>
      <w:proofErr w:type="spellStart"/>
      <w:r w:rsidRPr="00D14AA0">
        <w:rPr>
          <w:rFonts w:ascii="Calibri" w:hAnsi="Calibri"/>
          <w:szCs w:val="18"/>
        </w:rPr>
        <w:t>Faria</w:t>
      </w:r>
      <w:r w:rsidRPr="00D14AA0">
        <w:rPr>
          <w:rFonts w:ascii="Calibri" w:hAnsi="Calibri"/>
          <w:szCs w:val="18"/>
          <w:vertAlign w:val="superscript"/>
        </w:rPr>
        <w:t>a</w:t>
      </w:r>
      <w:proofErr w:type="spellEnd"/>
      <w:r>
        <w:rPr>
          <w:rFonts w:ascii="Calibri" w:hAnsi="Calibri"/>
          <w:szCs w:val="18"/>
        </w:rPr>
        <w:t>,</w:t>
      </w:r>
      <w:r w:rsidR="00075F73">
        <w:rPr>
          <w:rFonts w:ascii="Calibri" w:hAnsi="Calibri"/>
          <w:szCs w:val="18"/>
          <w:vertAlign w:val="superscript"/>
        </w:rPr>
        <w:t xml:space="preserve"> </w:t>
      </w:r>
      <w:r w:rsidR="00697589">
        <w:rPr>
          <w:rFonts w:ascii="Calibri" w:hAnsi="Calibri"/>
          <w:szCs w:val="18"/>
        </w:rPr>
        <w:t xml:space="preserve">John </w:t>
      </w:r>
      <w:proofErr w:type="spellStart"/>
      <w:r w:rsidR="00697589">
        <w:rPr>
          <w:rFonts w:ascii="Calibri" w:hAnsi="Calibri"/>
          <w:szCs w:val="18"/>
        </w:rPr>
        <w:t>Wills</w:t>
      </w:r>
      <w:r w:rsidR="00697589" w:rsidRPr="0030370D">
        <w:rPr>
          <w:rFonts w:ascii="Calibri" w:hAnsi="Calibri"/>
          <w:szCs w:val="18"/>
          <w:vertAlign w:val="superscript"/>
        </w:rPr>
        <w:t>a</w:t>
      </w:r>
      <w:proofErr w:type="spellEnd"/>
      <w:r>
        <w:rPr>
          <w:rFonts w:ascii="Calibri" w:hAnsi="Calibri"/>
          <w:szCs w:val="18"/>
        </w:rPr>
        <w:t xml:space="preserve">, </w:t>
      </w:r>
      <w:r w:rsidR="00697589">
        <w:rPr>
          <w:rFonts w:ascii="Calibri" w:hAnsi="Calibri"/>
          <w:szCs w:val="18"/>
        </w:rPr>
        <w:t xml:space="preserve">Per </w:t>
      </w:r>
      <w:proofErr w:type="spellStart"/>
      <w:r w:rsidR="00697589">
        <w:rPr>
          <w:rFonts w:ascii="Calibri" w:hAnsi="Calibri"/>
          <w:szCs w:val="18"/>
        </w:rPr>
        <w:t>Malmberg</w:t>
      </w:r>
      <w:r w:rsidR="004F6AB8">
        <w:rPr>
          <w:rFonts w:ascii="Calibri" w:hAnsi="Calibri"/>
          <w:szCs w:val="18"/>
          <w:vertAlign w:val="superscript"/>
        </w:rPr>
        <w:t>b</w:t>
      </w:r>
      <w:proofErr w:type="spellEnd"/>
      <w:r w:rsidR="00697589">
        <w:rPr>
          <w:rFonts w:ascii="Calibri" w:hAnsi="Calibri"/>
          <w:szCs w:val="18"/>
        </w:rPr>
        <w:t xml:space="preserve">, </w:t>
      </w:r>
      <w:r>
        <w:rPr>
          <w:rFonts w:ascii="Calibri" w:hAnsi="Calibri"/>
          <w:szCs w:val="18"/>
        </w:rPr>
        <w:t xml:space="preserve">Nathalie </w:t>
      </w:r>
      <w:proofErr w:type="spellStart"/>
      <w:r>
        <w:rPr>
          <w:rFonts w:ascii="Calibri" w:hAnsi="Calibri"/>
          <w:szCs w:val="18"/>
        </w:rPr>
        <w:t>Scheers</w:t>
      </w:r>
      <w:r w:rsidR="004F6AB8">
        <w:rPr>
          <w:rFonts w:ascii="Calibri" w:hAnsi="Calibri"/>
          <w:szCs w:val="18"/>
          <w:vertAlign w:val="superscript"/>
        </w:rPr>
        <w:t>c</w:t>
      </w:r>
      <w:proofErr w:type="spellEnd"/>
      <w:r w:rsidR="00697589">
        <w:rPr>
          <w:rFonts w:ascii="Calibri" w:hAnsi="Calibri"/>
          <w:szCs w:val="18"/>
        </w:rPr>
        <w:t xml:space="preserve">, Paul </w:t>
      </w:r>
      <w:proofErr w:type="spellStart"/>
      <w:proofErr w:type="gramStart"/>
      <w:r w:rsidR="00697589">
        <w:rPr>
          <w:rFonts w:ascii="Calibri" w:hAnsi="Calibri"/>
          <w:szCs w:val="18"/>
        </w:rPr>
        <w:t>Rees</w:t>
      </w:r>
      <w:r w:rsidR="004F6AB8">
        <w:rPr>
          <w:rFonts w:ascii="Calibri" w:hAnsi="Calibri"/>
          <w:szCs w:val="18"/>
          <w:vertAlign w:val="superscript"/>
        </w:rPr>
        <w:t>d</w:t>
      </w:r>
      <w:r w:rsidR="00697589">
        <w:rPr>
          <w:rFonts w:ascii="Calibri" w:hAnsi="Calibri"/>
          <w:szCs w:val="18"/>
          <w:vertAlign w:val="superscript"/>
        </w:rPr>
        <w:t>,</w:t>
      </w:r>
      <w:r w:rsidR="004F6AB8">
        <w:rPr>
          <w:rFonts w:ascii="Calibri" w:hAnsi="Calibri"/>
          <w:szCs w:val="18"/>
          <w:vertAlign w:val="superscript"/>
        </w:rPr>
        <w:t>e</w:t>
      </w:r>
      <w:proofErr w:type="spellEnd"/>
      <w:proofErr w:type="gramEnd"/>
      <w:r w:rsidR="00697589">
        <w:rPr>
          <w:rFonts w:ascii="Calibri" w:hAnsi="Calibri"/>
          <w:szCs w:val="18"/>
        </w:rPr>
        <w:t xml:space="preserve"> </w:t>
      </w:r>
      <w:r w:rsidR="00A94EF0">
        <w:rPr>
          <w:rFonts w:ascii="Calibri" w:hAnsi="Calibri"/>
          <w:szCs w:val="18"/>
        </w:rPr>
        <w:t xml:space="preserve">and </w:t>
      </w:r>
      <w:r w:rsidRPr="00D14AA0">
        <w:rPr>
          <w:rFonts w:ascii="Calibri" w:hAnsi="Calibri"/>
          <w:szCs w:val="18"/>
        </w:rPr>
        <w:t xml:space="preserve">Jonathan </w:t>
      </w:r>
      <w:r w:rsidR="00E87FAE">
        <w:rPr>
          <w:rFonts w:ascii="Calibri" w:hAnsi="Calibri"/>
          <w:szCs w:val="18"/>
        </w:rPr>
        <w:t xml:space="preserve">J </w:t>
      </w:r>
      <w:r w:rsidRPr="00D14AA0">
        <w:rPr>
          <w:rFonts w:ascii="Calibri" w:hAnsi="Calibri"/>
          <w:szCs w:val="18"/>
        </w:rPr>
        <w:t>Powell</w:t>
      </w:r>
      <w:r w:rsidR="005942F3">
        <w:rPr>
          <w:rFonts w:ascii="Calibri" w:hAnsi="Calibri"/>
          <w:szCs w:val="18"/>
        </w:rPr>
        <w:t>*</w:t>
      </w:r>
      <w:r w:rsidRPr="002B3D9F">
        <w:rPr>
          <w:rFonts w:ascii="Calibri" w:hAnsi="Calibri"/>
          <w:szCs w:val="18"/>
          <w:vertAlign w:val="superscript"/>
        </w:rPr>
        <w:t>a</w:t>
      </w:r>
      <w:r w:rsidR="00075F73">
        <w:rPr>
          <w:rFonts w:ascii="Calibri" w:hAnsi="Calibri"/>
          <w:szCs w:val="18"/>
        </w:rPr>
        <w:t>.</w:t>
      </w:r>
    </w:p>
    <w:p w14:paraId="715D8551" w14:textId="77777777" w:rsidR="002933A8" w:rsidRPr="002933A8" w:rsidRDefault="002933A8" w:rsidP="002933A8">
      <w:pPr>
        <w:spacing w:after="0" w:line="360" w:lineRule="auto"/>
        <w:jc w:val="both"/>
        <w:rPr>
          <w:rFonts w:ascii="Calibri" w:hAnsi="Calibri"/>
          <w:szCs w:val="18"/>
        </w:rPr>
      </w:pPr>
    </w:p>
    <w:p w14:paraId="0D7DDE1E" w14:textId="77777777" w:rsidR="006B7EC0" w:rsidRDefault="006B7EC0" w:rsidP="002933A8">
      <w:pPr>
        <w:spacing w:after="0" w:line="360" w:lineRule="auto"/>
        <w:jc w:val="both"/>
        <w:rPr>
          <w:rFonts w:ascii="Calibri" w:hAnsi="Calibri"/>
          <w:szCs w:val="18"/>
        </w:rPr>
      </w:pPr>
      <w:proofErr w:type="spellStart"/>
      <w:r w:rsidRPr="00D14AA0">
        <w:rPr>
          <w:rFonts w:ascii="Calibri" w:hAnsi="Calibri"/>
          <w:szCs w:val="18"/>
          <w:vertAlign w:val="superscript"/>
        </w:rPr>
        <w:t>a</w:t>
      </w:r>
      <w:r>
        <w:rPr>
          <w:rFonts w:ascii="Calibri" w:hAnsi="Calibri"/>
          <w:szCs w:val="18"/>
        </w:rPr>
        <w:t>Biomineral</w:t>
      </w:r>
      <w:proofErr w:type="spellEnd"/>
      <w:r>
        <w:rPr>
          <w:rFonts w:ascii="Calibri" w:hAnsi="Calibri"/>
          <w:szCs w:val="18"/>
        </w:rPr>
        <w:t xml:space="preserve"> Research Group, Department of Veterinary Medicine, University of Cambridge, </w:t>
      </w:r>
      <w:proofErr w:type="spellStart"/>
      <w:r>
        <w:rPr>
          <w:rFonts w:ascii="Calibri" w:hAnsi="Calibri"/>
          <w:szCs w:val="18"/>
        </w:rPr>
        <w:t>Madingley</w:t>
      </w:r>
      <w:proofErr w:type="spellEnd"/>
      <w:r>
        <w:rPr>
          <w:rFonts w:ascii="Calibri" w:hAnsi="Calibri"/>
          <w:szCs w:val="18"/>
        </w:rPr>
        <w:t xml:space="preserve"> Road, Cambridge CB3 0ES, UK</w:t>
      </w:r>
    </w:p>
    <w:p w14:paraId="25D89D08" w14:textId="2066070B" w:rsidR="00697589" w:rsidRDefault="004F6AB8" w:rsidP="002933A8">
      <w:pPr>
        <w:spacing w:after="0" w:line="360" w:lineRule="auto"/>
        <w:jc w:val="both"/>
        <w:rPr>
          <w:rFonts w:ascii="Calibri" w:hAnsi="Calibri"/>
          <w:szCs w:val="18"/>
        </w:rPr>
      </w:pPr>
      <w:proofErr w:type="spellStart"/>
      <w:r>
        <w:rPr>
          <w:rFonts w:ascii="Calibri" w:hAnsi="Calibri"/>
          <w:szCs w:val="18"/>
          <w:vertAlign w:val="superscript"/>
        </w:rPr>
        <w:t>b</w:t>
      </w:r>
      <w:r w:rsidR="00697589">
        <w:rPr>
          <w:rFonts w:ascii="Calibri" w:hAnsi="Calibri"/>
          <w:szCs w:val="18"/>
        </w:rPr>
        <w:t>Department</w:t>
      </w:r>
      <w:proofErr w:type="spellEnd"/>
      <w:r w:rsidR="00697589">
        <w:rPr>
          <w:rFonts w:ascii="Calibri" w:hAnsi="Calibri"/>
          <w:szCs w:val="18"/>
        </w:rPr>
        <w:t xml:space="preserve"> of Chemistry and Chemical Engineering, </w:t>
      </w:r>
      <w:r w:rsidR="00697589" w:rsidRPr="0030370D">
        <w:rPr>
          <w:rFonts w:ascii="Calibri" w:hAnsi="Calibri"/>
          <w:szCs w:val="18"/>
        </w:rPr>
        <w:t>Chalmers</w:t>
      </w:r>
      <w:r w:rsidR="00697589">
        <w:rPr>
          <w:rFonts w:ascii="Calibri" w:hAnsi="Calibri"/>
          <w:szCs w:val="18"/>
        </w:rPr>
        <w:t xml:space="preserve"> Institute of Technology, Gothenburg, Sweden</w:t>
      </w:r>
    </w:p>
    <w:p w14:paraId="020CF322" w14:textId="131262F5" w:rsidR="00B209F3" w:rsidRDefault="004F6AB8" w:rsidP="002933A8">
      <w:pPr>
        <w:spacing w:after="0" w:line="360" w:lineRule="auto"/>
        <w:jc w:val="both"/>
        <w:rPr>
          <w:rFonts w:ascii="Calibri" w:hAnsi="Calibri"/>
          <w:szCs w:val="18"/>
          <w:vertAlign w:val="superscript"/>
        </w:rPr>
      </w:pPr>
      <w:proofErr w:type="spellStart"/>
      <w:r>
        <w:rPr>
          <w:rFonts w:ascii="Calibri" w:hAnsi="Calibri"/>
          <w:szCs w:val="18"/>
          <w:vertAlign w:val="superscript"/>
        </w:rPr>
        <w:t>c</w:t>
      </w:r>
      <w:r w:rsidR="006B7EC0">
        <w:rPr>
          <w:rFonts w:ascii="Calibri" w:hAnsi="Calibri"/>
          <w:szCs w:val="18"/>
        </w:rPr>
        <w:t>Biology</w:t>
      </w:r>
      <w:proofErr w:type="spellEnd"/>
      <w:r w:rsidR="006B7EC0">
        <w:rPr>
          <w:rFonts w:ascii="Calibri" w:hAnsi="Calibri"/>
          <w:szCs w:val="18"/>
        </w:rPr>
        <w:t xml:space="preserve"> and Biological Engineering Department, Chalmers Institute of Technology, Gothenburg</w:t>
      </w:r>
      <w:r w:rsidR="00697589">
        <w:rPr>
          <w:rFonts w:ascii="Calibri" w:hAnsi="Calibri"/>
          <w:szCs w:val="18"/>
        </w:rPr>
        <w:t>, Sweden</w:t>
      </w:r>
      <w:r w:rsidR="006B7EC0" w:rsidRPr="0088133A">
        <w:rPr>
          <w:rFonts w:ascii="Calibri" w:hAnsi="Calibri"/>
          <w:szCs w:val="18"/>
          <w:vertAlign w:val="superscript"/>
        </w:rPr>
        <w:t xml:space="preserve"> </w:t>
      </w:r>
    </w:p>
    <w:p w14:paraId="45D80DCF" w14:textId="052F054C" w:rsidR="00697589" w:rsidRPr="00C774C8" w:rsidRDefault="004F6AB8" w:rsidP="002933A8">
      <w:pPr>
        <w:spacing w:after="0" w:line="360" w:lineRule="auto"/>
        <w:jc w:val="both"/>
        <w:rPr>
          <w:rFonts w:ascii="Calibri" w:hAnsi="Calibri"/>
          <w:szCs w:val="18"/>
          <w:lang w:val="en-US"/>
        </w:rPr>
      </w:pPr>
      <w:proofErr w:type="spellStart"/>
      <w:r>
        <w:rPr>
          <w:rFonts w:ascii="Calibri" w:hAnsi="Calibri"/>
          <w:szCs w:val="18"/>
          <w:vertAlign w:val="superscript"/>
          <w:lang w:val="en-US"/>
        </w:rPr>
        <w:t>d</w:t>
      </w:r>
      <w:r w:rsidR="00697589" w:rsidRPr="00C774C8">
        <w:rPr>
          <w:rFonts w:ascii="Calibri" w:hAnsi="Calibri"/>
          <w:szCs w:val="18"/>
          <w:lang w:val="en-US"/>
        </w:rPr>
        <w:t>Centre</w:t>
      </w:r>
      <w:proofErr w:type="spellEnd"/>
      <w:r w:rsidR="00697589" w:rsidRPr="00C774C8">
        <w:rPr>
          <w:rFonts w:ascii="Calibri" w:hAnsi="Calibri"/>
          <w:szCs w:val="18"/>
          <w:lang w:val="en-US"/>
        </w:rPr>
        <w:t xml:space="preserve"> for </w:t>
      </w:r>
      <w:proofErr w:type="spellStart"/>
      <w:r w:rsidR="00697589" w:rsidRPr="00C774C8">
        <w:rPr>
          <w:rFonts w:ascii="Calibri" w:hAnsi="Calibri"/>
          <w:szCs w:val="18"/>
          <w:lang w:val="en-US"/>
        </w:rPr>
        <w:t>Nanohealth</w:t>
      </w:r>
      <w:proofErr w:type="spellEnd"/>
      <w:r w:rsidR="00697589" w:rsidRPr="00C774C8">
        <w:rPr>
          <w:rFonts w:ascii="Calibri" w:hAnsi="Calibri"/>
          <w:szCs w:val="18"/>
          <w:lang w:val="en-US"/>
        </w:rPr>
        <w:t xml:space="preserve">, Swansea University College of Engineering, Fabian Way, Crymlyn Burrows, Swansea, SA1 8EN, U.K. </w:t>
      </w:r>
    </w:p>
    <w:p w14:paraId="0C96895C" w14:textId="6B6552B5" w:rsidR="00697589" w:rsidRPr="00C774C8" w:rsidRDefault="004F6AB8" w:rsidP="002933A8">
      <w:pPr>
        <w:spacing w:after="0" w:line="360" w:lineRule="auto"/>
        <w:jc w:val="both"/>
        <w:rPr>
          <w:rFonts w:ascii="Calibri" w:hAnsi="Calibri"/>
          <w:szCs w:val="18"/>
          <w:lang w:val="en-US"/>
        </w:rPr>
      </w:pPr>
      <w:proofErr w:type="spellStart"/>
      <w:r>
        <w:rPr>
          <w:rFonts w:ascii="Calibri" w:hAnsi="Calibri"/>
          <w:szCs w:val="18"/>
          <w:vertAlign w:val="superscript"/>
          <w:lang w:val="en-US"/>
        </w:rPr>
        <w:t>e</w:t>
      </w:r>
      <w:r w:rsidR="00697589" w:rsidRPr="00C774C8">
        <w:rPr>
          <w:rFonts w:ascii="Calibri" w:hAnsi="Calibri"/>
          <w:szCs w:val="18"/>
          <w:lang w:val="en-US"/>
        </w:rPr>
        <w:t>Broad</w:t>
      </w:r>
      <w:proofErr w:type="spellEnd"/>
      <w:r w:rsidR="00697589" w:rsidRPr="00C774C8">
        <w:rPr>
          <w:rFonts w:ascii="Calibri" w:hAnsi="Calibri"/>
          <w:szCs w:val="18"/>
          <w:lang w:val="en-US"/>
        </w:rPr>
        <w:t xml:space="preserve"> Institut</w:t>
      </w:r>
      <w:r w:rsidR="00D07DF2">
        <w:rPr>
          <w:rFonts w:ascii="Calibri" w:hAnsi="Calibri"/>
          <w:szCs w:val="18"/>
          <w:lang w:val="en-US"/>
        </w:rPr>
        <w:t>e</w:t>
      </w:r>
      <w:r w:rsidR="00697589" w:rsidRPr="00C774C8">
        <w:rPr>
          <w:rFonts w:ascii="Calibri" w:hAnsi="Calibri"/>
          <w:szCs w:val="18"/>
          <w:lang w:val="en-US"/>
        </w:rPr>
        <w:t xml:space="preserve"> of MIT and Harvard, 415 Main Street, Cambridge, Massachusetts 02142, United States </w:t>
      </w:r>
    </w:p>
    <w:p w14:paraId="062039A9" w14:textId="77777777" w:rsidR="00C774C8" w:rsidRPr="004F6AB8" w:rsidRDefault="00C774C8" w:rsidP="006B7EC0">
      <w:pPr>
        <w:spacing w:after="240" w:line="480" w:lineRule="auto"/>
        <w:jc w:val="both"/>
        <w:rPr>
          <w:rFonts w:ascii="Calibri" w:hAnsi="Calibri"/>
          <w:szCs w:val="18"/>
          <w:lang w:val="en-US"/>
        </w:rPr>
      </w:pPr>
    </w:p>
    <w:p w14:paraId="1D50B474" w14:textId="77777777" w:rsidR="006B7EC0" w:rsidRPr="00DA7E0C" w:rsidRDefault="006B7EC0" w:rsidP="006B7EC0">
      <w:pPr>
        <w:spacing w:after="240" w:line="480" w:lineRule="auto"/>
        <w:jc w:val="both"/>
        <w:rPr>
          <w:rFonts w:ascii="Calibri" w:hAnsi="Calibri"/>
          <w:szCs w:val="18"/>
        </w:rPr>
      </w:pPr>
      <w:r w:rsidRPr="00DA7E0C">
        <w:rPr>
          <w:rFonts w:ascii="Calibri" w:hAnsi="Calibri"/>
          <w:szCs w:val="18"/>
        </w:rPr>
        <w:t xml:space="preserve">*Corresponding authors: </w:t>
      </w:r>
    </w:p>
    <w:p w14:paraId="3C27987D" w14:textId="74711362" w:rsidR="00B209F3" w:rsidRPr="005942F3" w:rsidRDefault="00DA7E0C" w:rsidP="006B7EC0">
      <w:pPr>
        <w:spacing w:after="0" w:line="480" w:lineRule="auto"/>
        <w:jc w:val="both"/>
        <w:rPr>
          <w:rFonts w:ascii="Calibri" w:hAnsi="Calibri"/>
          <w:szCs w:val="18"/>
        </w:rPr>
      </w:pPr>
      <w:r w:rsidRPr="005942F3">
        <w:rPr>
          <w:rFonts w:ascii="Calibri" w:hAnsi="Calibri"/>
          <w:szCs w:val="18"/>
        </w:rPr>
        <w:t>Jonathan J Powell</w:t>
      </w:r>
      <w:r w:rsidR="006B7EC0" w:rsidRPr="005942F3">
        <w:rPr>
          <w:rFonts w:ascii="Calibri" w:hAnsi="Calibri"/>
          <w:szCs w:val="18"/>
        </w:rPr>
        <w:t>:</w:t>
      </w:r>
      <w:r w:rsidRPr="005942F3">
        <w:rPr>
          <w:rFonts w:ascii="Calibri" w:hAnsi="Calibri"/>
          <w:szCs w:val="18"/>
        </w:rPr>
        <w:t xml:space="preserve"> </w:t>
      </w:r>
      <w:hyperlink r:id="rId8" w:history="1">
        <w:r w:rsidR="00F51D12" w:rsidRPr="005942F3">
          <w:rPr>
            <w:rStyle w:val="Hyperlink"/>
            <w:rFonts w:ascii="Calibri" w:hAnsi="Calibri"/>
            <w:szCs w:val="18"/>
          </w:rPr>
          <w:t>jjp37@cam.ac.uk</w:t>
        </w:r>
      </w:hyperlink>
      <w:r w:rsidR="0002556D" w:rsidRPr="0002556D">
        <w:rPr>
          <w:rFonts w:ascii="Calibri" w:hAnsi="Calibri"/>
          <w:szCs w:val="18"/>
        </w:rPr>
        <w:t xml:space="preserve"> </w:t>
      </w:r>
      <w:r w:rsidR="0002556D">
        <w:rPr>
          <w:rFonts w:ascii="Calibri" w:hAnsi="Calibri"/>
          <w:szCs w:val="18"/>
        </w:rPr>
        <w:t xml:space="preserve">and </w:t>
      </w:r>
      <w:r w:rsidR="0002556D" w:rsidRPr="005942F3">
        <w:rPr>
          <w:rFonts w:ascii="Calibri" w:hAnsi="Calibri"/>
          <w:szCs w:val="18"/>
        </w:rPr>
        <w:t xml:space="preserve">Carlos Bastos: </w:t>
      </w:r>
      <w:hyperlink r:id="rId9" w:history="1">
        <w:r w:rsidR="0002556D" w:rsidRPr="005942F3">
          <w:rPr>
            <w:rStyle w:val="Hyperlink"/>
            <w:rFonts w:ascii="Calibri" w:hAnsi="Calibri"/>
            <w:szCs w:val="18"/>
          </w:rPr>
          <w:t>capb2@cam.ac.uk</w:t>
        </w:r>
      </w:hyperlink>
    </w:p>
    <w:p w14:paraId="153495F7" w14:textId="66889727" w:rsidR="005942F3" w:rsidRPr="00F4447C" w:rsidRDefault="006B7EC0" w:rsidP="00F4447C">
      <w:pPr>
        <w:spacing w:after="0" w:line="480" w:lineRule="auto"/>
        <w:jc w:val="both"/>
        <w:rPr>
          <w:rFonts w:ascii="Calibri" w:hAnsi="Calibri"/>
          <w:szCs w:val="18"/>
        </w:rPr>
      </w:pPr>
      <w:r w:rsidRPr="009426D9">
        <w:rPr>
          <w:rFonts w:ascii="Calibri" w:hAnsi="Calibri"/>
          <w:szCs w:val="18"/>
        </w:rPr>
        <w:t xml:space="preserve">Phone: +44 1223 </w:t>
      </w:r>
      <w:r w:rsidR="00B209F3" w:rsidRPr="009426D9">
        <w:rPr>
          <w:rFonts w:ascii="Calibri" w:hAnsi="Calibri"/>
          <w:szCs w:val="18"/>
        </w:rPr>
        <w:t>760003</w:t>
      </w:r>
      <w:r w:rsidRPr="009426D9">
        <w:rPr>
          <w:rFonts w:ascii="Calibri" w:hAnsi="Calibri"/>
          <w:szCs w:val="18"/>
        </w:rPr>
        <w:t xml:space="preserve">; </w:t>
      </w:r>
      <w:r w:rsidR="005942F3">
        <w:rPr>
          <w:rFonts w:ascii="Calibri" w:hAnsi="Calibri"/>
          <w:b/>
          <w:bCs/>
          <w:szCs w:val="18"/>
          <w:lang w:val="en-US"/>
        </w:rPr>
        <w:br w:type="page"/>
      </w:r>
    </w:p>
    <w:p w14:paraId="7FB036C6" w14:textId="2AB859A9" w:rsidR="001114C1" w:rsidRPr="003752AF" w:rsidRDefault="003752AF" w:rsidP="003752AF">
      <w:pPr>
        <w:pStyle w:val="Heading2"/>
        <w:spacing w:before="0" w:after="120" w:line="360" w:lineRule="auto"/>
        <w:rPr>
          <w:rFonts w:asciiTheme="minorHAnsi" w:hAnsiTheme="minorHAnsi"/>
          <w:b/>
          <w:color w:val="000000" w:themeColor="text1"/>
          <w:sz w:val="28"/>
        </w:rPr>
      </w:pPr>
      <w:r w:rsidRPr="003752AF">
        <w:rPr>
          <w:rFonts w:asciiTheme="minorHAnsi" w:hAnsiTheme="minorHAnsi"/>
          <w:b/>
          <w:color w:val="000000" w:themeColor="text1"/>
          <w:sz w:val="28"/>
        </w:rPr>
        <w:lastRenderedPageBreak/>
        <w:t>Abstract</w:t>
      </w:r>
    </w:p>
    <w:p w14:paraId="1C17C6B9" w14:textId="7E0F151A" w:rsidR="001114C1" w:rsidRDefault="00343388" w:rsidP="000C7547">
      <w:pPr>
        <w:spacing w:after="0" w:line="480" w:lineRule="auto"/>
        <w:jc w:val="both"/>
      </w:pPr>
      <w:r w:rsidRPr="00343388">
        <w:rPr>
          <w:b/>
        </w:rPr>
        <w:t>Introduction.</w:t>
      </w:r>
      <w:r>
        <w:t xml:space="preserve"> </w:t>
      </w:r>
      <w:r w:rsidR="000C7547">
        <w:t>Soluble copper that can be acquired by bacteria is toxic and therefore antimicrobial. Whether</w:t>
      </w:r>
      <w:r w:rsidR="00C04435">
        <w:t xml:space="preserve"> </w:t>
      </w:r>
      <w:r w:rsidR="000C7547">
        <w:t>nanostructured copper materials, in either disperse or agglomerated form, have antimicrobial impact, aside from that of their dissolution products, is not clear and was here</w:t>
      </w:r>
      <w:r w:rsidR="00C04435">
        <w:t>in</w:t>
      </w:r>
      <w:r w:rsidR="000C7547">
        <w:t xml:space="preserve"> addressed. </w:t>
      </w:r>
    </w:p>
    <w:p w14:paraId="572F58BC" w14:textId="4F03AFB1" w:rsidR="000C7547" w:rsidRPr="00991AD9" w:rsidRDefault="00343388" w:rsidP="000C7547">
      <w:pPr>
        <w:spacing w:after="0" w:line="480" w:lineRule="auto"/>
        <w:contextualSpacing/>
        <w:jc w:val="both"/>
      </w:pPr>
      <w:r w:rsidRPr="00343388">
        <w:rPr>
          <w:b/>
        </w:rPr>
        <w:t>Methods</w:t>
      </w:r>
      <w:r>
        <w:t xml:space="preserve">. </w:t>
      </w:r>
      <w:r w:rsidR="000C7547">
        <w:t>We took five nanostructured copper materials</w:t>
      </w:r>
      <w:r w:rsidR="00ED3397">
        <w:t xml:space="preserve">, </w:t>
      </w:r>
      <w:r w:rsidR="000C7547">
        <w:t>two metallic, and three oxo-hydroxides with one of the</w:t>
      </w:r>
      <w:r w:rsidR="00C04435">
        <w:t xml:space="preserve">se </w:t>
      </w:r>
      <w:r w:rsidR="000C7547">
        <w:t>being silicate-substituted. Four agglomerated in the bacterial</w:t>
      </w:r>
      <w:r w:rsidR="00731A92">
        <w:t xml:space="preserve"> </w:t>
      </w:r>
      <w:r w:rsidR="000C7547">
        <w:t>growth media whilst the silicate</w:t>
      </w:r>
      <w:r w:rsidR="007C2C6D">
        <w:t>-</w:t>
      </w:r>
      <w:r w:rsidR="000C7547">
        <w:t xml:space="preserve">substituted material remained disperse and </w:t>
      </w:r>
      <w:r w:rsidR="000C7547" w:rsidRPr="00ED3397">
        <w:t>small (</w:t>
      </w:r>
      <w:r w:rsidR="00ED3397" w:rsidRPr="00ED3397">
        <w:t>6.5</w:t>
      </w:r>
      <w:r w:rsidR="00C04435">
        <w:t xml:space="preserve"> </w:t>
      </w:r>
      <w:r w:rsidR="000C7547" w:rsidRPr="00ED3397">
        <w:t>nm d</w:t>
      </w:r>
      <w:r w:rsidR="003A1644" w:rsidRPr="00ED3397">
        <w:t>iameter</w:t>
      </w:r>
      <w:r w:rsidR="003A1644">
        <w:t xml:space="preserve">). Antibacterial activity against </w:t>
      </w:r>
      <w:r w:rsidR="003A1644" w:rsidRPr="003A1644">
        <w:rPr>
          <w:i/>
        </w:rPr>
        <w:t>E. coli</w:t>
      </w:r>
      <w:r w:rsidR="003A1644">
        <w:t xml:space="preserve"> was assessed with copper phase distribution measured over time.  Using the </w:t>
      </w:r>
      <w:r w:rsidR="003A1644" w:rsidRPr="00991AD9">
        <w:t>dose</w:t>
      </w:r>
      <w:r w:rsidR="00354BC8" w:rsidRPr="0077533D">
        <w:t xml:space="preserve"> of</w:t>
      </w:r>
      <w:r w:rsidR="003A1644" w:rsidRPr="00991AD9">
        <w:t xml:space="preserve"> soluble copper, and benchmark dose</w:t>
      </w:r>
      <w:r w:rsidR="00354BC8" w:rsidRPr="00991AD9">
        <w:t xml:space="preserve"> non-linear regression</w:t>
      </w:r>
      <w:r w:rsidR="003A1644" w:rsidRPr="00991AD9">
        <w:t xml:space="preserve"> modelling, we determined</w:t>
      </w:r>
      <w:r w:rsidR="00C04435" w:rsidRPr="00991AD9">
        <w:t xml:space="preserve"> how well this phase predicted antimicrobial activity</w:t>
      </w:r>
      <w:r w:rsidR="003A1644" w:rsidRPr="00991AD9">
        <w:t xml:space="preserve">. </w:t>
      </w:r>
      <w:r w:rsidR="00C604FC" w:rsidRPr="00991AD9">
        <w:t xml:space="preserve">Finally, we used </w:t>
      </w:r>
      <w:r w:rsidR="007E224B">
        <w:t>Time</w:t>
      </w:r>
      <w:r w:rsidR="002A4F62">
        <w:t>-</w:t>
      </w:r>
      <w:r w:rsidR="007E224B">
        <w:t>of</w:t>
      </w:r>
      <w:r w:rsidR="002A4F62">
        <w:t>-</w:t>
      </w:r>
      <w:r w:rsidR="007E224B">
        <w:t>Flight Secondary Ion Mass Spect</w:t>
      </w:r>
      <w:r w:rsidR="002A4F62">
        <w:t>r</w:t>
      </w:r>
      <w:r w:rsidR="007E224B">
        <w:t>ome</w:t>
      </w:r>
      <w:r w:rsidR="002A4F62">
        <w:t>t</w:t>
      </w:r>
      <w:r w:rsidR="007E224B">
        <w:t xml:space="preserve">ry </w:t>
      </w:r>
      <w:r w:rsidR="002A4F62">
        <w:t>(</w:t>
      </w:r>
      <w:proofErr w:type="spellStart"/>
      <w:r w:rsidR="00C604FC" w:rsidRPr="00991AD9">
        <w:t>ToF</w:t>
      </w:r>
      <w:proofErr w:type="spellEnd"/>
      <w:r w:rsidR="002A4F62">
        <w:t>-</w:t>
      </w:r>
      <w:r w:rsidR="00C604FC" w:rsidRPr="00991AD9">
        <w:t>SIMS</w:t>
      </w:r>
      <w:r w:rsidR="002A4F62">
        <w:t>)</w:t>
      </w:r>
      <w:r w:rsidR="00C604FC" w:rsidRPr="00991AD9">
        <w:t xml:space="preserve"> analysis to investigate whether membrane adhesion effects by copper were plausible or if intracellular uptake most likely explained the bacterial impact of copper.</w:t>
      </w:r>
    </w:p>
    <w:p w14:paraId="4E6C009C" w14:textId="4E0ACC36" w:rsidR="00CD6E4B" w:rsidRDefault="00343388" w:rsidP="000C7547">
      <w:pPr>
        <w:spacing w:after="0" w:line="480" w:lineRule="auto"/>
        <w:contextualSpacing/>
        <w:jc w:val="both"/>
      </w:pPr>
      <w:r w:rsidRPr="00343388">
        <w:rPr>
          <w:b/>
        </w:rPr>
        <w:t>Results.</w:t>
      </w:r>
      <w:r>
        <w:t xml:space="preserve"> </w:t>
      </w:r>
      <w:r w:rsidR="00C04435" w:rsidRPr="00991AD9">
        <w:t xml:space="preserve">Comparison over time of antimicrobial activity against particulate or soluble phases of the </w:t>
      </w:r>
      <w:proofErr w:type="spellStart"/>
      <w:r w:rsidR="00C04435" w:rsidRPr="00991AD9">
        <w:t>aquated</w:t>
      </w:r>
      <w:proofErr w:type="spellEnd"/>
      <w:r w:rsidR="00C04435" w:rsidRPr="00991AD9">
        <w:t xml:space="preserve"> materials </w:t>
      </w:r>
      <w:r w:rsidR="00CD6E4B" w:rsidRPr="00991AD9">
        <w:t>clearly demonstrated that soluble copper but not particulate forms were associated with inhibition of bacterial growth. Indeed, the benchmark dose mode</w:t>
      </w:r>
      <w:r w:rsidR="00754C72" w:rsidRPr="00991AD9">
        <w:t>l</w:t>
      </w:r>
      <w:r w:rsidR="00991AD9">
        <w:t>ling</w:t>
      </w:r>
      <w:r w:rsidR="00CD6E4B" w:rsidRPr="00991AD9">
        <w:t xml:space="preserve"> </w:t>
      </w:r>
      <w:r w:rsidR="00991AD9" w:rsidRPr="00991AD9">
        <w:t>showed</w:t>
      </w:r>
      <w:r w:rsidR="00354BC8" w:rsidRPr="0077533D">
        <w:t xml:space="preserve"> </w:t>
      </w:r>
      <w:r w:rsidR="00991AD9">
        <w:t xml:space="preserve">the </w:t>
      </w:r>
      <w:r w:rsidR="00354BC8" w:rsidRPr="0077533D">
        <w:t xml:space="preserve">soluble dose required to cause a 50% reduction in </w:t>
      </w:r>
      <w:r w:rsidR="00354BC8" w:rsidRPr="0077533D">
        <w:rPr>
          <w:i/>
        </w:rPr>
        <w:t>E. coli</w:t>
      </w:r>
      <w:r w:rsidR="00354BC8" w:rsidRPr="0077533D">
        <w:t xml:space="preserve"> growth was strongly clustered – for all </w:t>
      </w:r>
      <w:r w:rsidR="00991AD9">
        <w:t xml:space="preserve">particle </w:t>
      </w:r>
      <w:r w:rsidR="00354BC8" w:rsidRPr="0077533D">
        <w:t xml:space="preserve">formulations – </w:t>
      </w:r>
      <w:r w:rsidR="00CD6E4B" w:rsidRPr="00991AD9">
        <w:t>at 14.5 mg/L (10 – 19 mg/L 90% confidence interval)</w:t>
      </w:r>
      <w:r w:rsidR="00354BC8" w:rsidRPr="0077533D">
        <w:t xml:space="preserve">. </w:t>
      </w:r>
      <w:r w:rsidR="00CD6E4B" w:rsidRPr="00991AD9">
        <w:t>By comparison</w:t>
      </w:r>
      <w:r w:rsidR="00991AD9" w:rsidRPr="0077533D">
        <w:t>,</w:t>
      </w:r>
      <w:r w:rsidR="00CD6E4B" w:rsidRPr="00991AD9">
        <w:t xml:space="preserve"> total copper levels associated with the same </w:t>
      </w:r>
      <w:r w:rsidR="00991AD9" w:rsidRPr="0077533D">
        <w:t>reduction in viability</w:t>
      </w:r>
      <w:r w:rsidR="00991AD9" w:rsidRPr="00991AD9">
        <w:t xml:space="preserve"> </w:t>
      </w:r>
      <w:r w:rsidR="00CD6E4B" w:rsidRPr="00991AD9">
        <w:t xml:space="preserve">varied widely (45-549 mg/L). </w:t>
      </w:r>
      <w:r w:rsidR="00C604FC" w:rsidRPr="00991AD9">
        <w:t>Finally, in favour of this soluble product dominance in terms of antimicrobial activity, copper had low association with</w:t>
      </w:r>
      <w:r w:rsidR="00C604FC">
        <w:t xml:space="preserve"> bacterial membrane (something both soluble and parti</w:t>
      </w:r>
      <w:r w:rsidR="00075E07">
        <w:t>culate materials could do) but showed high intra-</w:t>
      </w:r>
      <w:r w:rsidR="00C604FC">
        <w:t>bacterial levels (something only soluble copper could do).</w:t>
      </w:r>
    </w:p>
    <w:p w14:paraId="1526B813" w14:textId="16A1DD4D" w:rsidR="0058068F" w:rsidRDefault="00343388" w:rsidP="00343388">
      <w:pPr>
        <w:spacing w:after="0" w:line="480" w:lineRule="auto"/>
        <w:contextualSpacing/>
        <w:jc w:val="both"/>
      </w:pPr>
      <w:r w:rsidRPr="00343388">
        <w:rPr>
          <w:b/>
        </w:rPr>
        <w:t>Conclusion.</w:t>
      </w:r>
      <w:r>
        <w:t xml:space="preserve"> </w:t>
      </w:r>
      <w:r w:rsidR="008D6BFE">
        <w:t xml:space="preserve">Taken together our data show that </w:t>
      </w:r>
      <w:r w:rsidR="004B21CB">
        <w:t>it is</w:t>
      </w:r>
      <w:r w:rsidR="008D6BFE">
        <w:t xml:space="preserve"> the uptake of soluble but not particulate copper</w:t>
      </w:r>
      <w:r w:rsidR="00CD6E4B">
        <w:t>,</w:t>
      </w:r>
      <w:r w:rsidR="008D6BFE">
        <w:t xml:space="preserve"> and the intracellular</w:t>
      </w:r>
      <w:r w:rsidR="004B21CB">
        <w:t xml:space="preserve"> loading not just contact and membrane association</w:t>
      </w:r>
      <w:r w:rsidR="008D6BFE">
        <w:t>, that drive</w:t>
      </w:r>
      <w:r w:rsidR="00CD6E4B">
        <w:t>s</w:t>
      </w:r>
      <w:r w:rsidR="008D6BFE">
        <w:t xml:space="preserve"> copper toxicity to bacteria. Therapeutic strategies for novel antimicrobial copper compounds should consider these findings.</w:t>
      </w:r>
      <w:r w:rsidR="0058068F">
        <w:br w:type="page"/>
      </w:r>
    </w:p>
    <w:p w14:paraId="60F0FFF2" w14:textId="77777777" w:rsidR="003752AF" w:rsidRDefault="003752AF">
      <w:pPr>
        <w:rPr>
          <w:rFonts w:cstheme="majorHAnsi"/>
          <w:b/>
          <w:color w:val="000000" w:themeColor="text1"/>
          <w:sz w:val="28"/>
        </w:rPr>
      </w:pPr>
      <w:r>
        <w:rPr>
          <w:rFonts w:cstheme="majorHAnsi"/>
          <w:b/>
          <w:color w:val="000000" w:themeColor="text1"/>
          <w:sz w:val="28"/>
        </w:rPr>
        <w:lastRenderedPageBreak/>
        <w:t>Graphical Abstract</w:t>
      </w:r>
    </w:p>
    <w:p w14:paraId="65080D5B" w14:textId="5C6BD2C3" w:rsidR="003752AF" w:rsidRPr="003752AF" w:rsidRDefault="003752AF">
      <w:pPr>
        <w:rPr>
          <w:rFonts w:cstheme="majorHAnsi"/>
          <w:b/>
          <w:color w:val="000000" w:themeColor="text1"/>
          <w:sz w:val="28"/>
        </w:rPr>
      </w:pPr>
      <w:r w:rsidRPr="003752AF">
        <w:rPr>
          <w:rFonts w:cstheme="majorHAnsi"/>
          <w:b/>
          <w:noProof/>
          <w:color w:val="000000" w:themeColor="text1"/>
          <w:sz w:val="28"/>
          <w:lang w:eastAsia="en-GB"/>
        </w:rPr>
        <w:drawing>
          <wp:inline distT="0" distB="0" distL="0" distR="0" wp14:anchorId="2BB03A41" wp14:editId="67355699">
            <wp:extent cx="5731510" cy="3886045"/>
            <wp:effectExtent l="0" t="0" r="2540" b="635"/>
            <wp:docPr id="1" name="Picture 1" descr="V:\Publications\2019_Paper CuNPs Dissolution\NanoImpact Submission\Graphical Abstrac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Publications\2019_Paper CuNPs Dissolution\NanoImpact Submission\Graphical Abstract.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3886045"/>
                    </a:xfrm>
                    <a:prstGeom prst="rect">
                      <a:avLst/>
                    </a:prstGeom>
                    <a:noFill/>
                    <a:ln>
                      <a:noFill/>
                    </a:ln>
                  </pic:spPr>
                </pic:pic>
              </a:graphicData>
            </a:graphic>
          </wp:inline>
        </w:drawing>
      </w:r>
      <w:r>
        <w:rPr>
          <w:rFonts w:cstheme="majorHAnsi"/>
          <w:b/>
          <w:color w:val="000000" w:themeColor="text1"/>
          <w:sz w:val="28"/>
        </w:rPr>
        <w:br w:type="page"/>
      </w:r>
    </w:p>
    <w:p w14:paraId="6B892B66" w14:textId="1F6AF364" w:rsidR="0058068F" w:rsidRPr="003752AF" w:rsidRDefault="003752AF" w:rsidP="00E60038">
      <w:pPr>
        <w:pStyle w:val="Heading2"/>
        <w:spacing w:before="0" w:line="480" w:lineRule="auto"/>
        <w:rPr>
          <w:rFonts w:asciiTheme="minorHAnsi" w:hAnsiTheme="minorHAnsi" w:cstheme="majorHAnsi"/>
          <w:b/>
          <w:color w:val="000000" w:themeColor="text1"/>
          <w:sz w:val="28"/>
        </w:rPr>
      </w:pPr>
      <w:r w:rsidRPr="003752AF">
        <w:rPr>
          <w:rFonts w:asciiTheme="minorHAnsi" w:hAnsiTheme="minorHAnsi" w:cstheme="majorHAnsi"/>
          <w:b/>
          <w:color w:val="000000" w:themeColor="text1"/>
          <w:sz w:val="28"/>
        </w:rPr>
        <w:lastRenderedPageBreak/>
        <w:t>Keywords</w:t>
      </w:r>
    </w:p>
    <w:p w14:paraId="4C13B474" w14:textId="2585F1B3" w:rsidR="00343388" w:rsidRPr="00422887" w:rsidRDefault="00930A07" w:rsidP="00E60038">
      <w:pPr>
        <w:spacing w:after="0" w:line="480" w:lineRule="auto"/>
      </w:pPr>
      <w:r w:rsidRPr="00422887">
        <w:t>Copper</w:t>
      </w:r>
      <w:r w:rsidR="002C04DC" w:rsidRPr="00422887">
        <w:t>;</w:t>
      </w:r>
      <w:r w:rsidR="00343388" w:rsidRPr="00422887">
        <w:t xml:space="preserve"> antimicrobial; nanoparticle; </w:t>
      </w:r>
      <w:proofErr w:type="spellStart"/>
      <w:r w:rsidR="002C04DC" w:rsidRPr="00422887">
        <w:t>nano</w:t>
      </w:r>
      <w:proofErr w:type="spellEnd"/>
      <w:r w:rsidR="002C04DC" w:rsidRPr="00422887">
        <w:t>; a</w:t>
      </w:r>
      <w:r w:rsidR="00343388" w:rsidRPr="00422887">
        <w:t>ntibacterial</w:t>
      </w:r>
      <w:r w:rsidR="005B0AAA" w:rsidRPr="00422887">
        <w:t xml:space="preserve">; </w:t>
      </w:r>
    </w:p>
    <w:p w14:paraId="78A6A75E" w14:textId="593A5526" w:rsidR="00343388" w:rsidRPr="00422887" w:rsidRDefault="00343388" w:rsidP="00E60038">
      <w:pPr>
        <w:spacing w:after="0" w:line="480" w:lineRule="auto"/>
      </w:pPr>
    </w:p>
    <w:p w14:paraId="22CF249C" w14:textId="64E9EBFE" w:rsidR="008D019B" w:rsidRPr="003752AF" w:rsidRDefault="003752AF" w:rsidP="00E60038">
      <w:pPr>
        <w:spacing w:after="0" w:line="480" w:lineRule="auto"/>
      </w:pPr>
      <w:r>
        <w:rPr>
          <w:rFonts w:cstheme="majorHAnsi"/>
          <w:b/>
          <w:color w:val="000000" w:themeColor="text1"/>
          <w:sz w:val="28"/>
        </w:rPr>
        <w:t>Abbreviations</w:t>
      </w:r>
    </w:p>
    <w:p w14:paraId="5AFFA1B4" w14:textId="77777777" w:rsidR="008D019B" w:rsidRDefault="008D019B" w:rsidP="00E60038">
      <w:pPr>
        <w:spacing w:after="0" w:line="480" w:lineRule="auto"/>
      </w:pPr>
      <w:r>
        <w:t xml:space="preserve">BMD – Benchmark Dose </w:t>
      </w:r>
    </w:p>
    <w:p w14:paraId="1BEB63DD" w14:textId="77777777" w:rsidR="008D019B" w:rsidRDefault="008D019B" w:rsidP="00E60038">
      <w:pPr>
        <w:spacing w:after="0" w:line="480" w:lineRule="auto"/>
      </w:pPr>
      <w:proofErr w:type="spellStart"/>
      <w:r>
        <w:t>CuNPs</w:t>
      </w:r>
      <w:proofErr w:type="spellEnd"/>
      <w:r>
        <w:t xml:space="preserve"> – elemental copper nanoparticles</w:t>
      </w:r>
    </w:p>
    <w:p w14:paraId="3062D739" w14:textId="77777777" w:rsidR="008D019B" w:rsidRDefault="008D019B" w:rsidP="00E60038">
      <w:pPr>
        <w:spacing w:after="0" w:line="480" w:lineRule="auto"/>
      </w:pPr>
      <w:proofErr w:type="spellStart"/>
      <w:r>
        <w:t>CuO</w:t>
      </w:r>
      <w:proofErr w:type="spellEnd"/>
      <w:r>
        <w:t xml:space="preserve"> NPs – copper oxide nanoparticles</w:t>
      </w:r>
    </w:p>
    <w:p w14:paraId="5AE7798D" w14:textId="77777777" w:rsidR="008D019B" w:rsidRDefault="008D019B" w:rsidP="00E60038">
      <w:pPr>
        <w:spacing w:after="0" w:line="480" w:lineRule="auto"/>
      </w:pPr>
      <w:proofErr w:type="spellStart"/>
      <w:r w:rsidRPr="0058247F">
        <w:t>CuSi</w:t>
      </w:r>
      <w:proofErr w:type="spellEnd"/>
      <w:r w:rsidRPr="0058247F">
        <w:t xml:space="preserve"> NPs – silicate- stabilised co</w:t>
      </w:r>
      <w:r>
        <w:t>pper hydroxide nanoparticles</w:t>
      </w:r>
    </w:p>
    <w:p w14:paraId="7D2EF9E0" w14:textId="77777777" w:rsidR="008D019B" w:rsidRPr="000E6986" w:rsidRDefault="008D019B" w:rsidP="00E60038">
      <w:pPr>
        <w:spacing w:after="0" w:line="480" w:lineRule="auto"/>
      </w:pPr>
      <w:r w:rsidRPr="0058247F">
        <w:t xml:space="preserve">DLS </w:t>
      </w:r>
      <w:r>
        <w:t>–</w:t>
      </w:r>
      <w:r w:rsidRPr="0058247F">
        <w:t xml:space="preserve"> Dynamic</w:t>
      </w:r>
      <w:r>
        <w:t xml:space="preserve"> Light Scattering</w:t>
      </w:r>
    </w:p>
    <w:p w14:paraId="0E34F68C" w14:textId="77777777" w:rsidR="008D019B" w:rsidRPr="008D019B" w:rsidRDefault="008D019B" w:rsidP="00E60038">
      <w:pPr>
        <w:spacing w:after="0" w:line="480" w:lineRule="auto"/>
      </w:pPr>
      <w:r w:rsidRPr="00AA526C">
        <w:rPr>
          <w:i/>
        </w:rPr>
        <w:t>E. coli</w:t>
      </w:r>
      <w:r w:rsidRPr="008D019B">
        <w:t xml:space="preserve"> – </w:t>
      </w:r>
      <w:r w:rsidRPr="00AA526C">
        <w:rPr>
          <w:i/>
        </w:rPr>
        <w:t>Escherichia coli</w:t>
      </w:r>
    </w:p>
    <w:p w14:paraId="20E30931" w14:textId="77777777" w:rsidR="008D019B" w:rsidRPr="000E6986" w:rsidRDefault="008D019B" w:rsidP="00E60038">
      <w:pPr>
        <w:spacing w:after="0" w:line="480" w:lineRule="auto"/>
      </w:pPr>
      <w:r w:rsidRPr="000E6986">
        <w:t>EFSA – European Food</w:t>
      </w:r>
      <w:r>
        <w:t xml:space="preserve"> Safety Authority</w:t>
      </w:r>
    </w:p>
    <w:p w14:paraId="40E45659" w14:textId="77777777" w:rsidR="008D019B" w:rsidRPr="000E6986" w:rsidRDefault="008D019B" w:rsidP="00E60038">
      <w:pPr>
        <w:spacing w:after="0" w:line="480" w:lineRule="auto"/>
      </w:pPr>
      <w:r w:rsidRPr="000E6986">
        <w:t xml:space="preserve">FT-IR – Fourier Transform – Infra Red  </w:t>
      </w:r>
    </w:p>
    <w:p w14:paraId="12D15AFE" w14:textId="77777777" w:rsidR="008D019B" w:rsidRDefault="008D019B" w:rsidP="00E60038">
      <w:pPr>
        <w:spacing w:after="0" w:line="480" w:lineRule="auto"/>
      </w:pPr>
      <w:r w:rsidRPr="0058247F">
        <w:t>HMM – Heavy Metal MO</w:t>
      </w:r>
      <w:r>
        <w:t>PS medium</w:t>
      </w:r>
    </w:p>
    <w:p w14:paraId="049C80C5" w14:textId="61E2652B" w:rsidR="008D019B" w:rsidRDefault="008D019B" w:rsidP="00E60038">
      <w:pPr>
        <w:spacing w:after="0" w:line="480" w:lineRule="auto"/>
      </w:pPr>
      <w:r>
        <w:t>ICP-OES – Inductively Coupled Plasma – Optical Emission Spectro</w:t>
      </w:r>
      <w:r w:rsidR="002C04DC">
        <w:t>metr</w:t>
      </w:r>
      <w:r>
        <w:t>y</w:t>
      </w:r>
    </w:p>
    <w:p w14:paraId="0304A56A" w14:textId="77777777" w:rsidR="008D019B" w:rsidRDefault="008D019B" w:rsidP="00E60038">
      <w:pPr>
        <w:spacing w:after="0" w:line="480" w:lineRule="auto"/>
      </w:pPr>
      <w:r>
        <w:t xml:space="preserve">MOPS – </w:t>
      </w:r>
      <w:r w:rsidRPr="0058247F">
        <w:t>3</w:t>
      </w:r>
      <w:r>
        <w:t xml:space="preserve"> </w:t>
      </w:r>
      <w:r w:rsidRPr="0058247F">
        <w:t>-(N-</w:t>
      </w:r>
      <w:proofErr w:type="gramStart"/>
      <w:r w:rsidRPr="0058247F">
        <w:t>morpholino)</w:t>
      </w:r>
      <w:proofErr w:type="spellStart"/>
      <w:r w:rsidRPr="0058247F">
        <w:t>propanesulfonic</w:t>
      </w:r>
      <w:proofErr w:type="spellEnd"/>
      <w:proofErr w:type="gramEnd"/>
      <w:r w:rsidRPr="0058247F">
        <w:t xml:space="preserve"> acid</w:t>
      </w:r>
    </w:p>
    <w:p w14:paraId="644A8E8D" w14:textId="77777777" w:rsidR="008D019B" w:rsidRDefault="008D019B" w:rsidP="00E60038">
      <w:pPr>
        <w:spacing w:after="0" w:line="480" w:lineRule="auto"/>
      </w:pPr>
      <w:r>
        <w:t>OD – Optical Density</w:t>
      </w:r>
    </w:p>
    <w:p w14:paraId="1B4B9629" w14:textId="77777777" w:rsidR="008D019B" w:rsidRDefault="008D019B" w:rsidP="00E60038">
      <w:pPr>
        <w:spacing w:after="0" w:line="480" w:lineRule="auto"/>
      </w:pPr>
      <w:r>
        <w:t>SLS – Static Light Scattering</w:t>
      </w:r>
    </w:p>
    <w:p w14:paraId="3DCC72B2" w14:textId="77777777" w:rsidR="008D019B" w:rsidRDefault="008D019B" w:rsidP="00E60038">
      <w:pPr>
        <w:spacing w:after="0" w:line="480" w:lineRule="auto"/>
      </w:pPr>
      <w:r>
        <w:t>TBS – Tryptic Soy Broth medium</w:t>
      </w:r>
    </w:p>
    <w:p w14:paraId="6758DB4C" w14:textId="77777777" w:rsidR="008D019B" w:rsidRDefault="008D019B" w:rsidP="00E60038">
      <w:pPr>
        <w:spacing w:after="0" w:line="480" w:lineRule="auto"/>
      </w:pPr>
      <w:proofErr w:type="spellStart"/>
      <w:r>
        <w:t>ToF</w:t>
      </w:r>
      <w:proofErr w:type="spellEnd"/>
      <w:r>
        <w:t>-SIMS – Time-of-Flight Secondary Ion Mass Spectrometry</w:t>
      </w:r>
    </w:p>
    <w:p w14:paraId="36DBF984" w14:textId="34A3FAE3" w:rsidR="0058068F" w:rsidRPr="00343388" w:rsidRDefault="008D019B" w:rsidP="00E60038">
      <w:pPr>
        <w:spacing w:after="0" w:line="480" w:lineRule="auto"/>
      </w:pPr>
      <w:r>
        <w:t xml:space="preserve">UHP – Ultra high purity </w:t>
      </w:r>
      <w:r w:rsidR="0058068F">
        <w:rPr>
          <w:b/>
          <w:color w:val="000000" w:themeColor="text1"/>
          <w:sz w:val="28"/>
        </w:rPr>
        <w:br w:type="page"/>
      </w:r>
    </w:p>
    <w:p w14:paraId="256F93C0" w14:textId="7978A974" w:rsidR="001114C1" w:rsidRPr="00392467" w:rsidRDefault="00392467" w:rsidP="00343388">
      <w:pPr>
        <w:pStyle w:val="Heading1"/>
        <w:numPr>
          <w:ilvl w:val="0"/>
          <w:numId w:val="5"/>
        </w:numPr>
        <w:spacing w:before="0" w:after="0" w:line="480" w:lineRule="auto"/>
        <w:ind w:left="714" w:hanging="357"/>
        <w:rPr>
          <w:rFonts w:asciiTheme="minorHAnsi" w:hAnsiTheme="minorHAnsi"/>
          <w:b/>
          <w:color w:val="000000" w:themeColor="text1"/>
          <w:sz w:val="28"/>
        </w:rPr>
      </w:pPr>
      <w:r>
        <w:rPr>
          <w:rFonts w:asciiTheme="minorHAnsi" w:hAnsiTheme="minorHAnsi"/>
          <w:b/>
          <w:color w:val="000000" w:themeColor="text1"/>
          <w:sz w:val="28"/>
        </w:rPr>
        <w:lastRenderedPageBreak/>
        <w:t>Introduction</w:t>
      </w:r>
    </w:p>
    <w:p w14:paraId="125AA174" w14:textId="329AF510" w:rsidR="00B209F3" w:rsidRPr="00FB5C54" w:rsidRDefault="00A929D3" w:rsidP="00140CD1">
      <w:pPr>
        <w:spacing w:after="0" w:line="480" w:lineRule="auto"/>
        <w:jc w:val="both"/>
      </w:pPr>
      <w:proofErr w:type="spellStart"/>
      <w:r>
        <w:t>N</w:t>
      </w:r>
      <w:r w:rsidR="0013235C">
        <w:t>anostructuring</w:t>
      </w:r>
      <w:proofErr w:type="spellEnd"/>
      <w:r w:rsidR="0013235C">
        <w:t xml:space="preserve"> of materials </w:t>
      </w:r>
      <w:r w:rsidR="00A35CE3">
        <w:t xml:space="preserve">may </w:t>
      </w:r>
      <w:r w:rsidR="0013235C">
        <w:t>le</w:t>
      </w:r>
      <w:r w:rsidR="00A35CE3">
        <w:t>a</w:t>
      </w:r>
      <w:r w:rsidR="0013235C">
        <w:t xml:space="preserve">d to changes in </w:t>
      </w:r>
      <w:r w:rsidR="00A35CE3">
        <w:t>physicochemical properties, beyond size differences,</w:t>
      </w:r>
      <w:r w:rsidR="00B209F3">
        <w:t xml:space="preserve"> when compared to the bulk material</w:t>
      </w:r>
      <w:r w:rsidR="00A35CE3">
        <w:t xml:space="preserve"> counterparts</w:t>
      </w:r>
      <w:r w:rsidR="00343388">
        <w:t xml:space="preserve"> </w:t>
      </w:r>
      <w:r w:rsidR="00B3007F">
        <w:fldChar w:fldCharType="begin" w:fldLock="1"/>
      </w:r>
      <w:r w:rsidR="00454102">
        <w:instrText>ADDIN CSL_CITATION {"citationItems":[{"id":"ITEM-1","itemData":{"DOI":"10.1016/j.addr.2017.12.010","ISSN":"0169-409X","abstract":"With the dramatic consequences of bacterial resistance to antibiotics, nanomaterials and molecular transporters have started to be investigated as alternative antibacterials or anti-infective carrier systems to improve the internalization of bactericidal drugs. However, the capability of nanomaterials/molecular transporters to overcome the bacterial cell envelope is poorly understood. It is critical to consider the sophisticated architecture of bacterial envelopes and reflect how nanomaterials/molecular transporters can interact with these envelopes, being the major aim of this review. The first part of this manuscript overviews the permeability of bacterial envelopes and how it limits the internalization of common antibiotic and novel oligonucleotide drugs. Subsequently we critically discuss the mechanisms that allow nanomaterials/molecular transporters to overcome the bacterial envelopes, focusing on the most promising ones to this end – siderophores, cyclodextrins, metal nanoparticles, antimicrobial/cell-penetrating peptides and fusogenic liposomes. This review may stimulate drug delivery and microbiology scientists in designing effective nanomaterials/molecular transporters against bacterial infections.","author":[{"dropping-particle":"","family":"Santos","given":"Rita S","non-dropping-particle":"","parse-names":false,"suffix":""},{"dropping-particle":"","family":"Figueiredo","given":"Céu","non-dropping-particle":"","parse-names":false,"suffix":""},{"dropping-particle":"","family":"Azevedo","given":"Nuno F","non-dropping-particle":"","parse-names":false,"suffix":""},{"dropping-particle":"","family":"Braeckmans","given":"Kevin","non-dropping-particle":"","parse-names":false,"suffix":""},{"dropping-particle":"De","family":"Smedt","given":"Stefaan C","non-dropping-particle":"","parse-names":false,"suffix":""}],"container-title":"Advanced Drug Delivery Reviews","id":"ITEM-1","issued":{"date-parts":[["2018"]]},"note":"Editors' Collection 2018","page":"28-48","title":"Nanomaterials and molecular transporters to overcome the bacterial envelope barrier: Towards advanced delivery of antibiotics","type":"article-journal","volume":"136-137"},"uris":["http://www.mendeley.com/documents/?uuid=007fbe7a-0db0-4ee0-8c3c-101e11cf06f6"]},{"id":"ITEM-2","itemData":{"DOI":"10.1098/rsif.2013.0931","ISSN":"1742-5662","abstract":"The physico-chemical properties of colloidal nanoparticles (NPs) are influenced by their local environment, as, in turn, the local environment influences the physico-chemical properties of the NPs. In other words, the local environment around NPs has a profound impact on the NPs, and it is different from bulk due to interaction with the NP surface. So far, this important effect has not been addressed in a comprehensive way in the literature. The vicinity of NPs can be sensitively influenced by local ions and ligands, with effects already occurring at extremely low concentrations. NPs in the Hückel regime are more sensitive to fluctuations in the ionic environment, because of a larger Debye length. The local ion concentration hereby affects the colloidal stability of the NPs, as it is different from bulk owing to Debye Hückel screening caused by the charge of the NPs. This can have subtle effects, now caused by the environment to the performance of the NP, such as for example a buffering effect caused by surface reaction on ultrapure ligand-free nanogold, a size quenching effect in the presence of specific ions and a significant impact on fluorophore-labelled NPs acting as ion sensors. Thus, the aim of this review is to clarify and give an unifying view of the complex interplay between the NP's surface with their nanoenvironment.","author":[{"dropping-particle":"","family":"Pfeiffer","given":"Christian","non-dropping-particle":"","parse-names":false,"suffix":""},{"dropping-particle":"","family":"Rehbock","given":"Christoph","non-dropping-particle":"","parse-names":false,"suffix":""},{"dropping-particle":"","family":"Hühn","given":"Dominik","non-dropping-particle":"","parse-names":false,"suffix":""},{"dropping-particle":"","family":"Carrillo-Carrion","given":"Carolina","non-dropping-particle":"","parse-names":false,"suffix":""},{"dropping-particle":"","family":"Aberasturi","given":"Dorleta Jimenez","non-dropping-particle":"de","parse-names":false,"suffix":""},{"dropping-particle":"","family":"Merk","given":"Vivian","non-dropping-particle":"","parse-names":false,"suffix":""},{"dropping-particle":"","family":"Barcikowski","given":"Stephan","non-dropping-particle":"","parse-names":false,"suffix":""},{"dropping-particle":"","family":"Parak","given":"Wolfgang J","non-dropping-particle":"","parse-names":false,"suffix":""}],"container-title":"Journal of the Royal Society, Interface","id":"ITEM-2","issue":"96","issued":{"date-parts":[["2014"]]},"language":"eng","note":"Shows that the effect of nanoparticles in comparison to bulk is not just due to size, the atmosphere around is also different and plays a key role.","page":"20130931","publisher":"The Royal Society","title":"Interaction of colloidal nanoparticles with their local environment: the (ionic) nanoenvironment around nanoparticles is different from bulk and determines the physico-chemical properties of the nanoparticles","type":"article-journal","volume":"11"},"uris":["http://www.mendeley.com/documents/?uuid=479d129a-12a3-4bb2-b879-b4ea68a253d7"]}],"mendeley":{"formattedCitation":"(Pfeiffer et al., 2014; Santos et al., 2018)","plainTextFormattedCitation":"(Pfeiffer et al., 2014; Santos et al., 2018)","previouslyFormattedCitation":"(Pfeiffer et al., 2014; Santos et al., 2018)"},"properties":{"noteIndex":0},"schema":"https://github.com/citation-style-language/schema/raw/master/csl-citation.json"}</w:instrText>
      </w:r>
      <w:r w:rsidR="00B3007F">
        <w:fldChar w:fldCharType="separate"/>
      </w:r>
      <w:r w:rsidR="00C062B3" w:rsidRPr="00C062B3">
        <w:rPr>
          <w:noProof/>
        </w:rPr>
        <w:t>(Pfeiffer et al., 2014; Santos et al., 2018)</w:t>
      </w:r>
      <w:r w:rsidR="00B3007F">
        <w:fldChar w:fldCharType="end"/>
      </w:r>
      <w:r w:rsidR="00343388">
        <w:t>.</w:t>
      </w:r>
      <w:r w:rsidR="00B209F3">
        <w:t xml:space="preserve"> Whilst this</w:t>
      </w:r>
      <w:r w:rsidR="00A35CE3">
        <w:t xml:space="preserve"> </w:t>
      </w:r>
      <w:r w:rsidR="00B209F3">
        <w:t xml:space="preserve">can </w:t>
      </w:r>
      <w:r w:rsidR="00A35CE3">
        <w:t xml:space="preserve">create novel applications and commercial </w:t>
      </w:r>
      <w:r w:rsidR="00B209F3">
        <w:t xml:space="preserve">opportunities, it </w:t>
      </w:r>
      <w:r w:rsidR="0013235C">
        <w:t>has also brought about concerns over</w:t>
      </w:r>
      <w:r w:rsidR="006C6B40">
        <w:t xml:space="preserve"> exposure</w:t>
      </w:r>
      <w:r w:rsidR="0013235C">
        <w:t xml:space="preserve"> </w:t>
      </w:r>
      <w:r w:rsidR="006C6B40">
        <w:t xml:space="preserve">and </w:t>
      </w:r>
      <w:r w:rsidR="0013235C">
        <w:t>safety</w:t>
      </w:r>
      <w:r w:rsidR="006C6B40">
        <w:t xml:space="preserve"> for humans, </w:t>
      </w:r>
      <w:r w:rsidR="0013235C">
        <w:t xml:space="preserve">other animals </w:t>
      </w:r>
      <w:r w:rsidR="006C6B40">
        <w:t xml:space="preserve">and the </w:t>
      </w:r>
      <w:r w:rsidR="0013235C">
        <w:t>environment</w:t>
      </w:r>
      <w:r w:rsidR="00343388">
        <w:t xml:space="preserve"> </w:t>
      </w:r>
      <w:r w:rsidR="002B4BBC" w:rsidRPr="00FB5C54">
        <w:fldChar w:fldCharType="begin" w:fldLock="1"/>
      </w:r>
      <w:r w:rsidR="002A7491" w:rsidRPr="00FB5C54">
        <w:instrText>ADDIN CSL_CITATION {"citationItems":[{"id":"ITEM-1","itemData":{"DOI":"10.1038/s41538-017-0005-1","ISSN":"2396-8370","abstract":"Nanotechnology offers the food industry a number of new approaches for improving the quality, shelf life, safety, and healthiness of foods. Nevertheless, there is concern from consumers, regulatory agencies, and the food industry about potential adverse effects (toxicity) associated with the application of nanotechnology in foods. In particular, there is concern about the direct incorporation of engineered nanoparticles into foods, such as those used as delivery systems for colors, flavors, preservatives, nutrients, and nutraceuticals, or those used to modify the optical, rheological, or flow properties of foods or food packaging. This review article summarizes the application of both inorganic (silver, iron oxide, titanium dioxide, silicon dioxide, and zinc oxide) and organic (lipid, protein, and carbohydrate) nanoparticles in foods, highlights the most important nanoparticle characteristics that influence their behavior, discusses the importance of food matrix and gastrointestinal tract effects on nanoparticle properties, emphasizes potential toxicity mechanisms of different food-grade nanoparticles, and stresses important areas where research is still needed. The authors note that nanoparticles are already present in many natural and processed foods, and that new kinds of nanoparticles may be utilized as functional ingredients by the food industry in the future. Many of these nanoparticles are unlikely to have adverse affects on human health, but there is evidence that some of them could have harmful effects and that future studies are required.","author":[{"dropping-particle":"","family":"McClements","given":"David Julian","non-dropping-particle":"","parse-names":false,"suffix":""},{"dropping-particle":"","family":"Xiao","given":"Hang","non-dropping-particle":"","parse-names":false,"suffix":""}],"container-title":"npj Science of Food","id":"ITEM-1","issue":"1","issued":{"date-parts":[["2017"]]},"page":"6","title":"Is nano safe in foods? Establishing the factors impacting the gastrointestinal fate and toxicity of organic and inorganic food-grade nanoparticles","type":"article-journal","volume":"1"},"uris":["http://www.mendeley.com/documents/?uuid=58bc6014-0314-4aff-a29e-aefb3fdbbd24"]},{"id":"ITEM-2","itemData":{"DOI":"10.1016/j.nantod.2017.09.001","ISSN":"1748-0132","abstract":"Nanomaterials, like carbon nanotubes, graphene, metal and metal oxide\nnanoparticles, are increasingly applied in a wide range of areas with\nnumerous benefits to economy and society. Large-scale production and\napplications of nanomaterials can increase the possibility of exposure\nto living organisms, pose risks to human health and ecosystems, and\npotentially lead to biodiversity losses. Previous environmental impact\nand safety studies that targeted nanomaterials typically focused on\ntheir toxicity, fate and behavior; little attention was paid on\nbiodiversity consequences. Evidence for acute biodiversity change\nderived from nanomaterials is very limited. Several organizations and\nresearchers have started to discern the relationship between\nbiodiversity and nanotechnology. Nevertheless, more efforts are desired\nto explore the impacts of nanomaterials on biodiversity. (C) 2017\nElsevier Ltd. All rights reserved.","author":[{"dropping-particle":"","family":"Chen","given":"Ming","non-dropping-particle":"","parse-names":false,"suffix":""},{"dropping-particle":"","family":"Qin","given":"Xiaosheng","non-dropping-particle":"","parse-names":false,"suffix":""},{"dropping-particle":"","family":"Zeng","given":"Guangming","non-dropping-particle":"","parse-names":false,"suffix":""}],"container-title":"NANO TODAY","id":"ITEM-2","issued":{"date-parts":[["2017"]]},"page":"11-13","publisher":"ELSEVIER SCI LTD","publisher-place":"THE BOULEVARD, LANGFORD LANE, KIDLINGTON, OXFORD OX5 1GB, OXON, ENGLAND","title":"Biodiversity change behind wide applications of nanomaterials?","type":"article-journal","volume":"17"},"uris":["http://www.mendeley.com/documents/?uuid=17ab987f-b229-43ff-b306-7c6f9ab57c9b"]}],"mendeley":{"formattedCitation":"(Chen et al., 2017; McClements and Xiao, 2017)","plainTextFormattedCitation":"(Chen et al., 2017; McClements and Xiao, 2017)","previouslyFormattedCitation":"(Chen et al., 2017; McClements and Xiao, 2017)"},"properties":{"noteIndex":0},"schema":"https://github.com/citation-style-language/schema/raw/master/csl-citation.json"}</w:instrText>
      </w:r>
      <w:r w:rsidR="002B4BBC" w:rsidRPr="00FB5C54">
        <w:fldChar w:fldCharType="separate"/>
      </w:r>
      <w:r w:rsidR="003724C3" w:rsidRPr="00FB5C54">
        <w:rPr>
          <w:noProof/>
        </w:rPr>
        <w:t>(Chen et al., 2017; McClements and Xiao, 2017)</w:t>
      </w:r>
      <w:r w:rsidR="002B4BBC" w:rsidRPr="00FB5C54">
        <w:fldChar w:fldCharType="end"/>
      </w:r>
      <w:r w:rsidR="00343388" w:rsidRPr="00FB5C54">
        <w:t>.</w:t>
      </w:r>
      <w:r w:rsidR="0013235C" w:rsidRPr="00FB5C54">
        <w:t xml:space="preserve"> </w:t>
      </w:r>
    </w:p>
    <w:p w14:paraId="39F08F52" w14:textId="79DB7340" w:rsidR="0013235C" w:rsidRPr="00655FE1" w:rsidRDefault="0013235C" w:rsidP="00B209F3">
      <w:pPr>
        <w:spacing w:after="0" w:line="480" w:lineRule="auto"/>
        <w:jc w:val="both"/>
      </w:pPr>
      <w:r w:rsidRPr="00FB5C54">
        <w:t xml:space="preserve">Copper </w:t>
      </w:r>
      <w:r w:rsidR="00307A1D" w:rsidRPr="00FB5C54">
        <w:t>has</w:t>
      </w:r>
      <w:r w:rsidR="00B3007F" w:rsidRPr="00FB5C54">
        <w:t xml:space="preserve"> </w:t>
      </w:r>
      <w:r w:rsidR="00BA2634" w:rsidRPr="00FB5C54">
        <w:t>broad</w:t>
      </w:r>
      <w:r w:rsidR="005F5801" w:rsidRPr="00FB5C54">
        <w:t>-</w:t>
      </w:r>
      <w:r w:rsidR="00BA2634" w:rsidRPr="00FB5C54">
        <w:t>spectrum</w:t>
      </w:r>
      <w:r w:rsidR="000D3D43" w:rsidRPr="00FB5C54">
        <w:t xml:space="preserve"> </w:t>
      </w:r>
      <w:r w:rsidR="00B3007F" w:rsidRPr="00FB5C54">
        <w:t>antimicrobial properties</w:t>
      </w:r>
      <w:r w:rsidR="00FB5C54" w:rsidRPr="00FB5C54">
        <w:t xml:space="preserve"> </w:t>
      </w:r>
      <w:r w:rsidR="00FB5C54" w:rsidRPr="00FB5C54">
        <w:fldChar w:fldCharType="begin" w:fldLock="1"/>
      </w:r>
      <w:r w:rsidR="000D3B4E">
        <w:instrText>ADDIN CSL_CITATION {"citationItems":[{"id":"ITEM-1","itemData":{"DOI":"10.1038/nrmicro3028","author":[{"dropping-particle":"","family":"Lemire","given":"Joseph A","non-dropping-particle":"","parse-names":false,"suffix":""},{"dropping-particle":"","family":"Harrison","given":"Joe J","non-dropping-particle":"","parse-names":false,"suffix":""},{"dropping-particle":"","family":"Turner","given":"Raymond J","non-dropping-particle":"","parse-names":false,"suffix":""}],"container-title":"Nature Reviews Microbiology","id":"ITEM-1","issued":{"date-parts":[["2013","5","13"]]},"page":"371","publisher":"Nature Publishing Group, a division of Macmillan Publishers Limited. All Rights Reserved.","title":"Antimicrobial activity of metals: mechanisms, molecular targets and applications","type":"article-journal","volume":"11"},"uris":["http://www.mendeley.com/documents/?uuid=263bf2f9-5dcf-4c25-aa18-558239b3ca75"]},{"id":"ITEM-2","itemData":{"DOI":"10.1007/s00253-013-5422-8","ISSN":"1432-0614","abstract":"Nanotechnology is an emerging branch of science, which has potential to solve many problems in different fields. The union of nanotechnology with other fields of sciences including physics, chemistry, and biology has brought the concept of synthesis of nanoparticles from their respective metals. Till date, many types of nanoparticles have been synthesized and being used in different fields for various applications. Moreover, copper nanoparticles attract biologists because of their significant and broad-spectrum bioactivity. Due to the large surface area to volume ratio, copper nanoparticles have been used as potential antimicrobial agent in many biomedical applications. But the excess use of any metal nanoparticles increase the chance of toxicity to humans, other living beings, and environment. In this article, we have critically reviewed the bioactivities and cytotoxicity of copper nanoparticles. We have also focused on possible mechanism involved in its interaction with microbes.","author":[{"dropping-particle":"","family":"Ingle","given":"Avinash P","non-dropping-particle":"","parse-names":false,"suffix":""},{"dropping-particle":"","family":"Duran","given":"Nelson","non-dropping-particle":"","parse-names":false,"suffix":""},{"dropping-particle":"","family":"Rai","given":"Mahendra","non-dropping-particle":"","parse-names":false,"suffix":""}],"container-title":"Applied Microbiology and Biotechnology","id":"ITEM-2","issue":"3","issued":{"date-parts":[["2014"]]},"page":"1001-1009","title":"Bioactivity, mechanism of action, and cytotoxicity of copper-based nanoparticles: A review","type":"article-journal","volume":"98"},"uris":["http://www.mendeley.com/documents/?uuid=f8bb0d53-98d6-499e-8e3a-7e64496bb4f3"]}],"mendeley":{"formattedCitation":"(Ingle et al., 2014; Lemire et al., 2013)","plainTextFormattedCitation":"(Ingle et al., 2014; Lemire et al., 2013)","previouslyFormattedCitation":"(Ingle et al., 2014; Lemire et al., 2013)"},"properties":{"noteIndex":0},"schema":"https://github.com/citation-style-language/schema/raw/master/csl-citation.json"}</w:instrText>
      </w:r>
      <w:r w:rsidR="00FB5C54" w:rsidRPr="00FB5C54">
        <w:fldChar w:fldCharType="separate"/>
      </w:r>
      <w:r w:rsidR="00FB5C54" w:rsidRPr="00FB5C54">
        <w:rPr>
          <w:noProof/>
        </w:rPr>
        <w:t>(Ingle et al., 2014; Lemire et al., 2013)</w:t>
      </w:r>
      <w:r w:rsidR="00FB5C54" w:rsidRPr="00FB5C54">
        <w:fldChar w:fldCharType="end"/>
      </w:r>
      <w:r w:rsidR="00654EED" w:rsidRPr="00FB5C54">
        <w:t>. This</w:t>
      </w:r>
      <w:r w:rsidRPr="00FB5C54">
        <w:t xml:space="preserve"> could be exploited for the</w:t>
      </w:r>
      <w:r w:rsidR="006C6B40" w:rsidRPr="00FB5C54">
        <w:t>rapeutic benefit</w:t>
      </w:r>
      <w:r w:rsidR="00140CD1" w:rsidRPr="00FB5C54">
        <w:t xml:space="preserve"> but</w:t>
      </w:r>
      <w:r w:rsidR="006C6B40" w:rsidRPr="00FB5C54">
        <w:t>,</w:t>
      </w:r>
      <w:r w:rsidR="00140CD1" w:rsidRPr="00FB5C54">
        <w:t xml:space="preserve"> equally, exposures </w:t>
      </w:r>
      <w:r w:rsidRPr="00FB5C54">
        <w:t xml:space="preserve">could </w:t>
      </w:r>
      <w:r w:rsidR="00654EED" w:rsidRPr="00FB5C54">
        <w:t>yield</w:t>
      </w:r>
      <w:r w:rsidRPr="00FB5C54">
        <w:t xml:space="preserve"> undesirable activi</w:t>
      </w:r>
      <w:r w:rsidRPr="00655FE1">
        <w:t xml:space="preserve">ty against symbiotic </w:t>
      </w:r>
      <w:r w:rsidR="00654EED">
        <w:t>bacteria</w:t>
      </w:r>
      <w:r w:rsidRPr="00655FE1">
        <w:t xml:space="preserve"> in the environment, the skin </w:t>
      </w:r>
      <w:r w:rsidR="00654EED">
        <w:t>or</w:t>
      </w:r>
      <w:r w:rsidRPr="00655FE1">
        <w:t xml:space="preserve"> the intestine (</w:t>
      </w:r>
      <w:r w:rsidR="006C6B40" w:rsidRPr="006C6B40">
        <w:rPr>
          <w:i/>
        </w:rPr>
        <w:t>i.e.</w:t>
      </w:r>
      <w:r w:rsidR="006C6B40">
        <w:t xml:space="preserve"> </w:t>
      </w:r>
      <w:r w:rsidRPr="00655FE1">
        <w:t>the microbiome</w:t>
      </w:r>
      <w:r w:rsidRPr="000D3B4E">
        <w:t xml:space="preserve">). </w:t>
      </w:r>
      <w:r w:rsidR="00307A1D" w:rsidRPr="000D3B4E">
        <w:t>So understanding copper-bacteria interaction is important</w:t>
      </w:r>
      <w:r w:rsidR="00FB5C54" w:rsidRPr="000D3B4E">
        <w:t xml:space="preserve"> </w:t>
      </w:r>
      <w:r w:rsidR="000D3B4E" w:rsidRPr="000D3B4E">
        <w:fldChar w:fldCharType="begin" w:fldLock="1"/>
      </w:r>
      <w:r w:rsidR="00C062B3">
        <w:instrText>ADDIN CSL_CITATION {"citationItems":[{"id":"ITEM-1","itemData":{"DOI":"10.1038/nrmicro3028","author":[{"dropping-particle":"","family":"Lemire","given":"Joseph A","non-dropping-particle":"","parse-names":false,"suffix":""},{"dropping-particle":"","family":"Harrison","given":"Joe J","non-dropping-particle":"","parse-names":false,"suffix":""},{"dropping-particle":"","family":"Turner","given":"Raymond J","non-dropping-particle":"","parse-names":false,"suffix":""}],"container-title":"Nature Reviews Microbiology","id":"ITEM-1","issued":{"date-parts":[["2013","5","13"]]},"page":"371","publisher":"Nature Publishing Group, a division of Macmillan Publishers Limited. All Rights Reserved.","title":"Antimicrobial activity of metals: mechanisms, molecular targets and applications","type":"article-journal","volume":"11"},"uris":["http://www.mendeley.com/documents/?uuid=263bf2f9-5dcf-4c25-aa18-558239b3ca75"]}],"mendeley":{"formattedCitation":"(Lemire et al., 2013)","plainTextFormattedCitation":"(Lemire et al., 2013)","previouslyFormattedCitation":"(Lemire et al., 2013)"},"properties":{"noteIndex":0},"schema":"https://github.com/citation-style-language/schema/raw/master/csl-citation.json"}</w:instrText>
      </w:r>
      <w:r w:rsidR="000D3B4E" w:rsidRPr="000D3B4E">
        <w:fldChar w:fldCharType="separate"/>
      </w:r>
      <w:r w:rsidR="000D3B4E" w:rsidRPr="000D3B4E">
        <w:rPr>
          <w:noProof/>
        </w:rPr>
        <w:t>(Lemire et al., 2013)</w:t>
      </w:r>
      <w:r w:rsidR="000D3B4E" w:rsidRPr="000D3B4E">
        <w:fldChar w:fldCharType="end"/>
      </w:r>
      <w:r w:rsidR="00307A1D" w:rsidRPr="000D3B4E">
        <w:t>.</w:t>
      </w:r>
      <w:r w:rsidR="00307A1D">
        <w:t xml:space="preserve"> </w:t>
      </w:r>
      <w:r w:rsidRPr="00655FE1">
        <w:t xml:space="preserve">How much the </w:t>
      </w:r>
      <w:proofErr w:type="spellStart"/>
      <w:r w:rsidRPr="00655FE1">
        <w:t>nanostructuring</w:t>
      </w:r>
      <w:proofErr w:type="spellEnd"/>
      <w:r>
        <w:t xml:space="preserve"> of copper-based materials governs their antimicrobial properties is not fully understood.</w:t>
      </w:r>
      <w:r w:rsidR="00654EED">
        <w:t xml:space="preserve"> Certainly </w:t>
      </w:r>
      <w:r w:rsidR="00926162">
        <w:t xml:space="preserve">this </w:t>
      </w:r>
      <w:proofErr w:type="spellStart"/>
      <w:r w:rsidR="00654EED">
        <w:t>nanostructuring</w:t>
      </w:r>
      <w:proofErr w:type="spellEnd"/>
      <w:r w:rsidR="00654EED">
        <w:t xml:space="preserve"> strateg</w:t>
      </w:r>
      <w:r w:rsidR="00926162">
        <w:t>y</w:t>
      </w:r>
      <w:r w:rsidR="00654EED">
        <w:t xml:space="preserve"> may be used to </w:t>
      </w:r>
      <w:r w:rsidR="006C6B40">
        <w:t xml:space="preserve">tailor </w:t>
      </w:r>
      <w:r w:rsidR="00654EED">
        <w:t>‘slow release’ properties for copper ions or to allow stable aqueous formulation</w:t>
      </w:r>
      <w:r w:rsidR="00F25780">
        <w:t>s</w:t>
      </w:r>
      <w:r w:rsidR="00654EED">
        <w:t xml:space="preserve"> of copper at high concentrations without issues with hydrolysis</w:t>
      </w:r>
      <w:r w:rsidR="00F25780">
        <w:t xml:space="preserve"> and precipitation</w:t>
      </w:r>
      <w:r w:rsidR="00343388">
        <w:t xml:space="preserve"> </w:t>
      </w:r>
      <w:r w:rsidR="00D26F6A">
        <w:fldChar w:fldCharType="begin" w:fldLock="1"/>
      </w:r>
      <w:r w:rsidR="002A7491">
        <w:instrText>ADDIN CSL_CITATION {"citationItems":[{"id":"ITEM-1","itemData":{"DOI":"10.1186/s11671-018-2520-7","ISSN":"1931-7573 (Print)","PMID":"29675656","abstract":"Bacterial resistance to antimicrobial therapies is an increasing clinical problem. This is as true for topical applications as it is for systemic therapy. Topically, copper ions may be effective and cheap antimicrobials that act through multiple pathways thereby limiting opportunities to bacteria for resistance. However, the chemistry of copper does not lend itself to facile formulations that will readily release copper ions at biologically compatible pHs. Here, we have developed nanoparticulate copper hydroxide adipate tartrate (CHAT) as a cheap, safe, and readily synthesised material that should enable antimicrobial copper ion release in an infected wound environment.First, we synthesised CHAT and showed that this had disperse aquated particle sizes of 2-5 nm and a mean zeta potential of - 40 mV. Next, when diluted into bacterial medium, CHAT demonstrated similar efficacy to copper chloride against Escherichia coli and Staphylococcus aureus, with dose-dependent activity occurring mostly around 12.5-50 mg/L of copper. Indeed, at these levels, CHAT very rapidly dissolved and, as confirmed by a bacterial copper biosensor, showed identical intracellular loading to copper ions derived from copper chloride. However, when formulated at 250 mg/L in a topically applied matrix, namely hydroxyethyl cellulose, the benefit of CHAT over copper chloride was apparent. The former yielded rapid sustained release of copper within the bactericidal range, but the copper chloride, which formed insoluble precipitates at such concentration and pH, achieved a maximum release of 10 +/- 7 mg/L copper by 24 h.We provide a practical formulation for topical copper-based antimicrobial therapy. Further studies, especially in vivo, are merited.","author":[{"dropping-particle":"","family":"Bastos","given":"Carlos A. P.","non-dropping-particle":"","parse-names":false,"suffix":""},{"dropping-particle":"","family":"Faria","given":"Nuno","non-dropping-particle":"","parse-names":false,"suffix":""},{"dropping-particle":"","family":"Ivask","given":"Angela","non-dropping-particle":"","parse-names":false,"suffix":""},{"dropping-particle":"","family":"Bondarenko","given":"Olesja M.","non-dropping-particle":"","parse-names":false,"suffix":""},{"dropping-particle":"","family":"Kahru","given":"Anne","non-dropping-particle":"","parse-names":false,"suffix":""},{"dropping-particle":"","family":"Powell","given":"Jonathan","non-dropping-particle":"","parse-names":false,"suffix":""}],"container-title":"Nanoscale research letters","id":"ITEM-1","issue":"1","issued":{"date-parts":[["2018","4","19"]]},"language":"eng","page":"111","publisher-place":"United States","title":"Ligand-Doped Copper Oxo-hydroxide Nanoparticles are Effective Antimicrobials.","type":"article-journal","volume":"13"},"uris":["http://www.mendeley.com/documents/?uuid=ea7b5011-0722-4df7-989e-150f4203a899"]},{"id":"ITEM-2","itemData":{"DOI":"10.1007/978-3-642-41714-6_34811","ISBN":"3-527-30385-5","abstract":"The article contains sections titled: 1. Introduction 2. Thermoplastic Properties of Coal 2.1. Experimental Techniques 2.2. Experimental Variables 2.2.1. Coal Rank and Petrographic Composition 2.2.2. Heating Rate 2.2.3. Particle Size 2.2.4. Pressure 2.2.5. Gaseous Atmosphere 2.2.6. Preoxidation 2.2.7. Additives 2.3. Development of Thermoplasticity 2.3.1. Softening 2.3.2. Swelling 2.3.3. Resolidification 2.4. Coke Microstructure and Mesophase Formation 2.4.1. Microscopic Characterization 2.4.2. Carbonaceous Mesophase 2.4.3. Modification of Optical Texture and Properties 3. Yield and Distribution of Pyrolysis Products 3.1. Experimental Methods 3.2. Experimental Variables 3.2.1. Time and Temperature 3.2.2. Heating Rate 3.2.3. Pressure 3.2.4. Particle Size 3.2.5. Coal Rank 3.3. Mechanism 4. Kinetics 5. Hydropyrolysis 6. Pyrolysis Processes 6.1. Low-Temperature Pyrolysis Processes 6.1.1. Early Processes 6.1.2. Contemporary Processes 6.2. High-Temperature Processes (Coke-Making) 6.2.1. Coke Ovens 6.2.2. Coke Properties 6.2.3. Byproducts 6.2.4. Formed-Coke Processes 6.2.5. Environmental Aspects 6.3. Contemporary Hydropyrolysis and Pyrolysis Processes","author":[{"dropping-particle":"","family":"Herrmann","given":"Helmut","non-dropping-particle":"","parse-names":false,"suffix":""},{"dropping-particle":"","family":"Bucksch","given":"Herbert","non-dropping-particle":"","parse-names":false,"suffix":""}],"container-title":"Dictionary Geotechnical Engineering/Wörterbuch GeoTechnik","id":"ITEM-2","issued":{"date-parts":[["2015"]]},"number-of-pages":"294-294","title":"Copper Compound","type":"book"},"uris":["http://www.mendeley.com/documents/?uuid=4e14f2b0-51ff-4dce-bb06-4e7f95c8d3ea"]},{"id":"ITEM-3","itemData":{"DOI":"10.1007/BF00644552","ISSN":"1572-8927","abstract":"A copper(II) ion-selective-electrode potentiometric method was used to determine the first and second hydrolysis constants of Cu2+. Special techniques prevented copper(II) hydroxide precipitation, and copper(II) carbonate and cipper(II) organic complexation during the titration of the experimental solution over the pH range 6.8--8.4. The large change in the total copper concentration during the titration due to adsorption of copper onto the vessel walls was accounted for by measuring the total copper concentration at each pH by atomic absorption spectrophotometry. The two hydrolysis constants were determined at 25{\\textdegree}C in 0.7 and 0.05m NaClO4 media. The measured stability constants are independent of the copper concentration and yield similar zero ionic strength values. Also, the stepwise equilibrium constants decrease as the ligand number increases.","author":[{"dropping-particle":"","family":"Paulson","given":"Anthony J","non-dropping-particle":"","parse-names":false,"suffix":""},{"dropping-particle":"","family":"Kester","given":"Dana R","non-dropping-particle":"","parse-names":false,"suffix":""}],"container-title":"Journal of Solution Chemistry","id":"ITEM-3","issue":"4","issued":{"date-parts":[["1980","4"]]},"page":"269-277","title":"Copper(II) ion hydrolysis in aqueous solution","type":"article-journal","volume":"9"},"uris":["http://www.mendeley.com/documents/?uuid=b0acc39b-8a38-4a08-883e-39a7cabb0050"]}],"mendeley":{"formattedCitation":"(Bastos et al., 2018; Herrmann and Bucksch, 2015; Paulson and Kester, 1980)","plainTextFormattedCitation":"(Bastos et al., 2018; Herrmann and Bucksch, 2015; Paulson and Kester, 1980)","previouslyFormattedCitation":"(Bastos et al., 2018; Herrmann and Bucksch, 2015; Paulson and Kester, 1980)"},"properties":{"noteIndex":0},"schema":"https://github.com/citation-style-language/schema/raw/master/csl-citation.json"}</w:instrText>
      </w:r>
      <w:r w:rsidR="00D26F6A">
        <w:fldChar w:fldCharType="separate"/>
      </w:r>
      <w:r w:rsidR="003724C3" w:rsidRPr="003724C3">
        <w:rPr>
          <w:noProof/>
        </w:rPr>
        <w:t>(Bastos et al., 2018; Herrmann and Bucksch, 2015; Paulson and Kester, 1980)</w:t>
      </w:r>
      <w:r w:rsidR="00D26F6A">
        <w:fldChar w:fldCharType="end"/>
      </w:r>
      <w:r w:rsidR="00343388">
        <w:t>.</w:t>
      </w:r>
      <w:r>
        <w:t xml:space="preserve"> </w:t>
      </w:r>
      <w:r w:rsidR="00F25780">
        <w:t xml:space="preserve">However, this does not address whether particles themselves have a microbial impact beyond or in addition to released </w:t>
      </w:r>
      <w:r w:rsidR="006C6B40">
        <w:t xml:space="preserve">soluble </w:t>
      </w:r>
      <w:r w:rsidR="00F25780">
        <w:t xml:space="preserve">copper. </w:t>
      </w:r>
      <w:r>
        <w:t>On the one hand, by comparison to silver</w:t>
      </w:r>
      <w:r w:rsidR="00343388">
        <w:t xml:space="preserve"> </w:t>
      </w:r>
      <w:r w:rsidR="0003018E">
        <w:fldChar w:fldCharType="begin" w:fldLock="1"/>
      </w:r>
      <w:r w:rsidR="002A7491">
        <w:instrText>ADDIN CSL_CITATION {"citationItems":[{"id":"ITEM-1","itemData":{"DOI":"10.1021/nl301934w","ISSN":"1530-6984","author":[{"dropping-particle":"","family":"Xiu","given":"Zong-ming","non-dropping-particle":"","parse-names":false,"suffix":""},{"dropping-particle":"","family":"Zhang","given":"Qing-bo","non-dropping-particle":"","parse-names":false,"suffix":""},{"dropping-particle":"","family":"Puppala","given":"Hema L","non-dropping-particle":"","parse-names":false,"suffix":""},{"dropping-particle":"","family":"Colvin","given":"Vicki L","non-dropping-particle":"","parse-names":false,"suffix":""},{"dropping-particle":"","family":"Alvarez","given":"Pedro J J","non-dropping-particle":"","parse-names":false,"suffix":""}],"container-title":"Nano Letters","id":"ITEM-1","issue":"8","issued":{"date-parts":[["2012","8","8"]]},"note":"doi: 10.1021/nl301934w","page":"4271-4275","publisher":"American Chemical Society","title":"Negligible Particle-Specific Antibacterial Activity of Silver Nanoparticles","type":"article-journal","volume":"12"},"uris":["http://www.mendeley.com/documents/?uuid=ab62200d-3b8c-43a4-a5e3-ebd62a74aed3"]}],"mendeley":{"formattedCitation":"(Xiu et al., 2012)","plainTextFormattedCitation":"(Xiu et al., 2012)","previouslyFormattedCitation":"(Xiu et al., 2012)"},"properties":{"noteIndex":0},"schema":"https://github.com/citation-style-language/schema/raw/master/csl-citation.json"}</w:instrText>
      </w:r>
      <w:r w:rsidR="0003018E">
        <w:fldChar w:fldCharType="separate"/>
      </w:r>
      <w:r w:rsidR="003724C3" w:rsidRPr="003724C3">
        <w:rPr>
          <w:noProof/>
        </w:rPr>
        <w:t>(Xiu et al., 2012)</w:t>
      </w:r>
      <w:r w:rsidR="0003018E">
        <w:fldChar w:fldCharType="end"/>
      </w:r>
      <w:r w:rsidR="00343388">
        <w:t>,</w:t>
      </w:r>
      <w:r>
        <w:t xml:space="preserve"> one might assume that it is only </w:t>
      </w:r>
      <w:r w:rsidR="006C6B40">
        <w:t>soluble copper</w:t>
      </w:r>
      <w:r>
        <w:t>, not particles,</w:t>
      </w:r>
      <w:r w:rsidR="00140CD1">
        <w:t xml:space="preserve"> </w:t>
      </w:r>
      <w:r>
        <w:t xml:space="preserve">that are antimicrobial. On the other hand, </w:t>
      </w:r>
      <w:r w:rsidR="00F25780">
        <w:t>increased</w:t>
      </w:r>
      <w:r>
        <w:t xml:space="preserve"> activities of copper-</w:t>
      </w:r>
      <w:r w:rsidRPr="00655FE1">
        <w:t xml:space="preserve">based nanoparticles, above and beyond </w:t>
      </w:r>
      <w:r w:rsidR="00F25780">
        <w:t>just copper ion</w:t>
      </w:r>
      <w:r w:rsidR="005051E1">
        <w:t xml:space="preserve"> content</w:t>
      </w:r>
      <w:r w:rsidR="00A929D3">
        <w:t>,</w:t>
      </w:r>
      <w:r w:rsidR="005051E1">
        <w:t xml:space="preserve"> h</w:t>
      </w:r>
      <w:r w:rsidR="00F25780">
        <w:t xml:space="preserve">ave been </w:t>
      </w:r>
      <w:r w:rsidR="005051E1">
        <w:t>indic</w:t>
      </w:r>
      <w:r w:rsidR="00F25780">
        <w:t>ated</w:t>
      </w:r>
      <w:r w:rsidR="00343388">
        <w:t xml:space="preserve"> </w:t>
      </w:r>
      <w:r w:rsidR="003E43B3" w:rsidRPr="00655FE1">
        <w:rPr>
          <w:rStyle w:val="FootnoteReference"/>
        </w:rPr>
        <w:fldChar w:fldCharType="begin" w:fldLock="1"/>
      </w:r>
      <w:r w:rsidR="002A7491">
        <w:instrText>ADDIN CSL_CITATION {"citationItems":[{"id":"ITEM-1","itemData":{"DOI":"10.1039/c8ra09186b","ISSN":"2046-2069","abstract":"The substantial antimicrobial efficacy of nanoparticles against\nphytopathogens has been extensively investigated for advanced\nagricultural applications. However, few reports have focused on\nsoilborne pathogenic bacteria. The aim of this study was to obtain\nsustainably synthesized copper oxide nanoparticles (CuONPs) using papaya\nleaf extracts and investigate the bactericidal activity of these CuONPs\nagainst Ralstonia solanacearum, the cause of bacterial wilt, under\nlaboratory and greenhouse conditions. The results showed that CuONPs\npossessed strong antibacterial activity and that all R. solanacearum\nwere killed after exposure to 250 mg mL(-1) CuONPs. CuONPs could\ninteract with bacterial cells to prevent biofilm formation, reduce\nswarming motility and disturb ATP production. Ultrastructural\nobservations by transmission electron microscopy (TEM) revealed that\nafter interactions with CuONPs, bacterial cells suffered significantly\nfrom nanomechanical damage to the cytomembrane, accompanied by the\nabsorption of multiple nanoparticles. In addition, molecular studies\nidentified the downregulation mechanism of a series of genes involving\npathogenesis and motility. The control efficiency of CuONPs in tobacco\nbacterial wilt disease management under greenhouse conditions was\nverified by root irrigation application, demonstrating that as-prepared\nCuONPs significantly reduced the disease occurrence and disease index.\nOur studies focused on developing biosynthesized nanoparticles as a\nbiocompatible alternative for soilborne disease management.","author":[{"dropping-particle":"","family":"Chen","given":"Juanni","non-dropping-particle":"","parse-names":false,"suffix":""},{"dropping-particle":"","family":"Mao","given":"Shuyu","non-dropping-particle":"","parse-names":false,"suffix":""},{"dropping-particle":"","family":"Xu","given":"Zhifeng","non-dropping-particle":"","parse-names":false,"suffix":""},{"dropping-particle":"","family":"Ding","given":"Wei","non-dropping-particle":"","parse-names":false,"suffix":""}],"container-title":"RSC ADVANCES","id":"ITEM-1","issue":"7","issued":{"date-parts":[["2019","1"]]},"page":"3788-3799","publisher":"ROYAL SOC CHEMISTRY","publisher-place":"THOMAS GRAHAM HOUSE, SCIENCE PARK, MILTON RD, CAMBRIDGE CB4 0WF, CAMBS, ENGLAND","title":"Various antibacterial mechanisms of biosynthesized copper oxide nanoparticles against soilborne Ralstonia solanacearum","type":"article-journal","volume":"9"},"uris":["http://www.mendeley.com/documents/?uuid=6eabde89-9cec-4522-957e-fb2ca22fd5ed"]},{"id":"ITEM-2","itemData":{"DOI":"10.1007/s13213-010-0015-6","ISSN":"1869-2044","abstract":"Zerovalent copper nanoparticles (Cu0) of 12 nm size were synthesized using an inert gas condensation method in which bulk copper metal was evaporated into an inert environment of argon with subsequent cooling for nucleation and growth of nanoparticles. Crystalline structure, morphology and estimation of size of nanoparticles were carried out by X-ray diffraction and transmission electron microscopy. The antibacterial activity of these nanoparticles against the Gram-negative bacterium Escherichia coli was assessed in liquid as well as solid growth media. It was observed from scanning electron microscopic analysis that the interaction of copper nanoparticles with E. coli resulted in the formation of cavities/pits in the bacterial cell wall. The antibacterial property of copper nanoparticles was attributed mainly to adhesion with bacteria because of their opposite electrical charges, resulting in a reduction reaction at the bacterial cell wall. Nanoparticles with a larger surface-to-volume ratio provide more efficient means for antibacterial activity.","author":[{"dropping-particle":"","family":"Raffi","given":"Muhammad","non-dropping-particle":"","parse-names":false,"suffix":""},{"dropping-particle":"","family":"Mehrwan","given":"Saba","non-dropping-particle":"","parse-names":false,"suffix":""},{"dropping-particle":"","family":"Bhatti","given":"Tariq Mahmood","non-dropping-particle":"","parse-names":false,"suffix":""},{"dropping-particle":"","family":"Akhter","given":"Javed Iqbal","non-dropping-particle":"","parse-names":false,"suffix":""},{"dropping-particle":"","family":"Hameed","given":"Abdul","non-dropping-particle":"","parse-names":false,"suffix":""},{"dropping-particle":"","family":"Yawar","given":"Wasim","non-dropping-particle":"","parse-names":false,"suffix":""},{"dropping-particle":"","family":"ul Hasan","given":"M Masood","non-dropping-particle":"","parse-names":false,"suffix":""}],"container-title":"Annals of Microbiology","id":"ITEM-2","issue":"1","issued":{"date-parts":[["2010","3"]]},"page":"75-80","title":"Investigations into the antibacterial behavior of copper nanoparticles against Escherichia coli","type":"article-journal","volume":"60"},"uris":["http://www.mendeley.com/documents/?uuid=ae1901c2-8147-4cdb-bdc3-27e04f359068"]},{"id":"ITEM-3","itemData":{"ISSN":"0957-4484","author":[{"dropping-particle":"","family":"Sarkar","given":"Raj Kumar","non-dropping-particle":"","parse-names":false,"suffix":""},{"dropping-particle":"","family":"Chattopadhyay","given":"Asoke Prasun","non-dropping-particle":"","parse-names":false,"suffix":""},{"dropping-particle":"","family":"Aich","given":"Pulakesh","non-dropping-particle":"","parse-names":false,"suffix":""},{"dropping-particle":"","family":"Chakraborty","given":"Ruchira","non-dropping-particle":"","parse-names":false,"suffix":""},{"dropping-particle":"","family":"Chatterjee","given":"Arijit Kumar","non-dropping-particle":"","parse-names":false,"suffix":""},{"dropping-particle":"","family":"Basu","given":"Tarakdas","non-dropping-particle":"","parse-names":false,"suffix":""}],"container-title":"Nanotechnology","id":"ITEM-3","issue":"8","issued":{"date-parts":[["2012"]]},"note":"Paper to read, where they prepare CuO NPs that have greater antibacterial activity then CuCl2.\nUse disc diffusion and flow cytometry for tox assays.","publisher":"IOP Pub","publisher-place":"[Bristol] :","title":"A simple robust method for synthesis of metallic copper nanoparticles of high antibacterial potency against E. coli","type":"article-journal","volume":"23"},"uris":["http://www.mendeley.com/documents/?uuid=1fcca72b-4669-4195-ba46-36cd2df4b642"]}],"mendeley":{"formattedCitation":"(Chen et al., 2019; Raffi et al., 2010; Sarkar et al., 2012)","plainTextFormattedCitation":"(Chen et al., 2019; Raffi et al., 2010; Sarkar et al., 2012)","previouslyFormattedCitation":"(Chen et al., 2019; Raffi et al., 2010; Sarkar et al., 2012)"},"properties":{"noteIndex":0},"schema":"https://github.com/citation-style-language/schema/raw/master/csl-citation.json"}</w:instrText>
      </w:r>
      <w:r w:rsidR="003E43B3" w:rsidRPr="00655FE1">
        <w:rPr>
          <w:rStyle w:val="FootnoteReference"/>
        </w:rPr>
        <w:fldChar w:fldCharType="separate"/>
      </w:r>
      <w:r w:rsidR="003724C3" w:rsidRPr="003724C3">
        <w:rPr>
          <w:bCs/>
          <w:noProof/>
          <w:lang w:val="en-US"/>
        </w:rPr>
        <w:t>(Chen et al., 2019; Raffi et al., 2010; Sarkar et al., 2012)</w:t>
      </w:r>
      <w:r w:rsidR="003E43B3" w:rsidRPr="00655FE1">
        <w:rPr>
          <w:rStyle w:val="FootnoteReference"/>
        </w:rPr>
        <w:fldChar w:fldCharType="end"/>
      </w:r>
      <w:r w:rsidRPr="00655FE1">
        <w:t>. Indeed</w:t>
      </w:r>
      <w:r w:rsidR="00003805" w:rsidRPr="00655FE1">
        <w:t>,</w:t>
      </w:r>
      <w:r w:rsidR="00F25780">
        <w:t xml:space="preserve"> </w:t>
      </w:r>
      <w:r w:rsidRPr="00655FE1">
        <w:t>the</w:t>
      </w:r>
      <w:r w:rsidR="00F25780">
        <w:t xml:space="preserve"> issue of whether nanoparticles</w:t>
      </w:r>
      <w:r w:rsidR="005051E1">
        <w:t xml:space="preserve"> </w:t>
      </w:r>
      <w:r w:rsidR="005051E1" w:rsidRPr="005051E1">
        <w:rPr>
          <w:i/>
        </w:rPr>
        <w:t>per se</w:t>
      </w:r>
      <w:r w:rsidR="005051E1">
        <w:t xml:space="preserve"> </w:t>
      </w:r>
      <w:proofErr w:type="gramStart"/>
      <w:r w:rsidR="00F25780">
        <w:t>have specific activity against bacteria</w:t>
      </w:r>
      <w:proofErr w:type="gramEnd"/>
      <w:r w:rsidR="007A1E2A">
        <w:t>,</w:t>
      </w:r>
      <w:r w:rsidR="00F25780">
        <w:t xml:space="preserve"> remain</w:t>
      </w:r>
      <w:r w:rsidR="005051E1">
        <w:t>s</w:t>
      </w:r>
      <w:r w:rsidR="00F25780">
        <w:t xml:space="preserve"> unclear but </w:t>
      </w:r>
      <w:r w:rsidR="00D72268">
        <w:t>important</w:t>
      </w:r>
      <w:r w:rsidR="00F25780">
        <w:t>. For example,</w:t>
      </w:r>
      <w:r w:rsidR="005051E1">
        <w:t xml:space="preserve"> the</w:t>
      </w:r>
      <w:r w:rsidR="00F25780">
        <w:t xml:space="preserve"> </w:t>
      </w:r>
      <w:r w:rsidRPr="00655FE1">
        <w:t>European Food Safety Authority</w:t>
      </w:r>
      <w:r w:rsidR="008D019B">
        <w:t xml:space="preserve"> </w:t>
      </w:r>
      <w:r w:rsidR="008D019B">
        <w:rPr>
          <w:rFonts w:ascii="Calibri" w:hAnsi="Calibri"/>
          <w:color w:val="000000" w:themeColor="text1"/>
          <w:szCs w:val="18"/>
        </w:rPr>
        <w:t>(EFSA)</w:t>
      </w:r>
      <w:r w:rsidRPr="00655FE1">
        <w:t xml:space="preserve"> requests that</w:t>
      </w:r>
      <w:r w:rsidR="005051E1">
        <w:t>,</w:t>
      </w:r>
      <w:r w:rsidRPr="00655FE1">
        <w:t xml:space="preserve"> </w:t>
      </w:r>
      <w:r w:rsidR="005051E1">
        <w:t>for new</w:t>
      </w:r>
      <w:r w:rsidRPr="00655FE1">
        <w:t xml:space="preserve"> oral nanoparticles</w:t>
      </w:r>
      <w:r w:rsidR="00F25780">
        <w:t xml:space="preserve"> that are relevant to food</w:t>
      </w:r>
      <w:r w:rsidR="005051E1">
        <w:t>, tests are</w:t>
      </w:r>
      <w:r w:rsidR="00855768" w:rsidRPr="00655FE1">
        <w:t xml:space="preserve"> carried out in terms of microbiome effects</w:t>
      </w:r>
      <w:r w:rsidRPr="00655FE1">
        <w:t xml:space="preserve"> for safety assessment</w:t>
      </w:r>
      <w:r w:rsidR="00622850">
        <w:t xml:space="preserve"> </w:t>
      </w:r>
      <w:r w:rsidR="0003018E">
        <w:fldChar w:fldCharType="begin" w:fldLock="1"/>
      </w:r>
      <w:r w:rsidR="005541E7">
        <w:instrText>ADDIN CSL_CITATION {"citationItems":[{"id":"ITEM-1","itemData":{"DOI":"10.2903/j.efsa.2018.5327","author":[{"dropping-particle":"","family":"EFSA","given":"","non-dropping-particle":"","parse-names":false,"suffix":""}],"container-title":"EFSA Journal","id":"ITEM-1","issued":{"date-parts":[["2018"]]},"title":"European Food Safety Authority (EFSA). Guidance on risk assessment of the application of nanoscience and nanotechnologies in the food and feed chain: Part 1, human and animal health","type":"book"},"uris":["http://www.mendeley.com/documents/?uuid=0b4e9b7b-141d-44ce-ae39-bf2d388800af"]}],"mendeley":{"formattedCitation":"(EFSA, 2018)","plainTextFormattedCitation":"(EFSA, 2018)","previouslyFormattedCitation":"(EFSA, 2018)"},"properties":{"noteIndex":0},"schema":"https://github.com/citation-style-language/schema/raw/master/csl-citation.json"}</w:instrText>
      </w:r>
      <w:r w:rsidR="0003018E">
        <w:fldChar w:fldCharType="separate"/>
      </w:r>
      <w:r w:rsidR="002A7491" w:rsidRPr="002A7491">
        <w:rPr>
          <w:noProof/>
        </w:rPr>
        <w:t>(EFSA, 2018)</w:t>
      </w:r>
      <w:r w:rsidR="0003018E">
        <w:fldChar w:fldCharType="end"/>
      </w:r>
      <w:r w:rsidR="00622850">
        <w:t>.</w:t>
      </w:r>
    </w:p>
    <w:p w14:paraId="5CB70EC2" w14:textId="2B7F9DEC" w:rsidR="0013235C" w:rsidRDefault="00140CD1" w:rsidP="00140CD1">
      <w:pPr>
        <w:spacing w:after="0" w:line="480" w:lineRule="auto"/>
        <w:jc w:val="both"/>
      </w:pPr>
      <w:r>
        <w:t xml:space="preserve">In trying to determine whether copper-based particles, or the copper ions that they release </w:t>
      </w:r>
      <w:r w:rsidR="005051E1">
        <w:t>in an aqueous environment</w:t>
      </w:r>
      <w:r>
        <w:t xml:space="preserve">, are responsible for antimicrobial activity, </w:t>
      </w:r>
      <w:proofErr w:type="gramStart"/>
      <w:r>
        <w:t>a number of</w:t>
      </w:r>
      <w:proofErr w:type="gramEnd"/>
      <w:r>
        <w:t xml:space="preserve"> aspects must be carefully considered. Firstly, in standard bacterial assays, total exposure to particulate or soluble </w:t>
      </w:r>
      <w:r>
        <w:lastRenderedPageBreak/>
        <w:t>(solubilised) copper will be determined by an interaction between time and ra</w:t>
      </w:r>
      <w:r w:rsidR="005051E1">
        <w:t>t</w:t>
      </w:r>
      <w:r>
        <w:t>es of particle dissolution. Secondly, the</w:t>
      </w:r>
      <w:r w:rsidR="0013235C" w:rsidRPr="00655FE1">
        <w:t xml:space="preserve"> chemistry of copper is complicated</w:t>
      </w:r>
      <w:r>
        <w:t>. A</w:t>
      </w:r>
      <w:r w:rsidR="0013235C" w:rsidRPr="00655FE1">
        <w:t>t typical biological (near–neutral</w:t>
      </w:r>
      <w:r w:rsidR="005051E1">
        <w:t xml:space="preserve">) </w:t>
      </w:r>
      <w:proofErr w:type="spellStart"/>
      <w:r w:rsidR="005051E1">
        <w:t>pHs</w:t>
      </w:r>
      <w:proofErr w:type="spellEnd"/>
      <w:r w:rsidR="00C604FC">
        <w:t>,</w:t>
      </w:r>
      <w:r w:rsidR="005051E1">
        <w:t xml:space="preserve"> particles may form when</w:t>
      </w:r>
      <w:r w:rsidR="0013235C">
        <w:t xml:space="preserve"> ‘soluble’ salts </w:t>
      </w:r>
      <w:r w:rsidR="005051E1">
        <w:t xml:space="preserve">are </w:t>
      </w:r>
      <w:r w:rsidR="0013235C">
        <w:t>added to a solution phase</w:t>
      </w:r>
      <w:r w:rsidR="00C604FC">
        <w:t>,</w:t>
      </w:r>
      <w:r w:rsidR="00A929D3">
        <w:t xml:space="preserve"> due to oxo-</w:t>
      </w:r>
      <w:proofErr w:type="spellStart"/>
      <w:r w:rsidR="00A929D3">
        <w:t>hydroxI</w:t>
      </w:r>
      <w:r w:rsidR="0013235C">
        <w:t>de</w:t>
      </w:r>
      <w:proofErr w:type="spellEnd"/>
      <w:r w:rsidR="0013235C">
        <w:t xml:space="preserve"> formation, polymerisation, cross-linking and precipitation</w:t>
      </w:r>
      <w:r w:rsidR="00343388">
        <w:t xml:space="preserve"> </w:t>
      </w:r>
      <w:r w:rsidR="00343388">
        <w:fldChar w:fldCharType="begin" w:fldLock="1"/>
      </w:r>
      <w:r w:rsidR="002A7491">
        <w:instrText>ADDIN CSL_CITATION {"citationItems":[{"id":"ITEM-1","itemData":{"DOI":"10.1007/BF00644552","ISSN":"1572-8927","abstract":"A copper(II) ion-selective-electrode potentiometric method was used to determine the first and second hydrolysis constants of Cu2+. Special techniques prevented copper(II) hydroxide precipitation, and copper(II) carbonate and cipper(II) organic complexation during the titration of the experimental solution over the pH range 6.8--8.4. The large change in the total copper concentration during the titration due to adsorption of copper onto the vessel walls was accounted for by measuring the total copper concentration at each pH by atomic absorption spectrophotometry. The two hydrolysis constants were determined at 25{\\textdegree}C in 0.7 and 0.05m NaClO4 media. The measured stability constants are independent of the copper concentration and yield similar zero ionic strength values. Also, the stepwise equilibrium constants decrease as the ligand number increases.","author":[{"dropping-particle":"","family":"Paulson","given":"Anthony J","non-dropping-particle":"","parse-names":false,"suffix":""},{"dropping-particle":"","family":"Kester","given":"Dana R","non-dropping-particle":"","parse-names":false,"suffix":""}],"container-title":"Journal of Solution Chemistry","id":"ITEM-1","issue":"4","issued":{"date-parts":[["1980","4"]]},"page":"269-277","title":"Copper(II) ion hydrolysis in aqueous solution","type":"article-journal","volume":"9"},"uris":["http://www.mendeley.com/documents/?uuid=b0acc39b-8a38-4a08-883e-39a7cabb0050"]},{"id":"ITEM-2","itemData":{"DOI":"10.1002/14356007.a07_567.pub2","ISBN":"9783527306732","abstract":"The article contains sections titled: 1. Introduction 2. The Copper Ions 3. Copper Oxides and Basic Copper Compounds 3.1. Copper(I) Oxide 3.2. Copper(II) Oxide 3.3. Copper(II) Hydroxide 3.4. Copper(II) Carbonate Hydroxide 4. Selected Copper Salts and Basic Copper Salts 4.1. Copper(II) Acetate 4.2. Copper(I) Chloride 4.3. Copper(II) Chloride 4.4. Copper(II) Oxychloride 4.5. Copper(II) Sulfates 4.5.1. Copper(II) Sulfate Pentahydrate 4.5.2. Anhydrous Copper Sulfate 4.5.3. Copper(II) Sulfate Monohydrate 4.5.4. Basic Copper(II) Sulfates 5. Other Copper Compounds and Complexes 5.1. Other Copper Compounds 5.2. Copper Complexes 6. Copper Reclamation 7. Copper and the Environment 8. Economic Aspects 9. Toxicology and Occupational Health","author":[{"dropping-particle":"","family":"Zhang","given":"Jun","non-dropping-particle":"","parse-names":false,"suffix":""},{"dropping-particle":"","family":"Richardson","given":"H Wayne","non-dropping-particle":"","parse-names":false,"suffix":""}],"container-title":"Ullmann's Encyclopedia of Industrial Chemistry","id":"ITEM-2","issued":{"date-parts":[["2016"]]},"page":"1-31","publisher":"American Cancer Society","title":"Copper Compounds","type":"chapter"},"uris":["http://www.mendeley.com/documents/?uuid=6de13ed3-86d0-46fd-94ea-206a104f4aa4"]}],"mendeley":{"formattedCitation":"(Paulson and Kester, 1980; Zhang and Richardson, 2016)","plainTextFormattedCitation":"(Paulson and Kester, 1980; Zhang and Richardson, 2016)","previouslyFormattedCitation":"(Paulson and Kester, 1980; Zhang and Richardson, 2016)"},"properties":{"noteIndex":0},"schema":"https://github.com/citation-style-language/schema/raw/master/csl-citation.json"}</w:instrText>
      </w:r>
      <w:r w:rsidR="00343388">
        <w:fldChar w:fldCharType="separate"/>
      </w:r>
      <w:r w:rsidR="003724C3" w:rsidRPr="003724C3">
        <w:rPr>
          <w:noProof/>
        </w:rPr>
        <w:t>(Paulson and Kester, 1980; Zhang and Richardson, 2016)</w:t>
      </w:r>
      <w:r w:rsidR="00343388">
        <w:fldChar w:fldCharType="end"/>
      </w:r>
      <w:r w:rsidR="00343388">
        <w:t>.</w:t>
      </w:r>
      <w:r w:rsidR="005051E1">
        <w:t xml:space="preserve"> Finally, p</w:t>
      </w:r>
      <w:r w:rsidR="0013235C">
        <w:t xml:space="preserve">articles, whether inadvertently formed or </w:t>
      </w:r>
      <w:r>
        <w:t>specifically</w:t>
      </w:r>
      <w:r w:rsidR="0013235C">
        <w:t xml:space="preserve"> added to a fluid phase, may agglomerate and/or aggregate. </w:t>
      </w:r>
      <w:r>
        <w:t>As such, s</w:t>
      </w:r>
      <w:r w:rsidR="0013235C">
        <w:t>tudies investigating exactly what bacteria experience in terms of exposure to copper</w:t>
      </w:r>
      <w:r>
        <w:t>-based</w:t>
      </w:r>
      <w:r w:rsidR="0013235C">
        <w:t xml:space="preserve"> particles, and thus what chemical form is active, are lacking</w:t>
      </w:r>
      <w:r w:rsidR="00343388">
        <w:t xml:space="preserve"> </w:t>
      </w:r>
      <w:r w:rsidR="003E43B3">
        <w:rPr>
          <w:rStyle w:val="FootnoteReference"/>
        </w:rPr>
        <w:fldChar w:fldCharType="begin" w:fldLock="1"/>
      </w:r>
      <w:r w:rsidR="002A7491">
        <w:instrText>ADDIN CSL_CITATION {"citationItems":[{"id":"ITEM-1","itemData":{"DOI":"10.1007/s00253-013-5422-8","ISSN":"1432-0614","abstract":"Nanotechnology is an emerging branch of science, which has potential to solve many problems in different fields. The union of nanotechnology with other fields of sciences including physics, chemistry, and biology has brought the concept of synthesis of nanoparticles from their respective metals. Till date, many types of nanoparticles have been synthesized and being used in different fields for various applications. Moreover, copper nanoparticles attract biologists because of their significant and broad-spectrum bioactivity. Due to the large surface area to volume ratio, copper nanoparticles have been used as potential antimicrobial agent in many biomedical applications. But the excess use of any metal nanoparticles increase the chance of toxicity to humans, other living beings, and environment. In this article, we have critically reviewed the bioactivities and cytotoxicity of copper nanoparticles. We have also focused on possible mechanism involved in its interaction with microbes.","author":[{"dropping-particle":"","family":"Ingle","given":"Avinash P","non-dropping-particle":"","parse-names":false,"suffix":""},{"dropping-particle":"","family":"Duran","given":"Nelson","non-dropping-particle":"","parse-names":false,"suffix":""},{"dropping-particle":"","family":"Rai","given":"Mahendra","non-dropping-particle":"","parse-names":false,"suffix":""}],"container-title":"Applied Microbiology and Biotechnology","id":"ITEM-1","issue":"3","issued":{"date-parts":[["2014"]]},"page":"1001-1009","title":"Bioactivity, mechanism of action, and cytotoxicity of copper-based nanoparticles: A review","type":"article-journal","volume":"98"},"uris":["http://www.mendeley.com/documents/?uuid=f8bb0d53-98d6-499e-8e3a-7e64496bb4f3"]}],"mendeley":{"formattedCitation":"(Ingle et al., 2014)","plainTextFormattedCitation":"(Ingle et al., 2014)","previouslyFormattedCitation":"(Ingle et al., 2014)"},"properties":{"noteIndex":0},"schema":"https://github.com/citation-style-language/schema/raw/master/csl-citation.json"}</w:instrText>
      </w:r>
      <w:r w:rsidR="003E43B3">
        <w:rPr>
          <w:rStyle w:val="FootnoteReference"/>
        </w:rPr>
        <w:fldChar w:fldCharType="separate"/>
      </w:r>
      <w:r w:rsidR="003724C3" w:rsidRPr="003724C3">
        <w:rPr>
          <w:bCs/>
          <w:noProof/>
          <w:lang w:val="en-US"/>
        </w:rPr>
        <w:t>(Ingle et al., 2014)</w:t>
      </w:r>
      <w:r w:rsidR="003E43B3">
        <w:rPr>
          <w:rStyle w:val="FootnoteReference"/>
        </w:rPr>
        <w:fldChar w:fldCharType="end"/>
      </w:r>
      <w:r w:rsidR="00343388">
        <w:rPr>
          <w:rStyle w:val="FootnoteReference"/>
          <w:vertAlign w:val="baseline"/>
        </w:rPr>
        <w:t>.</w:t>
      </w:r>
      <w:r w:rsidR="0013235C">
        <w:t xml:space="preserve">  </w:t>
      </w:r>
    </w:p>
    <w:p w14:paraId="1987BFC4" w14:textId="03A5D435" w:rsidR="0077533D" w:rsidRDefault="0013235C" w:rsidP="0077533D">
      <w:pPr>
        <w:spacing w:after="0" w:line="480" w:lineRule="auto"/>
        <w:contextualSpacing/>
        <w:jc w:val="both"/>
      </w:pPr>
      <w:r>
        <w:t>Here</w:t>
      </w:r>
      <w:r w:rsidR="00160277">
        <w:t>,</w:t>
      </w:r>
      <w:r>
        <w:t xml:space="preserve"> we took advantage </w:t>
      </w:r>
      <w:r w:rsidR="003E43B3">
        <w:t xml:space="preserve">of </w:t>
      </w:r>
      <w:r>
        <w:t>the differential solut</w:t>
      </w:r>
      <w:r w:rsidR="00140CD1">
        <w:t>ion behaviour of various</w:t>
      </w:r>
      <w:r w:rsidR="00160277">
        <w:t xml:space="preserve"> formulations of</w:t>
      </w:r>
      <w:r w:rsidR="00140CD1">
        <w:t xml:space="preserve"> copper-based particles</w:t>
      </w:r>
      <w:r>
        <w:t xml:space="preserve"> and </w:t>
      </w:r>
      <w:r w:rsidR="00140CD1">
        <w:t>we measured their l</w:t>
      </w:r>
      <w:r>
        <w:t xml:space="preserve">ow molecular weight (soluble), </w:t>
      </w:r>
      <w:proofErr w:type="spellStart"/>
      <w:r>
        <w:t>nano</w:t>
      </w:r>
      <w:proofErr w:type="spellEnd"/>
      <w:r>
        <w:t xml:space="preserve"> and </w:t>
      </w:r>
      <w:r w:rsidR="0036050C">
        <w:t>agglomerated</w:t>
      </w:r>
      <w:r>
        <w:t xml:space="preserve"> </w:t>
      </w:r>
      <w:r w:rsidR="00140CD1">
        <w:t xml:space="preserve">fractions over time </w:t>
      </w:r>
      <w:r>
        <w:t>in bacterial culture</w:t>
      </w:r>
      <w:r w:rsidR="005051E1">
        <w:t xml:space="preserve"> medium alongside their antimicrobial impact</w:t>
      </w:r>
      <w:r w:rsidR="0065082D">
        <w:t xml:space="preserve"> against</w:t>
      </w:r>
      <w:r w:rsidR="00CE4EA3">
        <w:t xml:space="preserve"> </w:t>
      </w:r>
      <w:r w:rsidR="0065082D" w:rsidRPr="00CE4EA3">
        <w:rPr>
          <w:i/>
        </w:rPr>
        <w:t>E</w:t>
      </w:r>
      <w:r w:rsidR="0065082D">
        <w:rPr>
          <w:i/>
        </w:rPr>
        <w:t>scherichia</w:t>
      </w:r>
      <w:r w:rsidR="0065082D" w:rsidRPr="00CE4EA3">
        <w:rPr>
          <w:i/>
        </w:rPr>
        <w:t xml:space="preserve"> coli</w:t>
      </w:r>
      <w:r w:rsidR="0065082D">
        <w:rPr>
          <w:i/>
        </w:rPr>
        <w:t>,</w:t>
      </w:r>
      <w:r w:rsidR="0065082D">
        <w:t xml:space="preserve"> </w:t>
      </w:r>
      <w:r w:rsidR="00A445A0">
        <w:t>a laboratory standard</w:t>
      </w:r>
      <w:r w:rsidR="0065082D">
        <w:t xml:space="preserve"> </w:t>
      </w:r>
      <w:r w:rsidR="00E71152">
        <w:t xml:space="preserve">for clinically relevant </w:t>
      </w:r>
      <w:r w:rsidR="0065082D">
        <w:t>gram-negative bacteri</w:t>
      </w:r>
      <w:r w:rsidR="002C6F1B">
        <w:t>a</w:t>
      </w:r>
      <w:r w:rsidR="005F5801">
        <w:t xml:space="preserve"> </w:t>
      </w:r>
      <w:r w:rsidR="00BA2634">
        <w:t>which are</w:t>
      </w:r>
      <w:r w:rsidR="00306ECF">
        <w:t xml:space="preserve">  </w:t>
      </w:r>
      <w:r w:rsidR="002C6F1B">
        <w:t xml:space="preserve">increasingly associated with antibiotic resistant infections </w:t>
      </w:r>
      <w:r w:rsidR="0042102B">
        <w:fldChar w:fldCharType="begin" w:fldLock="1"/>
      </w:r>
      <w:r w:rsidR="00354B89">
        <w:instrText>ADDIN CSL_CITATION {"citationItems":[{"id":"ITEM-1","itemData":{"DOI":"10.1016/S1473-3099(18)30605-4","ISSN":"1474-4457","abstract":"BACKGROUND: Infections due to antibiotic-resistant bacteria are threatening modern health care. However, estimating their incidence, complications, and attributable mortality is challenging. We aimed to estimate the burden of infections caused by antibiotic-resistant bacteria of public health concern in countries of the EU and European Economic Area (EEA) in 2015, measured in number of cases, attributable deaths, and disability-adjusted life-years (DALYs). METHODS: We estimated the incidence of infections with 16 antibiotic resistance-bacterium combinations from European Antimicrobial Resistance Surveillance Network (EARS-Net) 2015 data that was country-corrected for population coverage. We multiplied the number of bloodstream infections (BSIs) by a conversion factor derived from the European Centre for Disease Prevention and Control point prevalence survey of health-care-associated infections in European acute care hospitals in 2011-12 to estimate the number of non-BSIs. We developed disease outcome models for five types of infection on the basis of systematic reviews of the literature. FINDINGS: From EARS-Net data collected between Jan 1, 2015, and Dec 31, 2015, we estimated 671 689 (95% uncertainty interval [UI] 583 148-763 966) infections with antibiotic-resistant bacteria, of which 63·5% (426 277 of 671 689) were associated with health care. These infections accounted for an estimated 33 110 (28 480-38 430) attributable deaths and 874 541 (768 837-989 068) DALYs. The burden for the EU and EEA was highest in infants (aged &lt;1 year) and people aged 65 years or older, had increased since 2007, and was highest in Italy and Greece. INTERPRETATION: Our results present the health burden of five types of infection with antibiotic-resistant bacteria expressed, for the first time, in DALYs. The estimated burden of infections with antibiotic-resistant bacteria in the EU and EEA is substantial compared with that of other infectious diseases, and has increased since 2007. Our burden estimates provide useful information for public health decision-makers prioritising interventions for infectious diseases. FUNDING: European Centre for Disease Prevention and Control.","author":[{"dropping-particle":"","family":"Cassini","given":"Alessandro","non-dropping-particle":"","parse-names":false,"suffix":""},{"dropping-particle":"","family":"Högberg","given":"Liselotte Diaz","non-dropping-particle":"","parse-names":false,"suffix":""},{"dropping-particle":"","family":"Plachouras","given":"Diamantis","non-dropping-particle":"","parse-names":false,"suffix":""},{"dropping-particle":"","family":"Quattrocchi","given":"Annalisa","non-dropping-particle":"","parse-names":false,"suffix":""},{"dropping-particle":"","family":"Hoxha","given":"Ana","non-dropping-particle":"","parse-names":false,"suffix":""},{"dropping-particle":"","family":"Simonsen","given":"Gunnar Skov","non-dropping-particle":"","parse-names":false,"suffix":""},{"dropping-particle":"","family":"Colomb-Cotinat","given":"Mélanie","non-dropping-particle":"","parse-names":false,"suffix":""},{"dropping-particle":"","family":"Kretzschmar","given":"Mirjam E","non-dropping-particle":"","parse-names":false,"suffix":""},{"dropping-particle":"","family":"Devleesschauwer","given":"Brecht","non-dropping-particle":"","parse-names":false,"suffix":""},{"dropping-particle":"","family":"Cecchini","given":"Michele","non-dropping-particle":"","parse-names":false,"suffix":""},{"dropping-particle":"","family":"Ouakrim","given":"Driss Ait","non-dropping-particle":"","parse-names":false,"suffix":""},{"dropping-particle":"","family":"Oliveira","given":"Tiago Cravo","non-dropping-particle":"","parse-names":false,"suffix":""},{"dropping-particle":"","family":"Struelens","given":"Marc J","non-dropping-particle":"","parse-names":false,"suffix":""},{"dropping-particle":"","family":"Suetens","given":"Carl","non-dropping-particle":"","parse-names":false,"suffix":""},{"dropping-particle":"","family":"Monnet","given":"Dominique L","non-dropping-particle":"","parse-names":false,"suffix":""},{"dropping-particle":"","family":"Group","given":"Burden of A M R Collaborative","non-dropping-particle":"","parse-names":false,"suffix":""}],"container-title":"The Lancet. Infectious diseases","edition":"2018/11/05","id":"ITEM-1","issue":"1","issued":{"date-parts":[["2019","1"]]},"language":"eng","page":"56-66","publisher":"Elsevier Science ;, The Lancet Pub. Group","title":"Attributable deaths and disability-adjusted life-years caused by infections with antibiotic-resistant bacteria in the EU and the European Economic Area in 2015: a population-level modelling analysis","type":"article-journal","volume":"19"},"uris":["http://www.mendeley.com/documents/?uuid=0ea35fef-a60e-41b4-8848-558d92c02764"]}],"mendeley":{"formattedCitation":"(Cassini et al., 2019)","plainTextFormattedCitation":"(Cassini et al., 2019)","previouslyFormattedCitation":"(Cassini et al., 2019)"},"properties":{"noteIndex":0},"schema":"https://github.com/citation-style-language/schema/raw/master/csl-citation.json"}</w:instrText>
      </w:r>
      <w:r w:rsidR="0042102B">
        <w:fldChar w:fldCharType="separate"/>
      </w:r>
      <w:r w:rsidR="0042102B" w:rsidRPr="0042102B">
        <w:rPr>
          <w:noProof/>
        </w:rPr>
        <w:t>(Cassini et al., 2019)</w:t>
      </w:r>
      <w:r w:rsidR="0042102B">
        <w:fldChar w:fldCharType="end"/>
      </w:r>
      <w:r w:rsidR="0065082D">
        <w:t xml:space="preserve">. </w:t>
      </w:r>
      <w:r w:rsidR="00D26F6A">
        <w:t>We t</w:t>
      </w:r>
      <w:r w:rsidR="00140CD1">
        <w:t>hen</w:t>
      </w:r>
      <w:r>
        <w:t xml:space="preserve"> used benchmark</w:t>
      </w:r>
      <w:r w:rsidR="00C604FC">
        <w:t xml:space="preserve"> </w:t>
      </w:r>
      <w:r w:rsidR="00160277">
        <w:t xml:space="preserve">dose </w:t>
      </w:r>
      <w:r w:rsidR="00C604FC">
        <w:t xml:space="preserve">modelling to determine the variability </w:t>
      </w:r>
      <w:r w:rsidR="00160277">
        <w:t xml:space="preserve">in </w:t>
      </w:r>
      <w:r w:rsidR="00C604FC">
        <w:t xml:space="preserve">effector activity of the </w:t>
      </w:r>
      <w:r w:rsidR="00160277">
        <w:t xml:space="preserve">different </w:t>
      </w:r>
      <w:r w:rsidR="00C604FC">
        <w:t>phase</w:t>
      </w:r>
      <w:r w:rsidR="00160277">
        <w:t>s</w:t>
      </w:r>
      <w:r w:rsidR="00C604FC">
        <w:t xml:space="preserve"> </w:t>
      </w:r>
      <w:r w:rsidR="00160277">
        <w:t>of each</w:t>
      </w:r>
      <w:r w:rsidR="00C604FC">
        <w:t xml:space="preserve"> particle type</w:t>
      </w:r>
      <w:r>
        <w:t>.</w:t>
      </w:r>
      <w:r w:rsidR="00160277">
        <w:t xml:space="preserve"> </w:t>
      </w:r>
      <w:r w:rsidR="00354BC8">
        <w:t xml:space="preserve">Finally, we used </w:t>
      </w:r>
      <w:proofErr w:type="spellStart"/>
      <w:r w:rsidR="00354BC8">
        <w:t>ToF</w:t>
      </w:r>
      <w:proofErr w:type="spellEnd"/>
      <w:r w:rsidR="00354BC8">
        <w:t xml:space="preserve"> SIMS analysis to investigate whether membrane adhesion effects by copper were plausible</w:t>
      </w:r>
      <w:r w:rsidR="00160277">
        <w:t>,</w:t>
      </w:r>
      <w:r w:rsidR="00354BC8">
        <w:t xml:space="preserve"> or</w:t>
      </w:r>
      <w:r w:rsidR="00160277">
        <w:t>,</w:t>
      </w:r>
      <w:r w:rsidR="00354BC8">
        <w:t xml:space="preserve"> if intracellular uptake most likely explained the bacterial impact of copper.</w:t>
      </w:r>
      <w:r w:rsidR="0077533D">
        <w:br w:type="page"/>
      </w:r>
    </w:p>
    <w:p w14:paraId="07D48F75" w14:textId="5327C3D4" w:rsidR="001114C1" w:rsidRPr="00392467" w:rsidRDefault="00392467" w:rsidP="001C25AE">
      <w:pPr>
        <w:pStyle w:val="ListParagraph"/>
        <w:keepNext/>
        <w:keepLines/>
        <w:numPr>
          <w:ilvl w:val="0"/>
          <w:numId w:val="5"/>
        </w:numPr>
        <w:spacing w:before="120" w:after="0" w:line="480" w:lineRule="auto"/>
        <w:jc w:val="both"/>
        <w:outlineLvl w:val="0"/>
        <w:rPr>
          <w:rFonts w:eastAsiaTheme="majorEastAsia" w:cstheme="majorBidi"/>
          <w:b/>
          <w:sz w:val="28"/>
          <w:szCs w:val="26"/>
        </w:rPr>
      </w:pPr>
      <w:r>
        <w:rPr>
          <w:rFonts w:eastAsiaTheme="majorEastAsia" w:cstheme="majorBidi"/>
          <w:b/>
          <w:sz w:val="28"/>
          <w:szCs w:val="26"/>
        </w:rPr>
        <w:lastRenderedPageBreak/>
        <w:t>Materials and Methods</w:t>
      </w:r>
    </w:p>
    <w:p w14:paraId="00903966" w14:textId="7E5AF6C3" w:rsidR="006B7EC0" w:rsidRPr="001C25AE" w:rsidRDefault="00392467" w:rsidP="00343388">
      <w:pPr>
        <w:pStyle w:val="ListParagraph"/>
        <w:numPr>
          <w:ilvl w:val="1"/>
          <w:numId w:val="5"/>
        </w:numPr>
        <w:spacing w:before="240" w:after="0" w:line="480" w:lineRule="auto"/>
        <w:jc w:val="both"/>
        <w:outlineLvl w:val="1"/>
        <w:rPr>
          <w:rFonts w:ascii="Calibri" w:hAnsi="Calibri"/>
          <w:b/>
          <w:szCs w:val="18"/>
        </w:rPr>
      </w:pPr>
      <w:r>
        <w:rPr>
          <w:rFonts w:ascii="Calibri" w:hAnsi="Calibri"/>
          <w:b/>
          <w:szCs w:val="18"/>
        </w:rPr>
        <w:t xml:space="preserve"> </w:t>
      </w:r>
      <w:r w:rsidR="006B7EC0" w:rsidRPr="001C25AE">
        <w:rPr>
          <w:rFonts w:ascii="Calibri" w:hAnsi="Calibri"/>
          <w:b/>
          <w:szCs w:val="18"/>
        </w:rPr>
        <w:t>Preparation of copper stocks</w:t>
      </w:r>
    </w:p>
    <w:p w14:paraId="37F6B2E1" w14:textId="6528FF9C" w:rsidR="00C82307" w:rsidRDefault="00540056" w:rsidP="006B7EC0">
      <w:pPr>
        <w:spacing w:after="0" w:line="480" w:lineRule="auto"/>
        <w:jc w:val="both"/>
        <w:rPr>
          <w:rFonts w:ascii="Calibri" w:hAnsi="Calibri"/>
          <w:szCs w:val="18"/>
        </w:rPr>
      </w:pPr>
      <w:r>
        <w:rPr>
          <w:rFonts w:ascii="Calibri" w:hAnsi="Calibri"/>
          <w:szCs w:val="18"/>
        </w:rPr>
        <w:t>All reagents were purchased from Sigma Aldrich and used as received</w:t>
      </w:r>
      <w:r w:rsidR="00A94EF0">
        <w:rPr>
          <w:rFonts w:ascii="Calibri" w:hAnsi="Calibri"/>
          <w:szCs w:val="18"/>
        </w:rPr>
        <w:t xml:space="preserve">, unless otherwise </w:t>
      </w:r>
      <w:r w:rsidR="0089612B">
        <w:rPr>
          <w:rFonts w:ascii="Calibri" w:hAnsi="Calibri"/>
          <w:szCs w:val="18"/>
        </w:rPr>
        <w:t>detailed</w:t>
      </w:r>
      <w:r>
        <w:rPr>
          <w:rFonts w:ascii="Calibri" w:hAnsi="Calibri"/>
          <w:szCs w:val="18"/>
        </w:rPr>
        <w:t>. Stock solution</w:t>
      </w:r>
      <w:r w:rsidR="00AE553F">
        <w:rPr>
          <w:rFonts w:ascii="Calibri" w:hAnsi="Calibri"/>
          <w:szCs w:val="18"/>
        </w:rPr>
        <w:t>s</w:t>
      </w:r>
      <w:r>
        <w:rPr>
          <w:rFonts w:ascii="Calibri" w:hAnsi="Calibri"/>
          <w:szCs w:val="18"/>
        </w:rPr>
        <w:t xml:space="preserve"> were prepared using ultra high purity</w:t>
      </w:r>
      <w:r w:rsidR="002A4F62">
        <w:rPr>
          <w:rFonts w:ascii="Calibri" w:hAnsi="Calibri"/>
          <w:szCs w:val="18"/>
        </w:rPr>
        <w:t xml:space="preserve"> (UHP)</w:t>
      </w:r>
      <w:r>
        <w:rPr>
          <w:rFonts w:ascii="Calibri" w:hAnsi="Calibri"/>
          <w:szCs w:val="18"/>
        </w:rPr>
        <w:t xml:space="preserve"> water (</w:t>
      </w:r>
      <w:r w:rsidRPr="00540056">
        <w:rPr>
          <w:rFonts w:ascii="Calibri" w:hAnsi="Calibri"/>
          <w:szCs w:val="18"/>
        </w:rPr>
        <w:t>reverse osmosis purification; 18.2</w:t>
      </w:r>
      <w:r w:rsidRPr="00540056">
        <w:rPr>
          <w:rFonts w:ascii="Calibri" w:hAnsi="Calibri" w:cstheme="minorHAnsi"/>
          <w:szCs w:val="18"/>
        </w:rPr>
        <w:t>Ω</w:t>
      </w:r>
      <w:r w:rsidRPr="00540056">
        <w:rPr>
          <w:rFonts w:ascii="Calibri" w:hAnsi="Calibri"/>
          <w:szCs w:val="18"/>
        </w:rPr>
        <w:t>M/cm)</w:t>
      </w:r>
      <w:r>
        <w:rPr>
          <w:rFonts w:ascii="Calibri" w:hAnsi="Calibri"/>
          <w:szCs w:val="18"/>
        </w:rPr>
        <w:t xml:space="preserve">. </w:t>
      </w:r>
      <w:r w:rsidR="001D01A3">
        <w:rPr>
          <w:rFonts w:ascii="Calibri" w:hAnsi="Calibri"/>
          <w:szCs w:val="18"/>
        </w:rPr>
        <w:t>D</w:t>
      </w:r>
      <w:r w:rsidR="00A94EF0">
        <w:rPr>
          <w:rFonts w:ascii="Calibri" w:hAnsi="Calibri"/>
          <w:szCs w:val="18"/>
        </w:rPr>
        <w:t>ispersions of c</w:t>
      </w:r>
      <w:r w:rsidR="006B7EC0">
        <w:rPr>
          <w:rFonts w:ascii="Calibri" w:hAnsi="Calibri"/>
          <w:szCs w:val="18"/>
        </w:rPr>
        <w:t>opper oxide nanoparticles (</w:t>
      </w:r>
      <w:proofErr w:type="spellStart"/>
      <w:r w:rsidR="006B7EC0">
        <w:rPr>
          <w:rFonts w:ascii="Calibri" w:hAnsi="Calibri"/>
          <w:szCs w:val="18"/>
        </w:rPr>
        <w:t>CuO</w:t>
      </w:r>
      <w:proofErr w:type="spellEnd"/>
      <w:r w:rsidR="006B7EC0">
        <w:rPr>
          <w:rFonts w:ascii="Calibri" w:hAnsi="Calibri"/>
          <w:szCs w:val="18"/>
        </w:rPr>
        <w:t xml:space="preserve"> NPs A) were prepared from c</w:t>
      </w:r>
      <w:r w:rsidR="006B7EC0" w:rsidRPr="00D14AA0">
        <w:rPr>
          <w:rFonts w:ascii="Calibri" w:hAnsi="Calibri"/>
          <w:szCs w:val="18"/>
        </w:rPr>
        <w:t xml:space="preserve">ommercial </w:t>
      </w:r>
      <w:r w:rsidR="006B7EC0">
        <w:rPr>
          <w:rFonts w:ascii="Calibri" w:hAnsi="Calibri"/>
          <w:szCs w:val="18"/>
        </w:rPr>
        <w:t>powder</w:t>
      </w:r>
      <w:r w:rsidR="00CC2EC0">
        <w:rPr>
          <w:rFonts w:ascii="Calibri" w:hAnsi="Calibri"/>
          <w:szCs w:val="18"/>
        </w:rPr>
        <w:t>s</w:t>
      </w:r>
      <w:r w:rsidR="006B7EC0">
        <w:rPr>
          <w:rFonts w:ascii="Calibri" w:hAnsi="Calibri"/>
          <w:szCs w:val="18"/>
        </w:rPr>
        <w:t xml:space="preserve"> (Sigma 544868</w:t>
      </w:r>
      <w:r w:rsidR="006B7EC0" w:rsidRPr="00D14AA0">
        <w:rPr>
          <w:rFonts w:ascii="Calibri" w:hAnsi="Calibri"/>
          <w:szCs w:val="18"/>
        </w:rPr>
        <w:t xml:space="preserve">) </w:t>
      </w:r>
      <w:r w:rsidR="00F31F81">
        <w:rPr>
          <w:rFonts w:ascii="Calibri" w:hAnsi="Calibri"/>
          <w:szCs w:val="18"/>
        </w:rPr>
        <w:t>that</w:t>
      </w:r>
      <w:r w:rsidR="00A94EF0">
        <w:rPr>
          <w:rFonts w:ascii="Calibri" w:hAnsi="Calibri"/>
          <w:szCs w:val="18"/>
        </w:rPr>
        <w:t xml:space="preserve"> </w:t>
      </w:r>
      <w:r w:rsidR="006B7EC0">
        <w:rPr>
          <w:rFonts w:ascii="Calibri" w:hAnsi="Calibri"/>
          <w:szCs w:val="18"/>
        </w:rPr>
        <w:t>were</w:t>
      </w:r>
      <w:r w:rsidR="00A94EF0">
        <w:rPr>
          <w:rFonts w:ascii="Calibri" w:hAnsi="Calibri"/>
          <w:szCs w:val="18"/>
        </w:rPr>
        <w:t xml:space="preserve"> reported as</w:t>
      </w:r>
      <w:r w:rsidR="006B7EC0">
        <w:rPr>
          <w:rFonts w:ascii="Calibri" w:hAnsi="Calibri"/>
          <w:szCs w:val="18"/>
        </w:rPr>
        <w:t xml:space="preserve"> free of impuritie</w:t>
      </w:r>
      <w:r w:rsidR="00A94EF0">
        <w:rPr>
          <w:rFonts w:ascii="Calibri" w:hAnsi="Calibri"/>
          <w:szCs w:val="18"/>
        </w:rPr>
        <w:t>s and with a</w:t>
      </w:r>
      <w:r w:rsidR="00F31F81">
        <w:rPr>
          <w:rFonts w:ascii="Calibri" w:hAnsi="Calibri"/>
          <w:szCs w:val="18"/>
        </w:rPr>
        <w:t xml:space="preserve"> </w:t>
      </w:r>
      <w:r w:rsidR="006B7EC0">
        <w:rPr>
          <w:rFonts w:ascii="Calibri" w:hAnsi="Calibri"/>
          <w:szCs w:val="18"/>
        </w:rPr>
        <w:t xml:space="preserve">primary particle size of 34 </w:t>
      </w:r>
      <w:r w:rsidR="006B7EC0" w:rsidRPr="00274167">
        <w:rPr>
          <w:rFonts w:ascii="Calibri" w:hAnsi="Calibri"/>
          <w:szCs w:val="18"/>
        </w:rPr>
        <w:t>nm</w:t>
      </w:r>
      <w:r w:rsidR="00274167" w:rsidRPr="00274167">
        <w:rPr>
          <w:rFonts w:ascii="Calibri" w:hAnsi="Calibri"/>
          <w:szCs w:val="18"/>
        </w:rPr>
        <w:t xml:space="preserve"> </w:t>
      </w:r>
      <w:r w:rsidR="0082610A" w:rsidRPr="00274167">
        <w:rPr>
          <w:rFonts w:ascii="Calibri" w:hAnsi="Calibri"/>
          <w:szCs w:val="18"/>
        </w:rPr>
        <w:fldChar w:fldCharType="begin" w:fldLock="1"/>
      </w:r>
      <w:r w:rsidR="00454102">
        <w:rPr>
          <w:rFonts w:ascii="Calibri" w:hAnsi="Calibri"/>
          <w:szCs w:val="18"/>
        </w:rPr>
        <w:instrText>ADDIN CSL_CITATION {"citationItems":[{"id":"ITEM-1","itemData":{"DOI":"10.1016/j.toxlet.2013.07.019","ISSN":"0378-4274","abstract":"Metal oxide NPs are abundantly produced in nanotech industries and are emitted in several combustion processes, suggesting the need to characterize their toxic impact on the human respiratory system. The acute toxicity and the morphological changes induced by copper oxide and titanium dioxide NPs (nCuO and nTiO2) on the human alveolar cell line A549 are here investigated. Cell viability and oxidative stress have been studied in parallel with NP internalization and cell ultrastructural modifications. TiO2 NPs were abundantly internalized by cells through the endocytic pathway, even they did not induce cell death and ultrastructural lesions. Only after 24h cells were affected by an abundant NP internalization presenting a consequent altered morphology. High cytotoxicity, oxidative stress and severe ultrastructural damages were produced by nCuO, since cell membrane and mitochondria resulted to be heavily affected, even at early exposure time. nCuO-induced toxicity has been interpreted as a consequence of both NPs reactivity and copper ions dissolution in lysosomal compartments, even the free NPs, scattered throughout all the cell compartments, might contribute to the toxicity. The antioxidant N-acetylcysteine was effective in recovering nCuO exposed cells viability and Bafilomycin A1 inhibited copper ions release in phagolysosomes and significantly rescued cells, suggesting a relevant cytotoxic mechanism relative to oxidative damages and authophagic cell death, together with NP internalization and dissolution. Our results support the previous data reporting CuO NPs are highly cytotoxic and genotoxic, and associate their toxic effects with their cell penetration and interaction with various compartments. In conclusion, the so-called “Trojan horse” mechanism and autophagy, are involved in nCuO-induced cell death, even a further research is needed to explain the events occurring at early exposure time.","author":[{"dropping-particle":"","family":"Moschini","given":"Elisa","non-dropping-particle":"","parse-names":false,"suffix":""},{"dropping-particle":"","family":"Gualtieri","given":"Maurizio","non-dropping-particle":"","parse-names":false,"suffix":""},{"dropping-particle":"","family":"Colombo","given":"Miriam","non-dropping-particle":"","parse-names":false,"suffix":""},{"dropping-particle":"","family":"Fascio","given":"Umberto","non-dropping-particle":"","parse-names":false,"suffix":""},{"dropping-particle":"","family":"Camatini","given":"Marina","non-dropping-particle":"","parse-names":false,"suffix":""},{"dropping-particle":"","family":"Mantecca","given":"Paride","non-dropping-particle":"","parse-names":false,"suffix":""}],"container-title":"Toxicology Letters","id":"ITEM-1","issue":"2","issued":{"date-parts":[["2013"]]},"page":"102-116","title":"The modality of cell–particle interactions drives the toxicity of nanosized CuO and TiO2 in human alveolar epithelial cells","type":"article-journal","volume":"222"},"uris":["http://www.mendeley.com/documents/?uuid=e18f929a-65c2-45ab-a7bc-92947fa24447"]}],"mendeley":{"formattedCitation":"(Moschini et al., 2013a)","plainTextFormattedCitation":"(Moschini et al., 2013a)","previouslyFormattedCitation":"(Moschini et al., 2013b)"},"properties":{"noteIndex":0},"schema":"https://github.com/citation-style-language/schema/raw/master/csl-citation.json"}</w:instrText>
      </w:r>
      <w:r w:rsidR="0082610A" w:rsidRPr="00274167">
        <w:rPr>
          <w:rFonts w:ascii="Calibri" w:hAnsi="Calibri"/>
          <w:szCs w:val="18"/>
        </w:rPr>
        <w:fldChar w:fldCharType="separate"/>
      </w:r>
      <w:r w:rsidR="00454102" w:rsidRPr="00454102">
        <w:rPr>
          <w:rFonts w:ascii="Calibri" w:hAnsi="Calibri"/>
          <w:noProof/>
          <w:szCs w:val="18"/>
        </w:rPr>
        <w:t>(Moschini et al., 2013a)</w:t>
      </w:r>
      <w:r w:rsidR="0082610A" w:rsidRPr="00274167">
        <w:rPr>
          <w:rFonts w:ascii="Calibri" w:hAnsi="Calibri"/>
          <w:szCs w:val="18"/>
        </w:rPr>
        <w:fldChar w:fldCharType="end"/>
      </w:r>
      <w:r w:rsidR="00343388" w:rsidRPr="00274167">
        <w:rPr>
          <w:rFonts w:ascii="Calibri" w:hAnsi="Calibri"/>
          <w:szCs w:val="18"/>
        </w:rPr>
        <w:t>.</w:t>
      </w:r>
      <w:r w:rsidR="00F31F81" w:rsidRPr="00274167">
        <w:rPr>
          <w:rFonts w:ascii="Calibri" w:hAnsi="Calibri"/>
          <w:szCs w:val="18"/>
        </w:rPr>
        <w:t xml:space="preserve"> These</w:t>
      </w:r>
      <w:r w:rsidR="00F31F81">
        <w:rPr>
          <w:rFonts w:ascii="Calibri" w:hAnsi="Calibri"/>
          <w:szCs w:val="18"/>
        </w:rPr>
        <w:t xml:space="preserve"> have been previously investigated a</w:t>
      </w:r>
      <w:r w:rsidR="006B7EC0">
        <w:rPr>
          <w:rFonts w:ascii="Calibri" w:hAnsi="Calibri"/>
          <w:szCs w:val="18"/>
        </w:rPr>
        <w:t>s antimicrobial agen</w:t>
      </w:r>
      <w:r w:rsidR="00AC1FC7">
        <w:rPr>
          <w:rFonts w:ascii="Calibri" w:hAnsi="Calibri"/>
          <w:szCs w:val="18"/>
        </w:rPr>
        <w:t>t</w:t>
      </w:r>
      <w:r w:rsidR="00F31F81">
        <w:rPr>
          <w:rFonts w:ascii="Calibri" w:hAnsi="Calibri"/>
          <w:szCs w:val="18"/>
        </w:rPr>
        <w:t>s</w:t>
      </w:r>
      <w:r w:rsidR="00343388">
        <w:rPr>
          <w:rFonts w:ascii="Calibri" w:hAnsi="Calibri"/>
          <w:szCs w:val="18"/>
        </w:rPr>
        <w:t xml:space="preserve"> </w:t>
      </w:r>
      <w:r w:rsidR="00E67E7C">
        <w:rPr>
          <w:rFonts w:ascii="Calibri" w:hAnsi="Calibri"/>
          <w:szCs w:val="18"/>
        </w:rPr>
        <w:fldChar w:fldCharType="begin" w:fldLock="1"/>
      </w:r>
      <w:r w:rsidR="002A7491">
        <w:rPr>
          <w:rFonts w:ascii="Calibri" w:hAnsi="Calibri"/>
          <w:szCs w:val="18"/>
        </w:rPr>
        <w:instrText>ADDIN CSL_CITATION {"citationItems":[{"id":"ITEM-1","itemData":{"DOI":"10.1016/j.scitotenv.2008.10.053","ISSN":"0048-9697","abstract":"Toxicities of ZnO, TiO2 and CuO nanoparticles to Pseudokirchneriella subcapitata were determined using OECD 201 algal growth inhibition test taking in account potential shading of light. The results showed that the shading effect by nanoparticles was negligible. ZnO nanoparticles were most toxic followed by nano CuO and nano TiO2. The toxicities of bulk and nano ZnO particles were both similar to that of ZnSO4 (72 h EC50 ~0.04 mg Zn/l). Thus, in this low concentration range the toxicity was attributed solely to solubilized Zn2+ ions. Bulk TiO2 (EC50=35.9 mg Ti/l) and bulk CuO (EC50=11.55 mg Cu/l) were less toxic than their nano formulations (EC50=5.83 mg Ti/l and 0.71 mg Cu/l). NOEC (no-observed-effect-concentrations) that may be used for risk assessment purposes for bulk and nano ZnO did not differ (~0.02 mg Zn/l). NOEC for nano CuO was 0.42 mg Cu/l and for bulk CuO 8.03 mg Cu/l. For nano TiO2 the NOEC was 0.98 mg Ti/l and for bulk TiO2 10.1 mg Ti/l. Nano TiO2 formed characteristic aggregates entrapping algal cells that may contribute to the toxic effect of nano TiO2 to algae. At 72 h EC50 values of nano CuO and CuO, 25% of copper from nano CuO was bioavailable and only 0.18% of copper from bulk CuO. Thus, according to recombinant bacterial and yeast Cu-sensors, copper from nano CuO was 141-fold more bioavailable than from bulk CuO. Also, toxic effects of Cu oxides to algae were due to bioavailable copper ions. To our knowledge, this is one of the first systematic studies on effects of metal oxide nanoparticles on algal growth and the first describing toxic effects of nano CuO towards algae.","author":[{"dropping-particle":"","family":"Aruoja","given":"Villem","non-dropping-particle":"","parse-names":false,"suffix":""},{"dropping-particle":"","family":"Dubourguier","given":"Henri-Charles","non-dropping-particle":"","parse-names":false,"suffix":""},{"dropping-particle":"","family":"Kasemets","given":"Kaja","non-dropping-particle":"","parse-names":false,"suffix":""},{"dropping-particle":"","family":"Kahru","given":"Anne","non-dropping-particle":"","parse-names":false,"suffix":""}],"container-title":"Science of The Total Environment","id":"ITEM-1","issue":"4","issued":{"date-parts":[["2009"]]},"note":"Reference for SIgma CuO","page":"1461-1468","title":"Toxicity of nanoparticles of CuO, ZnO and TiO2 to microalgae Pseudokirchneriella subcapitata","type":"article-journal","volume":"407"},"uris":["http://www.mendeley.com/documents/?uuid=e99a9eab-bbed-43c7-a7ed-e36c6eb19022"]},{"id":"ITEM-2","itemData":{"DOI":"10.1186/s11671-018-2520-7","ISSN":"1931-7573 (Print)","PMID":"29675656","abstract":"Bacterial resistance to antimicrobial therapies is an increasing clinical problem. This is as true for topical applications as it is for systemic therapy. Topically, copper ions may be effective and cheap antimicrobials that act through multiple pathways thereby limiting opportunities to bacteria for resistance. However, the chemistry of copper does not lend itself to facile formulations that will readily release copper ions at biologically compatible pHs. Here, we have developed nanoparticulate copper hydroxide adipate tartrate (CHAT) as a cheap, safe, and readily synthesised material that should enable antimicrobial copper ion release in an infected wound environment.First, we synthesised CHAT and showed that this had disperse aquated particle sizes of 2-5 nm and a mean zeta potential of - 40 mV. Next, when diluted into bacterial medium, CHAT demonstrated similar efficacy to copper chloride against Escherichia coli and Staphylococcus aureus, with dose-dependent activity occurring mostly around 12.5-50 mg/L of copper. Indeed, at these levels, CHAT very rapidly dissolved and, as confirmed by a bacterial copper biosensor, showed identical intracellular loading to copper ions derived from copper chloride. However, when formulated at 250 mg/L in a topically applied matrix, namely hydroxyethyl cellulose, the benefit of CHAT over copper chloride was apparent. The former yielded rapid sustained release of copper within the bactericidal range, but the copper chloride, which formed insoluble precipitates at such concentration and pH, achieved a maximum release of 10 +/- 7 mg/L copper by 24 h.We provide a practical formulation for topical copper-based antimicrobial therapy. Further studies, especially in vivo, are merited.","author":[{"dropping-particle":"","family":"Bastos","given":"Carlos A. P.","non-dropping-particle":"","parse-names":false,"suffix":""},{"dropping-particle":"","family":"Faria","given":"Nuno","non-dropping-particle":"","parse-names":false,"suffix":""},{"dropping-particle":"","family":"Ivask","given":"Angela","non-dropping-particle":"","parse-names":false,"suffix":""},{"dropping-particle":"","family":"Bondarenko","given":"Olesja M.","non-dropping-particle":"","parse-names":false,"suffix":""},{"dropping-particle":"","family":"Kahru","given":"Anne","non-dropping-particle":"","parse-names":false,"suffix":""},{"dropping-particle":"","family":"Powell","given":"Jonathan","non-dropping-particle":"","parse-names":false,"suffix":""}],"container-title":"Nanoscale research letters","id":"ITEM-2","issue":"1","issued":{"date-parts":[["2018","4","19"]]},"language":"eng","page":"111","publisher-place":"United States","title":"Ligand-Doped Copper Oxo-hydroxide Nanoparticles are Effective Antimicrobials.","type":"article-journal","volume":"13"},"uris":["http://www.mendeley.com/documents/?uuid=ea7b5011-0722-4df7-989e-150f4203a899"]}],"mendeley":{"formattedCitation":"(Aruoja et al., 2009; Bastos et al., 2018)","plainTextFormattedCitation":"(Aruoja et al., 2009; Bastos et al., 2018)","previouslyFormattedCitation":"(Aruoja et al., 2009; Bastos et al., 2018)"},"properties":{"noteIndex":0},"schema":"https://github.com/citation-style-language/schema/raw/master/csl-citation.json"}</w:instrText>
      </w:r>
      <w:r w:rsidR="00E67E7C">
        <w:rPr>
          <w:rFonts w:ascii="Calibri" w:hAnsi="Calibri"/>
          <w:szCs w:val="18"/>
        </w:rPr>
        <w:fldChar w:fldCharType="separate"/>
      </w:r>
      <w:r w:rsidR="003724C3" w:rsidRPr="003724C3">
        <w:rPr>
          <w:rFonts w:ascii="Calibri" w:hAnsi="Calibri"/>
          <w:noProof/>
          <w:szCs w:val="18"/>
        </w:rPr>
        <w:t>(Aruoja et al., 2009; Bastos et al., 2018)</w:t>
      </w:r>
      <w:r w:rsidR="00E67E7C">
        <w:rPr>
          <w:rFonts w:ascii="Calibri" w:hAnsi="Calibri"/>
          <w:szCs w:val="18"/>
        </w:rPr>
        <w:fldChar w:fldCharType="end"/>
      </w:r>
      <w:r w:rsidR="00343388">
        <w:rPr>
          <w:rFonts w:ascii="Calibri" w:hAnsi="Calibri"/>
          <w:szCs w:val="18"/>
        </w:rPr>
        <w:t>.</w:t>
      </w:r>
      <w:r w:rsidR="006B7EC0">
        <w:rPr>
          <w:rFonts w:ascii="Calibri" w:hAnsi="Calibri"/>
          <w:szCs w:val="18"/>
        </w:rPr>
        <w:t xml:space="preserve"> The stocks were prepared </w:t>
      </w:r>
      <w:r w:rsidR="006B7EC0" w:rsidRPr="00D14AA0">
        <w:rPr>
          <w:rFonts w:ascii="Calibri" w:hAnsi="Calibri"/>
          <w:szCs w:val="18"/>
        </w:rPr>
        <w:t xml:space="preserve">at </w:t>
      </w:r>
      <w:r w:rsidR="006B7EC0">
        <w:rPr>
          <w:rFonts w:ascii="Calibri" w:hAnsi="Calibri"/>
          <w:szCs w:val="18"/>
        </w:rPr>
        <w:t>20</w:t>
      </w:r>
      <w:r w:rsidR="00F31F81">
        <w:rPr>
          <w:rFonts w:ascii="Calibri" w:hAnsi="Calibri"/>
          <w:szCs w:val="18"/>
        </w:rPr>
        <w:t xml:space="preserve"> </w:t>
      </w:r>
      <w:r w:rsidR="006B7EC0">
        <w:rPr>
          <w:rFonts w:ascii="Calibri" w:hAnsi="Calibri"/>
          <w:szCs w:val="18"/>
        </w:rPr>
        <w:t>mM copper by dispersing the powder in water with vigorous agitation</w:t>
      </w:r>
      <w:r w:rsidR="006B7EC0" w:rsidRPr="00D14AA0">
        <w:rPr>
          <w:rFonts w:ascii="Calibri" w:hAnsi="Calibri"/>
          <w:szCs w:val="18"/>
        </w:rPr>
        <w:t xml:space="preserve">. </w:t>
      </w:r>
      <w:r>
        <w:rPr>
          <w:rFonts w:ascii="Calibri" w:hAnsi="Calibri"/>
          <w:szCs w:val="18"/>
        </w:rPr>
        <w:t xml:space="preserve">The same protocol was repeated for </w:t>
      </w:r>
      <w:r w:rsidR="006B7EC0">
        <w:rPr>
          <w:rFonts w:ascii="Calibri" w:hAnsi="Calibri"/>
          <w:szCs w:val="18"/>
        </w:rPr>
        <w:t xml:space="preserve">copper oxide </w:t>
      </w:r>
      <w:r w:rsidR="006B7EC0" w:rsidRPr="00D14AA0">
        <w:rPr>
          <w:rFonts w:ascii="Calibri" w:hAnsi="Calibri"/>
          <w:szCs w:val="18"/>
        </w:rPr>
        <w:t>nanoparticles</w:t>
      </w:r>
      <w:r w:rsidR="006B7EC0">
        <w:rPr>
          <w:rFonts w:ascii="Calibri" w:hAnsi="Calibri"/>
          <w:szCs w:val="18"/>
        </w:rPr>
        <w:t xml:space="preserve"> Alfa </w:t>
      </w:r>
      <w:proofErr w:type="spellStart"/>
      <w:r w:rsidR="006B7EC0">
        <w:rPr>
          <w:rFonts w:ascii="Calibri" w:hAnsi="Calibri"/>
          <w:szCs w:val="18"/>
        </w:rPr>
        <w:t>Aesar</w:t>
      </w:r>
      <w:proofErr w:type="spellEnd"/>
      <w:r w:rsidR="006B7EC0">
        <w:rPr>
          <w:rFonts w:ascii="Calibri" w:hAnsi="Calibri"/>
          <w:szCs w:val="18"/>
        </w:rPr>
        <w:t xml:space="preserve"> 44663</w:t>
      </w:r>
      <w:r w:rsidR="0038681A">
        <w:rPr>
          <w:rFonts w:ascii="Calibri" w:hAnsi="Calibri"/>
          <w:szCs w:val="18"/>
        </w:rPr>
        <w:t xml:space="preserve"> (</w:t>
      </w:r>
      <w:r w:rsidR="00F31F81">
        <w:rPr>
          <w:rFonts w:ascii="Calibri" w:hAnsi="Calibri"/>
          <w:szCs w:val="18"/>
        </w:rPr>
        <w:t xml:space="preserve">termed here as </w:t>
      </w:r>
      <w:proofErr w:type="spellStart"/>
      <w:r w:rsidR="006B7EC0" w:rsidRPr="00D14AA0">
        <w:rPr>
          <w:rFonts w:ascii="Calibri" w:hAnsi="Calibri"/>
          <w:szCs w:val="18"/>
        </w:rPr>
        <w:t>CuO</w:t>
      </w:r>
      <w:proofErr w:type="spellEnd"/>
      <w:r w:rsidR="006B7EC0" w:rsidRPr="00D14AA0">
        <w:rPr>
          <w:rFonts w:ascii="Calibri" w:hAnsi="Calibri"/>
          <w:szCs w:val="18"/>
        </w:rPr>
        <w:t xml:space="preserve"> NPs</w:t>
      </w:r>
      <w:r>
        <w:rPr>
          <w:rFonts w:ascii="Calibri" w:hAnsi="Calibri"/>
          <w:szCs w:val="18"/>
        </w:rPr>
        <w:t xml:space="preserve"> B</w:t>
      </w:r>
      <w:r w:rsidR="0038681A">
        <w:rPr>
          <w:rFonts w:ascii="Calibri" w:hAnsi="Calibri"/>
          <w:szCs w:val="18"/>
        </w:rPr>
        <w:t>)</w:t>
      </w:r>
      <w:r w:rsidR="006B7EC0" w:rsidRPr="00D14AA0">
        <w:rPr>
          <w:rFonts w:ascii="Calibri" w:hAnsi="Calibri"/>
          <w:szCs w:val="18"/>
        </w:rPr>
        <w:t>. Elemental copper nanoparticles, Sigma 774081 (</w:t>
      </w:r>
      <w:r w:rsidR="0038681A">
        <w:rPr>
          <w:rFonts w:ascii="Calibri" w:hAnsi="Calibri"/>
          <w:szCs w:val="18"/>
        </w:rPr>
        <w:t xml:space="preserve">termed here as </w:t>
      </w:r>
      <w:proofErr w:type="spellStart"/>
      <w:r w:rsidR="006B7EC0" w:rsidRPr="00D14AA0">
        <w:rPr>
          <w:rFonts w:ascii="Calibri" w:hAnsi="Calibri"/>
          <w:szCs w:val="18"/>
        </w:rPr>
        <w:t>CuNPs</w:t>
      </w:r>
      <w:proofErr w:type="spellEnd"/>
      <w:r w:rsidR="006B7EC0" w:rsidRPr="00D14AA0">
        <w:rPr>
          <w:rFonts w:ascii="Calibri" w:hAnsi="Calibri"/>
          <w:szCs w:val="18"/>
        </w:rPr>
        <w:t xml:space="preserve"> </w:t>
      </w:r>
      <w:r w:rsidR="006B7EC0">
        <w:rPr>
          <w:rFonts w:ascii="Calibri" w:hAnsi="Calibri"/>
          <w:szCs w:val="18"/>
        </w:rPr>
        <w:t>A</w:t>
      </w:r>
      <w:r w:rsidR="006B7EC0" w:rsidRPr="00D14AA0">
        <w:rPr>
          <w:rFonts w:ascii="Calibri" w:hAnsi="Calibri"/>
          <w:szCs w:val="18"/>
        </w:rPr>
        <w:t>) and Sigma 774111 (</w:t>
      </w:r>
      <w:r w:rsidR="0038681A">
        <w:rPr>
          <w:rFonts w:ascii="Calibri" w:hAnsi="Calibri"/>
          <w:szCs w:val="18"/>
        </w:rPr>
        <w:t xml:space="preserve">termed here as </w:t>
      </w:r>
      <w:proofErr w:type="spellStart"/>
      <w:r w:rsidR="006B7EC0" w:rsidRPr="00D14AA0">
        <w:rPr>
          <w:rFonts w:ascii="Calibri" w:hAnsi="Calibri"/>
          <w:szCs w:val="18"/>
        </w:rPr>
        <w:t>CuNPs</w:t>
      </w:r>
      <w:proofErr w:type="spellEnd"/>
      <w:r w:rsidR="006B7EC0" w:rsidRPr="00D14AA0">
        <w:rPr>
          <w:rFonts w:ascii="Calibri" w:hAnsi="Calibri"/>
          <w:szCs w:val="18"/>
        </w:rPr>
        <w:t xml:space="preserve"> </w:t>
      </w:r>
      <w:r w:rsidR="006B7EC0">
        <w:rPr>
          <w:rFonts w:ascii="Calibri" w:hAnsi="Calibri"/>
          <w:szCs w:val="18"/>
        </w:rPr>
        <w:t>B</w:t>
      </w:r>
      <w:r w:rsidR="006B7EC0" w:rsidRPr="00D14AA0">
        <w:rPr>
          <w:rFonts w:ascii="Calibri" w:hAnsi="Calibri"/>
          <w:szCs w:val="18"/>
        </w:rPr>
        <w:t>)</w:t>
      </w:r>
      <w:r w:rsidR="006B7EC0">
        <w:rPr>
          <w:rFonts w:ascii="Calibri" w:hAnsi="Calibri"/>
          <w:szCs w:val="18"/>
        </w:rPr>
        <w:t>,</w:t>
      </w:r>
      <w:r w:rsidR="006B7EC0" w:rsidRPr="00D14AA0">
        <w:rPr>
          <w:rFonts w:ascii="Calibri" w:hAnsi="Calibri"/>
          <w:szCs w:val="18"/>
        </w:rPr>
        <w:t xml:space="preserve"> were maintained in</w:t>
      </w:r>
      <w:r w:rsidR="0038681A">
        <w:rPr>
          <w:rFonts w:ascii="Calibri" w:hAnsi="Calibri"/>
          <w:szCs w:val="18"/>
        </w:rPr>
        <w:t xml:space="preserve"> an</w:t>
      </w:r>
      <w:r w:rsidR="006B7EC0" w:rsidRPr="00D14AA0">
        <w:rPr>
          <w:rFonts w:ascii="Calibri" w:hAnsi="Calibri"/>
          <w:szCs w:val="18"/>
        </w:rPr>
        <w:t xml:space="preserve"> oxygen-free environment before use and were dispersed in UHP water (</w:t>
      </w:r>
      <w:r w:rsidR="006B7EC0">
        <w:rPr>
          <w:rFonts w:ascii="Calibri" w:hAnsi="Calibri"/>
          <w:szCs w:val="18"/>
        </w:rPr>
        <w:t>20mM copper</w:t>
      </w:r>
      <w:r w:rsidR="006B7EC0" w:rsidRPr="00D14AA0">
        <w:rPr>
          <w:rFonts w:ascii="Calibri" w:hAnsi="Calibri"/>
          <w:szCs w:val="18"/>
        </w:rPr>
        <w:t>) that had been flus</w:t>
      </w:r>
      <w:r w:rsidR="00D72268">
        <w:rPr>
          <w:rFonts w:ascii="Calibri" w:hAnsi="Calibri"/>
          <w:szCs w:val="18"/>
        </w:rPr>
        <w:t>hed with nitrogen gas to reduce</w:t>
      </w:r>
      <w:r w:rsidR="006B7EC0" w:rsidRPr="00D14AA0">
        <w:rPr>
          <w:rFonts w:ascii="Calibri" w:hAnsi="Calibri"/>
          <w:szCs w:val="18"/>
        </w:rPr>
        <w:t xml:space="preserve"> oxygen exposure.</w:t>
      </w:r>
      <w:r w:rsidR="006678BA">
        <w:rPr>
          <w:rFonts w:ascii="Calibri" w:hAnsi="Calibri"/>
          <w:szCs w:val="18"/>
        </w:rPr>
        <w:t xml:space="preserve"> </w:t>
      </w:r>
      <w:r w:rsidR="006678BA" w:rsidRPr="002B7242">
        <w:rPr>
          <w:rFonts w:ascii="Calibri" w:hAnsi="Calibri"/>
          <w:szCs w:val="18"/>
        </w:rPr>
        <w:t xml:space="preserve">Their purity was confirmed </w:t>
      </w:r>
      <w:r w:rsidR="0038681A">
        <w:rPr>
          <w:rFonts w:ascii="Calibri" w:hAnsi="Calibri"/>
          <w:szCs w:val="18"/>
        </w:rPr>
        <w:t xml:space="preserve">via </w:t>
      </w:r>
      <w:r w:rsidR="00A51C80" w:rsidRPr="002B7242">
        <w:rPr>
          <w:rFonts w:ascii="Calibri" w:hAnsi="Calibri"/>
          <w:szCs w:val="18"/>
        </w:rPr>
        <w:t>Fourier Transform – Infra</w:t>
      </w:r>
      <w:r w:rsidR="00695D81">
        <w:rPr>
          <w:rFonts w:ascii="Calibri" w:hAnsi="Calibri"/>
          <w:szCs w:val="18"/>
        </w:rPr>
        <w:t>r</w:t>
      </w:r>
      <w:r w:rsidR="00A51C80" w:rsidRPr="002B7242">
        <w:rPr>
          <w:rFonts w:ascii="Calibri" w:hAnsi="Calibri"/>
          <w:szCs w:val="18"/>
        </w:rPr>
        <w:t xml:space="preserve">ed (FT-IR) </w:t>
      </w:r>
      <w:r w:rsidR="0038681A">
        <w:rPr>
          <w:rFonts w:ascii="Calibri" w:hAnsi="Calibri"/>
          <w:szCs w:val="18"/>
        </w:rPr>
        <w:t>spectroscopy</w:t>
      </w:r>
      <w:r w:rsidR="005359AA">
        <w:rPr>
          <w:rFonts w:ascii="Calibri" w:hAnsi="Calibri"/>
          <w:szCs w:val="18"/>
        </w:rPr>
        <w:t xml:space="preserve"> </w:t>
      </w:r>
      <w:r w:rsidR="00A51C80" w:rsidRPr="002B7242">
        <w:rPr>
          <w:rFonts w:ascii="Calibri" w:hAnsi="Calibri"/>
          <w:szCs w:val="18"/>
        </w:rPr>
        <w:t xml:space="preserve">and by determining that the particles were 97% </w:t>
      </w:r>
      <w:r w:rsidR="00A51C80" w:rsidRPr="005359AA">
        <w:rPr>
          <w:rFonts w:ascii="Calibri" w:hAnsi="Calibri"/>
          <w:szCs w:val="18"/>
        </w:rPr>
        <w:t>copper</w:t>
      </w:r>
      <w:r w:rsidR="006678BA" w:rsidRPr="005359AA">
        <w:rPr>
          <w:rFonts w:ascii="Calibri" w:hAnsi="Calibri"/>
          <w:szCs w:val="18"/>
        </w:rPr>
        <w:t xml:space="preserve"> (Appendix </w:t>
      </w:r>
      <w:r w:rsidR="005F1BD4">
        <w:rPr>
          <w:rFonts w:ascii="Calibri" w:hAnsi="Calibri"/>
          <w:szCs w:val="18"/>
        </w:rPr>
        <w:t>A</w:t>
      </w:r>
      <w:r w:rsidR="006678BA" w:rsidRPr="005359AA">
        <w:rPr>
          <w:rFonts w:ascii="Calibri" w:hAnsi="Calibri"/>
          <w:szCs w:val="18"/>
        </w:rPr>
        <w:t>).</w:t>
      </w:r>
      <w:r w:rsidR="0038681A">
        <w:rPr>
          <w:rFonts w:ascii="Calibri" w:hAnsi="Calibri"/>
          <w:szCs w:val="18"/>
        </w:rPr>
        <w:t xml:space="preserve"> Finally, s</w:t>
      </w:r>
      <w:r w:rsidR="006B7EC0" w:rsidRPr="00D14AA0">
        <w:rPr>
          <w:rFonts w:ascii="Calibri" w:hAnsi="Calibri"/>
          <w:szCs w:val="18"/>
        </w:rPr>
        <w:t>ilicate-stabilised copper hydroxide nanoparticles (</w:t>
      </w:r>
      <w:proofErr w:type="spellStart"/>
      <w:r w:rsidR="006B7EC0" w:rsidRPr="00D14AA0">
        <w:rPr>
          <w:rFonts w:ascii="Calibri" w:hAnsi="Calibri"/>
          <w:szCs w:val="18"/>
        </w:rPr>
        <w:t>CuSi</w:t>
      </w:r>
      <w:proofErr w:type="spellEnd"/>
      <w:r w:rsidR="006B7EC0" w:rsidRPr="00D14AA0">
        <w:rPr>
          <w:rFonts w:ascii="Calibri" w:hAnsi="Calibri"/>
          <w:szCs w:val="18"/>
        </w:rPr>
        <w:t xml:space="preserve"> NPs) were synthesised by mixing equal volumes of 400</w:t>
      </w:r>
      <w:r w:rsidR="006B7EC0">
        <w:rPr>
          <w:rFonts w:ascii="Calibri" w:hAnsi="Calibri"/>
          <w:szCs w:val="18"/>
        </w:rPr>
        <w:t xml:space="preserve"> </w:t>
      </w:r>
      <w:r w:rsidR="006B7EC0" w:rsidRPr="00D14AA0">
        <w:rPr>
          <w:rFonts w:ascii="Calibri" w:hAnsi="Calibri"/>
          <w:szCs w:val="18"/>
        </w:rPr>
        <w:t>mM sodium silicate (</w:t>
      </w:r>
      <w:r w:rsidR="006B7EC0" w:rsidRPr="00D14AA0">
        <w:rPr>
          <w:rFonts w:ascii="Calibri" w:hAnsi="Calibri"/>
          <w:i/>
          <w:szCs w:val="18"/>
        </w:rPr>
        <w:t>ca.</w:t>
      </w:r>
      <w:r w:rsidR="006B7EC0" w:rsidRPr="00D14AA0">
        <w:rPr>
          <w:rFonts w:ascii="Calibri" w:hAnsi="Calibri"/>
          <w:szCs w:val="18"/>
        </w:rPr>
        <w:t xml:space="preserve"> pH 12) and 40</w:t>
      </w:r>
      <w:r w:rsidR="006B7EC0">
        <w:rPr>
          <w:rFonts w:ascii="Calibri" w:hAnsi="Calibri"/>
          <w:szCs w:val="18"/>
        </w:rPr>
        <w:t xml:space="preserve"> </w:t>
      </w:r>
      <w:r w:rsidR="006B7EC0" w:rsidRPr="00D14AA0">
        <w:rPr>
          <w:rFonts w:ascii="Calibri" w:hAnsi="Calibri"/>
          <w:szCs w:val="18"/>
        </w:rPr>
        <w:t>mM copper chloride</w:t>
      </w:r>
      <w:r w:rsidR="0089612B">
        <w:rPr>
          <w:rFonts w:ascii="Calibri" w:hAnsi="Calibri"/>
          <w:szCs w:val="18"/>
        </w:rPr>
        <w:t>, which resulted in formation of blue-coloured aggregates</w:t>
      </w:r>
      <w:r w:rsidR="006B7EC0" w:rsidRPr="00D14AA0">
        <w:rPr>
          <w:rFonts w:ascii="Calibri" w:hAnsi="Calibri"/>
          <w:szCs w:val="18"/>
        </w:rPr>
        <w:t>. 5</w:t>
      </w:r>
      <w:r w:rsidR="006B7EC0">
        <w:rPr>
          <w:rFonts w:ascii="Calibri" w:hAnsi="Calibri"/>
          <w:szCs w:val="18"/>
        </w:rPr>
        <w:t xml:space="preserve"> </w:t>
      </w:r>
      <w:r w:rsidR="005D23B2">
        <w:rPr>
          <w:rFonts w:ascii="Calibri" w:hAnsi="Calibri"/>
          <w:szCs w:val="18"/>
        </w:rPr>
        <w:t xml:space="preserve">M NaOH was </w:t>
      </w:r>
      <w:r w:rsidR="008D6A18">
        <w:rPr>
          <w:rFonts w:ascii="Calibri" w:hAnsi="Calibri"/>
          <w:szCs w:val="18"/>
        </w:rPr>
        <w:t xml:space="preserve">then </w:t>
      </w:r>
      <w:r w:rsidR="005D23B2">
        <w:rPr>
          <w:rFonts w:ascii="Calibri" w:hAnsi="Calibri"/>
          <w:szCs w:val="18"/>
        </w:rPr>
        <w:t>added</w:t>
      </w:r>
      <w:r w:rsidR="008D6A18">
        <w:rPr>
          <w:rFonts w:ascii="Calibri" w:hAnsi="Calibri"/>
          <w:szCs w:val="18"/>
        </w:rPr>
        <w:t>, under agitation</w:t>
      </w:r>
      <w:r w:rsidR="005D23B2">
        <w:rPr>
          <w:rFonts w:ascii="Calibri" w:hAnsi="Calibri"/>
          <w:szCs w:val="18"/>
        </w:rPr>
        <w:t xml:space="preserve"> to adjust </w:t>
      </w:r>
      <w:r w:rsidR="008D6A18">
        <w:rPr>
          <w:rFonts w:ascii="Calibri" w:hAnsi="Calibri"/>
          <w:szCs w:val="18"/>
        </w:rPr>
        <w:t xml:space="preserve">the </w:t>
      </w:r>
      <w:r w:rsidR="005D23B2">
        <w:rPr>
          <w:rFonts w:ascii="Calibri" w:hAnsi="Calibri"/>
          <w:szCs w:val="18"/>
        </w:rPr>
        <w:t xml:space="preserve">suspension to </w:t>
      </w:r>
      <w:r w:rsidR="006B7EC0" w:rsidRPr="00D14AA0">
        <w:rPr>
          <w:rFonts w:ascii="Calibri" w:hAnsi="Calibri"/>
          <w:szCs w:val="18"/>
        </w:rPr>
        <w:t xml:space="preserve">pH 12 ± 0.2 and the </w:t>
      </w:r>
      <w:r w:rsidR="005D23B2">
        <w:rPr>
          <w:rFonts w:ascii="Calibri" w:hAnsi="Calibri"/>
          <w:szCs w:val="18"/>
        </w:rPr>
        <w:t>mixture</w:t>
      </w:r>
      <w:r w:rsidR="006B7EC0" w:rsidRPr="00D14AA0">
        <w:rPr>
          <w:rFonts w:ascii="Calibri" w:hAnsi="Calibri"/>
          <w:szCs w:val="18"/>
        </w:rPr>
        <w:t xml:space="preserve"> was kept under stirring until full </w:t>
      </w:r>
      <w:r w:rsidR="008D6A18">
        <w:rPr>
          <w:rFonts w:ascii="Calibri" w:hAnsi="Calibri"/>
          <w:szCs w:val="18"/>
        </w:rPr>
        <w:t xml:space="preserve">colloidal </w:t>
      </w:r>
      <w:r w:rsidR="006B7EC0" w:rsidRPr="00D14AA0">
        <w:rPr>
          <w:rFonts w:ascii="Calibri" w:hAnsi="Calibri"/>
          <w:szCs w:val="18"/>
        </w:rPr>
        <w:t>dispersion was observed (</w:t>
      </w:r>
      <w:r w:rsidR="006B7EC0" w:rsidRPr="00D14AA0">
        <w:rPr>
          <w:rFonts w:ascii="Calibri" w:hAnsi="Calibri"/>
          <w:i/>
          <w:szCs w:val="18"/>
        </w:rPr>
        <w:t>ca.</w:t>
      </w:r>
      <w:r w:rsidR="006B7EC0" w:rsidRPr="00D14AA0">
        <w:rPr>
          <w:rFonts w:ascii="Calibri" w:hAnsi="Calibri"/>
          <w:szCs w:val="18"/>
        </w:rPr>
        <w:t xml:space="preserve"> after 24 hours). </w:t>
      </w:r>
    </w:p>
    <w:p w14:paraId="4502D627" w14:textId="77777777" w:rsidR="006B7EC0" w:rsidRDefault="006B7EC0" w:rsidP="00343388">
      <w:pPr>
        <w:spacing w:after="0" w:line="360" w:lineRule="auto"/>
        <w:jc w:val="both"/>
        <w:rPr>
          <w:rFonts w:ascii="Calibri" w:hAnsi="Calibri"/>
          <w:szCs w:val="18"/>
        </w:rPr>
      </w:pPr>
      <w:r w:rsidRPr="001C25AE">
        <w:rPr>
          <w:rFonts w:ascii="Calibri" w:hAnsi="Calibri"/>
          <w:b/>
          <w:szCs w:val="18"/>
        </w:rPr>
        <w:t>Table 1</w:t>
      </w:r>
      <w:r>
        <w:rPr>
          <w:rFonts w:ascii="Calibri" w:hAnsi="Calibri"/>
          <w:szCs w:val="18"/>
        </w:rPr>
        <w:t xml:space="preserve">. Properties of commercial copper </w:t>
      </w:r>
      <w:proofErr w:type="spellStart"/>
      <w:r>
        <w:rPr>
          <w:rFonts w:ascii="Calibri" w:hAnsi="Calibri"/>
          <w:szCs w:val="18"/>
        </w:rPr>
        <w:t>nano</w:t>
      </w:r>
      <w:r w:rsidR="005D23B2">
        <w:rPr>
          <w:rFonts w:ascii="Calibri" w:hAnsi="Calibri"/>
          <w:szCs w:val="18"/>
        </w:rPr>
        <w:t>powders</w:t>
      </w:r>
      <w:proofErr w:type="spellEnd"/>
      <w:r>
        <w:rPr>
          <w:rFonts w:ascii="Calibri" w:hAnsi="Calibri"/>
          <w:szCs w:val="18"/>
        </w:rPr>
        <w:t xml:space="preserve"> as described by suppliers. </w:t>
      </w:r>
    </w:p>
    <w:tbl>
      <w:tblPr>
        <w:tblStyle w:val="GridTable1Light1"/>
        <w:tblW w:w="0" w:type="auto"/>
        <w:tblLook w:val="04A0" w:firstRow="1" w:lastRow="0" w:firstColumn="1" w:lastColumn="0" w:noHBand="0" w:noVBand="1"/>
      </w:tblPr>
      <w:tblGrid>
        <w:gridCol w:w="1803"/>
        <w:gridCol w:w="1594"/>
        <w:gridCol w:w="2012"/>
        <w:gridCol w:w="1249"/>
        <w:gridCol w:w="2358"/>
      </w:tblGrid>
      <w:tr w:rsidR="00D72268" w14:paraId="6BA67DDF" w14:textId="77777777" w:rsidTr="00343388">
        <w:trPr>
          <w:cnfStyle w:val="100000000000" w:firstRow="1" w:lastRow="0" w:firstColumn="0" w:lastColumn="0" w:oddVBand="0" w:evenVBand="0" w:oddHBand="0"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18DE631F" w14:textId="77777777" w:rsidR="00D72268" w:rsidRDefault="00D72268" w:rsidP="00D72268">
            <w:pPr>
              <w:jc w:val="center"/>
              <w:rPr>
                <w:rFonts w:ascii="Calibri" w:hAnsi="Calibri"/>
                <w:szCs w:val="18"/>
              </w:rPr>
            </w:pPr>
            <w:r>
              <w:rPr>
                <w:rFonts w:ascii="Calibri" w:hAnsi="Calibri"/>
                <w:szCs w:val="18"/>
              </w:rPr>
              <w:t>Reference</w:t>
            </w:r>
          </w:p>
        </w:tc>
        <w:tc>
          <w:tcPr>
            <w:tcW w:w="1594" w:type="dxa"/>
            <w:vAlign w:val="center"/>
          </w:tcPr>
          <w:p w14:paraId="268D64A5" w14:textId="77777777" w:rsidR="00D72268" w:rsidRDefault="00D72268" w:rsidP="00D72268">
            <w:pPr>
              <w:jc w:val="center"/>
              <w:cnfStyle w:val="100000000000" w:firstRow="1"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Label</w:t>
            </w:r>
          </w:p>
        </w:tc>
        <w:tc>
          <w:tcPr>
            <w:tcW w:w="2012" w:type="dxa"/>
            <w:vAlign w:val="center"/>
          </w:tcPr>
          <w:p w14:paraId="195AD341" w14:textId="77777777" w:rsidR="00D72268" w:rsidRDefault="00D72268" w:rsidP="00D72268">
            <w:pPr>
              <w:jc w:val="center"/>
              <w:cnfStyle w:val="100000000000" w:firstRow="1"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Composition</w:t>
            </w:r>
          </w:p>
        </w:tc>
        <w:tc>
          <w:tcPr>
            <w:tcW w:w="1249" w:type="dxa"/>
            <w:vAlign w:val="center"/>
          </w:tcPr>
          <w:p w14:paraId="4C6718C3" w14:textId="77777777" w:rsidR="00D72268" w:rsidRDefault="00D72268" w:rsidP="00D72268">
            <w:pPr>
              <w:jc w:val="center"/>
              <w:cnfStyle w:val="100000000000" w:firstRow="1"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Molecular weight</w:t>
            </w:r>
          </w:p>
        </w:tc>
        <w:tc>
          <w:tcPr>
            <w:tcW w:w="2358" w:type="dxa"/>
            <w:vAlign w:val="center"/>
          </w:tcPr>
          <w:p w14:paraId="2A2DDADD" w14:textId="77777777" w:rsidR="00D72268" w:rsidRDefault="00D72268" w:rsidP="00D72268">
            <w:pPr>
              <w:jc w:val="center"/>
              <w:cnfStyle w:val="100000000000" w:firstRow="1"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P</w:t>
            </w:r>
            <w:r w:rsidRPr="00B35E9F">
              <w:rPr>
                <w:rFonts w:ascii="Calibri" w:hAnsi="Calibri"/>
                <w:szCs w:val="18"/>
              </w:rPr>
              <w:t>rimary</w:t>
            </w:r>
          </w:p>
          <w:p w14:paraId="3C322AF3" w14:textId="77777777" w:rsidR="00D72268" w:rsidRDefault="00D72268" w:rsidP="00D72268">
            <w:pPr>
              <w:jc w:val="center"/>
              <w:cnfStyle w:val="100000000000" w:firstRow="1"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Particle Size</w:t>
            </w:r>
          </w:p>
        </w:tc>
      </w:tr>
      <w:tr w:rsidR="00D72268" w14:paraId="34E0F9B2" w14:textId="77777777" w:rsidTr="00343388">
        <w:trPr>
          <w:trHeight w:val="537"/>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6D37CCCB" w14:textId="77777777" w:rsidR="00D72268" w:rsidRDefault="00D72268" w:rsidP="0075286E">
            <w:pPr>
              <w:jc w:val="center"/>
              <w:rPr>
                <w:rFonts w:ascii="Calibri" w:hAnsi="Calibri"/>
                <w:szCs w:val="18"/>
              </w:rPr>
            </w:pPr>
            <w:r>
              <w:rPr>
                <w:rFonts w:ascii="Calibri" w:hAnsi="Calibri"/>
                <w:szCs w:val="18"/>
              </w:rPr>
              <w:t>Sigma 544868</w:t>
            </w:r>
          </w:p>
        </w:tc>
        <w:tc>
          <w:tcPr>
            <w:tcW w:w="1594" w:type="dxa"/>
            <w:vAlign w:val="center"/>
          </w:tcPr>
          <w:p w14:paraId="10B88075" w14:textId="77777777" w:rsidR="00D72268" w:rsidRDefault="00D72268" w:rsidP="0075286E">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proofErr w:type="spellStart"/>
            <w:r>
              <w:rPr>
                <w:rFonts w:ascii="Calibri" w:hAnsi="Calibri"/>
                <w:szCs w:val="18"/>
              </w:rPr>
              <w:t>CuO</w:t>
            </w:r>
            <w:proofErr w:type="spellEnd"/>
            <w:r>
              <w:rPr>
                <w:rFonts w:ascii="Calibri" w:hAnsi="Calibri"/>
                <w:szCs w:val="18"/>
              </w:rPr>
              <w:t xml:space="preserve"> NPs A</w:t>
            </w:r>
          </w:p>
        </w:tc>
        <w:tc>
          <w:tcPr>
            <w:tcW w:w="2012" w:type="dxa"/>
            <w:vAlign w:val="center"/>
          </w:tcPr>
          <w:p w14:paraId="1124D3F6" w14:textId="77777777"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Copper oxide (</w:t>
            </w:r>
            <w:proofErr w:type="spellStart"/>
            <w:r>
              <w:rPr>
                <w:rFonts w:ascii="Calibri" w:hAnsi="Calibri"/>
                <w:szCs w:val="18"/>
              </w:rPr>
              <w:t>CuO</w:t>
            </w:r>
            <w:proofErr w:type="spellEnd"/>
            <w:r>
              <w:rPr>
                <w:rFonts w:ascii="Calibri" w:hAnsi="Calibri"/>
                <w:szCs w:val="18"/>
              </w:rPr>
              <w:t>)</w:t>
            </w:r>
          </w:p>
        </w:tc>
        <w:tc>
          <w:tcPr>
            <w:tcW w:w="1249" w:type="dxa"/>
            <w:vAlign w:val="center"/>
          </w:tcPr>
          <w:p w14:paraId="4CE43478" w14:textId="77777777"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79.545</w:t>
            </w:r>
          </w:p>
        </w:tc>
        <w:tc>
          <w:tcPr>
            <w:tcW w:w="2358" w:type="dxa"/>
            <w:vAlign w:val="center"/>
          </w:tcPr>
          <w:p w14:paraId="69BDD0F5" w14:textId="77777777"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&lt;50nm</w:t>
            </w:r>
          </w:p>
          <w:p w14:paraId="43DACDEF" w14:textId="77777777" w:rsidR="0034338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10-50nm</w:t>
            </w:r>
          </w:p>
          <w:p w14:paraId="32064064" w14:textId="2E2E8CB2"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sidRPr="00343388">
              <w:rPr>
                <w:rFonts w:ascii="Calibri" w:hAnsi="Calibri"/>
                <w:sz w:val="18"/>
                <w:szCs w:val="18"/>
              </w:rPr>
              <w:fldChar w:fldCharType="begin" w:fldLock="1"/>
            </w:r>
            <w:r w:rsidR="00454102">
              <w:rPr>
                <w:rFonts w:ascii="Calibri" w:hAnsi="Calibri"/>
                <w:sz w:val="18"/>
                <w:szCs w:val="18"/>
              </w:rPr>
              <w:instrText>ADDIN CSL_CITATION {"citationItems":[{"id":"ITEM-1","itemData":{"DOI":"10.1016/j.toxlet.2013.07.019","ISSN":"0378-4274","abstract":"Metal oxide NPs are abundantly produced in nanotech industries and are emitted in several combustion processes, suggesting the need to characterize their toxic impact on the human respiratory system. The acute toxicity and the morphological changes induced by copper oxide and titanium dioxide NPs (nCuO and nTiO2) on the human alveolar cell line A549 are here investigated. Cell viability and oxidative stress have been studied in parallel with NP internalization and cell ultrastructural modifications. TiO2 NPs were abundantly internalized by cells through the endocytic pathway, even they did not induce cell death and ultrastructural lesions. Only after 24h cells were affected by an abundant NP internalization presenting a consequent altered morphology. High cytotoxicity, oxidative stress and severe ultrastructural damages were produced by nCuO, since cell membrane and mitochondria resulted to be heavily affected, even at early exposure time. nCuO-induced toxicity has been interpreted as a consequence of both NPs reactivity and copper ions dissolution in lysosomal compartments, even the free NPs, scattered throughout all the cell compartments, might contribute to the toxicity. The antioxidant N-acetylcysteine was effective in recovering nCuO exposed cells viability and Bafilomycin A1 inhibited copper ions release in phagolysosomes and significantly rescued cells, suggesting a relevant cytotoxic mechanism relative to oxidative damages and authophagic cell death, together with NP internalization and dissolution. Our results support the previous data reporting CuO NPs are highly cytotoxic and genotoxic, and associate their toxic effects with their cell penetration and interaction with various compartments. In conclusion, the so-called “Trojan horse” mechanism and autophagy, are involved in nCuO-induced cell death, even a further research is needed to explain the events occurring at early exposure time.","author":[{"dropping-particle":"","family":"Moschini","given":"Elisa","non-dropping-particle":"","parse-names":false,"suffix":""},{"dropping-particle":"","family":"Gualtieri","given":"Maurizio","non-dropping-particle":"","parse-names":false,"suffix":""},{"dropping-particle":"","family":"Colombo","given":"Miriam","non-dropping-particle":"","parse-names":false,"suffix":""},{"dropping-particle":"","family":"Fascio","given":"Umberto","non-dropping-particle":"","parse-names":false,"suffix":""},{"dropping-particle":"","family":"Camatini","given":"Marina","non-dropping-particle":"","parse-names":false,"suffix":""},{"dropping-particle":"","family":"Mantecca","given":"Paride","non-dropping-particle":"","parse-names":false,"suffix":""}],"container-title":"Toxicology Letters","id":"ITEM-1","issue":"2","issued":{"date-parts":[["2013"]]},"page":"102-116","title":"The modality of cell–particle interactions drives the toxicity of nanosized CuO and TiO2 in human alveolar epithelial cells","type":"article-journal","volume":"222"},"uris":["http://www.mendeley.com/documents/?uuid=fd545323-0d52-48df-99aa-d112cac215f1"]}],"mendeley":{"formattedCitation":"(Moschini et al., 2013b)","plainTextFormattedCitation":"(Moschini et al., 2013b)","previouslyFormattedCitation":"(Moschini et al., 2013a)"},"properties":{"noteIndex":0},"schema":"https://github.com/citation-style-language/schema/raw/master/csl-citation.json"}</w:instrText>
            </w:r>
            <w:r w:rsidRPr="00343388">
              <w:rPr>
                <w:rFonts w:ascii="Calibri" w:hAnsi="Calibri"/>
                <w:sz w:val="18"/>
                <w:szCs w:val="18"/>
              </w:rPr>
              <w:fldChar w:fldCharType="separate"/>
            </w:r>
            <w:r w:rsidR="00454102" w:rsidRPr="00454102">
              <w:rPr>
                <w:rFonts w:ascii="Calibri" w:hAnsi="Calibri"/>
                <w:noProof/>
                <w:sz w:val="18"/>
                <w:szCs w:val="18"/>
              </w:rPr>
              <w:t>(Moschini et al., 2013b)</w:t>
            </w:r>
            <w:r w:rsidRPr="00343388">
              <w:rPr>
                <w:rFonts w:ascii="Calibri" w:hAnsi="Calibri"/>
                <w:sz w:val="18"/>
                <w:szCs w:val="18"/>
              </w:rPr>
              <w:fldChar w:fldCharType="end"/>
            </w:r>
          </w:p>
        </w:tc>
      </w:tr>
      <w:tr w:rsidR="00D72268" w14:paraId="4D5AE7C0" w14:textId="77777777" w:rsidTr="00343388">
        <w:trPr>
          <w:trHeight w:val="537"/>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35D7F270" w14:textId="77777777" w:rsidR="00D72268" w:rsidRDefault="00D72268" w:rsidP="0075286E">
            <w:pPr>
              <w:jc w:val="center"/>
              <w:rPr>
                <w:rFonts w:ascii="Calibri" w:hAnsi="Calibri"/>
                <w:szCs w:val="18"/>
              </w:rPr>
            </w:pPr>
            <w:r>
              <w:rPr>
                <w:rFonts w:ascii="Calibri" w:hAnsi="Calibri"/>
                <w:szCs w:val="18"/>
              </w:rPr>
              <w:t xml:space="preserve">Alfa </w:t>
            </w:r>
            <w:proofErr w:type="spellStart"/>
            <w:r>
              <w:rPr>
                <w:rFonts w:ascii="Calibri" w:hAnsi="Calibri"/>
                <w:szCs w:val="18"/>
              </w:rPr>
              <w:t>Aesar</w:t>
            </w:r>
            <w:proofErr w:type="spellEnd"/>
            <w:r>
              <w:rPr>
                <w:rFonts w:ascii="Calibri" w:hAnsi="Calibri"/>
                <w:szCs w:val="18"/>
              </w:rPr>
              <w:t xml:space="preserve"> 44663</w:t>
            </w:r>
          </w:p>
        </w:tc>
        <w:tc>
          <w:tcPr>
            <w:tcW w:w="1594" w:type="dxa"/>
            <w:vAlign w:val="center"/>
          </w:tcPr>
          <w:p w14:paraId="387C852F" w14:textId="77777777" w:rsidR="00D72268" w:rsidRDefault="00D72268" w:rsidP="0075286E">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proofErr w:type="spellStart"/>
            <w:r>
              <w:rPr>
                <w:rFonts w:ascii="Calibri" w:hAnsi="Calibri"/>
                <w:szCs w:val="18"/>
              </w:rPr>
              <w:t>CuO</w:t>
            </w:r>
            <w:proofErr w:type="spellEnd"/>
            <w:r>
              <w:rPr>
                <w:rFonts w:ascii="Calibri" w:hAnsi="Calibri"/>
                <w:szCs w:val="18"/>
              </w:rPr>
              <w:t xml:space="preserve"> NPs B</w:t>
            </w:r>
          </w:p>
        </w:tc>
        <w:tc>
          <w:tcPr>
            <w:tcW w:w="2012" w:type="dxa"/>
            <w:vAlign w:val="center"/>
          </w:tcPr>
          <w:p w14:paraId="1C0E3564" w14:textId="77777777"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Copper oxide (</w:t>
            </w:r>
            <w:proofErr w:type="spellStart"/>
            <w:r>
              <w:rPr>
                <w:rFonts w:ascii="Calibri" w:hAnsi="Calibri"/>
                <w:szCs w:val="18"/>
              </w:rPr>
              <w:t>CuO</w:t>
            </w:r>
            <w:proofErr w:type="spellEnd"/>
            <w:r>
              <w:rPr>
                <w:rFonts w:ascii="Calibri" w:hAnsi="Calibri"/>
                <w:szCs w:val="18"/>
              </w:rPr>
              <w:t>)</w:t>
            </w:r>
          </w:p>
        </w:tc>
        <w:tc>
          <w:tcPr>
            <w:tcW w:w="1249" w:type="dxa"/>
            <w:vAlign w:val="center"/>
          </w:tcPr>
          <w:p w14:paraId="68230495" w14:textId="77777777"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79.545</w:t>
            </w:r>
          </w:p>
        </w:tc>
        <w:tc>
          <w:tcPr>
            <w:tcW w:w="2358" w:type="dxa"/>
            <w:vAlign w:val="center"/>
          </w:tcPr>
          <w:p w14:paraId="2273BE5E" w14:textId="77777777" w:rsidR="00D72268" w:rsidRDefault="00D72268" w:rsidP="0075286E">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30-50nm</w:t>
            </w:r>
          </w:p>
        </w:tc>
      </w:tr>
      <w:tr w:rsidR="00D72268" w14:paraId="309D009B" w14:textId="77777777" w:rsidTr="00343388">
        <w:trPr>
          <w:trHeight w:val="537"/>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33799528" w14:textId="77777777" w:rsidR="00D72268" w:rsidRDefault="00D72268" w:rsidP="0075286E">
            <w:pPr>
              <w:jc w:val="center"/>
              <w:rPr>
                <w:rFonts w:ascii="Calibri" w:hAnsi="Calibri"/>
                <w:szCs w:val="18"/>
              </w:rPr>
            </w:pPr>
            <w:r>
              <w:rPr>
                <w:rFonts w:ascii="Calibri" w:hAnsi="Calibri"/>
                <w:szCs w:val="18"/>
              </w:rPr>
              <w:t>Sigma 774081</w:t>
            </w:r>
          </w:p>
        </w:tc>
        <w:tc>
          <w:tcPr>
            <w:tcW w:w="1594" w:type="dxa"/>
            <w:vAlign w:val="center"/>
          </w:tcPr>
          <w:p w14:paraId="5A5BE24B" w14:textId="77777777" w:rsidR="00D72268" w:rsidRDefault="00D72268" w:rsidP="0075286E">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Cu NPs A</w:t>
            </w:r>
          </w:p>
        </w:tc>
        <w:tc>
          <w:tcPr>
            <w:tcW w:w="2012" w:type="dxa"/>
            <w:vAlign w:val="center"/>
          </w:tcPr>
          <w:p w14:paraId="12052B05" w14:textId="77777777"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bookmarkStart w:id="0" w:name="OLE_LINK3"/>
            <w:r>
              <w:rPr>
                <w:rFonts w:ascii="Calibri" w:hAnsi="Calibri"/>
                <w:szCs w:val="18"/>
              </w:rPr>
              <w:t>Elemental Cu (Cu</w:t>
            </w:r>
            <w:r w:rsidRPr="00B35E9F">
              <w:rPr>
                <w:rFonts w:ascii="Calibri" w:hAnsi="Calibri"/>
                <w:szCs w:val="18"/>
                <w:vertAlign w:val="superscript"/>
              </w:rPr>
              <w:t>0</w:t>
            </w:r>
            <w:r>
              <w:rPr>
                <w:rFonts w:ascii="Calibri" w:hAnsi="Calibri"/>
                <w:szCs w:val="18"/>
              </w:rPr>
              <w:t xml:space="preserve">) </w:t>
            </w:r>
            <w:bookmarkEnd w:id="0"/>
          </w:p>
        </w:tc>
        <w:tc>
          <w:tcPr>
            <w:tcW w:w="1249" w:type="dxa"/>
            <w:vAlign w:val="center"/>
          </w:tcPr>
          <w:p w14:paraId="6B501523" w14:textId="77777777"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63.546</w:t>
            </w:r>
          </w:p>
        </w:tc>
        <w:tc>
          <w:tcPr>
            <w:tcW w:w="2358" w:type="dxa"/>
            <w:vAlign w:val="center"/>
          </w:tcPr>
          <w:p w14:paraId="7A47D400" w14:textId="77777777" w:rsidR="00D72268" w:rsidRDefault="00D72268" w:rsidP="0075286E">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25nm</w:t>
            </w:r>
          </w:p>
        </w:tc>
      </w:tr>
      <w:tr w:rsidR="00D72268" w14:paraId="5218ECD1" w14:textId="77777777" w:rsidTr="00343388">
        <w:trPr>
          <w:trHeight w:val="537"/>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122D16D9" w14:textId="77777777" w:rsidR="00D72268" w:rsidRDefault="00D72268" w:rsidP="0075286E">
            <w:pPr>
              <w:jc w:val="center"/>
              <w:rPr>
                <w:rFonts w:ascii="Calibri" w:hAnsi="Calibri"/>
                <w:szCs w:val="18"/>
              </w:rPr>
            </w:pPr>
            <w:r>
              <w:rPr>
                <w:rFonts w:ascii="Calibri" w:hAnsi="Calibri"/>
                <w:szCs w:val="18"/>
              </w:rPr>
              <w:t>Sigma 774111</w:t>
            </w:r>
          </w:p>
        </w:tc>
        <w:tc>
          <w:tcPr>
            <w:tcW w:w="1594" w:type="dxa"/>
            <w:vAlign w:val="center"/>
          </w:tcPr>
          <w:p w14:paraId="66D242D2" w14:textId="77777777" w:rsidR="00D72268" w:rsidRDefault="00D72268" w:rsidP="0075286E">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Cu NPs B</w:t>
            </w:r>
          </w:p>
        </w:tc>
        <w:tc>
          <w:tcPr>
            <w:tcW w:w="2012" w:type="dxa"/>
            <w:vAlign w:val="center"/>
          </w:tcPr>
          <w:p w14:paraId="2B5A50C6" w14:textId="77777777"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Elemental Cu (Cu</w:t>
            </w:r>
            <w:r w:rsidRPr="00B35E9F">
              <w:rPr>
                <w:rFonts w:ascii="Calibri" w:hAnsi="Calibri"/>
                <w:szCs w:val="18"/>
                <w:vertAlign w:val="superscript"/>
              </w:rPr>
              <w:t>0</w:t>
            </w:r>
            <w:r>
              <w:rPr>
                <w:rFonts w:ascii="Calibri" w:hAnsi="Calibri"/>
                <w:szCs w:val="18"/>
              </w:rPr>
              <w:t>)</w:t>
            </w:r>
          </w:p>
        </w:tc>
        <w:tc>
          <w:tcPr>
            <w:tcW w:w="1249" w:type="dxa"/>
            <w:vAlign w:val="center"/>
          </w:tcPr>
          <w:p w14:paraId="42D997A4" w14:textId="77777777" w:rsidR="00D72268" w:rsidRDefault="00D72268" w:rsidP="00D72268">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63.546</w:t>
            </w:r>
          </w:p>
        </w:tc>
        <w:tc>
          <w:tcPr>
            <w:tcW w:w="2358" w:type="dxa"/>
            <w:vAlign w:val="center"/>
          </w:tcPr>
          <w:p w14:paraId="309B5502" w14:textId="77777777" w:rsidR="00D72268" w:rsidRPr="00FE09D6" w:rsidRDefault="00D72268" w:rsidP="00FE09D6">
            <w:pPr>
              <w:jc w:val="center"/>
              <w:cnfStyle w:val="000000000000" w:firstRow="0" w:lastRow="0" w:firstColumn="0" w:lastColumn="0" w:oddVBand="0" w:evenVBand="0" w:oddHBand="0" w:evenHBand="0" w:firstRowFirstColumn="0" w:firstRowLastColumn="0" w:lastRowFirstColumn="0" w:lastRowLastColumn="0"/>
              <w:rPr>
                <w:rFonts w:ascii="Calibri" w:hAnsi="Calibri"/>
                <w:szCs w:val="18"/>
              </w:rPr>
            </w:pPr>
            <w:r>
              <w:rPr>
                <w:rFonts w:ascii="Calibri" w:hAnsi="Calibri"/>
                <w:szCs w:val="18"/>
              </w:rPr>
              <w:t>40-60nm</w:t>
            </w:r>
          </w:p>
        </w:tc>
      </w:tr>
    </w:tbl>
    <w:p w14:paraId="780EDFC0" w14:textId="77777777" w:rsidR="002B7242" w:rsidRPr="00655FE1" w:rsidRDefault="002B7242" w:rsidP="00343388">
      <w:pPr>
        <w:pStyle w:val="ListParagraph"/>
        <w:numPr>
          <w:ilvl w:val="1"/>
          <w:numId w:val="5"/>
        </w:numPr>
        <w:spacing w:before="240" w:after="0" w:line="480" w:lineRule="auto"/>
        <w:jc w:val="both"/>
        <w:outlineLvl w:val="1"/>
        <w:rPr>
          <w:rFonts w:ascii="Calibri" w:hAnsi="Calibri"/>
          <w:b/>
          <w:szCs w:val="18"/>
        </w:rPr>
      </w:pPr>
      <w:r w:rsidRPr="00655FE1">
        <w:rPr>
          <w:rFonts w:ascii="Calibri" w:hAnsi="Calibri"/>
          <w:b/>
          <w:szCs w:val="18"/>
        </w:rPr>
        <w:lastRenderedPageBreak/>
        <w:t>Particle characterisation in liquid suspensions</w:t>
      </w:r>
    </w:p>
    <w:p w14:paraId="6DAAD10B" w14:textId="77777777" w:rsidR="00FE09D6" w:rsidRPr="00655FE1" w:rsidRDefault="00FC001A" w:rsidP="00FE09D6">
      <w:pPr>
        <w:pStyle w:val="ListParagraph"/>
        <w:numPr>
          <w:ilvl w:val="2"/>
          <w:numId w:val="5"/>
        </w:numPr>
        <w:spacing w:before="240" w:after="0" w:line="480" w:lineRule="auto"/>
        <w:ind w:hanging="513"/>
        <w:jc w:val="both"/>
        <w:outlineLvl w:val="2"/>
        <w:rPr>
          <w:rFonts w:ascii="Calibri" w:hAnsi="Calibri"/>
          <w:b/>
          <w:szCs w:val="18"/>
        </w:rPr>
      </w:pPr>
      <w:r w:rsidRPr="00655FE1">
        <w:rPr>
          <w:rFonts w:ascii="Calibri" w:hAnsi="Calibri" w:cstheme="minorHAnsi"/>
          <w:b/>
          <w:szCs w:val="18"/>
        </w:rPr>
        <w:t xml:space="preserve"> </w:t>
      </w:r>
      <w:r w:rsidR="00A366DC" w:rsidRPr="00655FE1">
        <w:rPr>
          <w:rFonts w:ascii="Calibri" w:hAnsi="Calibri" w:cstheme="minorHAnsi"/>
          <w:b/>
          <w:szCs w:val="18"/>
        </w:rPr>
        <w:t xml:space="preserve">Particle sizing measurements </w:t>
      </w:r>
    </w:p>
    <w:p w14:paraId="4D227C6B" w14:textId="51C31D8A" w:rsidR="00655FE1" w:rsidRPr="00045034" w:rsidRDefault="005360B0" w:rsidP="00D97921">
      <w:pPr>
        <w:spacing w:after="0" w:line="480" w:lineRule="auto"/>
        <w:jc w:val="both"/>
        <w:rPr>
          <w:rFonts w:ascii="Calibri" w:hAnsi="Calibri"/>
          <w:color w:val="000000" w:themeColor="text1"/>
          <w:szCs w:val="18"/>
        </w:rPr>
      </w:pPr>
      <w:r>
        <w:rPr>
          <w:rFonts w:ascii="Calibri" w:hAnsi="Calibri"/>
          <w:szCs w:val="18"/>
        </w:rPr>
        <w:t xml:space="preserve">Following </w:t>
      </w:r>
      <w:r w:rsidR="00807767">
        <w:rPr>
          <w:rFonts w:ascii="Calibri" w:hAnsi="Calibri"/>
          <w:szCs w:val="18"/>
        </w:rPr>
        <w:t>I</w:t>
      </w:r>
      <w:r w:rsidR="0038681A">
        <w:rPr>
          <w:rFonts w:ascii="Calibri" w:hAnsi="Calibri"/>
          <w:szCs w:val="18"/>
        </w:rPr>
        <w:t>nitial</w:t>
      </w:r>
      <w:r>
        <w:rPr>
          <w:rFonts w:ascii="Calibri" w:hAnsi="Calibri"/>
          <w:szCs w:val="18"/>
        </w:rPr>
        <w:t xml:space="preserve"> inspection of comme</w:t>
      </w:r>
      <w:r w:rsidR="0038681A">
        <w:rPr>
          <w:rFonts w:ascii="Calibri" w:hAnsi="Calibri"/>
          <w:szCs w:val="18"/>
        </w:rPr>
        <w:t>rcial</w:t>
      </w:r>
      <w:r w:rsidR="00807767">
        <w:rPr>
          <w:rFonts w:ascii="Calibri" w:hAnsi="Calibri"/>
          <w:szCs w:val="18"/>
        </w:rPr>
        <w:t xml:space="preserve"> copper-based</w:t>
      </w:r>
      <w:r w:rsidR="0038681A">
        <w:rPr>
          <w:rFonts w:ascii="Calibri" w:hAnsi="Calibri"/>
          <w:szCs w:val="18"/>
        </w:rPr>
        <w:t xml:space="preserve"> particles </w:t>
      </w:r>
      <w:r>
        <w:rPr>
          <w:rFonts w:ascii="Calibri" w:hAnsi="Calibri"/>
          <w:szCs w:val="18"/>
        </w:rPr>
        <w:t>dispersed in bacterial medium (</w:t>
      </w:r>
      <w:r w:rsidR="00807767">
        <w:rPr>
          <w:rFonts w:ascii="Calibri" w:hAnsi="Calibri"/>
          <w:szCs w:val="18"/>
        </w:rPr>
        <w:t xml:space="preserve">Heavy Metals MOPS medium </w:t>
      </w:r>
      <w:r>
        <w:rPr>
          <w:rFonts w:ascii="Calibri" w:hAnsi="Calibri"/>
          <w:szCs w:val="18"/>
        </w:rPr>
        <w:t xml:space="preserve">here termed as </w:t>
      </w:r>
      <w:r w:rsidR="00807767" w:rsidRPr="00807767">
        <w:rPr>
          <w:rFonts w:ascii="Calibri" w:hAnsi="Calibri"/>
          <w:szCs w:val="18"/>
        </w:rPr>
        <w:t xml:space="preserve">HMM; </w:t>
      </w:r>
      <w:r>
        <w:rPr>
          <w:rFonts w:ascii="Calibri" w:hAnsi="Calibri"/>
          <w:szCs w:val="18"/>
        </w:rPr>
        <w:t xml:space="preserve">full description in </w:t>
      </w:r>
      <w:r w:rsidR="00807767" w:rsidRPr="00807767">
        <w:rPr>
          <w:rFonts w:ascii="Calibri" w:hAnsi="Calibri"/>
          <w:szCs w:val="18"/>
        </w:rPr>
        <w:t xml:space="preserve">Appendix </w:t>
      </w:r>
      <w:r w:rsidR="005F1BD4">
        <w:rPr>
          <w:rFonts w:ascii="Calibri" w:hAnsi="Calibri"/>
          <w:szCs w:val="18"/>
        </w:rPr>
        <w:t>B</w:t>
      </w:r>
      <w:r w:rsidR="00807767" w:rsidRPr="00807767">
        <w:rPr>
          <w:rFonts w:ascii="Calibri" w:hAnsi="Calibri"/>
          <w:szCs w:val="18"/>
        </w:rPr>
        <w:t>)</w:t>
      </w:r>
      <w:r>
        <w:rPr>
          <w:rFonts w:ascii="Calibri" w:hAnsi="Calibri"/>
          <w:szCs w:val="18"/>
        </w:rPr>
        <w:t>, fast sedimentation indicate</w:t>
      </w:r>
      <w:r w:rsidR="008D6A18">
        <w:rPr>
          <w:rFonts w:ascii="Calibri" w:hAnsi="Calibri"/>
          <w:szCs w:val="18"/>
        </w:rPr>
        <w:t>d</w:t>
      </w:r>
      <w:r>
        <w:rPr>
          <w:rFonts w:ascii="Calibri" w:hAnsi="Calibri"/>
          <w:szCs w:val="18"/>
        </w:rPr>
        <w:t xml:space="preserve"> that these were not </w:t>
      </w:r>
      <w:proofErr w:type="spellStart"/>
      <w:r>
        <w:rPr>
          <w:rFonts w:ascii="Calibri" w:hAnsi="Calibri"/>
          <w:szCs w:val="18"/>
        </w:rPr>
        <w:t>nano</w:t>
      </w:r>
      <w:proofErr w:type="spellEnd"/>
      <w:r>
        <w:rPr>
          <w:rFonts w:ascii="Calibri" w:hAnsi="Calibri"/>
          <w:szCs w:val="18"/>
        </w:rPr>
        <w:t>-sized</w:t>
      </w:r>
      <w:r w:rsidR="008D6A18">
        <w:rPr>
          <w:rFonts w:ascii="Calibri" w:hAnsi="Calibri"/>
          <w:szCs w:val="18"/>
        </w:rPr>
        <w:t xml:space="preserve"> when suspended in aqueous </w:t>
      </w:r>
      <w:r w:rsidR="009F0BF9">
        <w:rPr>
          <w:rFonts w:ascii="Calibri" w:hAnsi="Calibri"/>
          <w:szCs w:val="18"/>
        </w:rPr>
        <w:t>media</w:t>
      </w:r>
      <w:r>
        <w:rPr>
          <w:rFonts w:ascii="Calibri" w:hAnsi="Calibri"/>
          <w:szCs w:val="18"/>
        </w:rPr>
        <w:t xml:space="preserve">. </w:t>
      </w:r>
      <w:r w:rsidR="00807767">
        <w:rPr>
          <w:rFonts w:ascii="Calibri" w:hAnsi="Calibri"/>
          <w:szCs w:val="18"/>
        </w:rPr>
        <w:t>Therefore,</w:t>
      </w:r>
      <w:r w:rsidR="0038681A" w:rsidRPr="00807767">
        <w:rPr>
          <w:rFonts w:ascii="Calibri" w:hAnsi="Calibri"/>
          <w:szCs w:val="18"/>
        </w:rPr>
        <w:t xml:space="preserve"> </w:t>
      </w:r>
      <w:r w:rsidR="00807767">
        <w:rPr>
          <w:rFonts w:ascii="Calibri" w:hAnsi="Calibri"/>
          <w:szCs w:val="18"/>
        </w:rPr>
        <w:t>s</w:t>
      </w:r>
      <w:r w:rsidR="00655FE1" w:rsidRPr="00807767">
        <w:rPr>
          <w:rFonts w:ascii="Calibri" w:hAnsi="Calibri"/>
          <w:szCs w:val="18"/>
        </w:rPr>
        <w:t>tatic light scattering (SLS) was</w:t>
      </w:r>
      <w:r w:rsidR="007D63CF" w:rsidRPr="00807767">
        <w:rPr>
          <w:rFonts w:ascii="Calibri" w:hAnsi="Calibri"/>
          <w:szCs w:val="18"/>
        </w:rPr>
        <w:t xml:space="preserve"> used to</w:t>
      </w:r>
      <w:r w:rsidR="00807767">
        <w:rPr>
          <w:rFonts w:ascii="Calibri" w:hAnsi="Calibri"/>
          <w:szCs w:val="18"/>
        </w:rPr>
        <w:t xml:space="preserve"> formally</w:t>
      </w:r>
      <w:r w:rsidR="007D63CF" w:rsidRPr="00807767">
        <w:rPr>
          <w:rFonts w:ascii="Calibri" w:hAnsi="Calibri"/>
          <w:szCs w:val="18"/>
        </w:rPr>
        <w:t xml:space="preserve"> determine the </w:t>
      </w:r>
      <w:r w:rsidR="008D6A18" w:rsidRPr="008D6A18">
        <w:rPr>
          <w:rFonts w:ascii="Calibri" w:hAnsi="Calibri"/>
          <w:i/>
          <w:szCs w:val="18"/>
        </w:rPr>
        <w:t>de facto</w:t>
      </w:r>
      <w:r w:rsidR="008D6A18">
        <w:rPr>
          <w:rFonts w:ascii="Calibri" w:hAnsi="Calibri"/>
          <w:szCs w:val="18"/>
        </w:rPr>
        <w:t xml:space="preserve"> </w:t>
      </w:r>
      <w:r w:rsidR="007D63CF" w:rsidRPr="00807767">
        <w:rPr>
          <w:rFonts w:ascii="Calibri" w:hAnsi="Calibri"/>
          <w:szCs w:val="18"/>
        </w:rPr>
        <w:t>particle size distribution of commercial</w:t>
      </w:r>
      <w:r w:rsidR="007D63CF">
        <w:rPr>
          <w:rFonts w:ascii="Calibri" w:hAnsi="Calibri"/>
          <w:szCs w:val="18"/>
        </w:rPr>
        <w:t xml:space="preserve"> copper nanoparticles </w:t>
      </w:r>
      <w:r w:rsidR="00655FE1" w:rsidRPr="00655FE1">
        <w:rPr>
          <w:rFonts w:ascii="Calibri" w:hAnsi="Calibri"/>
          <w:szCs w:val="18"/>
        </w:rPr>
        <w:t xml:space="preserve">using a </w:t>
      </w:r>
      <w:proofErr w:type="spellStart"/>
      <w:r w:rsidR="00655FE1">
        <w:rPr>
          <w:rFonts w:ascii="Calibri" w:hAnsi="Calibri"/>
          <w:szCs w:val="18"/>
        </w:rPr>
        <w:t>Mastersizer</w:t>
      </w:r>
      <w:proofErr w:type="spellEnd"/>
      <w:r w:rsidR="00655FE1">
        <w:rPr>
          <w:rFonts w:ascii="Calibri" w:hAnsi="Calibri"/>
          <w:szCs w:val="18"/>
        </w:rPr>
        <w:t xml:space="preserve"> 2000 fitted with a Hydro 2000</w:t>
      </w:r>
      <w:r w:rsidR="0038681A">
        <w:rPr>
          <w:rFonts w:ascii="Calibri" w:hAnsi="Calibri"/>
          <w:szCs w:val="18"/>
        </w:rPr>
        <w:t xml:space="preserve"> </w:t>
      </w:r>
      <w:r w:rsidR="00655FE1">
        <w:rPr>
          <w:rFonts w:ascii="Calibri" w:hAnsi="Calibri" w:cs="Calibri"/>
          <w:szCs w:val="18"/>
        </w:rPr>
        <w:t>µ</w:t>
      </w:r>
      <w:r w:rsidR="00655FE1">
        <w:rPr>
          <w:rFonts w:ascii="Calibri" w:hAnsi="Calibri"/>
          <w:szCs w:val="18"/>
        </w:rPr>
        <w:t>P Micro Precision sample dispersion unit</w:t>
      </w:r>
      <w:r w:rsidR="008D6A18">
        <w:rPr>
          <w:rFonts w:ascii="Calibri" w:hAnsi="Calibri"/>
          <w:szCs w:val="18"/>
        </w:rPr>
        <w:t xml:space="preserve"> </w:t>
      </w:r>
      <w:r w:rsidR="008D6A18" w:rsidRPr="008D6A18">
        <w:rPr>
          <w:rFonts w:ascii="Calibri" w:hAnsi="Calibri"/>
          <w:szCs w:val="18"/>
        </w:rPr>
        <w:t>(Malvern Instruments Ltd, UK</w:t>
      </w:r>
      <w:r w:rsidR="008D6A18">
        <w:rPr>
          <w:rFonts w:ascii="Calibri" w:hAnsi="Calibri"/>
          <w:szCs w:val="18"/>
        </w:rPr>
        <w:t>)</w:t>
      </w:r>
      <w:r w:rsidR="00655FE1">
        <w:rPr>
          <w:rFonts w:ascii="Calibri" w:hAnsi="Calibri"/>
          <w:szCs w:val="18"/>
        </w:rPr>
        <w:t xml:space="preserve">. For each measurement, </w:t>
      </w:r>
      <w:r w:rsidR="00655FE1" w:rsidRPr="005359AA">
        <w:rPr>
          <w:rFonts w:ascii="Calibri" w:hAnsi="Calibri"/>
          <w:i/>
          <w:szCs w:val="18"/>
        </w:rPr>
        <w:t xml:space="preserve">ca. </w:t>
      </w:r>
      <w:r w:rsidR="00655FE1">
        <w:rPr>
          <w:rFonts w:ascii="Calibri" w:hAnsi="Calibri"/>
          <w:szCs w:val="18"/>
        </w:rPr>
        <w:t>787</w:t>
      </w:r>
      <w:r w:rsidR="0038681A">
        <w:rPr>
          <w:rFonts w:ascii="Calibri" w:hAnsi="Calibri"/>
          <w:szCs w:val="18"/>
        </w:rPr>
        <w:t xml:space="preserve"> </w:t>
      </w:r>
      <w:r w:rsidR="00655FE1">
        <w:rPr>
          <w:rFonts w:ascii="Calibri" w:hAnsi="Calibri" w:cs="Calibri"/>
          <w:szCs w:val="18"/>
        </w:rPr>
        <w:t>µ</w:t>
      </w:r>
      <w:r w:rsidR="00655FE1">
        <w:rPr>
          <w:rFonts w:ascii="Calibri" w:hAnsi="Calibri"/>
          <w:szCs w:val="18"/>
        </w:rPr>
        <w:t>l of each 20</w:t>
      </w:r>
      <w:r w:rsidR="0038681A">
        <w:rPr>
          <w:rFonts w:ascii="Calibri" w:hAnsi="Calibri"/>
          <w:szCs w:val="18"/>
        </w:rPr>
        <w:t xml:space="preserve"> </w:t>
      </w:r>
      <w:r w:rsidR="00655FE1">
        <w:rPr>
          <w:rFonts w:ascii="Calibri" w:hAnsi="Calibri"/>
          <w:szCs w:val="18"/>
        </w:rPr>
        <w:t>mM copper</w:t>
      </w:r>
      <w:r w:rsidR="007D63CF">
        <w:rPr>
          <w:rFonts w:ascii="Calibri" w:hAnsi="Calibri"/>
          <w:szCs w:val="18"/>
        </w:rPr>
        <w:t xml:space="preserve"> s</w:t>
      </w:r>
      <w:r w:rsidR="00655FE1">
        <w:rPr>
          <w:rFonts w:ascii="Calibri" w:hAnsi="Calibri"/>
          <w:szCs w:val="18"/>
        </w:rPr>
        <w:t xml:space="preserve">tock was added directly </w:t>
      </w:r>
      <w:r w:rsidR="00191716">
        <w:rPr>
          <w:rFonts w:ascii="Calibri" w:hAnsi="Calibri"/>
          <w:szCs w:val="18"/>
        </w:rPr>
        <w:t>to the 20</w:t>
      </w:r>
      <w:r w:rsidR="0038681A">
        <w:rPr>
          <w:rFonts w:ascii="Calibri" w:hAnsi="Calibri"/>
          <w:szCs w:val="18"/>
        </w:rPr>
        <w:t xml:space="preserve"> </w:t>
      </w:r>
      <w:r w:rsidR="00191716">
        <w:rPr>
          <w:rFonts w:ascii="Calibri" w:hAnsi="Calibri"/>
          <w:szCs w:val="18"/>
        </w:rPr>
        <w:t xml:space="preserve">ml </w:t>
      </w:r>
      <w:r w:rsidR="00191716" w:rsidRPr="00045034">
        <w:rPr>
          <w:rFonts w:ascii="Calibri" w:hAnsi="Calibri"/>
          <w:color w:val="000000" w:themeColor="text1"/>
          <w:szCs w:val="18"/>
        </w:rPr>
        <w:t>dispersion cell</w:t>
      </w:r>
      <w:r w:rsidR="00655FE1" w:rsidRPr="00045034">
        <w:rPr>
          <w:rFonts w:ascii="Calibri" w:hAnsi="Calibri"/>
          <w:color w:val="000000" w:themeColor="text1"/>
          <w:szCs w:val="18"/>
        </w:rPr>
        <w:t xml:space="preserve"> unit</w:t>
      </w:r>
      <w:r w:rsidR="007D63CF" w:rsidRPr="00045034">
        <w:rPr>
          <w:rFonts w:ascii="Calibri" w:hAnsi="Calibri"/>
          <w:color w:val="000000" w:themeColor="text1"/>
          <w:szCs w:val="18"/>
        </w:rPr>
        <w:t xml:space="preserve"> </w:t>
      </w:r>
      <w:r w:rsidR="00191716" w:rsidRPr="00045034">
        <w:rPr>
          <w:rFonts w:ascii="Calibri" w:hAnsi="Calibri"/>
          <w:color w:val="000000" w:themeColor="text1"/>
          <w:szCs w:val="18"/>
        </w:rPr>
        <w:t>containing HM</w:t>
      </w:r>
      <w:r w:rsidR="007D63CF" w:rsidRPr="00045034">
        <w:rPr>
          <w:rFonts w:ascii="Calibri" w:hAnsi="Calibri"/>
          <w:color w:val="000000" w:themeColor="text1"/>
          <w:szCs w:val="18"/>
        </w:rPr>
        <w:t xml:space="preserve">M. The </w:t>
      </w:r>
      <w:r w:rsidR="008D6A18">
        <w:rPr>
          <w:rFonts w:ascii="Calibri" w:hAnsi="Calibri"/>
          <w:color w:val="000000" w:themeColor="text1"/>
          <w:szCs w:val="18"/>
        </w:rPr>
        <w:t xml:space="preserve">resulting </w:t>
      </w:r>
      <w:r w:rsidR="007D63CF" w:rsidRPr="00045034">
        <w:rPr>
          <w:rFonts w:ascii="Calibri" w:hAnsi="Calibri"/>
          <w:color w:val="000000" w:themeColor="text1"/>
          <w:szCs w:val="18"/>
        </w:rPr>
        <w:t>dispersion (50 mg/L copper in HMM) was run at 1000</w:t>
      </w:r>
      <w:r w:rsidR="0038681A">
        <w:rPr>
          <w:rFonts w:ascii="Calibri" w:hAnsi="Calibri"/>
          <w:color w:val="000000" w:themeColor="text1"/>
          <w:szCs w:val="18"/>
        </w:rPr>
        <w:t xml:space="preserve"> </w:t>
      </w:r>
      <w:r w:rsidR="007D63CF" w:rsidRPr="00045034">
        <w:rPr>
          <w:rFonts w:ascii="Calibri" w:hAnsi="Calibri"/>
          <w:color w:val="000000" w:themeColor="text1"/>
          <w:szCs w:val="18"/>
        </w:rPr>
        <w:t>rpm and three consecutive measurement cycles were carried out for each material with the setting</w:t>
      </w:r>
      <w:r w:rsidR="00807767">
        <w:rPr>
          <w:rFonts w:ascii="Calibri" w:hAnsi="Calibri"/>
          <w:color w:val="000000" w:themeColor="text1"/>
          <w:szCs w:val="18"/>
        </w:rPr>
        <w:t>s</w:t>
      </w:r>
      <w:r w:rsidR="007D63CF" w:rsidRPr="00045034">
        <w:rPr>
          <w:rFonts w:ascii="Calibri" w:hAnsi="Calibri"/>
          <w:color w:val="000000" w:themeColor="text1"/>
          <w:szCs w:val="18"/>
        </w:rPr>
        <w:t xml:space="preserve"> described in Appendix </w:t>
      </w:r>
      <w:r w:rsidR="005F1BD4">
        <w:rPr>
          <w:rFonts w:ascii="Calibri" w:hAnsi="Calibri"/>
          <w:color w:val="000000" w:themeColor="text1"/>
          <w:szCs w:val="18"/>
        </w:rPr>
        <w:t>C</w:t>
      </w:r>
      <w:r w:rsidR="007D63CF" w:rsidRPr="00045034">
        <w:rPr>
          <w:rFonts w:ascii="Calibri" w:hAnsi="Calibri"/>
          <w:color w:val="000000" w:themeColor="text1"/>
          <w:szCs w:val="18"/>
        </w:rPr>
        <w:t xml:space="preserve">. </w:t>
      </w:r>
    </w:p>
    <w:p w14:paraId="3F0C0497" w14:textId="6C2A749E" w:rsidR="002B7242" w:rsidRDefault="00F97F12" w:rsidP="00343388">
      <w:pPr>
        <w:spacing w:after="0" w:line="480" w:lineRule="auto"/>
        <w:jc w:val="both"/>
        <w:rPr>
          <w:rFonts w:ascii="Calibri" w:hAnsi="Calibri" w:cstheme="minorHAnsi"/>
          <w:color w:val="000000" w:themeColor="text1"/>
          <w:szCs w:val="18"/>
        </w:rPr>
      </w:pPr>
      <w:r>
        <w:rPr>
          <w:rFonts w:ascii="Calibri" w:hAnsi="Calibri"/>
          <w:color w:val="000000" w:themeColor="text1"/>
          <w:szCs w:val="18"/>
        </w:rPr>
        <w:t>Dynamic Light scattering (DLS) was used to determine the</w:t>
      </w:r>
      <w:r w:rsidR="002B7242" w:rsidRPr="00045034">
        <w:rPr>
          <w:rFonts w:ascii="Calibri" w:hAnsi="Calibri"/>
          <w:color w:val="000000" w:themeColor="text1"/>
          <w:szCs w:val="18"/>
        </w:rPr>
        <w:t xml:space="preserve"> hydrodynamic particle size distribution by </w:t>
      </w:r>
      <w:r>
        <w:rPr>
          <w:rFonts w:ascii="Calibri" w:hAnsi="Calibri"/>
          <w:color w:val="000000" w:themeColor="text1"/>
          <w:szCs w:val="18"/>
        </w:rPr>
        <w:t xml:space="preserve">of </w:t>
      </w:r>
      <w:r w:rsidR="005360B0">
        <w:rPr>
          <w:rFonts w:ascii="Calibri" w:hAnsi="Calibri"/>
          <w:color w:val="000000" w:themeColor="text1"/>
          <w:szCs w:val="18"/>
        </w:rPr>
        <w:t xml:space="preserve">the </w:t>
      </w:r>
      <w:proofErr w:type="spellStart"/>
      <w:r>
        <w:rPr>
          <w:rFonts w:ascii="Calibri" w:hAnsi="Calibri"/>
          <w:color w:val="000000" w:themeColor="text1"/>
          <w:szCs w:val="18"/>
        </w:rPr>
        <w:t>CuSi</w:t>
      </w:r>
      <w:proofErr w:type="spellEnd"/>
      <w:r>
        <w:rPr>
          <w:rFonts w:ascii="Calibri" w:hAnsi="Calibri"/>
          <w:color w:val="000000" w:themeColor="text1"/>
          <w:szCs w:val="18"/>
        </w:rPr>
        <w:t xml:space="preserve"> NPs suspension (20mM copper). The measurements were performed on </w:t>
      </w:r>
      <w:r w:rsidR="002B7242" w:rsidRPr="00045034">
        <w:rPr>
          <w:rFonts w:ascii="Calibri" w:hAnsi="Calibri"/>
          <w:color w:val="000000" w:themeColor="text1"/>
          <w:szCs w:val="18"/>
        </w:rPr>
        <w:t xml:space="preserve">a </w:t>
      </w:r>
      <w:proofErr w:type="spellStart"/>
      <w:r w:rsidR="002B7242" w:rsidRPr="00045034">
        <w:rPr>
          <w:rFonts w:ascii="Calibri" w:hAnsi="Calibri"/>
          <w:color w:val="000000" w:themeColor="text1"/>
          <w:szCs w:val="18"/>
        </w:rPr>
        <w:t>Zetasizer</w:t>
      </w:r>
      <w:proofErr w:type="spellEnd"/>
      <w:r w:rsidR="002B7242" w:rsidRPr="00045034">
        <w:rPr>
          <w:rFonts w:ascii="Calibri" w:hAnsi="Calibri"/>
          <w:color w:val="000000" w:themeColor="text1"/>
          <w:szCs w:val="18"/>
        </w:rPr>
        <w:t xml:space="preserve"> </w:t>
      </w:r>
      <w:proofErr w:type="spellStart"/>
      <w:r w:rsidR="002B7242" w:rsidRPr="00045034">
        <w:rPr>
          <w:rFonts w:ascii="Calibri" w:hAnsi="Calibri"/>
          <w:color w:val="000000" w:themeColor="text1"/>
          <w:szCs w:val="18"/>
        </w:rPr>
        <w:t>NanoZS</w:t>
      </w:r>
      <w:proofErr w:type="spellEnd"/>
      <w:r w:rsidR="002B7242" w:rsidRPr="00045034">
        <w:rPr>
          <w:rFonts w:ascii="Calibri" w:hAnsi="Calibri"/>
          <w:color w:val="000000" w:themeColor="text1"/>
          <w:szCs w:val="18"/>
        </w:rPr>
        <w:t xml:space="preserve"> (Malvern Instruments </w:t>
      </w:r>
      <w:r w:rsidR="002B7242" w:rsidRPr="002B7242">
        <w:rPr>
          <w:rFonts w:ascii="Calibri" w:hAnsi="Calibri"/>
          <w:szCs w:val="18"/>
        </w:rPr>
        <w:t>Ltd</w:t>
      </w:r>
      <w:r w:rsidR="002B7242">
        <w:rPr>
          <w:rFonts w:ascii="Calibri" w:hAnsi="Calibri"/>
          <w:szCs w:val="18"/>
        </w:rPr>
        <w:t>, UK</w:t>
      </w:r>
      <w:r>
        <w:rPr>
          <w:rFonts w:ascii="Calibri" w:hAnsi="Calibri"/>
          <w:szCs w:val="18"/>
        </w:rPr>
        <w:t>)</w:t>
      </w:r>
      <w:r w:rsidR="002B7242" w:rsidRPr="002B7242">
        <w:rPr>
          <w:rFonts w:ascii="Calibri" w:hAnsi="Calibri"/>
          <w:szCs w:val="18"/>
        </w:rPr>
        <w:t xml:space="preserve"> </w:t>
      </w:r>
      <w:r>
        <w:rPr>
          <w:rFonts w:ascii="Calibri" w:hAnsi="Calibri"/>
          <w:szCs w:val="18"/>
        </w:rPr>
        <w:t>using</w:t>
      </w:r>
      <w:r w:rsidR="002B7242" w:rsidRPr="00045034">
        <w:rPr>
          <w:rFonts w:ascii="Calibri" w:hAnsi="Calibri"/>
          <w:szCs w:val="18"/>
        </w:rPr>
        <w:t xml:space="preserve"> </w:t>
      </w:r>
      <w:r>
        <w:rPr>
          <w:rFonts w:ascii="Calibri" w:hAnsi="Calibri"/>
          <w:szCs w:val="18"/>
        </w:rPr>
        <w:t xml:space="preserve">a </w:t>
      </w:r>
      <w:r w:rsidR="002B7242" w:rsidRPr="00045034">
        <w:rPr>
          <w:rFonts w:ascii="Calibri" w:hAnsi="Calibri"/>
          <w:szCs w:val="18"/>
        </w:rPr>
        <w:t xml:space="preserve">1 mL disposable cuvette </w:t>
      </w:r>
      <w:r>
        <w:rPr>
          <w:rFonts w:ascii="Calibri" w:hAnsi="Calibri" w:cstheme="minorHAnsi"/>
          <w:szCs w:val="18"/>
        </w:rPr>
        <w:t>and a temperature of</w:t>
      </w:r>
      <w:r w:rsidR="002B7242" w:rsidRPr="00045034">
        <w:rPr>
          <w:rFonts w:ascii="Calibri" w:hAnsi="Calibri"/>
          <w:szCs w:val="18"/>
        </w:rPr>
        <w:t xml:space="preserve"> 25</w:t>
      </w:r>
      <w:r w:rsidR="002B7242" w:rsidRPr="00045034">
        <w:rPr>
          <w:rFonts w:ascii="Calibri" w:hAnsi="Calibri" w:cstheme="minorHAnsi"/>
          <w:szCs w:val="18"/>
        </w:rPr>
        <w:t>±2°C (n=3). Detailed</w:t>
      </w:r>
      <w:r w:rsidR="002B7242">
        <w:rPr>
          <w:rFonts w:ascii="Calibri" w:hAnsi="Calibri" w:cstheme="minorHAnsi"/>
          <w:szCs w:val="18"/>
        </w:rPr>
        <w:t xml:space="preserve"> settings for the </w:t>
      </w:r>
      <w:r w:rsidR="002B7242" w:rsidRPr="00045034">
        <w:rPr>
          <w:rFonts w:ascii="Calibri" w:hAnsi="Calibri" w:cstheme="minorHAnsi"/>
          <w:color w:val="000000" w:themeColor="text1"/>
          <w:szCs w:val="18"/>
        </w:rPr>
        <w:t xml:space="preserve">analysis can be found in Appendix </w:t>
      </w:r>
      <w:r w:rsidR="005F1BD4">
        <w:rPr>
          <w:rFonts w:ascii="Calibri" w:hAnsi="Calibri" w:cstheme="minorHAnsi"/>
          <w:color w:val="000000" w:themeColor="text1"/>
          <w:szCs w:val="18"/>
        </w:rPr>
        <w:t>C</w:t>
      </w:r>
      <w:r w:rsidR="002B7242" w:rsidRPr="00045034">
        <w:rPr>
          <w:rFonts w:ascii="Calibri" w:hAnsi="Calibri" w:cstheme="minorHAnsi"/>
          <w:color w:val="000000" w:themeColor="text1"/>
          <w:szCs w:val="18"/>
        </w:rPr>
        <w:t xml:space="preserve">.  </w:t>
      </w:r>
    </w:p>
    <w:p w14:paraId="33C8D114" w14:textId="77777777" w:rsidR="00343388" w:rsidRPr="00045034" w:rsidRDefault="00343388" w:rsidP="00343388">
      <w:pPr>
        <w:spacing w:after="0" w:line="480" w:lineRule="auto"/>
        <w:jc w:val="both"/>
        <w:rPr>
          <w:rFonts w:ascii="Calibri" w:hAnsi="Calibri" w:cstheme="minorHAnsi"/>
          <w:color w:val="000000" w:themeColor="text1"/>
          <w:szCs w:val="18"/>
        </w:rPr>
      </w:pPr>
    </w:p>
    <w:p w14:paraId="4B18E807" w14:textId="77777777" w:rsidR="002B7242" w:rsidRDefault="002B7242" w:rsidP="00343388">
      <w:pPr>
        <w:pStyle w:val="ListParagraph"/>
        <w:numPr>
          <w:ilvl w:val="2"/>
          <w:numId w:val="5"/>
        </w:numPr>
        <w:spacing w:after="0" w:line="480" w:lineRule="auto"/>
        <w:ind w:left="1077" w:hanging="510"/>
        <w:jc w:val="both"/>
        <w:outlineLvl w:val="2"/>
        <w:rPr>
          <w:rFonts w:ascii="Calibri" w:hAnsi="Calibri"/>
          <w:b/>
          <w:szCs w:val="18"/>
        </w:rPr>
      </w:pPr>
      <w:r>
        <w:rPr>
          <w:rFonts w:ascii="Calibri" w:hAnsi="Calibri"/>
          <w:b/>
          <w:szCs w:val="18"/>
        </w:rPr>
        <w:t xml:space="preserve"> </w:t>
      </w:r>
      <w:r w:rsidR="005360B0">
        <w:rPr>
          <w:rFonts w:ascii="Calibri" w:hAnsi="Calibri"/>
          <w:b/>
          <w:szCs w:val="18"/>
        </w:rPr>
        <w:t xml:space="preserve">Size </w:t>
      </w:r>
      <w:r w:rsidR="00514C12">
        <w:rPr>
          <w:rFonts w:ascii="Calibri" w:hAnsi="Calibri"/>
          <w:b/>
          <w:szCs w:val="18"/>
        </w:rPr>
        <w:t xml:space="preserve">categorisation </w:t>
      </w:r>
      <w:r w:rsidR="005360B0">
        <w:rPr>
          <w:rFonts w:ascii="Calibri" w:hAnsi="Calibri"/>
          <w:b/>
          <w:szCs w:val="18"/>
        </w:rPr>
        <w:t>in bacterial medium</w:t>
      </w:r>
    </w:p>
    <w:p w14:paraId="158A1FD9" w14:textId="0ADA66D1" w:rsidR="001C7B3B" w:rsidRPr="001C7B3B" w:rsidRDefault="00514C12" w:rsidP="00343388">
      <w:pPr>
        <w:spacing w:after="0" w:line="480" w:lineRule="auto"/>
        <w:jc w:val="both"/>
        <w:rPr>
          <w:rFonts w:ascii="Calibri" w:hAnsi="Calibri"/>
          <w:szCs w:val="18"/>
        </w:rPr>
      </w:pPr>
      <w:r>
        <w:rPr>
          <w:rFonts w:ascii="Calibri" w:hAnsi="Calibri"/>
          <w:szCs w:val="18"/>
        </w:rPr>
        <w:t xml:space="preserve">To ensure that the light scatter signal from </w:t>
      </w:r>
      <w:proofErr w:type="spellStart"/>
      <w:r>
        <w:rPr>
          <w:rFonts w:ascii="Calibri" w:hAnsi="Calibri"/>
          <w:szCs w:val="18"/>
        </w:rPr>
        <w:t>aquated</w:t>
      </w:r>
      <w:proofErr w:type="spellEnd"/>
      <w:r>
        <w:rPr>
          <w:rFonts w:ascii="Calibri" w:hAnsi="Calibri"/>
          <w:szCs w:val="18"/>
        </w:rPr>
        <w:t xml:space="preserve"> microparticles, above, was not masking a significant </w:t>
      </w:r>
      <w:proofErr w:type="spellStart"/>
      <w:r>
        <w:rPr>
          <w:rFonts w:ascii="Calibri" w:hAnsi="Calibri"/>
          <w:szCs w:val="18"/>
        </w:rPr>
        <w:t>nano</w:t>
      </w:r>
      <w:proofErr w:type="spellEnd"/>
      <w:r>
        <w:rPr>
          <w:rFonts w:ascii="Calibri" w:hAnsi="Calibri"/>
          <w:szCs w:val="18"/>
        </w:rPr>
        <w:t>-fraction</w:t>
      </w:r>
      <w:r w:rsidR="00343388">
        <w:rPr>
          <w:rFonts w:ascii="Calibri" w:hAnsi="Calibri"/>
          <w:szCs w:val="18"/>
        </w:rPr>
        <w:t xml:space="preserve"> </w:t>
      </w:r>
      <w:r w:rsidR="001B7A7B">
        <w:rPr>
          <w:rFonts w:ascii="Calibri" w:hAnsi="Calibri"/>
          <w:szCs w:val="18"/>
        </w:rPr>
        <w:fldChar w:fldCharType="begin" w:fldLock="1"/>
      </w:r>
      <w:r w:rsidR="005541E7">
        <w:rPr>
          <w:rFonts w:ascii="Calibri" w:hAnsi="Calibri"/>
          <w:szCs w:val="18"/>
        </w:rPr>
        <w:instrText>ADDIN CSL_CITATION {"citationItems":[{"id":"ITEM-1","itemData":{"author":[{"dropping-particle":"","family":"Malvern Instruments","given":"","non-dropping-particle":"","parse-names":false,"suffix":""}],"id":"ITEM-1","issued":{"date-parts":[["2015"]]},"number-of-pages":"1-23","title":"Malvern Instruments Ltd - A basic guide to particle characterization","type":"book"},"uris":["http://www.mendeley.com/documents/?uuid=9bb13af0-cbf4-41fa-b622-b9dd9e7d9991"]}],"mendeley":{"formattedCitation":"(Malvern Instruments, 2015)","plainTextFormattedCitation":"(Malvern Instruments, 2015)","previouslyFormattedCitation":"(Malvern Instruments, 2015)"},"properties":{"noteIndex":0},"schema":"https://github.com/citation-style-language/schema/raw/master/csl-citation.json"}</w:instrText>
      </w:r>
      <w:r w:rsidR="001B7A7B">
        <w:rPr>
          <w:rFonts w:ascii="Calibri" w:hAnsi="Calibri"/>
          <w:szCs w:val="18"/>
        </w:rPr>
        <w:fldChar w:fldCharType="separate"/>
      </w:r>
      <w:r w:rsidR="002A7491" w:rsidRPr="002A7491">
        <w:rPr>
          <w:rFonts w:ascii="Calibri" w:hAnsi="Calibri"/>
          <w:noProof/>
          <w:szCs w:val="18"/>
        </w:rPr>
        <w:t>(Malvern Instruments, 2015)</w:t>
      </w:r>
      <w:r w:rsidR="001B7A7B">
        <w:rPr>
          <w:rFonts w:ascii="Calibri" w:hAnsi="Calibri"/>
          <w:szCs w:val="18"/>
        </w:rPr>
        <w:fldChar w:fldCharType="end"/>
      </w:r>
      <w:r w:rsidR="00343388">
        <w:rPr>
          <w:rFonts w:ascii="Calibri" w:hAnsi="Calibri"/>
          <w:szCs w:val="18"/>
        </w:rPr>
        <w:t>,</w:t>
      </w:r>
      <w:r>
        <w:rPr>
          <w:rFonts w:ascii="Calibri" w:hAnsi="Calibri"/>
          <w:szCs w:val="18"/>
        </w:rPr>
        <w:t xml:space="preserve"> we also </w:t>
      </w:r>
      <w:r w:rsidR="009F0BF9">
        <w:rPr>
          <w:rFonts w:ascii="Calibri" w:hAnsi="Calibri"/>
          <w:szCs w:val="18"/>
        </w:rPr>
        <w:t>carried out</w:t>
      </w:r>
      <w:r>
        <w:rPr>
          <w:rFonts w:ascii="Calibri" w:hAnsi="Calibri"/>
          <w:szCs w:val="18"/>
        </w:rPr>
        <w:t xml:space="preserve"> size categorisation</w:t>
      </w:r>
      <w:r w:rsidR="005F5AF6">
        <w:rPr>
          <w:rFonts w:ascii="Calibri" w:hAnsi="Calibri"/>
          <w:szCs w:val="18"/>
        </w:rPr>
        <w:t xml:space="preserve"> by </w:t>
      </w:r>
      <w:r w:rsidR="00D47ACF">
        <w:rPr>
          <w:rFonts w:ascii="Calibri" w:hAnsi="Calibri"/>
          <w:szCs w:val="18"/>
        </w:rPr>
        <w:t>ultra-</w:t>
      </w:r>
      <w:r w:rsidR="005F5AF6">
        <w:rPr>
          <w:rFonts w:ascii="Calibri" w:hAnsi="Calibri"/>
          <w:szCs w:val="18"/>
        </w:rPr>
        <w:t xml:space="preserve">filtration </w:t>
      </w:r>
      <w:r w:rsidR="00F40ABC">
        <w:rPr>
          <w:rFonts w:ascii="Calibri" w:hAnsi="Calibri"/>
          <w:szCs w:val="18"/>
        </w:rPr>
        <w:t xml:space="preserve">and </w:t>
      </w:r>
      <w:r w:rsidR="005F5AF6">
        <w:rPr>
          <w:rFonts w:ascii="Calibri" w:hAnsi="Calibri"/>
          <w:szCs w:val="18"/>
        </w:rPr>
        <w:t>centrifugation</w:t>
      </w:r>
      <w:r w:rsidR="009F0BF9">
        <w:rPr>
          <w:rFonts w:ascii="Calibri" w:hAnsi="Calibri"/>
          <w:szCs w:val="18"/>
        </w:rPr>
        <w:t xml:space="preserve"> followed by </w:t>
      </w:r>
      <w:r w:rsidR="00F40ABC">
        <w:rPr>
          <w:rFonts w:ascii="Calibri" w:hAnsi="Calibri"/>
          <w:szCs w:val="18"/>
        </w:rPr>
        <w:t>elemental analysis</w:t>
      </w:r>
      <w:r w:rsidR="005F5AF6">
        <w:rPr>
          <w:rFonts w:ascii="Calibri" w:hAnsi="Calibri"/>
          <w:szCs w:val="18"/>
        </w:rPr>
        <w:t xml:space="preserve">. </w:t>
      </w:r>
      <w:r>
        <w:rPr>
          <w:rFonts w:ascii="Calibri" w:hAnsi="Calibri"/>
          <w:szCs w:val="18"/>
        </w:rPr>
        <w:t>Copper-based p</w:t>
      </w:r>
      <w:r w:rsidR="005D23B2" w:rsidRPr="009960EF">
        <w:rPr>
          <w:rFonts w:ascii="Calibri" w:hAnsi="Calibri"/>
          <w:szCs w:val="18"/>
        </w:rPr>
        <w:t>article stocks</w:t>
      </w:r>
      <w:r>
        <w:rPr>
          <w:rFonts w:ascii="Calibri" w:hAnsi="Calibri"/>
          <w:szCs w:val="18"/>
        </w:rPr>
        <w:t xml:space="preserve"> with starting concentration of 20mM copper</w:t>
      </w:r>
      <w:r w:rsidR="005D23B2" w:rsidRPr="009960EF">
        <w:rPr>
          <w:rFonts w:ascii="Calibri" w:hAnsi="Calibri"/>
          <w:szCs w:val="18"/>
        </w:rPr>
        <w:t xml:space="preserve"> were diluted in bacterial medium – Heavy Metal MOPS medium (HMM) – t</w:t>
      </w:r>
      <w:r w:rsidR="0036050C" w:rsidRPr="009960EF">
        <w:rPr>
          <w:rFonts w:ascii="Calibri" w:hAnsi="Calibri"/>
          <w:szCs w:val="18"/>
        </w:rPr>
        <w:t>o 50mg/L</w:t>
      </w:r>
      <w:r>
        <w:rPr>
          <w:rFonts w:ascii="Calibri" w:hAnsi="Calibri"/>
          <w:szCs w:val="18"/>
        </w:rPr>
        <w:t xml:space="preserve"> (</w:t>
      </w:r>
      <w:r w:rsidRPr="00514C12">
        <w:rPr>
          <w:rFonts w:ascii="Calibri" w:hAnsi="Calibri"/>
          <w:i/>
          <w:szCs w:val="18"/>
        </w:rPr>
        <w:t>ca</w:t>
      </w:r>
      <w:r>
        <w:rPr>
          <w:rFonts w:ascii="Calibri" w:hAnsi="Calibri"/>
          <w:szCs w:val="18"/>
        </w:rPr>
        <w:t>. 0.8mM)</w:t>
      </w:r>
      <w:r w:rsidR="005D23B2" w:rsidRPr="009960EF">
        <w:rPr>
          <w:rFonts w:ascii="Calibri" w:hAnsi="Calibri"/>
          <w:szCs w:val="18"/>
        </w:rPr>
        <w:t xml:space="preserve">. </w:t>
      </w:r>
      <w:r w:rsidR="005359AA">
        <w:rPr>
          <w:rFonts w:ascii="Calibri" w:hAnsi="Calibri"/>
          <w:szCs w:val="18"/>
        </w:rPr>
        <w:t>T</w:t>
      </w:r>
      <w:r w:rsidR="001C7B3B" w:rsidRPr="009960EF">
        <w:rPr>
          <w:rFonts w:ascii="Calibri" w:hAnsi="Calibri"/>
          <w:szCs w:val="18"/>
        </w:rPr>
        <w:t>hree aliquots</w:t>
      </w:r>
      <w:r w:rsidR="005359AA">
        <w:rPr>
          <w:rFonts w:ascii="Calibri" w:hAnsi="Calibri"/>
          <w:szCs w:val="18"/>
        </w:rPr>
        <w:t xml:space="preserve"> of each stock</w:t>
      </w:r>
      <w:r w:rsidR="003769C8" w:rsidRPr="009960EF">
        <w:rPr>
          <w:rFonts w:ascii="Calibri" w:hAnsi="Calibri"/>
          <w:szCs w:val="18"/>
        </w:rPr>
        <w:t xml:space="preserve"> were</w:t>
      </w:r>
      <w:r w:rsidR="005359AA">
        <w:rPr>
          <w:rFonts w:ascii="Calibri" w:hAnsi="Calibri"/>
          <w:szCs w:val="18"/>
        </w:rPr>
        <w:t xml:space="preserve"> </w:t>
      </w:r>
      <w:r w:rsidR="003769C8" w:rsidRPr="009960EF">
        <w:rPr>
          <w:rFonts w:ascii="Calibri" w:hAnsi="Calibri"/>
          <w:szCs w:val="18"/>
        </w:rPr>
        <w:t>collected</w:t>
      </w:r>
      <w:r w:rsidR="005359AA">
        <w:rPr>
          <w:rFonts w:ascii="Calibri" w:hAnsi="Calibri"/>
          <w:szCs w:val="18"/>
        </w:rPr>
        <w:t xml:space="preserve"> to determine</w:t>
      </w:r>
      <w:r w:rsidR="003769C8" w:rsidRPr="009960EF">
        <w:rPr>
          <w:rFonts w:ascii="Calibri" w:hAnsi="Calibri"/>
          <w:szCs w:val="18"/>
        </w:rPr>
        <w:t>:</w:t>
      </w:r>
      <w:r w:rsidR="001C7B3B" w:rsidRPr="009960EF">
        <w:rPr>
          <w:rFonts w:ascii="Calibri" w:hAnsi="Calibri"/>
          <w:szCs w:val="18"/>
        </w:rPr>
        <w:t xml:space="preserve"> a) the total copper con</w:t>
      </w:r>
      <w:r>
        <w:rPr>
          <w:rFonts w:ascii="Calibri" w:hAnsi="Calibri"/>
          <w:szCs w:val="18"/>
        </w:rPr>
        <w:t>tent</w:t>
      </w:r>
      <w:r w:rsidR="001C7B3B" w:rsidRPr="009960EF">
        <w:rPr>
          <w:rFonts w:ascii="Calibri" w:hAnsi="Calibri"/>
          <w:szCs w:val="18"/>
        </w:rPr>
        <w:t xml:space="preserve"> (</w:t>
      </w:r>
      <w:proofErr w:type="spellStart"/>
      <w:r w:rsidR="001C7B3B" w:rsidRPr="009960EF">
        <w:rPr>
          <w:rFonts w:ascii="Calibri" w:hAnsi="Calibri"/>
          <w:szCs w:val="18"/>
        </w:rPr>
        <w:t>Cu</w:t>
      </w:r>
      <w:r w:rsidR="001C7B3B" w:rsidRPr="009960EF">
        <w:rPr>
          <w:rFonts w:ascii="Calibri" w:hAnsi="Calibri"/>
          <w:szCs w:val="18"/>
          <w:vertAlign w:val="subscript"/>
        </w:rPr>
        <w:t>Total</w:t>
      </w:r>
      <w:proofErr w:type="spellEnd"/>
      <w:r w:rsidR="001C7B3B" w:rsidRPr="009960EF">
        <w:rPr>
          <w:rFonts w:ascii="Calibri" w:hAnsi="Calibri"/>
          <w:szCs w:val="18"/>
        </w:rPr>
        <w:t xml:space="preserve">), b) </w:t>
      </w:r>
      <w:r w:rsidR="005359AA">
        <w:rPr>
          <w:rFonts w:ascii="Calibri" w:hAnsi="Calibri"/>
          <w:szCs w:val="18"/>
        </w:rPr>
        <w:t xml:space="preserve">copper in the </w:t>
      </w:r>
      <w:r w:rsidR="0097674D" w:rsidRPr="009960EF">
        <w:rPr>
          <w:rFonts w:ascii="Calibri" w:hAnsi="Calibri"/>
          <w:szCs w:val="18"/>
        </w:rPr>
        <w:t xml:space="preserve">supernatant </w:t>
      </w:r>
      <w:r w:rsidR="005359AA">
        <w:rPr>
          <w:rFonts w:ascii="Calibri" w:hAnsi="Calibri"/>
          <w:szCs w:val="18"/>
        </w:rPr>
        <w:t xml:space="preserve">after </w:t>
      </w:r>
      <w:r w:rsidR="0097674D" w:rsidRPr="009960EF">
        <w:rPr>
          <w:rFonts w:ascii="Calibri" w:hAnsi="Calibri"/>
          <w:szCs w:val="18"/>
        </w:rPr>
        <w:t>centrifugation at 16000g for 5 minutes</w:t>
      </w:r>
      <w:r w:rsidR="0036050C" w:rsidRPr="009960EF">
        <w:rPr>
          <w:rFonts w:ascii="Calibri" w:hAnsi="Calibri"/>
          <w:szCs w:val="18"/>
        </w:rPr>
        <w:t xml:space="preserve"> (</w:t>
      </w:r>
      <w:proofErr w:type="spellStart"/>
      <w:r w:rsidR="0036050C" w:rsidRPr="009960EF">
        <w:rPr>
          <w:rFonts w:ascii="Calibri" w:hAnsi="Calibri"/>
          <w:szCs w:val="18"/>
        </w:rPr>
        <w:t>Cu</w:t>
      </w:r>
      <w:r w:rsidR="0036050C" w:rsidRPr="009960EF">
        <w:rPr>
          <w:rFonts w:ascii="Calibri" w:hAnsi="Calibri"/>
          <w:szCs w:val="18"/>
          <w:vertAlign w:val="subscript"/>
        </w:rPr>
        <w:t>Supernatant</w:t>
      </w:r>
      <w:proofErr w:type="spellEnd"/>
      <w:r w:rsidR="0036050C" w:rsidRPr="009960EF">
        <w:rPr>
          <w:rFonts w:ascii="Calibri" w:hAnsi="Calibri"/>
          <w:szCs w:val="18"/>
        </w:rPr>
        <w:t xml:space="preserve">), and c) </w:t>
      </w:r>
      <w:r w:rsidR="001C7B3B" w:rsidRPr="009960EF">
        <w:rPr>
          <w:rFonts w:ascii="Calibri" w:hAnsi="Calibri"/>
          <w:szCs w:val="18"/>
        </w:rPr>
        <w:t>soluble copper</w:t>
      </w:r>
      <w:r>
        <w:rPr>
          <w:rFonts w:ascii="Calibri" w:hAnsi="Calibri"/>
          <w:szCs w:val="18"/>
        </w:rPr>
        <w:t xml:space="preserve"> content</w:t>
      </w:r>
      <w:r w:rsidR="001C7B3B" w:rsidRPr="009960EF">
        <w:rPr>
          <w:rFonts w:ascii="Calibri" w:hAnsi="Calibri"/>
          <w:szCs w:val="18"/>
        </w:rPr>
        <w:t>, after filtration with a 3KDa centrifuge filter</w:t>
      </w:r>
      <w:r w:rsidR="00045034" w:rsidRPr="009960EF">
        <w:rPr>
          <w:rFonts w:ascii="Calibri" w:hAnsi="Calibri"/>
          <w:szCs w:val="18"/>
        </w:rPr>
        <w:t xml:space="preserve"> (Sartorius </w:t>
      </w:r>
      <w:proofErr w:type="spellStart"/>
      <w:r w:rsidR="00045034" w:rsidRPr="009960EF">
        <w:rPr>
          <w:rFonts w:ascii="Calibri" w:hAnsi="Calibri"/>
          <w:szCs w:val="18"/>
        </w:rPr>
        <w:t>Vivaspin</w:t>
      </w:r>
      <w:proofErr w:type="spellEnd"/>
      <w:r w:rsidR="00045034" w:rsidRPr="009960EF">
        <w:rPr>
          <w:rFonts w:ascii="Calibri" w:hAnsi="Calibri"/>
          <w:szCs w:val="18"/>
        </w:rPr>
        <w:t xml:space="preserve"> 500 VS0192)</w:t>
      </w:r>
      <w:r w:rsidR="001C7B3B" w:rsidRPr="009960EF">
        <w:rPr>
          <w:rFonts w:ascii="Calibri" w:hAnsi="Calibri"/>
          <w:szCs w:val="18"/>
        </w:rPr>
        <w:t xml:space="preserve"> for 5 minutes at 16000g (Cu</w:t>
      </w:r>
      <w:r w:rsidR="001C7B3B" w:rsidRPr="009960EF">
        <w:rPr>
          <w:rFonts w:ascii="Calibri" w:hAnsi="Calibri"/>
          <w:szCs w:val="18"/>
          <w:vertAlign w:val="subscript"/>
        </w:rPr>
        <w:t>3KDa</w:t>
      </w:r>
      <w:r w:rsidR="001C7B3B" w:rsidRPr="009960EF">
        <w:rPr>
          <w:rFonts w:ascii="Calibri" w:hAnsi="Calibri"/>
          <w:szCs w:val="18"/>
        </w:rPr>
        <w:t xml:space="preserve">). </w:t>
      </w:r>
      <w:r w:rsidR="00D47ACF">
        <w:rPr>
          <w:rFonts w:ascii="Calibri" w:hAnsi="Calibri"/>
          <w:szCs w:val="18"/>
        </w:rPr>
        <w:t>F</w:t>
      </w:r>
      <w:r>
        <w:rPr>
          <w:rFonts w:ascii="Calibri" w:hAnsi="Calibri"/>
          <w:szCs w:val="18"/>
        </w:rPr>
        <w:t>ollowing size differentiation</w:t>
      </w:r>
      <w:r w:rsidR="00D47ACF">
        <w:rPr>
          <w:rFonts w:ascii="Calibri" w:hAnsi="Calibri"/>
          <w:szCs w:val="18"/>
        </w:rPr>
        <w:t xml:space="preserve">, aliquots </w:t>
      </w:r>
      <w:r w:rsidR="001C7B3B" w:rsidRPr="009960EF">
        <w:rPr>
          <w:rFonts w:ascii="Calibri" w:hAnsi="Calibri"/>
          <w:szCs w:val="18"/>
        </w:rPr>
        <w:t>were diluted</w:t>
      </w:r>
      <w:r>
        <w:rPr>
          <w:rFonts w:ascii="Calibri" w:hAnsi="Calibri"/>
          <w:szCs w:val="18"/>
        </w:rPr>
        <w:t xml:space="preserve"> down</w:t>
      </w:r>
      <w:r w:rsidR="001C7B3B" w:rsidRPr="009960EF">
        <w:rPr>
          <w:rFonts w:ascii="Calibri" w:hAnsi="Calibri"/>
          <w:szCs w:val="18"/>
        </w:rPr>
        <w:t xml:space="preserve"> </w:t>
      </w:r>
      <w:r w:rsidR="005D23B2" w:rsidRPr="009960EF">
        <w:rPr>
          <w:rFonts w:ascii="Calibri" w:hAnsi="Calibri"/>
          <w:szCs w:val="18"/>
        </w:rPr>
        <w:t>to 20mg/L</w:t>
      </w:r>
      <w:r w:rsidR="001C7B3B" w:rsidRPr="009960EF">
        <w:rPr>
          <w:rFonts w:ascii="Calibri" w:hAnsi="Calibri"/>
          <w:szCs w:val="18"/>
        </w:rPr>
        <w:t xml:space="preserve"> </w:t>
      </w:r>
      <w:r w:rsidRPr="009960EF">
        <w:rPr>
          <w:rFonts w:ascii="Calibri" w:hAnsi="Calibri"/>
          <w:szCs w:val="18"/>
        </w:rPr>
        <w:t>in 5% HNO</w:t>
      </w:r>
      <w:r w:rsidRPr="009960EF">
        <w:rPr>
          <w:rFonts w:ascii="Calibri" w:hAnsi="Calibri"/>
          <w:szCs w:val="18"/>
          <w:vertAlign w:val="subscript"/>
        </w:rPr>
        <w:t xml:space="preserve">3 </w:t>
      </w:r>
      <w:r w:rsidRPr="009960EF">
        <w:rPr>
          <w:rFonts w:ascii="Calibri" w:hAnsi="Calibri"/>
          <w:szCs w:val="18"/>
        </w:rPr>
        <w:t>(v/v)</w:t>
      </w:r>
      <w:r w:rsidR="00D47ACF">
        <w:rPr>
          <w:rFonts w:ascii="Calibri" w:hAnsi="Calibri"/>
          <w:szCs w:val="18"/>
        </w:rPr>
        <w:t xml:space="preserve"> or lower and kept for</w:t>
      </w:r>
      <w:r w:rsidRPr="009960EF">
        <w:rPr>
          <w:rFonts w:ascii="Calibri" w:hAnsi="Calibri"/>
          <w:szCs w:val="18"/>
        </w:rPr>
        <w:t xml:space="preserve"> </w:t>
      </w:r>
      <w:r w:rsidR="001C7B3B" w:rsidRPr="009960EF">
        <w:rPr>
          <w:rFonts w:ascii="Calibri" w:hAnsi="Calibri"/>
          <w:szCs w:val="18"/>
        </w:rPr>
        <w:t xml:space="preserve">at least 24 hours prior to analysis to </w:t>
      </w:r>
      <w:r w:rsidR="001C7B3B" w:rsidRPr="009960EF">
        <w:rPr>
          <w:rFonts w:ascii="Calibri" w:hAnsi="Calibri"/>
          <w:szCs w:val="18"/>
        </w:rPr>
        <w:lastRenderedPageBreak/>
        <w:t xml:space="preserve">ensure full </w:t>
      </w:r>
      <w:r w:rsidR="005D23B2" w:rsidRPr="009960EF">
        <w:rPr>
          <w:rFonts w:ascii="Calibri" w:hAnsi="Calibri"/>
          <w:szCs w:val="18"/>
        </w:rPr>
        <w:t>dissolution</w:t>
      </w:r>
      <w:r w:rsidR="001C7B3B" w:rsidRPr="009960EF">
        <w:rPr>
          <w:rFonts w:ascii="Calibri" w:hAnsi="Calibri"/>
          <w:szCs w:val="18"/>
        </w:rPr>
        <w:t xml:space="preserve">. </w:t>
      </w:r>
      <w:r w:rsidR="009960EF" w:rsidRPr="009960EF">
        <w:rPr>
          <w:rFonts w:ascii="Calibri" w:hAnsi="Calibri"/>
          <w:szCs w:val="18"/>
        </w:rPr>
        <w:t>Copper c</w:t>
      </w:r>
      <w:r w:rsidR="003769C8" w:rsidRPr="009960EF">
        <w:rPr>
          <w:rFonts w:ascii="Calibri" w:hAnsi="Calibri"/>
          <w:szCs w:val="18"/>
        </w:rPr>
        <w:t>oncentration</w:t>
      </w:r>
      <w:r w:rsidR="007E68AC">
        <w:rPr>
          <w:rFonts w:ascii="Calibri" w:hAnsi="Calibri"/>
          <w:szCs w:val="18"/>
        </w:rPr>
        <w:t xml:space="preserve"> </w:t>
      </w:r>
      <w:r w:rsidR="003769C8" w:rsidRPr="009960EF">
        <w:rPr>
          <w:rFonts w:ascii="Calibri" w:hAnsi="Calibri"/>
          <w:szCs w:val="18"/>
        </w:rPr>
        <w:t xml:space="preserve">was </w:t>
      </w:r>
      <w:r w:rsidR="006518B6">
        <w:rPr>
          <w:rFonts w:ascii="Calibri" w:hAnsi="Calibri"/>
          <w:szCs w:val="18"/>
        </w:rPr>
        <w:t xml:space="preserve">then </w:t>
      </w:r>
      <w:r w:rsidR="003769C8" w:rsidRPr="009960EF">
        <w:rPr>
          <w:rFonts w:ascii="Calibri" w:hAnsi="Calibri"/>
          <w:szCs w:val="18"/>
        </w:rPr>
        <w:t xml:space="preserve">determined by inductively coupled plasma-optical emission spectroscopy </w:t>
      </w:r>
      <w:r w:rsidR="006518B6">
        <w:rPr>
          <w:rFonts w:ascii="Calibri" w:hAnsi="Calibri"/>
          <w:szCs w:val="18"/>
        </w:rPr>
        <w:t xml:space="preserve">at </w:t>
      </w:r>
      <w:r w:rsidR="006518B6" w:rsidRPr="00D47ACF">
        <w:rPr>
          <w:rFonts w:ascii="Calibri" w:hAnsi="Calibri"/>
          <w:szCs w:val="18"/>
        </w:rPr>
        <w:t xml:space="preserve">324.754nm </w:t>
      </w:r>
      <w:r w:rsidR="003769C8" w:rsidRPr="009960EF">
        <w:rPr>
          <w:rFonts w:ascii="Calibri" w:hAnsi="Calibri"/>
          <w:szCs w:val="18"/>
        </w:rPr>
        <w:t>(ICP-OES</w:t>
      </w:r>
      <w:r w:rsidR="006518B6">
        <w:rPr>
          <w:rFonts w:ascii="Calibri" w:hAnsi="Calibri"/>
          <w:szCs w:val="18"/>
        </w:rPr>
        <w:t xml:space="preserve">; </w:t>
      </w:r>
      <w:r w:rsidR="003769C8" w:rsidRPr="009960EF">
        <w:rPr>
          <w:rFonts w:ascii="Calibri" w:hAnsi="Calibri"/>
          <w:szCs w:val="18"/>
        </w:rPr>
        <w:t>Jobin Yvon 2000, Horiba</w:t>
      </w:r>
      <w:r w:rsidR="007C2C6D">
        <w:rPr>
          <w:rFonts w:ascii="Calibri" w:hAnsi="Calibri"/>
          <w:szCs w:val="18"/>
        </w:rPr>
        <w:t>, UK</w:t>
      </w:r>
      <w:r w:rsidR="006518B6">
        <w:rPr>
          <w:rFonts w:ascii="Calibri" w:hAnsi="Calibri"/>
          <w:szCs w:val="18"/>
        </w:rPr>
        <w:t xml:space="preserve">) using </w:t>
      </w:r>
      <w:r w:rsidR="006518B6" w:rsidRPr="009960EF">
        <w:rPr>
          <w:rFonts w:ascii="Calibri" w:hAnsi="Calibri"/>
          <w:szCs w:val="18"/>
        </w:rPr>
        <w:t>matrix-matched</w:t>
      </w:r>
      <w:r w:rsidR="003769C8" w:rsidRPr="009960EF">
        <w:rPr>
          <w:rFonts w:ascii="Calibri" w:hAnsi="Calibri"/>
          <w:szCs w:val="18"/>
        </w:rPr>
        <w:t xml:space="preserve"> </w:t>
      </w:r>
      <w:r w:rsidR="006518B6">
        <w:rPr>
          <w:rFonts w:ascii="Calibri" w:hAnsi="Calibri"/>
          <w:szCs w:val="18"/>
        </w:rPr>
        <w:t>c</w:t>
      </w:r>
      <w:r w:rsidR="001C7B3B" w:rsidRPr="009960EF">
        <w:rPr>
          <w:rFonts w:ascii="Calibri" w:hAnsi="Calibri"/>
          <w:szCs w:val="18"/>
        </w:rPr>
        <w:t xml:space="preserve">alibration standards </w:t>
      </w:r>
      <w:r w:rsidR="00D47ACF">
        <w:rPr>
          <w:rFonts w:ascii="Calibri" w:hAnsi="Calibri"/>
          <w:szCs w:val="18"/>
        </w:rPr>
        <w:t>(</w:t>
      </w:r>
      <w:r w:rsidR="00D47ACF" w:rsidRPr="009960EF">
        <w:rPr>
          <w:rFonts w:ascii="Calibri" w:hAnsi="Calibri"/>
          <w:szCs w:val="18"/>
        </w:rPr>
        <w:t>0.1 to 20mg/L</w:t>
      </w:r>
      <w:r w:rsidR="00D47ACF">
        <w:rPr>
          <w:rFonts w:ascii="Calibri" w:hAnsi="Calibri"/>
          <w:szCs w:val="18"/>
        </w:rPr>
        <w:t>)</w:t>
      </w:r>
      <w:r w:rsidR="006518B6">
        <w:rPr>
          <w:rFonts w:ascii="Calibri" w:hAnsi="Calibri"/>
          <w:szCs w:val="18"/>
        </w:rPr>
        <w:t>.</w:t>
      </w:r>
      <w:r w:rsidR="001C7B3B" w:rsidRPr="009960EF">
        <w:rPr>
          <w:rFonts w:ascii="Calibri" w:hAnsi="Calibri"/>
          <w:szCs w:val="18"/>
        </w:rPr>
        <w:t xml:space="preserve"> </w:t>
      </w:r>
      <w:r w:rsidR="00D47ACF">
        <w:rPr>
          <w:rFonts w:ascii="Calibri" w:hAnsi="Calibri"/>
          <w:szCs w:val="18"/>
        </w:rPr>
        <w:t xml:space="preserve">Finally, the different fractions were </w:t>
      </w:r>
      <w:r w:rsidR="00232896">
        <w:rPr>
          <w:rFonts w:ascii="Calibri" w:hAnsi="Calibri"/>
          <w:szCs w:val="18"/>
        </w:rPr>
        <w:t xml:space="preserve">calculated </w:t>
      </w:r>
      <w:r w:rsidR="006518B6">
        <w:rPr>
          <w:rFonts w:ascii="Calibri" w:hAnsi="Calibri"/>
          <w:szCs w:val="18"/>
        </w:rPr>
        <w:t xml:space="preserve">as </w:t>
      </w:r>
      <w:r w:rsidR="007C2C6D">
        <w:rPr>
          <w:rFonts w:ascii="Calibri" w:hAnsi="Calibri"/>
          <w:szCs w:val="18"/>
        </w:rPr>
        <w:t>per equations</w:t>
      </w:r>
      <w:r w:rsidR="001C7B3B" w:rsidRPr="009960EF">
        <w:rPr>
          <w:rFonts w:ascii="Calibri" w:hAnsi="Calibri"/>
          <w:szCs w:val="18"/>
        </w:rPr>
        <w:t xml:space="preserve"> below:</w:t>
      </w:r>
      <w:r w:rsidR="001C7B3B" w:rsidRPr="001C7B3B">
        <w:rPr>
          <w:rFonts w:ascii="Calibri" w:hAnsi="Calibri"/>
          <w:szCs w:val="18"/>
        </w:rPr>
        <w:t xml:space="preserve"> </w:t>
      </w:r>
    </w:p>
    <w:p w14:paraId="6EF4905C" w14:textId="77777777" w:rsidR="001C7B3B" w:rsidRPr="001C7B3B" w:rsidRDefault="001C7B3B" w:rsidP="00343388">
      <w:pPr>
        <w:spacing w:after="0" w:line="480" w:lineRule="auto"/>
        <w:jc w:val="both"/>
        <w:rPr>
          <w:rFonts w:ascii="Calibri" w:hAnsi="Calibri"/>
          <w:szCs w:val="18"/>
        </w:rPr>
      </w:pPr>
      <w:bookmarkStart w:id="1" w:name="_Hlk11835954"/>
      <m:oMathPara>
        <m:oMathParaPr>
          <m:jc m:val="left"/>
        </m:oMathParaPr>
        <m:oMath>
          <m:r>
            <w:rPr>
              <w:rFonts w:ascii="Cambria Math" w:hAnsi="Cambria Math"/>
              <w:szCs w:val="18"/>
            </w:rPr>
            <m:t>Agglomerated</m:t>
          </m:r>
          <m:r>
            <m:rPr>
              <m:sty m:val="p"/>
            </m:rPr>
            <w:rPr>
              <w:rFonts w:ascii="Cambria Math" w:hAnsi="Cambria Math"/>
              <w:szCs w:val="18"/>
            </w:rPr>
            <m:t xml:space="preserve"> (%)=</m:t>
          </m:r>
          <m:f>
            <m:fPr>
              <m:ctrlPr>
                <w:rPr>
                  <w:rFonts w:ascii="Cambria Math" w:hAnsi="Cambria Math"/>
                  <w:szCs w:val="18"/>
                </w:rPr>
              </m:ctrlPr>
            </m:fPr>
            <m:num>
              <m:r>
                <m:rPr>
                  <m:sty m:val="p"/>
                </m:rPr>
                <w:rPr>
                  <w:rFonts w:ascii="Cambria Math" w:hAnsi="Cambria Math"/>
                  <w:szCs w:val="18"/>
                </w:rPr>
                <m:t xml:space="preserve"> </m:t>
              </m:r>
              <m:sSub>
                <m:sSubPr>
                  <m:ctrlPr>
                    <w:rPr>
                      <w:rFonts w:ascii="Cambria Math" w:hAnsi="Cambria Math"/>
                      <w:szCs w:val="18"/>
                    </w:rPr>
                  </m:ctrlPr>
                </m:sSubPr>
                <m:e>
                  <m:r>
                    <w:rPr>
                      <w:rFonts w:ascii="Cambria Math" w:hAnsi="Cambria Math"/>
                      <w:szCs w:val="18"/>
                    </w:rPr>
                    <m:t>Cu</m:t>
                  </m:r>
                </m:e>
                <m:sub>
                  <m:r>
                    <w:rPr>
                      <w:rFonts w:ascii="Cambria Math" w:hAnsi="Cambria Math"/>
                      <w:szCs w:val="18"/>
                    </w:rPr>
                    <m:t>Total</m:t>
                  </m:r>
                </m:sub>
              </m:sSub>
              <m:r>
                <m:rPr>
                  <m:sty m:val="p"/>
                </m:rPr>
                <w:rPr>
                  <w:rFonts w:ascii="Cambria Math" w:hAnsi="Cambria Math"/>
                  <w:szCs w:val="18"/>
                </w:rPr>
                <m:t xml:space="preserve">- </m:t>
              </m:r>
              <m:sSub>
                <m:sSubPr>
                  <m:ctrlPr>
                    <w:rPr>
                      <w:rFonts w:ascii="Cambria Math" w:hAnsi="Cambria Math"/>
                      <w:szCs w:val="18"/>
                    </w:rPr>
                  </m:ctrlPr>
                </m:sSubPr>
                <m:e>
                  <m:r>
                    <w:rPr>
                      <w:rFonts w:ascii="Cambria Math" w:hAnsi="Cambria Math"/>
                      <w:szCs w:val="18"/>
                    </w:rPr>
                    <m:t>Cu</m:t>
                  </m:r>
                </m:e>
                <m:sub>
                  <m:r>
                    <w:rPr>
                      <w:rFonts w:ascii="Cambria Math" w:hAnsi="Cambria Math"/>
                      <w:szCs w:val="18"/>
                    </w:rPr>
                    <m:t>supernatant</m:t>
                  </m:r>
                </m:sub>
              </m:sSub>
            </m:num>
            <m:den>
              <m:sSub>
                <m:sSubPr>
                  <m:ctrlPr>
                    <w:rPr>
                      <w:rFonts w:ascii="Cambria Math" w:hAnsi="Cambria Math"/>
                      <w:szCs w:val="18"/>
                    </w:rPr>
                  </m:ctrlPr>
                </m:sSubPr>
                <m:e>
                  <m:r>
                    <w:rPr>
                      <w:rFonts w:ascii="Cambria Math" w:hAnsi="Cambria Math"/>
                      <w:szCs w:val="18"/>
                    </w:rPr>
                    <m:t>Cu</m:t>
                  </m:r>
                </m:e>
                <m:sub>
                  <m:r>
                    <w:rPr>
                      <w:rFonts w:ascii="Cambria Math" w:hAnsi="Cambria Math"/>
                      <w:szCs w:val="18"/>
                    </w:rPr>
                    <m:t>Total</m:t>
                  </m:r>
                </m:sub>
              </m:sSub>
            </m:den>
          </m:f>
          <m:r>
            <m:rPr>
              <m:sty m:val="p"/>
            </m:rPr>
            <w:rPr>
              <w:rFonts w:ascii="Cambria Math" w:hAnsi="Cambria Math"/>
              <w:szCs w:val="18"/>
            </w:rPr>
            <m:t>×100</m:t>
          </m:r>
        </m:oMath>
      </m:oMathPara>
      <w:bookmarkEnd w:id="1"/>
    </w:p>
    <w:p w14:paraId="37531308" w14:textId="77777777" w:rsidR="001C7B3B" w:rsidRPr="00957831" w:rsidRDefault="001C7B3B" w:rsidP="00343388">
      <w:pPr>
        <w:spacing w:after="0" w:line="480" w:lineRule="auto"/>
        <w:jc w:val="both"/>
        <w:rPr>
          <w:rFonts w:ascii="Calibri" w:hAnsi="Calibri"/>
          <w:szCs w:val="18"/>
        </w:rPr>
      </w:pPr>
      <m:oMathPara>
        <m:oMathParaPr>
          <m:jc m:val="left"/>
        </m:oMathParaPr>
        <m:oMath>
          <m:r>
            <w:rPr>
              <w:rFonts w:ascii="Cambria Math" w:hAnsi="Cambria Math"/>
              <w:szCs w:val="18"/>
            </w:rPr>
            <m:t>Soluble</m:t>
          </m:r>
          <m:r>
            <m:rPr>
              <m:sty m:val="p"/>
            </m:rPr>
            <w:rPr>
              <w:rFonts w:ascii="Cambria Math" w:hAnsi="Cambria Math"/>
              <w:szCs w:val="18"/>
            </w:rPr>
            <m:t xml:space="preserve"> (%)   =</m:t>
          </m:r>
          <m:f>
            <m:fPr>
              <m:ctrlPr>
                <w:rPr>
                  <w:rFonts w:ascii="Cambria Math" w:hAnsi="Cambria Math"/>
                  <w:szCs w:val="18"/>
                </w:rPr>
              </m:ctrlPr>
            </m:fPr>
            <m:num>
              <m:r>
                <m:rPr>
                  <m:sty m:val="p"/>
                </m:rPr>
                <w:rPr>
                  <w:rFonts w:ascii="Cambria Math" w:hAnsi="Cambria Math"/>
                  <w:szCs w:val="18"/>
                </w:rPr>
                <m:t xml:space="preserve">  </m:t>
              </m:r>
              <m:sSub>
                <m:sSubPr>
                  <m:ctrlPr>
                    <w:rPr>
                      <w:rFonts w:ascii="Cambria Math" w:hAnsi="Cambria Math"/>
                      <w:szCs w:val="18"/>
                    </w:rPr>
                  </m:ctrlPr>
                </m:sSubPr>
                <m:e>
                  <m:r>
                    <w:rPr>
                      <w:rFonts w:ascii="Cambria Math" w:hAnsi="Cambria Math"/>
                      <w:szCs w:val="18"/>
                    </w:rPr>
                    <m:t>Cu</m:t>
                  </m:r>
                </m:e>
                <m:sub>
                  <m:r>
                    <w:rPr>
                      <w:rFonts w:ascii="Cambria Math" w:hAnsi="Cambria Math"/>
                      <w:szCs w:val="18"/>
                    </w:rPr>
                    <m:t>3Kda</m:t>
                  </m:r>
                </m:sub>
              </m:sSub>
            </m:num>
            <m:den>
              <m:sSub>
                <m:sSubPr>
                  <m:ctrlPr>
                    <w:rPr>
                      <w:rFonts w:ascii="Cambria Math" w:hAnsi="Cambria Math"/>
                      <w:szCs w:val="18"/>
                    </w:rPr>
                  </m:ctrlPr>
                </m:sSubPr>
                <m:e>
                  <m:r>
                    <w:rPr>
                      <w:rFonts w:ascii="Cambria Math" w:hAnsi="Cambria Math"/>
                      <w:szCs w:val="18"/>
                    </w:rPr>
                    <m:t>Cu</m:t>
                  </m:r>
                </m:e>
                <m:sub>
                  <m:r>
                    <w:rPr>
                      <w:rFonts w:ascii="Cambria Math" w:hAnsi="Cambria Math"/>
                      <w:szCs w:val="18"/>
                    </w:rPr>
                    <m:t>Total</m:t>
                  </m:r>
                </m:sub>
              </m:sSub>
            </m:den>
          </m:f>
          <m:r>
            <m:rPr>
              <m:sty m:val="p"/>
            </m:rPr>
            <w:rPr>
              <w:rFonts w:ascii="Cambria Math" w:hAnsi="Cambria Math"/>
              <w:szCs w:val="18"/>
            </w:rPr>
            <m:t>×100</m:t>
          </m:r>
        </m:oMath>
      </m:oMathPara>
    </w:p>
    <w:p w14:paraId="090DEC42" w14:textId="77777777" w:rsidR="001C7B3B" w:rsidRPr="00957831" w:rsidRDefault="001C7B3B" w:rsidP="00343388">
      <w:pPr>
        <w:spacing w:after="0" w:line="480" w:lineRule="auto"/>
        <w:jc w:val="both"/>
        <w:rPr>
          <w:rFonts w:ascii="Calibri" w:hAnsi="Calibri"/>
          <w:szCs w:val="18"/>
        </w:rPr>
      </w:pPr>
      <m:oMathPara>
        <m:oMathParaPr>
          <m:jc m:val="left"/>
        </m:oMathParaPr>
        <m:oMath>
          <m:r>
            <w:rPr>
              <w:rFonts w:ascii="Cambria Math" w:hAnsi="Cambria Math"/>
              <w:szCs w:val="18"/>
            </w:rPr>
            <m:t>Nanoparticulate</m:t>
          </m:r>
          <m:r>
            <m:rPr>
              <m:sty m:val="p"/>
            </m:rPr>
            <w:rPr>
              <w:rFonts w:ascii="Cambria Math" w:hAnsi="Cambria Math"/>
              <w:szCs w:val="18"/>
            </w:rPr>
            <m:t xml:space="preserve"> </m:t>
          </m:r>
          <m:d>
            <m:dPr>
              <m:ctrlPr>
                <w:rPr>
                  <w:rFonts w:ascii="Cambria Math" w:hAnsi="Cambria Math"/>
                  <w:szCs w:val="18"/>
                </w:rPr>
              </m:ctrlPr>
            </m:dPr>
            <m:e>
              <m:r>
                <m:rPr>
                  <m:sty m:val="p"/>
                </m:rPr>
                <w:rPr>
                  <w:rFonts w:ascii="Cambria Math" w:hAnsi="Cambria Math"/>
                  <w:szCs w:val="18"/>
                </w:rPr>
                <m:t>%</m:t>
              </m:r>
            </m:e>
          </m:d>
          <m:r>
            <m:rPr>
              <m:sty m:val="p"/>
            </m:rPr>
            <w:rPr>
              <w:rFonts w:ascii="Cambria Math" w:hAnsi="Cambria Math"/>
              <w:szCs w:val="18"/>
            </w:rPr>
            <m:t>= 100-(</m:t>
          </m:r>
          <m:r>
            <w:rPr>
              <w:rFonts w:ascii="Cambria Math" w:hAnsi="Cambria Math"/>
              <w:szCs w:val="18"/>
            </w:rPr>
            <m:t xml:space="preserve">Soluble </m:t>
          </m:r>
          <m:d>
            <m:dPr>
              <m:ctrlPr>
                <w:rPr>
                  <w:rFonts w:ascii="Cambria Math" w:hAnsi="Cambria Math"/>
                  <w:szCs w:val="18"/>
                </w:rPr>
              </m:ctrlPr>
            </m:dPr>
            <m:e>
              <m:r>
                <m:rPr>
                  <m:sty m:val="p"/>
                </m:rPr>
                <w:rPr>
                  <w:rFonts w:ascii="Cambria Math" w:hAnsi="Cambria Math"/>
                  <w:szCs w:val="18"/>
                </w:rPr>
                <m:t>%</m:t>
              </m:r>
            </m:e>
          </m:d>
          <m:r>
            <m:rPr>
              <m:sty m:val="p"/>
            </m:rPr>
            <w:rPr>
              <w:rFonts w:ascii="Cambria Math" w:hAnsi="Cambria Math"/>
              <w:szCs w:val="18"/>
            </w:rPr>
            <m:t xml:space="preserve">+Agglomerated </m:t>
          </m:r>
          <m:d>
            <m:dPr>
              <m:ctrlPr>
                <w:rPr>
                  <w:rFonts w:ascii="Cambria Math" w:hAnsi="Cambria Math"/>
                  <w:szCs w:val="18"/>
                </w:rPr>
              </m:ctrlPr>
            </m:dPr>
            <m:e>
              <m:r>
                <m:rPr>
                  <m:sty m:val="p"/>
                </m:rPr>
                <w:rPr>
                  <w:rFonts w:ascii="Cambria Math" w:hAnsi="Cambria Math"/>
                  <w:szCs w:val="18"/>
                </w:rPr>
                <m:t>%</m:t>
              </m:r>
            </m:e>
          </m:d>
          <m:r>
            <m:rPr>
              <m:sty m:val="p"/>
            </m:rPr>
            <w:rPr>
              <w:rFonts w:ascii="Cambria Math" w:hAnsi="Cambria Math"/>
              <w:szCs w:val="18"/>
            </w:rPr>
            <m:t>)</m:t>
          </m:r>
        </m:oMath>
      </m:oMathPara>
    </w:p>
    <w:p w14:paraId="762D44FD" w14:textId="77777777" w:rsidR="005F5AF6" w:rsidRPr="005F5AF6" w:rsidRDefault="005F5AF6" w:rsidP="005F5AF6">
      <w:pPr>
        <w:pStyle w:val="ListParagraph"/>
        <w:spacing w:after="240" w:line="480" w:lineRule="auto"/>
        <w:ind w:left="1080"/>
        <w:jc w:val="both"/>
        <w:rPr>
          <w:rFonts w:ascii="Calibri" w:hAnsi="Calibri" w:cstheme="minorHAnsi"/>
          <w:szCs w:val="18"/>
        </w:rPr>
      </w:pPr>
    </w:p>
    <w:p w14:paraId="41BC93C6" w14:textId="77777777" w:rsidR="00D97921" w:rsidRPr="00D97921" w:rsidRDefault="003B5064" w:rsidP="00343388">
      <w:pPr>
        <w:pStyle w:val="ListParagraph"/>
        <w:numPr>
          <w:ilvl w:val="2"/>
          <w:numId w:val="5"/>
        </w:numPr>
        <w:spacing w:after="240" w:line="480" w:lineRule="auto"/>
        <w:jc w:val="both"/>
        <w:outlineLvl w:val="2"/>
        <w:rPr>
          <w:rFonts w:ascii="Calibri" w:hAnsi="Calibri" w:cstheme="minorHAnsi"/>
          <w:szCs w:val="18"/>
        </w:rPr>
      </w:pPr>
      <w:r>
        <w:rPr>
          <w:rFonts w:ascii="Calibri" w:hAnsi="Calibri" w:cstheme="minorHAnsi"/>
          <w:b/>
          <w:szCs w:val="18"/>
        </w:rPr>
        <w:t xml:space="preserve">Soluble and particulate content in </w:t>
      </w:r>
      <w:r w:rsidR="00D97921" w:rsidRPr="00D97921">
        <w:rPr>
          <w:rFonts w:ascii="Calibri" w:hAnsi="Calibri" w:cstheme="minorHAnsi"/>
          <w:b/>
          <w:szCs w:val="18"/>
        </w:rPr>
        <w:t>bacterial medium</w:t>
      </w:r>
    </w:p>
    <w:p w14:paraId="7A7DE220" w14:textId="77777777" w:rsidR="00D97921" w:rsidRDefault="00D97921" w:rsidP="00D97921">
      <w:pPr>
        <w:pStyle w:val="ListParagraph"/>
        <w:spacing w:after="240" w:line="480" w:lineRule="auto"/>
        <w:ind w:left="0"/>
        <w:contextualSpacing w:val="0"/>
        <w:jc w:val="both"/>
        <w:rPr>
          <w:rFonts w:ascii="Calibri" w:hAnsi="Calibri"/>
          <w:szCs w:val="18"/>
        </w:rPr>
      </w:pPr>
      <w:r>
        <w:rPr>
          <w:rFonts w:ascii="Calibri" w:hAnsi="Calibri"/>
          <w:szCs w:val="18"/>
        </w:rPr>
        <w:t>20</w:t>
      </w:r>
      <w:r w:rsidR="005F5AF6">
        <w:rPr>
          <w:rFonts w:ascii="Calibri" w:hAnsi="Calibri"/>
          <w:szCs w:val="18"/>
        </w:rPr>
        <w:t xml:space="preserve"> </w:t>
      </w:r>
      <w:r>
        <w:rPr>
          <w:rFonts w:ascii="Calibri" w:hAnsi="Calibri"/>
          <w:szCs w:val="18"/>
        </w:rPr>
        <w:t>mM coper stocks were diluted in HMM to 12.5, 25 and 50 mg/L copper and incubated overtime at 30</w:t>
      </w:r>
      <w:r w:rsidRPr="00C949A1">
        <w:rPr>
          <w:rFonts w:ascii="Calibri" w:hAnsi="Calibri" w:cstheme="minorHAnsi"/>
          <w:szCs w:val="18"/>
        </w:rPr>
        <w:t>°</w:t>
      </w:r>
      <w:r>
        <w:rPr>
          <w:rFonts w:ascii="Calibri" w:hAnsi="Calibri" w:cstheme="minorHAnsi"/>
          <w:szCs w:val="18"/>
        </w:rPr>
        <w:t>C under constant agitation</w:t>
      </w:r>
      <w:r w:rsidR="00695410">
        <w:rPr>
          <w:rFonts w:ascii="Calibri" w:hAnsi="Calibri" w:cstheme="minorHAnsi"/>
          <w:szCs w:val="18"/>
        </w:rPr>
        <w:t xml:space="preserve"> (80 rpm) </w:t>
      </w:r>
      <w:r>
        <w:rPr>
          <w:rFonts w:ascii="Calibri" w:hAnsi="Calibri" w:cstheme="minorHAnsi"/>
          <w:szCs w:val="18"/>
        </w:rPr>
        <w:t xml:space="preserve">in an </w:t>
      </w:r>
      <w:proofErr w:type="spellStart"/>
      <w:r w:rsidRPr="00D14AA0">
        <w:rPr>
          <w:rFonts w:ascii="Calibri" w:hAnsi="Calibri"/>
          <w:szCs w:val="18"/>
        </w:rPr>
        <w:t>Infors</w:t>
      </w:r>
      <w:proofErr w:type="spellEnd"/>
      <w:r w:rsidRPr="00D14AA0">
        <w:rPr>
          <w:rFonts w:ascii="Calibri" w:hAnsi="Calibri"/>
          <w:szCs w:val="18"/>
        </w:rPr>
        <w:t xml:space="preserve"> HT </w:t>
      </w:r>
      <w:proofErr w:type="spellStart"/>
      <w:r w:rsidRPr="00D14AA0">
        <w:rPr>
          <w:rFonts w:ascii="Calibri" w:hAnsi="Calibri"/>
          <w:szCs w:val="18"/>
        </w:rPr>
        <w:t>Minitron</w:t>
      </w:r>
      <w:proofErr w:type="spellEnd"/>
      <w:r w:rsidRPr="00D14AA0">
        <w:rPr>
          <w:rFonts w:ascii="Calibri" w:hAnsi="Calibri"/>
          <w:szCs w:val="18"/>
        </w:rPr>
        <w:t xml:space="preserve"> incubator</w:t>
      </w:r>
      <w:r>
        <w:rPr>
          <w:rFonts w:ascii="Calibri" w:hAnsi="Calibri"/>
          <w:szCs w:val="18"/>
        </w:rPr>
        <w:t xml:space="preserve">. Samples were collected overtime for elemental analysis as described in 2.2.2. </w:t>
      </w:r>
      <w:r w:rsidR="00957831">
        <w:rPr>
          <w:rFonts w:ascii="Calibri" w:hAnsi="Calibri"/>
          <w:szCs w:val="18"/>
        </w:rPr>
        <w:t xml:space="preserve">Soluble copper content </w:t>
      </w:r>
      <w:r>
        <w:rPr>
          <w:rFonts w:ascii="Calibri" w:hAnsi="Calibri"/>
          <w:szCs w:val="18"/>
        </w:rPr>
        <w:t>was defined as low molecular weight copper that passed through a 3KDa filter (Cu</w:t>
      </w:r>
      <w:r w:rsidRPr="005745CB">
        <w:rPr>
          <w:rFonts w:ascii="Calibri" w:hAnsi="Calibri"/>
          <w:szCs w:val="18"/>
          <w:vertAlign w:val="subscript"/>
        </w:rPr>
        <w:t>3kDa</w:t>
      </w:r>
      <w:r>
        <w:rPr>
          <w:rFonts w:ascii="Calibri" w:hAnsi="Calibri"/>
          <w:szCs w:val="18"/>
        </w:rPr>
        <w:t>)</w:t>
      </w:r>
      <w:r w:rsidR="00693B32">
        <w:rPr>
          <w:rFonts w:ascii="Calibri" w:hAnsi="Calibri"/>
          <w:szCs w:val="18"/>
        </w:rPr>
        <w:t>, whilst the remaining copper was considered particulate (</w:t>
      </w:r>
      <w:proofErr w:type="spellStart"/>
      <w:r w:rsidR="00693B32">
        <w:rPr>
          <w:rFonts w:ascii="Calibri" w:hAnsi="Calibri"/>
          <w:szCs w:val="18"/>
        </w:rPr>
        <w:t>Cu</w:t>
      </w:r>
      <w:r w:rsidR="00693B32">
        <w:rPr>
          <w:rFonts w:ascii="Calibri" w:hAnsi="Calibri"/>
          <w:szCs w:val="18"/>
          <w:vertAlign w:val="subscript"/>
        </w:rPr>
        <w:t>Total</w:t>
      </w:r>
      <w:proofErr w:type="spellEnd"/>
      <w:r w:rsidR="00693B32">
        <w:rPr>
          <w:rFonts w:ascii="Calibri" w:hAnsi="Calibri"/>
          <w:szCs w:val="18"/>
        </w:rPr>
        <w:t xml:space="preserve"> – Cu</w:t>
      </w:r>
      <w:r w:rsidR="00693B32" w:rsidRPr="005745CB">
        <w:rPr>
          <w:rFonts w:ascii="Calibri" w:hAnsi="Calibri"/>
          <w:szCs w:val="18"/>
          <w:vertAlign w:val="subscript"/>
        </w:rPr>
        <w:t>3kDa</w:t>
      </w:r>
      <w:r w:rsidR="00693B32">
        <w:rPr>
          <w:rFonts w:ascii="Calibri" w:hAnsi="Calibri"/>
          <w:szCs w:val="18"/>
        </w:rPr>
        <w:t>).</w:t>
      </w:r>
      <w:r w:rsidR="007E68AC">
        <w:rPr>
          <w:rFonts w:ascii="Calibri" w:hAnsi="Calibri"/>
          <w:szCs w:val="18"/>
        </w:rPr>
        <w:t xml:space="preserve"> </w:t>
      </w:r>
    </w:p>
    <w:p w14:paraId="4A58E59A" w14:textId="77777777" w:rsidR="002B7242" w:rsidRPr="00D97921" w:rsidRDefault="00D97921" w:rsidP="006518B6">
      <w:pPr>
        <w:pStyle w:val="ListParagraph"/>
        <w:numPr>
          <w:ilvl w:val="2"/>
          <w:numId w:val="5"/>
        </w:numPr>
        <w:spacing w:before="240" w:after="0" w:line="480" w:lineRule="auto"/>
        <w:ind w:hanging="513"/>
        <w:jc w:val="both"/>
        <w:outlineLvl w:val="2"/>
        <w:rPr>
          <w:rFonts w:ascii="Calibri" w:hAnsi="Calibri"/>
          <w:b/>
          <w:szCs w:val="18"/>
        </w:rPr>
      </w:pPr>
      <w:r>
        <w:rPr>
          <w:rFonts w:ascii="Calibri" w:hAnsi="Calibri"/>
          <w:b/>
          <w:szCs w:val="18"/>
        </w:rPr>
        <w:t xml:space="preserve"> </w:t>
      </w:r>
      <w:r w:rsidR="002B7242" w:rsidRPr="00D97921">
        <w:rPr>
          <w:rFonts w:ascii="Calibri" w:hAnsi="Calibri"/>
          <w:b/>
          <w:szCs w:val="18"/>
        </w:rPr>
        <w:t>Zeta Potential Measurements</w:t>
      </w:r>
    </w:p>
    <w:p w14:paraId="4F6D2813" w14:textId="3C81E4A3" w:rsidR="00FC001A" w:rsidRDefault="002B7242" w:rsidP="00FC001A">
      <w:pPr>
        <w:spacing w:after="240" w:line="480" w:lineRule="auto"/>
        <w:jc w:val="both"/>
        <w:rPr>
          <w:rFonts w:ascii="Calibri" w:hAnsi="Calibri" w:cstheme="minorHAnsi"/>
          <w:szCs w:val="18"/>
        </w:rPr>
      </w:pPr>
      <w:r>
        <w:t xml:space="preserve">The zeta potential of copper </w:t>
      </w:r>
      <w:r w:rsidR="00232896">
        <w:t>particles stocks</w:t>
      </w:r>
      <w:r>
        <w:t xml:space="preserve"> was determined by </w:t>
      </w:r>
      <w:r w:rsidRPr="00D645BC">
        <w:t>Laser Doppler Micro-electrophoresis</w:t>
      </w:r>
      <w:r>
        <w:t xml:space="preserve"> (</w:t>
      </w:r>
      <w:proofErr w:type="spellStart"/>
      <w:r>
        <w:t>Zetasizer</w:t>
      </w:r>
      <w:proofErr w:type="spellEnd"/>
      <w:r>
        <w:t xml:space="preserve"> </w:t>
      </w:r>
      <w:proofErr w:type="spellStart"/>
      <w:r>
        <w:t>NanoZS</w:t>
      </w:r>
      <w:proofErr w:type="spellEnd"/>
      <w:r>
        <w:t xml:space="preserve">, </w:t>
      </w:r>
      <w:r w:rsidRPr="00D645BC">
        <w:t>Malvern Instruments</w:t>
      </w:r>
      <w:r>
        <w:t xml:space="preserve"> Ltd</w:t>
      </w:r>
      <w:r w:rsidR="00957831">
        <w:t>, UK</w:t>
      </w:r>
      <w:r>
        <w:t>) using disposable folded capillary cells (DTS1070) and</w:t>
      </w:r>
      <w:r w:rsidRPr="00D35C63">
        <w:t xml:space="preserve"> </w:t>
      </w:r>
      <w:r>
        <w:t xml:space="preserve">assuming a </w:t>
      </w:r>
      <w:r w:rsidRPr="00D645BC">
        <w:t>dielectric constant o</w:t>
      </w:r>
      <w:r>
        <w:t xml:space="preserve">f 78.5 and a viscosity of 0.89cP. </w:t>
      </w:r>
      <w:r w:rsidR="00653AF8">
        <w:rPr>
          <w:rFonts w:ascii="Calibri" w:hAnsi="Calibri" w:cstheme="minorHAnsi"/>
          <w:szCs w:val="18"/>
        </w:rPr>
        <w:t>Cells were carefully filled with copper particle suspensions using a syringe to avoid air bubbles</w:t>
      </w:r>
      <w:r w:rsidR="00695410">
        <w:rPr>
          <w:rFonts w:ascii="Calibri" w:hAnsi="Calibri" w:cstheme="minorHAnsi"/>
          <w:szCs w:val="18"/>
        </w:rPr>
        <w:t>, and analysis carried out as per standard guidelines of the instrument manufacturer</w:t>
      </w:r>
      <w:r w:rsidR="003A2F1F">
        <w:rPr>
          <w:rFonts w:ascii="Calibri" w:hAnsi="Calibri" w:cstheme="minorHAnsi"/>
          <w:szCs w:val="18"/>
        </w:rPr>
        <w:t>.</w:t>
      </w:r>
    </w:p>
    <w:p w14:paraId="29A746A8" w14:textId="09EC302D" w:rsidR="006B7EC0" w:rsidRPr="00FC001A" w:rsidRDefault="006B7EC0" w:rsidP="00343388">
      <w:pPr>
        <w:pStyle w:val="ListParagraph"/>
        <w:keepNext/>
        <w:keepLines/>
        <w:numPr>
          <w:ilvl w:val="1"/>
          <w:numId w:val="5"/>
        </w:numPr>
        <w:tabs>
          <w:tab w:val="left" w:pos="3165"/>
        </w:tabs>
        <w:spacing w:before="120" w:after="0" w:line="480" w:lineRule="auto"/>
        <w:jc w:val="both"/>
        <w:outlineLvl w:val="1"/>
        <w:rPr>
          <w:rFonts w:eastAsiaTheme="majorEastAsia" w:cstheme="majorBidi"/>
          <w:b/>
          <w:iCs/>
          <w:szCs w:val="18"/>
        </w:rPr>
      </w:pPr>
      <w:r w:rsidRPr="00FC001A">
        <w:rPr>
          <w:rFonts w:eastAsiaTheme="majorEastAsia" w:cstheme="majorBidi"/>
          <w:b/>
          <w:iCs/>
          <w:szCs w:val="18"/>
        </w:rPr>
        <w:t>Anti</w:t>
      </w:r>
      <w:r w:rsidR="00ED1685">
        <w:rPr>
          <w:rFonts w:eastAsiaTheme="majorEastAsia" w:cstheme="majorBidi"/>
          <w:b/>
          <w:iCs/>
          <w:szCs w:val="18"/>
        </w:rPr>
        <w:t>bacterial</w:t>
      </w:r>
      <w:r w:rsidRPr="00FC001A">
        <w:rPr>
          <w:rFonts w:eastAsiaTheme="majorEastAsia" w:cstheme="majorBidi"/>
          <w:b/>
          <w:iCs/>
          <w:szCs w:val="18"/>
        </w:rPr>
        <w:t xml:space="preserve"> activity of copper </w:t>
      </w:r>
      <w:r w:rsidR="0009206B">
        <w:rPr>
          <w:rFonts w:eastAsiaTheme="majorEastAsia" w:cstheme="majorBidi"/>
          <w:b/>
          <w:iCs/>
          <w:szCs w:val="18"/>
        </w:rPr>
        <w:t>material</w:t>
      </w:r>
      <w:r w:rsidRPr="00FC001A">
        <w:rPr>
          <w:rFonts w:eastAsiaTheme="majorEastAsia" w:cstheme="majorBidi"/>
          <w:b/>
          <w:iCs/>
          <w:szCs w:val="18"/>
        </w:rPr>
        <w:t xml:space="preserve">s </w:t>
      </w:r>
    </w:p>
    <w:p w14:paraId="114E6823" w14:textId="0C493AC4" w:rsidR="006B7EC0" w:rsidRDefault="003F03A7" w:rsidP="00343388">
      <w:pPr>
        <w:spacing w:after="0" w:line="480" w:lineRule="auto"/>
        <w:jc w:val="both"/>
        <w:rPr>
          <w:rFonts w:ascii="Calibri" w:hAnsi="Calibri"/>
          <w:szCs w:val="18"/>
        </w:rPr>
      </w:pPr>
      <w:r w:rsidRPr="000D3B4E">
        <w:rPr>
          <w:rFonts w:ascii="Calibri" w:hAnsi="Calibri"/>
          <w:szCs w:val="18"/>
        </w:rPr>
        <w:t xml:space="preserve">Antibacterial activity of copper </w:t>
      </w:r>
      <w:r w:rsidR="0009206B" w:rsidRPr="000D3B4E">
        <w:rPr>
          <w:rFonts w:ascii="Calibri" w:hAnsi="Calibri"/>
          <w:szCs w:val="18"/>
        </w:rPr>
        <w:t>material</w:t>
      </w:r>
      <w:r w:rsidRPr="000D3B4E">
        <w:rPr>
          <w:rFonts w:ascii="Calibri" w:hAnsi="Calibri"/>
          <w:szCs w:val="18"/>
        </w:rPr>
        <w:t xml:space="preserve">s was </w:t>
      </w:r>
      <w:r w:rsidR="0000693D" w:rsidRPr="000D3B4E">
        <w:rPr>
          <w:rFonts w:ascii="Calibri" w:hAnsi="Calibri"/>
          <w:szCs w:val="18"/>
        </w:rPr>
        <w:t xml:space="preserve">assessed </w:t>
      </w:r>
      <w:r w:rsidRPr="000D3B4E">
        <w:rPr>
          <w:rFonts w:ascii="Calibri" w:hAnsi="Calibri"/>
          <w:szCs w:val="18"/>
        </w:rPr>
        <w:t>using a</w:t>
      </w:r>
      <w:r w:rsidR="003D6C11" w:rsidRPr="000D3B4E">
        <w:rPr>
          <w:rFonts w:ascii="Calibri" w:hAnsi="Calibri"/>
          <w:szCs w:val="18"/>
        </w:rPr>
        <w:t xml:space="preserve"> </w:t>
      </w:r>
      <w:r w:rsidR="003800A8" w:rsidRPr="000D3B4E">
        <w:rPr>
          <w:rFonts w:ascii="Calibri" w:hAnsi="Calibri"/>
          <w:szCs w:val="18"/>
        </w:rPr>
        <w:t>broth microdilution assay</w:t>
      </w:r>
      <w:r w:rsidR="006B69B6" w:rsidRPr="000D3B4E">
        <w:rPr>
          <w:rFonts w:ascii="Calibri" w:hAnsi="Calibri"/>
          <w:szCs w:val="18"/>
        </w:rPr>
        <w:t xml:space="preserve"> which is</w:t>
      </w:r>
      <w:r w:rsidR="00CF1C1D" w:rsidRPr="000D3B4E">
        <w:rPr>
          <w:rFonts w:ascii="Calibri" w:hAnsi="Calibri"/>
          <w:szCs w:val="18"/>
        </w:rPr>
        <w:t xml:space="preserve"> </w:t>
      </w:r>
      <w:r w:rsidR="006B69B6" w:rsidRPr="000D3B4E">
        <w:rPr>
          <w:rFonts w:ascii="Calibri" w:hAnsi="Calibri"/>
          <w:szCs w:val="18"/>
        </w:rPr>
        <w:t>a standard approach for</w:t>
      </w:r>
      <w:r w:rsidR="00CF1C1D" w:rsidRPr="000D3B4E">
        <w:rPr>
          <w:rFonts w:ascii="Calibri" w:hAnsi="Calibri"/>
          <w:szCs w:val="18"/>
        </w:rPr>
        <w:t xml:space="preserve"> </w:t>
      </w:r>
      <w:r w:rsidR="00382200" w:rsidRPr="000D3B4E">
        <w:rPr>
          <w:rFonts w:ascii="Calibri" w:hAnsi="Calibri"/>
          <w:szCs w:val="18"/>
        </w:rPr>
        <w:t>antimicrobial susceptibility testing</w:t>
      </w:r>
      <w:r w:rsidR="00CF1C1D" w:rsidRPr="000D3B4E">
        <w:rPr>
          <w:rFonts w:ascii="Calibri" w:hAnsi="Calibri"/>
          <w:szCs w:val="18"/>
        </w:rPr>
        <w:t xml:space="preserve"> </w:t>
      </w:r>
      <w:r w:rsidR="006B69B6" w:rsidRPr="000D3B4E">
        <w:rPr>
          <w:rFonts w:ascii="Calibri" w:hAnsi="Calibri"/>
          <w:szCs w:val="18"/>
        </w:rPr>
        <w:t xml:space="preserve">in solution </w:t>
      </w:r>
      <w:r w:rsidR="00323462" w:rsidRPr="000D3B4E">
        <w:rPr>
          <w:rFonts w:ascii="Calibri" w:hAnsi="Calibri"/>
          <w:szCs w:val="18"/>
        </w:rPr>
        <w:fldChar w:fldCharType="begin" w:fldLock="1"/>
      </w:r>
      <w:r w:rsidR="00FB5C54" w:rsidRPr="000D3B4E">
        <w:rPr>
          <w:rFonts w:ascii="Calibri" w:hAnsi="Calibri"/>
          <w:szCs w:val="18"/>
        </w:rPr>
        <w:instrText>ADDIN CSL_CITATION {"citationItems":[{"id":"ITEM-1","itemData":{"DOI":"10.1086/647952","ISSN":"1058-4838","abstract":"An important task of the clinical microbiology laboratory is the performance of antimicrobial susceptibility testing of significant bacterial isolates. The goals of testing are to detect possible drug resistance in common pathogens and to assure susceptibility to drugs of choice for particular infections. The most widely used testing methods include broth microdilution or rapid automated instrument methods that use commercially marketed materials and devices. Manual methods that provide flexibility and possible cost savings include the disk diffusion and gradient diffusion methods. Each method has strengths and weaknesses, including organisms that may be accurately tested by the method. Some methods provide quantitative results (eg, minimum inhibitory concentration), and all provide qualitative assessments using the categories susceptible, intermediate, or resistant. In general, current testing methods provide accurate detection of common antimicrobial resistance mechanisms. However, newer or emerging mechanisms of resistance require constant vigilance regarding the ability of each test method to accurately detect resistance.","author":[{"dropping-particle":"","family":"Reller","given":"L Barth","non-dropping-particle":"","parse-names":false,"suffix":""},{"dropping-particle":"","family":"Weinstein","given":"Melvin","non-dropping-particle":"","parse-names":false,"suffix":""},{"dropping-particle":"","family":"Jorgensen","given":"James H","non-dropping-particle":"","parse-names":false,"suffix":""},{"dropping-particle":"","family":"Ferraro","given":"Mary Jane","non-dropping-particle":"","parse-names":false,"suffix":""}],"container-title":"Clinical Infectious Diseases","id":"ITEM-1","issue":"11","issued":{"date-parts":[["2009","12","1"]]},"page":"1749-1755","title":"Antimicrobial Susceptibility Testing: A Review of General Principles and Contemporary Practices","type":"article-journal","volume":"49"},"uris":["http://www.mendeley.com/documents/?uuid=c0f858c7-03d5-4cfd-9319-d32818bf1b83"]},{"id":"ITEM-2","itemData":{"DOI":"10.1046/j.1469-0691.2003.00790.x","ISSN":"1198-743X","author":[{"dropping-particle":"","family":"ESCMID","given":"","non-dropping-particle":"","parse-names":false,"suffix":""}],"container-title":"Clinical Microbiology and Infection","id":"ITEM-2","issue":"8","issued":{"date-parts":[["2003","8","1"]]},"note":"doi: 10.1046/j.1469-0691.2003.00790.x","page":"ix-xv","publisher":"John Wiley &amp; Sons, Ltd (10.1111)","title":"Determination of minimum inhibitory concentrations (MICs) of antibacterial agents by broth dilution, by European Committee for Antimicrobial Susceptibility Testing (EUCAST) of the European Society of Clinical Microbiology and Infectious Diseases","type":"article-journal","volume":"9"},"uris":["http://www.mendeley.com/documents/?uuid=a6b83d34-9e2c-44ba-b9f1-b5c3dab0d4a4"]}],"mendeley":{"formattedCitation":"(ESCMID, 2003; Reller et al., 2009)","plainTextFormattedCitation":"(ESCMID, 2003; Reller et al., 2009)","previouslyFormattedCitation":"(ESCMID, 2003; Reller et al., 2009)"},"properties":{"noteIndex":0},"schema":"https://github.com/citation-style-language/schema/raw/master/csl-citation.json"}</w:instrText>
      </w:r>
      <w:r w:rsidR="00323462" w:rsidRPr="000D3B4E">
        <w:rPr>
          <w:rFonts w:ascii="Calibri" w:hAnsi="Calibri"/>
          <w:szCs w:val="18"/>
        </w:rPr>
        <w:fldChar w:fldCharType="separate"/>
      </w:r>
      <w:r w:rsidR="00FB5C54" w:rsidRPr="000D3B4E">
        <w:rPr>
          <w:rFonts w:ascii="Calibri" w:hAnsi="Calibri"/>
          <w:noProof/>
          <w:szCs w:val="18"/>
        </w:rPr>
        <w:t>(ESCMID, 2003; Reller et al., 2009)</w:t>
      </w:r>
      <w:r w:rsidR="00323462" w:rsidRPr="000D3B4E">
        <w:rPr>
          <w:rFonts w:ascii="Calibri" w:hAnsi="Calibri"/>
          <w:szCs w:val="18"/>
        </w:rPr>
        <w:fldChar w:fldCharType="end"/>
      </w:r>
      <w:r w:rsidR="002C6F1B" w:rsidRPr="000D3B4E">
        <w:rPr>
          <w:rFonts w:ascii="Calibri" w:hAnsi="Calibri"/>
          <w:szCs w:val="18"/>
        </w:rPr>
        <w:t xml:space="preserve">. </w:t>
      </w:r>
      <w:r w:rsidR="00BD5109" w:rsidRPr="000D3B4E">
        <w:rPr>
          <w:rFonts w:ascii="Calibri" w:hAnsi="Calibri"/>
          <w:szCs w:val="18"/>
        </w:rPr>
        <w:t>The assay</w:t>
      </w:r>
      <w:r w:rsidR="00382200" w:rsidRPr="000D3B4E">
        <w:rPr>
          <w:rFonts w:ascii="Calibri" w:hAnsi="Calibri"/>
          <w:szCs w:val="18"/>
        </w:rPr>
        <w:t>s</w:t>
      </w:r>
      <w:r w:rsidR="00BD5109" w:rsidRPr="000D3B4E">
        <w:rPr>
          <w:rFonts w:ascii="Calibri" w:hAnsi="Calibri"/>
          <w:szCs w:val="18"/>
        </w:rPr>
        <w:t xml:space="preserve"> were carried out using</w:t>
      </w:r>
      <w:r w:rsidR="00AB5B1F" w:rsidRPr="000D3B4E">
        <w:rPr>
          <w:rFonts w:ascii="Calibri" w:hAnsi="Calibri"/>
          <w:szCs w:val="18"/>
        </w:rPr>
        <w:t xml:space="preserve"> </w:t>
      </w:r>
      <w:r w:rsidR="0000693D" w:rsidRPr="000D3B4E">
        <w:rPr>
          <w:rFonts w:ascii="Calibri" w:hAnsi="Calibri"/>
          <w:szCs w:val="18"/>
        </w:rPr>
        <w:t>starting bacterial load</w:t>
      </w:r>
      <w:r w:rsidR="00AB5B1F" w:rsidRPr="000D3B4E">
        <w:rPr>
          <w:rFonts w:ascii="Calibri" w:hAnsi="Calibri"/>
          <w:szCs w:val="18"/>
        </w:rPr>
        <w:t>s</w:t>
      </w:r>
      <w:r w:rsidR="00BD5109" w:rsidRPr="000D3B4E">
        <w:rPr>
          <w:rFonts w:ascii="Calibri" w:hAnsi="Calibri"/>
          <w:szCs w:val="18"/>
        </w:rPr>
        <w:t xml:space="preserve"> </w:t>
      </w:r>
      <w:r w:rsidR="006B69B6" w:rsidRPr="000D3B4E">
        <w:rPr>
          <w:rFonts w:ascii="Calibri" w:hAnsi="Calibri"/>
          <w:szCs w:val="18"/>
        </w:rPr>
        <w:t>of</w:t>
      </w:r>
      <w:r w:rsidR="00AB5B1F" w:rsidRPr="000D3B4E">
        <w:rPr>
          <w:rFonts w:ascii="Calibri" w:hAnsi="Calibri"/>
          <w:szCs w:val="18"/>
        </w:rPr>
        <w:t xml:space="preserve"> </w:t>
      </w:r>
      <w:r w:rsidR="00D10BA8" w:rsidRPr="000D3B4E">
        <w:rPr>
          <w:rFonts w:ascii="Calibri" w:hAnsi="Calibri"/>
          <w:i/>
          <w:szCs w:val="18"/>
        </w:rPr>
        <w:t>ca</w:t>
      </w:r>
      <w:r w:rsidR="00D10BA8" w:rsidRPr="000D3B4E">
        <w:rPr>
          <w:rFonts w:ascii="Calibri" w:hAnsi="Calibri"/>
          <w:szCs w:val="18"/>
        </w:rPr>
        <w:t xml:space="preserve">. </w:t>
      </w:r>
      <w:r w:rsidR="00BD5109" w:rsidRPr="000D3B4E">
        <w:rPr>
          <w:rFonts w:ascii="Calibri" w:hAnsi="Calibri"/>
          <w:szCs w:val="18"/>
        </w:rPr>
        <w:t>10</w:t>
      </w:r>
      <w:r w:rsidR="00BD5109" w:rsidRPr="000D3B4E">
        <w:rPr>
          <w:rFonts w:ascii="Calibri" w:hAnsi="Calibri"/>
          <w:szCs w:val="18"/>
          <w:vertAlign w:val="superscript"/>
        </w:rPr>
        <w:t>6</w:t>
      </w:r>
      <w:r w:rsidR="00BD5109" w:rsidRPr="000D3B4E">
        <w:rPr>
          <w:rFonts w:ascii="Calibri" w:hAnsi="Calibri"/>
          <w:szCs w:val="18"/>
        </w:rPr>
        <w:t xml:space="preserve"> CFU/ml</w:t>
      </w:r>
      <w:r w:rsidR="00E91ABD" w:rsidRPr="000D3B4E">
        <w:rPr>
          <w:rFonts w:ascii="Calibri" w:hAnsi="Calibri"/>
          <w:szCs w:val="18"/>
        </w:rPr>
        <w:t xml:space="preserve">, </w:t>
      </w:r>
      <w:r w:rsidR="0009206B" w:rsidRPr="000D3B4E">
        <w:rPr>
          <w:rFonts w:ascii="Calibri" w:hAnsi="Calibri"/>
          <w:szCs w:val="18"/>
        </w:rPr>
        <w:t xml:space="preserve">which is the </w:t>
      </w:r>
      <w:r w:rsidR="00F02405" w:rsidRPr="000D3B4E">
        <w:rPr>
          <w:rFonts w:cs="Segoe UI"/>
          <w:color w:val="201F1E"/>
          <w:shd w:val="clear" w:color="auto" w:fill="FFFFFF"/>
        </w:rPr>
        <w:lastRenderedPageBreak/>
        <w:t>minimum quantifiable by optical density (OD</w:t>
      </w:r>
      <w:r w:rsidR="000D3B4E" w:rsidRPr="000D3B4E">
        <w:rPr>
          <w:rFonts w:cs="Segoe UI"/>
          <w:color w:val="201F1E"/>
          <w:shd w:val="clear" w:color="auto" w:fill="FFFFFF"/>
        </w:rPr>
        <w:t>595</w:t>
      </w:r>
      <w:r w:rsidR="00F02405" w:rsidRPr="000D3B4E">
        <w:rPr>
          <w:rFonts w:cs="Segoe UI"/>
          <w:color w:val="201F1E"/>
          <w:shd w:val="clear" w:color="auto" w:fill="FFFFFF"/>
        </w:rPr>
        <w:t>nm = 0.05-0.1)</w:t>
      </w:r>
      <w:r w:rsidR="0009206B" w:rsidRPr="000D3B4E">
        <w:rPr>
          <w:rFonts w:cs="Segoe UI"/>
          <w:color w:val="201F1E"/>
          <w:shd w:val="clear" w:color="auto" w:fill="FFFFFF"/>
        </w:rPr>
        <w:t xml:space="preserve"> allowing</w:t>
      </w:r>
      <w:r w:rsidR="00F02405" w:rsidRPr="000D3B4E">
        <w:rPr>
          <w:rFonts w:cs="Segoe UI"/>
          <w:color w:val="201F1E"/>
          <w:shd w:val="clear" w:color="auto" w:fill="FFFFFF"/>
        </w:rPr>
        <w:t xml:space="preserve"> bacterial growth </w:t>
      </w:r>
      <w:r w:rsidR="0009206B" w:rsidRPr="000D3B4E">
        <w:rPr>
          <w:rFonts w:cs="Segoe UI"/>
          <w:color w:val="201F1E"/>
          <w:shd w:val="clear" w:color="auto" w:fill="FFFFFF"/>
        </w:rPr>
        <w:t>to</w:t>
      </w:r>
      <w:r w:rsidR="00F02405" w:rsidRPr="000D3B4E">
        <w:rPr>
          <w:rFonts w:cs="Segoe UI"/>
          <w:color w:val="201F1E"/>
          <w:shd w:val="clear" w:color="auto" w:fill="FFFFFF"/>
        </w:rPr>
        <w:t xml:space="preserve"> be followed over time and, </w:t>
      </w:r>
      <w:r w:rsidR="0009206B" w:rsidRPr="000D3B4E">
        <w:rPr>
          <w:rFonts w:cs="Segoe UI"/>
          <w:color w:val="201F1E"/>
          <w:shd w:val="clear" w:color="auto" w:fill="FFFFFF"/>
        </w:rPr>
        <w:t>therefore</w:t>
      </w:r>
      <w:r w:rsidR="00F02405" w:rsidRPr="000D3B4E">
        <w:rPr>
          <w:rFonts w:cs="Segoe UI"/>
          <w:color w:val="201F1E"/>
          <w:shd w:val="clear" w:color="auto" w:fill="FFFFFF"/>
        </w:rPr>
        <w:t xml:space="preserve">, copper effects </w:t>
      </w:r>
      <w:r w:rsidR="0009206B" w:rsidRPr="000D3B4E">
        <w:rPr>
          <w:rFonts w:cs="Segoe UI"/>
          <w:color w:val="201F1E"/>
          <w:shd w:val="clear" w:color="auto" w:fill="FFFFFF"/>
        </w:rPr>
        <w:t>to be assayed quantitatively.</w:t>
      </w:r>
      <w:r w:rsidR="00382200" w:rsidRPr="000D3B4E">
        <w:rPr>
          <w:szCs w:val="18"/>
        </w:rPr>
        <w:t xml:space="preserve"> </w:t>
      </w:r>
      <w:r w:rsidR="00E91ABD" w:rsidRPr="000D3B4E">
        <w:rPr>
          <w:szCs w:val="18"/>
        </w:rPr>
        <w:t>C</w:t>
      </w:r>
      <w:r w:rsidRPr="000D3B4E">
        <w:rPr>
          <w:szCs w:val="18"/>
        </w:rPr>
        <w:t>opper speci</w:t>
      </w:r>
      <w:r w:rsidRPr="0009206B">
        <w:rPr>
          <w:szCs w:val="18"/>
        </w:rPr>
        <w:t>ation and bacterial growth</w:t>
      </w:r>
      <w:r w:rsidR="006B69B6" w:rsidRPr="0009206B">
        <w:rPr>
          <w:szCs w:val="18"/>
        </w:rPr>
        <w:t xml:space="preserve"> were</w:t>
      </w:r>
      <w:r w:rsidR="00382200" w:rsidRPr="0009206B">
        <w:rPr>
          <w:szCs w:val="18"/>
        </w:rPr>
        <w:t xml:space="preserve"> followed over time</w:t>
      </w:r>
      <w:r w:rsidRPr="0009206B">
        <w:rPr>
          <w:szCs w:val="18"/>
        </w:rPr>
        <w:t>.</w:t>
      </w:r>
      <w:r w:rsidR="00382200">
        <w:rPr>
          <w:rFonts w:ascii="Calibri" w:hAnsi="Calibri"/>
          <w:szCs w:val="18"/>
        </w:rPr>
        <w:t xml:space="preserve"> </w:t>
      </w:r>
      <w:r w:rsidR="00D10BA8">
        <w:rPr>
          <w:rFonts w:ascii="Calibri" w:hAnsi="Calibri"/>
          <w:szCs w:val="18"/>
        </w:rPr>
        <w:t xml:space="preserve">For this, </w:t>
      </w:r>
      <w:r w:rsidR="00442DD7" w:rsidRPr="00E67A66">
        <w:rPr>
          <w:rFonts w:ascii="Calibri" w:hAnsi="Calibri"/>
          <w:i/>
          <w:szCs w:val="18"/>
        </w:rPr>
        <w:t>Escherichia coli</w:t>
      </w:r>
      <w:r w:rsidR="00442DD7" w:rsidRPr="00E67A66">
        <w:rPr>
          <w:rFonts w:ascii="Calibri" w:hAnsi="Calibri"/>
          <w:szCs w:val="18"/>
        </w:rPr>
        <w:t xml:space="preserve"> (NCTC11100) cultures were grown </w:t>
      </w:r>
      <w:r w:rsidR="006B7EC0" w:rsidRPr="00E67A66">
        <w:rPr>
          <w:rFonts w:ascii="Calibri" w:hAnsi="Calibri"/>
          <w:szCs w:val="18"/>
        </w:rPr>
        <w:t>in HMM</w:t>
      </w:r>
      <w:r w:rsidR="00343388">
        <w:rPr>
          <w:rFonts w:ascii="Calibri" w:hAnsi="Calibri"/>
          <w:szCs w:val="18"/>
        </w:rPr>
        <w:t xml:space="preserve"> </w:t>
      </w:r>
      <w:r w:rsidR="00343388" w:rsidRPr="00E67A66">
        <w:rPr>
          <w:rFonts w:ascii="Calibri" w:hAnsi="Calibri"/>
          <w:szCs w:val="18"/>
        </w:rPr>
        <w:t>(</w:t>
      </w:r>
      <w:r w:rsidR="00343388">
        <w:rPr>
          <w:rFonts w:ascii="Calibri" w:hAnsi="Calibri"/>
          <w:szCs w:val="18"/>
        </w:rPr>
        <w:t>full</w:t>
      </w:r>
      <w:r w:rsidR="00343388" w:rsidRPr="00844BEB">
        <w:rPr>
          <w:rFonts w:ascii="Calibri" w:hAnsi="Calibri"/>
          <w:szCs w:val="18"/>
        </w:rPr>
        <w:t xml:space="preserve"> composition </w:t>
      </w:r>
      <w:r w:rsidR="00343388" w:rsidRPr="00C7774A">
        <w:rPr>
          <w:rFonts w:ascii="Calibri" w:hAnsi="Calibri"/>
          <w:szCs w:val="18"/>
        </w:rPr>
        <w:t xml:space="preserve">in Appendix </w:t>
      </w:r>
      <w:r w:rsidR="00343388">
        <w:rPr>
          <w:rFonts w:ascii="Calibri" w:hAnsi="Calibri"/>
          <w:szCs w:val="18"/>
        </w:rPr>
        <w:t>B</w:t>
      </w:r>
      <w:r w:rsidR="00343388" w:rsidRPr="00C7774A">
        <w:rPr>
          <w:rFonts w:ascii="Calibri" w:hAnsi="Calibri"/>
          <w:szCs w:val="18"/>
        </w:rPr>
        <w:t>)</w:t>
      </w:r>
      <w:r w:rsidR="006B7EC0" w:rsidRPr="00E67A66">
        <w:rPr>
          <w:rFonts w:ascii="Calibri" w:hAnsi="Calibri"/>
          <w:szCs w:val="18"/>
        </w:rPr>
        <w:t xml:space="preserve">, </w:t>
      </w:r>
      <w:r w:rsidR="00460E8D" w:rsidRPr="00E67A66">
        <w:rPr>
          <w:rFonts w:ascii="Calibri" w:hAnsi="Calibri"/>
          <w:szCs w:val="18"/>
        </w:rPr>
        <w:t xml:space="preserve">a </w:t>
      </w:r>
      <w:r w:rsidR="004C52D9" w:rsidRPr="00E67A66">
        <w:rPr>
          <w:rFonts w:ascii="Calibri" w:hAnsi="Calibri"/>
          <w:szCs w:val="18"/>
        </w:rPr>
        <w:t>defined</w:t>
      </w:r>
      <w:r w:rsidR="00460E8D" w:rsidRPr="00E67A66">
        <w:rPr>
          <w:rFonts w:ascii="Calibri" w:hAnsi="Calibri"/>
          <w:szCs w:val="18"/>
        </w:rPr>
        <w:t xml:space="preserve"> media with low metal chelation ability</w:t>
      </w:r>
      <w:r w:rsidR="00343388">
        <w:rPr>
          <w:rFonts w:ascii="Calibri" w:hAnsi="Calibri"/>
          <w:szCs w:val="18"/>
        </w:rPr>
        <w:t xml:space="preserve"> </w:t>
      </w:r>
      <w:r w:rsidR="005864D5" w:rsidRPr="00C7774A">
        <w:rPr>
          <w:rFonts w:ascii="Calibri" w:hAnsi="Calibri"/>
          <w:szCs w:val="18"/>
        </w:rPr>
        <w:fldChar w:fldCharType="begin" w:fldLock="1"/>
      </w:r>
      <w:r w:rsidR="00FB5C54">
        <w:rPr>
          <w:rFonts w:ascii="Calibri" w:hAnsi="Calibri"/>
          <w:szCs w:val="18"/>
        </w:rPr>
        <w:instrText>ADDIN CSL_CITATION {"citationItems":[{"id":"ITEM-1","itemData":{"DOI":"10.1007/BF01569936","ISSN":"1476-5535","abstract":"To investigate the interactions of heavy metals with cells, a minimal medium for the growth of enteric bacteria using glycerol-2-phosphate as the sole phosphorus source was developed that avoided precipitation of Pb2+ with inorganic phosphate. Using this medium, spontaneous mutants ofEscherichia coli resistant to addition of Pb(NO3)2 were isolated. Thirty-five independent mutants all conferred a low level of resistance. Disk diffusion assays on solid medium were used to survey the response ofE. coli andSalmonella typhimurium mutants altered in global regulatory networks to Pb(NO3)2) and CdCl2. Strains bearing mutations inoxyR andrpoH were the most hypersensitive to these compounds. Based upon the response of strains completely devoid of isozymes needed to inactivate reactive oxygen species, this hypersensitity to lead and cadmium is attributable to alteration in superoxide dismutase rather than catalase levels. Similar analysis of chaperonedefective mutants suggests that these metals damage proteins in vivo.","author":[{"dropping-particle":"","family":"LaRossa","given":"Robert A","non-dropping-particle":"","parse-names":false,"suffix":""},{"dropping-particle":"","family":"Smulski","given":"Dana R","non-dropping-particle":"","parse-names":false,"suffix":""},{"dropping-particle":"","family":"Dyk","given":"Tina K","non-dropping-particle":"Van","parse-names":false,"suffix":""}],"container-title":"Journal of Industrial Microbiology","id":"ITEM-1","issue":"3","issued":{"date-parts":[["1995","3"]]},"page":"252-258","title":"Interaction of lead nitrate and cadmium chloride with Escherichia coli K-12 and Salmonella typhimurium global regulatory mutants","type":"article-journal","volume":"14"},"uris":["http://www.mendeley.com/documents/?uuid=0f581b0b-028e-453c-9155-1e88aacf9bea"]}],"mendeley":{"formattedCitation":"(LaRossa et al., 1995)","plainTextFormattedCitation":"(LaRossa et al., 1995)","previouslyFormattedCitation":"(LaRossa et al., 1995)"},"properties":{"noteIndex":0},"schema":"https://github.com/citation-style-language/schema/raw/master/csl-citation.json"}</w:instrText>
      </w:r>
      <w:r w:rsidR="005864D5" w:rsidRPr="00C7774A">
        <w:rPr>
          <w:rFonts w:ascii="Calibri" w:hAnsi="Calibri"/>
          <w:szCs w:val="18"/>
        </w:rPr>
        <w:fldChar w:fldCharType="separate"/>
      </w:r>
      <w:r w:rsidR="003724C3" w:rsidRPr="003724C3">
        <w:rPr>
          <w:rFonts w:ascii="Calibri" w:hAnsi="Calibri"/>
          <w:noProof/>
          <w:szCs w:val="18"/>
        </w:rPr>
        <w:t>(LaRossa et al., 1995)</w:t>
      </w:r>
      <w:r w:rsidR="005864D5" w:rsidRPr="00C7774A">
        <w:rPr>
          <w:rFonts w:ascii="Calibri" w:hAnsi="Calibri"/>
          <w:szCs w:val="18"/>
        </w:rPr>
        <w:fldChar w:fldCharType="end"/>
      </w:r>
      <w:r w:rsidR="00343388">
        <w:rPr>
          <w:rFonts w:ascii="Calibri" w:hAnsi="Calibri"/>
          <w:szCs w:val="18"/>
        </w:rPr>
        <w:t>,</w:t>
      </w:r>
      <w:r w:rsidR="006B7EC0" w:rsidRPr="00844BEB">
        <w:rPr>
          <w:rFonts w:ascii="Calibri" w:hAnsi="Calibri"/>
          <w:szCs w:val="18"/>
        </w:rPr>
        <w:t xml:space="preserve"> which was supplemented with 0.4% glucose and </w:t>
      </w:r>
      <w:r w:rsidR="006B7EC0">
        <w:rPr>
          <w:rFonts w:ascii="Calibri" w:hAnsi="Calibri"/>
          <w:szCs w:val="18"/>
        </w:rPr>
        <w:t>0.1% casein acid hydrolysate, and</w:t>
      </w:r>
      <w:r w:rsidR="006B7EC0" w:rsidRPr="00844BEB">
        <w:rPr>
          <w:rFonts w:ascii="Calibri" w:hAnsi="Calibri"/>
          <w:szCs w:val="18"/>
        </w:rPr>
        <w:t xml:space="preserve"> pH </w:t>
      </w:r>
      <w:r w:rsidR="006B7EC0">
        <w:rPr>
          <w:rFonts w:ascii="Calibri" w:hAnsi="Calibri"/>
          <w:szCs w:val="18"/>
        </w:rPr>
        <w:t xml:space="preserve">adjusted to </w:t>
      </w:r>
      <w:r w:rsidR="006B7EC0" w:rsidRPr="00844BEB">
        <w:rPr>
          <w:rFonts w:ascii="Calibri" w:hAnsi="Calibri"/>
          <w:szCs w:val="18"/>
        </w:rPr>
        <w:t>7.2 ± 0.2.</w:t>
      </w:r>
      <w:r w:rsidR="006B7EC0">
        <w:rPr>
          <w:rFonts w:ascii="Calibri" w:hAnsi="Calibri"/>
          <w:szCs w:val="18"/>
        </w:rPr>
        <w:t xml:space="preserve"> </w:t>
      </w:r>
      <w:r w:rsidR="00442DD7">
        <w:rPr>
          <w:rFonts w:ascii="Calibri" w:hAnsi="Calibri"/>
          <w:szCs w:val="18"/>
        </w:rPr>
        <w:t xml:space="preserve">Overnight bacterial cultures were prepared at </w:t>
      </w:r>
      <w:r w:rsidR="006B7EC0" w:rsidRPr="00C949A1">
        <w:rPr>
          <w:rFonts w:ascii="Calibri" w:hAnsi="Calibri"/>
          <w:szCs w:val="18"/>
        </w:rPr>
        <w:t>30</w:t>
      </w:r>
      <w:r w:rsidR="006B7EC0" w:rsidRPr="00C949A1">
        <w:rPr>
          <w:rFonts w:ascii="Calibri" w:hAnsi="Calibri" w:cstheme="minorHAnsi"/>
          <w:szCs w:val="18"/>
        </w:rPr>
        <w:t>°</w:t>
      </w:r>
      <w:r w:rsidR="006B7EC0" w:rsidRPr="00C949A1">
        <w:rPr>
          <w:rFonts w:ascii="Calibri" w:hAnsi="Calibri"/>
          <w:szCs w:val="18"/>
        </w:rPr>
        <w:t>C</w:t>
      </w:r>
      <w:r w:rsidR="006B7EC0">
        <w:rPr>
          <w:rFonts w:ascii="Calibri" w:hAnsi="Calibri"/>
          <w:szCs w:val="18"/>
        </w:rPr>
        <w:t xml:space="preserve"> in HMM</w:t>
      </w:r>
      <w:r w:rsidR="006B7EC0" w:rsidRPr="00C949A1">
        <w:rPr>
          <w:rFonts w:ascii="Calibri" w:hAnsi="Calibri"/>
          <w:szCs w:val="18"/>
        </w:rPr>
        <w:t xml:space="preserve"> under constant </w:t>
      </w:r>
      <w:r w:rsidR="00232896">
        <w:rPr>
          <w:rFonts w:ascii="Calibri" w:hAnsi="Calibri"/>
          <w:szCs w:val="18"/>
        </w:rPr>
        <w:t>agitation</w:t>
      </w:r>
      <w:r w:rsidR="00695410">
        <w:rPr>
          <w:rFonts w:ascii="Calibri" w:hAnsi="Calibri"/>
          <w:szCs w:val="18"/>
        </w:rPr>
        <w:t xml:space="preserve"> (80 rpm)</w:t>
      </w:r>
      <w:r w:rsidR="006B7EC0" w:rsidRPr="00D14AA0">
        <w:rPr>
          <w:rFonts w:ascii="Calibri" w:hAnsi="Calibri"/>
          <w:szCs w:val="18"/>
        </w:rPr>
        <w:t xml:space="preserve"> in </w:t>
      </w:r>
      <w:r w:rsidR="006B7EC0">
        <w:rPr>
          <w:rFonts w:ascii="Calibri" w:hAnsi="Calibri"/>
          <w:szCs w:val="18"/>
        </w:rPr>
        <w:t xml:space="preserve">an </w:t>
      </w:r>
      <w:proofErr w:type="spellStart"/>
      <w:r w:rsidR="006B7EC0" w:rsidRPr="00D14AA0">
        <w:rPr>
          <w:rFonts w:ascii="Calibri" w:hAnsi="Calibri"/>
          <w:szCs w:val="18"/>
        </w:rPr>
        <w:t>Infors</w:t>
      </w:r>
      <w:proofErr w:type="spellEnd"/>
      <w:r w:rsidR="006B7EC0" w:rsidRPr="00D14AA0">
        <w:rPr>
          <w:rFonts w:ascii="Calibri" w:hAnsi="Calibri"/>
          <w:szCs w:val="18"/>
        </w:rPr>
        <w:t xml:space="preserve"> HT </w:t>
      </w:r>
      <w:proofErr w:type="spellStart"/>
      <w:r w:rsidR="006B7EC0" w:rsidRPr="00D14AA0">
        <w:rPr>
          <w:rFonts w:ascii="Calibri" w:hAnsi="Calibri"/>
          <w:szCs w:val="18"/>
        </w:rPr>
        <w:t>Minitron</w:t>
      </w:r>
      <w:proofErr w:type="spellEnd"/>
      <w:r w:rsidR="006B7EC0" w:rsidRPr="00D14AA0">
        <w:rPr>
          <w:rFonts w:ascii="Calibri" w:hAnsi="Calibri"/>
          <w:szCs w:val="18"/>
        </w:rPr>
        <w:t xml:space="preserve"> incubator</w:t>
      </w:r>
      <w:r w:rsidR="006B7EC0">
        <w:rPr>
          <w:rFonts w:ascii="Calibri" w:hAnsi="Calibri"/>
          <w:szCs w:val="18"/>
        </w:rPr>
        <w:t xml:space="preserve">. </w:t>
      </w:r>
      <w:r w:rsidR="00564230">
        <w:rPr>
          <w:rFonts w:ascii="Calibri" w:hAnsi="Calibri"/>
          <w:szCs w:val="18"/>
        </w:rPr>
        <w:t>A turbidimetric assay was used to follow bacterial growth over time</w:t>
      </w:r>
      <w:r w:rsidR="004C52D9">
        <w:rPr>
          <w:rFonts w:ascii="Calibri" w:hAnsi="Calibri"/>
          <w:szCs w:val="18"/>
        </w:rPr>
        <w:t xml:space="preserve"> by measuring </w:t>
      </w:r>
      <w:r w:rsidR="00564230">
        <w:rPr>
          <w:rFonts w:ascii="Calibri" w:hAnsi="Calibri"/>
          <w:szCs w:val="18"/>
        </w:rPr>
        <w:t>optical den</w:t>
      </w:r>
      <w:r w:rsidR="00460E8D">
        <w:rPr>
          <w:rFonts w:ascii="Calibri" w:hAnsi="Calibri"/>
          <w:szCs w:val="18"/>
        </w:rPr>
        <w:t xml:space="preserve">sity (OD) at 595nm </w:t>
      </w:r>
      <w:r w:rsidR="00564230">
        <w:rPr>
          <w:rFonts w:ascii="Calibri" w:hAnsi="Calibri"/>
          <w:szCs w:val="18"/>
        </w:rPr>
        <w:t xml:space="preserve">using a </w:t>
      </w:r>
      <w:proofErr w:type="spellStart"/>
      <w:r w:rsidR="00564230" w:rsidRPr="00543111">
        <w:rPr>
          <w:rFonts w:ascii="Calibri" w:hAnsi="Calibri"/>
          <w:szCs w:val="18"/>
        </w:rPr>
        <w:t>Multiskan</w:t>
      </w:r>
      <w:proofErr w:type="spellEnd"/>
      <w:r w:rsidR="00564230" w:rsidRPr="00543111">
        <w:rPr>
          <w:rFonts w:ascii="Calibri" w:hAnsi="Calibri"/>
          <w:szCs w:val="18"/>
        </w:rPr>
        <w:t xml:space="preserve"> RC 351 </w:t>
      </w:r>
      <w:proofErr w:type="spellStart"/>
      <w:r w:rsidR="00564230" w:rsidRPr="00543111">
        <w:rPr>
          <w:rFonts w:ascii="Calibri" w:hAnsi="Calibri"/>
          <w:szCs w:val="18"/>
        </w:rPr>
        <w:t>Labsystem</w:t>
      </w:r>
      <w:proofErr w:type="spellEnd"/>
      <w:r w:rsidR="00564230">
        <w:rPr>
          <w:rFonts w:ascii="Calibri" w:hAnsi="Calibri"/>
          <w:szCs w:val="18"/>
        </w:rPr>
        <w:t xml:space="preserve"> plate reader. 20</w:t>
      </w:r>
      <w:r w:rsidR="005F5AF6">
        <w:rPr>
          <w:rFonts w:ascii="Calibri" w:hAnsi="Calibri"/>
          <w:szCs w:val="18"/>
        </w:rPr>
        <w:t xml:space="preserve"> </w:t>
      </w:r>
      <w:r w:rsidR="00564230">
        <w:rPr>
          <w:rFonts w:ascii="Calibri" w:hAnsi="Calibri"/>
          <w:szCs w:val="18"/>
        </w:rPr>
        <w:t>mM</w:t>
      </w:r>
      <w:r w:rsidR="005F5AF6">
        <w:rPr>
          <w:rFonts w:ascii="Calibri" w:hAnsi="Calibri"/>
          <w:szCs w:val="18"/>
        </w:rPr>
        <w:t xml:space="preserve"> (</w:t>
      </w:r>
      <w:r w:rsidR="005F5AF6" w:rsidRPr="005F5AF6">
        <w:rPr>
          <w:rFonts w:ascii="Calibri" w:hAnsi="Calibri"/>
          <w:i/>
          <w:szCs w:val="18"/>
        </w:rPr>
        <w:t>ca.</w:t>
      </w:r>
      <w:r w:rsidR="005F5AF6">
        <w:rPr>
          <w:rFonts w:ascii="Calibri" w:hAnsi="Calibri"/>
          <w:szCs w:val="18"/>
        </w:rPr>
        <w:t xml:space="preserve"> 1.27g/L)</w:t>
      </w:r>
      <w:r w:rsidR="00564230">
        <w:rPr>
          <w:rFonts w:ascii="Calibri" w:hAnsi="Calibri"/>
          <w:szCs w:val="18"/>
        </w:rPr>
        <w:t xml:space="preserve"> copper particle stocks </w:t>
      </w:r>
      <w:r w:rsidR="004C52D9">
        <w:rPr>
          <w:rFonts w:ascii="Calibri" w:hAnsi="Calibri"/>
          <w:szCs w:val="18"/>
        </w:rPr>
        <w:t xml:space="preserve">were pre-diluted </w:t>
      </w:r>
      <w:r w:rsidR="00893747" w:rsidRPr="00D14AA0">
        <w:rPr>
          <w:rFonts w:ascii="Calibri" w:hAnsi="Calibri"/>
          <w:szCs w:val="18"/>
        </w:rPr>
        <w:t>in HMM</w:t>
      </w:r>
      <w:r w:rsidR="00893747">
        <w:rPr>
          <w:rFonts w:ascii="Calibri" w:hAnsi="Calibri"/>
          <w:szCs w:val="18"/>
        </w:rPr>
        <w:t xml:space="preserve"> and then mixed with</w:t>
      </w:r>
      <w:r w:rsidR="00564230" w:rsidRPr="00D14AA0">
        <w:rPr>
          <w:rFonts w:ascii="Calibri" w:hAnsi="Calibri"/>
          <w:szCs w:val="18"/>
        </w:rPr>
        <w:t xml:space="preserve"> </w:t>
      </w:r>
      <w:r w:rsidR="00564230" w:rsidRPr="00564230">
        <w:rPr>
          <w:rFonts w:ascii="Calibri" w:hAnsi="Calibri"/>
          <w:i/>
          <w:szCs w:val="18"/>
        </w:rPr>
        <w:t>E. coli</w:t>
      </w:r>
      <w:r w:rsidR="006B7EC0">
        <w:rPr>
          <w:rFonts w:ascii="Calibri" w:hAnsi="Calibri"/>
          <w:szCs w:val="18"/>
        </w:rPr>
        <w:t xml:space="preserve"> suspension</w:t>
      </w:r>
      <w:r w:rsidR="00564230">
        <w:rPr>
          <w:rFonts w:ascii="Calibri" w:hAnsi="Calibri"/>
          <w:szCs w:val="18"/>
        </w:rPr>
        <w:t>s</w:t>
      </w:r>
      <w:r w:rsidR="006B7EC0">
        <w:rPr>
          <w:rFonts w:ascii="Calibri" w:hAnsi="Calibri"/>
          <w:szCs w:val="18"/>
        </w:rPr>
        <w:t xml:space="preserve"> </w:t>
      </w:r>
      <w:r w:rsidR="007024E0" w:rsidRPr="000D3B4E">
        <w:rPr>
          <w:rFonts w:ascii="Calibri" w:hAnsi="Calibri"/>
          <w:szCs w:val="18"/>
        </w:rPr>
        <w:t>that, as noted above, were</w:t>
      </w:r>
      <w:r w:rsidR="00893747" w:rsidRPr="000D3B4E">
        <w:rPr>
          <w:rFonts w:ascii="Calibri" w:hAnsi="Calibri"/>
          <w:szCs w:val="18"/>
        </w:rPr>
        <w:t xml:space="preserve"> </w:t>
      </w:r>
      <w:r w:rsidR="006B7EC0" w:rsidRPr="000D3B4E">
        <w:rPr>
          <w:rFonts w:ascii="Calibri" w:hAnsi="Calibri"/>
          <w:szCs w:val="18"/>
        </w:rPr>
        <w:t xml:space="preserve">diluted to an optical density </w:t>
      </w:r>
      <w:r w:rsidR="00364BFC" w:rsidRPr="000D3B4E">
        <w:rPr>
          <w:rFonts w:ascii="Calibri" w:hAnsi="Calibri"/>
          <w:szCs w:val="18"/>
        </w:rPr>
        <w:t>of</w:t>
      </w:r>
      <w:r w:rsidR="00B40A6C" w:rsidRPr="000D3B4E">
        <w:rPr>
          <w:rFonts w:ascii="Calibri" w:hAnsi="Calibri"/>
          <w:szCs w:val="18"/>
        </w:rPr>
        <w:t xml:space="preserve"> </w:t>
      </w:r>
      <w:r w:rsidR="006B7EC0" w:rsidRPr="000D3B4E">
        <w:rPr>
          <w:rFonts w:ascii="Calibri" w:hAnsi="Calibri"/>
          <w:szCs w:val="18"/>
        </w:rPr>
        <w:t xml:space="preserve">0.05-0.1 </w:t>
      </w:r>
      <w:r w:rsidR="009056E7" w:rsidRPr="000D3B4E">
        <w:rPr>
          <w:rFonts w:ascii="Calibri" w:hAnsi="Calibri"/>
          <w:szCs w:val="18"/>
        </w:rPr>
        <w:t>OD</w:t>
      </w:r>
      <w:r w:rsidR="00AB5B1F" w:rsidRPr="000D3B4E">
        <w:rPr>
          <w:rFonts w:ascii="Calibri" w:hAnsi="Calibri"/>
          <w:szCs w:val="18"/>
        </w:rPr>
        <w:t xml:space="preserve"> reading</w:t>
      </w:r>
      <w:r w:rsidR="009056E7" w:rsidRPr="000D3B4E">
        <w:rPr>
          <w:rFonts w:ascii="Calibri" w:hAnsi="Calibri"/>
          <w:szCs w:val="18"/>
        </w:rPr>
        <w:t xml:space="preserve"> </w:t>
      </w:r>
      <w:r w:rsidR="006B7EC0" w:rsidRPr="000D3B4E">
        <w:rPr>
          <w:rFonts w:ascii="Calibri" w:hAnsi="Calibri"/>
          <w:szCs w:val="18"/>
        </w:rPr>
        <w:t>(</w:t>
      </w:r>
      <w:r w:rsidR="006B7EC0" w:rsidRPr="000D3B4E">
        <w:rPr>
          <w:rFonts w:ascii="Calibri" w:hAnsi="Calibri"/>
          <w:i/>
          <w:szCs w:val="18"/>
        </w:rPr>
        <w:t>ca</w:t>
      </w:r>
      <w:r w:rsidR="006B7EC0" w:rsidRPr="000D3B4E">
        <w:rPr>
          <w:rFonts w:ascii="Calibri" w:hAnsi="Calibri"/>
          <w:szCs w:val="18"/>
        </w:rPr>
        <w:t>. 10</w:t>
      </w:r>
      <w:r w:rsidR="006B7EC0" w:rsidRPr="000D3B4E">
        <w:rPr>
          <w:rFonts w:ascii="Calibri" w:hAnsi="Calibri"/>
          <w:szCs w:val="18"/>
          <w:vertAlign w:val="superscript"/>
        </w:rPr>
        <w:t>6</w:t>
      </w:r>
      <w:r w:rsidR="006B7EC0" w:rsidRPr="000D3B4E">
        <w:rPr>
          <w:rFonts w:ascii="Calibri" w:hAnsi="Calibri"/>
          <w:szCs w:val="18"/>
        </w:rPr>
        <w:t xml:space="preserve"> </w:t>
      </w:r>
      <w:r w:rsidR="00564230" w:rsidRPr="000D3B4E">
        <w:rPr>
          <w:rFonts w:ascii="Calibri" w:hAnsi="Calibri"/>
          <w:szCs w:val="18"/>
        </w:rPr>
        <w:t>CFU</w:t>
      </w:r>
      <w:r w:rsidR="006B7EC0" w:rsidRPr="000D3B4E">
        <w:rPr>
          <w:rFonts w:ascii="Calibri" w:hAnsi="Calibri"/>
          <w:szCs w:val="18"/>
        </w:rPr>
        <w:t>/mL</w:t>
      </w:r>
      <w:r w:rsidR="00B40A6C" w:rsidRPr="000D3B4E">
        <w:rPr>
          <w:rFonts w:ascii="Calibri" w:hAnsi="Calibri"/>
          <w:szCs w:val="18"/>
        </w:rPr>
        <w:t>)</w:t>
      </w:r>
      <w:r w:rsidR="00893747" w:rsidRPr="000D3B4E">
        <w:rPr>
          <w:rFonts w:ascii="Calibri" w:hAnsi="Calibri"/>
          <w:szCs w:val="18"/>
        </w:rPr>
        <w:t>.</w:t>
      </w:r>
      <w:r w:rsidR="00442DD7" w:rsidRPr="000D3B4E">
        <w:rPr>
          <w:rFonts w:ascii="Calibri" w:hAnsi="Calibri"/>
          <w:szCs w:val="18"/>
        </w:rPr>
        <w:t xml:space="preserve"> </w:t>
      </w:r>
      <w:r w:rsidR="004C52D9" w:rsidRPr="000D3B4E">
        <w:rPr>
          <w:rFonts w:ascii="Calibri" w:hAnsi="Calibri"/>
          <w:szCs w:val="18"/>
        </w:rPr>
        <w:t>Fin</w:t>
      </w:r>
      <w:r w:rsidR="004C52D9">
        <w:rPr>
          <w:rFonts w:ascii="Calibri" w:hAnsi="Calibri"/>
          <w:szCs w:val="18"/>
        </w:rPr>
        <w:t>al copper concentrations were 0, 12.5, 25 and 50</w:t>
      </w:r>
      <w:r w:rsidR="005F5AF6">
        <w:rPr>
          <w:rFonts w:ascii="Calibri" w:hAnsi="Calibri"/>
          <w:szCs w:val="18"/>
        </w:rPr>
        <w:t xml:space="preserve"> </w:t>
      </w:r>
      <w:r w:rsidR="004C52D9">
        <w:rPr>
          <w:rFonts w:ascii="Calibri" w:hAnsi="Calibri"/>
          <w:szCs w:val="18"/>
        </w:rPr>
        <w:t>mg/L</w:t>
      </w:r>
      <w:r w:rsidR="005F5AF6">
        <w:rPr>
          <w:rFonts w:ascii="Calibri" w:hAnsi="Calibri"/>
          <w:szCs w:val="18"/>
        </w:rPr>
        <w:t xml:space="preserve"> copper</w:t>
      </w:r>
      <w:r w:rsidR="00712147">
        <w:rPr>
          <w:rFonts w:ascii="Calibri" w:hAnsi="Calibri"/>
          <w:szCs w:val="18"/>
        </w:rPr>
        <w:t>. Th</w:t>
      </w:r>
      <w:r w:rsidR="00C7264A">
        <w:rPr>
          <w:rFonts w:ascii="Calibri" w:hAnsi="Calibri"/>
          <w:szCs w:val="18"/>
        </w:rPr>
        <w:t>ese</w:t>
      </w:r>
      <w:r w:rsidR="00712147">
        <w:rPr>
          <w:rFonts w:ascii="Calibri" w:hAnsi="Calibri"/>
          <w:szCs w:val="18"/>
        </w:rPr>
        <w:t xml:space="preserve"> were</w:t>
      </w:r>
      <w:r w:rsidR="00E8568A">
        <w:rPr>
          <w:rFonts w:ascii="Calibri" w:hAnsi="Calibri"/>
          <w:szCs w:val="18"/>
        </w:rPr>
        <w:t xml:space="preserve"> chosen </w:t>
      </w:r>
      <w:r w:rsidR="00685C2D">
        <w:rPr>
          <w:rFonts w:ascii="Calibri" w:hAnsi="Calibri"/>
          <w:szCs w:val="18"/>
        </w:rPr>
        <w:t>to be measurably toxic to bacteria</w:t>
      </w:r>
      <w:r w:rsidR="00E8568A">
        <w:rPr>
          <w:rFonts w:ascii="Calibri" w:hAnsi="Calibri"/>
          <w:szCs w:val="18"/>
        </w:rPr>
        <w:t xml:space="preserve"> </w:t>
      </w:r>
      <w:r w:rsidR="009056E7">
        <w:rPr>
          <w:rFonts w:ascii="Calibri" w:hAnsi="Calibri"/>
          <w:szCs w:val="18"/>
        </w:rPr>
        <w:t>whilst allowing for observations on how</w:t>
      </w:r>
      <w:r w:rsidR="0012002D">
        <w:rPr>
          <w:rFonts w:ascii="Calibri" w:hAnsi="Calibri"/>
          <w:szCs w:val="18"/>
        </w:rPr>
        <w:t xml:space="preserve"> varia</w:t>
      </w:r>
      <w:r w:rsidR="009056E7">
        <w:rPr>
          <w:rFonts w:ascii="Calibri" w:hAnsi="Calibri"/>
          <w:szCs w:val="18"/>
        </w:rPr>
        <w:t>nce</w:t>
      </w:r>
      <w:r w:rsidR="0012002D">
        <w:rPr>
          <w:rFonts w:ascii="Calibri" w:hAnsi="Calibri"/>
          <w:szCs w:val="18"/>
        </w:rPr>
        <w:t xml:space="preserve"> in particulate and soluble copper </w:t>
      </w:r>
      <w:r w:rsidR="009056E7">
        <w:rPr>
          <w:rFonts w:ascii="Calibri" w:hAnsi="Calibri"/>
          <w:szCs w:val="18"/>
        </w:rPr>
        <w:t xml:space="preserve">concentrations </w:t>
      </w:r>
      <w:r w:rsidR="0012002D">
        <w:rPr>
          <w:rFonts w:ascii="Calibri" w:hAnsi="Calibri"/>
          <w:szCs w:val="18"/>
        </w:rPr>
        <w:t>impact</w:t>
      </w:r>
      <w:r w:rsidR="009056E7">
        <w:rPr>
          <w:rFonts w:ascii="Calibri" w:hAnsi="Calibri"/>
          <w:szCs w:val="18"/>
        </w:rPr>
        <w:t>ed</w:t>
      </w:r>
      <w:r w:rsidR="0012002D">
        <w:rPr>
          <w:rFonts w:ascii="Calibri" w:hAnsi="Calibri"/>
          <w:szCs w:val="18"/>
        </w:rPr>
        <w:t xml:space="preserve"> growth inhibition</w:t>
      </w:r>
      <w:r w:rsidR="00A967A0" w:rsidRPr="00A967A0">
        <w:rPr>
          <w:rFonts w:ascii="Calibri" w:hAnsi="Calibri"/>
          <w:szCs w:val="18"/>
        </w:rPr>
        <w:t>.</w:t>
      </w:r>
      <w:r w:rsidR="004C52D9">
        <w:rPr>
          <w:rFonts w:ascii="Calibri" w:hAnsi="Calibri"/>
          <w:szCs w:val="18"/>
        </w:rPr>
        <w:t xml:space="preserve"> </w:t>
      </w:r>
      <w:r w:rsidR="00442DD7">
        <w:rPr>
          <w:rFonts w:ascii="Calibri" w:hAnsi="Calibri"/>
          <w:szCs w:val="18"/>
        </w:rPr>
        <w:t xml:space="preserve">Bacterial cells and </w:t>
      </w:r>
      <w:r w:rsidR="00893747">
        <w:rPr>
          <w:rFonts w:ascii="Calibri" w:hAnsi="Calibri"/>
          <w:szCs w:val="18"/>
        </w:rPr>
        <w:t>particles</w:t>
      </w:r>
      <w:r w:rsidR="00442DD7">
        <w:rPr>
          <w:rFonts w:ascii="Calibri" w:hAnsi="Calibri"/>
          <w:szCs w:val="18"/>
        </w:rPr>
        <w:t xml:space="preserve"> were incubated for 8 hours at </w:t>
      </w:r>
      <w:r w:rsidR="00893747" w:rsidRPr="00C949A1">
        <w:rPr>
          <w:rFonts w:ascii="Calibri" w:hAnsi="Calibri"/>
          <w:szCs w:val="18"/>
        </w:rPr>
        <w:t>30</w:t>
      </w:r>
      <w:r w:rsidR="00893747" w:rsidRPr="00C949A1">
        <w:rPr>
          <w:rFonts w:ascii="Calibri" w:hAnsi="Calibri" w:cstheme="minorHAnsi"/>
          <w:szCs w:val="18"/>
        </w:rPr>
        <w:t>°</w:t>
      </w:r>
      <w:r w:rsidR="00893747" w:rsidRPr="00C949A1">
        <w:rPr>
          <w:rFonts w:ascii="Calibri" w:hAnsi="Calibri"/>
          <w:szCs w:val="18"/>
        </w:rPr>
        <w:t>C</w:t>
      </w:r>
      <w:r w:rsidR="00442DD7">
        <w:rPr>
          <w:rFonts w:ascii="Calibri" w:hAnsi="Calibri"/>
          <w:szCs w:val="18"/>
        </w:rPr>
        <w:t xml:space="preserve"> under agitation (80rpm) and OD measurements were obtained </w:t>
      </w:r>
      <w:r w:rsidR="00564230">
        <w:rPr>
          <w:rFonts w:ascii="Calibri" w:hAnsi="Calibri"/>
          <w:szCs w:val="18"/>
        </w:rPr>
        <w:t>at different time points.</w:t>
      </w:r>
      <w:r w:rsidR="00754C72">
        <w:rPr>
          <w:rFonts w:ascii="Calibri" w:hAnsi="Calibri"/>
          <w:szCs w:val="18"/>
        </w:rPr>
        <w:t xml:space="preserve"> </w:t>
      </w:r>
      <w:r w:rsidR="008D4321" w:rsidRPr="008D4321">
        <w:rPr>
          <w:rFonts w:ascii="Calibri" w:hAnsi="Calibri"/>
          <w:szCs w:val="18"/>
        </w:rPr>
        <w:t>Background, i.e. OD of bacteria-free media, was subtracted for both control (OD for media only) and for copper (OD f</w:t>
      </w:r>
      <w:r w:rsidR="008D4321">
        <w:rPr>
          <w:rFonts w:ascii="Calibri" w:hAnsi="Calibri"/>
          <w:szCs w:val="18"/>
        </w:rPr>
        <w:t>or media plus copper material) and B</w:t>
      </w:r>
      <w:r w:rsidR="00754C72">
        <w:rPr>
          <w:rFonts w:ascii="Calibri" w:hAnsi="Calibri"/>
          <w:szCs w:val="18"/>
        </w:rPr>
        <w:t>acterial growth inhibition</w:t>
      </w:r>
      <w:r w:rsidR="00F64262">
        <w:rPr>
          <w:rFonts w:ascii="Calibri" w:hAnsi="Calibri"/>
          <w:szCs w:val="18"/>
        </w:rPr>
        <w:t xml:space="preserve"> over time </w:t>
      </w:r>
      <w:r w:rsidR="008D4321">
        <w:rPr>
          <w:rFonts w:ascii="Calibri" w:hAnsi="Calibri"/>
          <w:szCs w:val="18"/>
        </w:rPr>
        <w:t xml:space="preserve">was determined </w:t>
      </w:r>
      <w:r w:rsidR="00F64262">
        <w:rPr>
          <w:rFonts w:ascii="Calibri" w:hAnsi="Calibri"/>
          <w:szCs w:val="18"/>
        </w:rPr>
        <w:t xml:space="preserve">by comparing with OD readings for </w:t>
      </w:r>
      <w:r w:rsidR="008D4321">
        <w:rPr>
          <w:rFonts w:ascii="Calibri" w:hAnsi="Calibri"/>
          <w:szCs w:val="18"/>
        </w:rPr>
        <w:t xml:space="preserve">copper treated against </w:t>
      </w:r>
      <w:r w:rsidR="00F64262">
        <w:rPr>
          <w:rFonts w:ascii="Calibri" w:hAnsi="Calibri"/>
          <w:szCs w:val="18"/>
        </w:rPr>
        <w:t>control</w:t>
      </w:r>
      <w:r w:rsidR="008D4321">
        <w:rPr>
          <w:rFonts w:ascii="Calibri" w:hAnsi="Calibri"/>
          <w:szCs w:val="18"/>
        </w:rPr>
        <w:t xml:space="preserve">, as per </w:t>
      </w:r>
      <w:r w:rsidR="00AC54FE">
        <w:rPr>
          <w:rFonts w:ascii="Calibri" w:hAnsi="Calibri"/>
          <w:szCs w:val="18"/>
        </w:rPr>
        <w:t>equation below:</w:t>
      </w:r>
      <w:r w:rsidR="00F64262">
        <w:rPr>
          <w:rFonts w:ascii="Calibri" w:hAnsi="Calibri"/>
          <w:szCs w:val="18"/>
        </w:rPr>
        <w:t xml:space="preserve"> </w:t>
      </w:r>
    </w:p>
    <w:p w14:paraId="07FDB6AC" w14:textId="77777777" w:rsidR="00F64262" w:rsidRPr="00AC54FE" w:rsidRDefault="00F64262" w:rsidP="00343388">
      <w:pPr>
        <w:spacing w:after="0" w:line="360" w:lineRule="auto"/>
        <w:jc w:val="center"/>
      </w:pPr>
      <m:oMathPara>
        <m:oMathParaPr>
          <m:jc m:val="left"/>
        </m:oMathParaPr>
        <m:oMath>
          <m:r>
            <m:rPr>
              <m:sty m:val="p"/>
            </m:rPr>
            <w:rPr>
              <w:rFonts w:ascii="Cambria Math" w:hAnsi="Cambria Math"/>
            </w:rPr>
            <m:t>Growth Inhibition %</m:t>
          </m:r>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OD Control-OD Copper Treated</m:t>
                  </m:r>
                </m:num>
                <m:den>
                  <m:r>
                    <w:rPr>
                      <w:rFonts w:ascii="Cambria Math" w:hAnsi="Cambria Math"/>
                    </w:rPr>
                    <m:t>OD Control</m:t>
                  </m:r>
                </m:den>
              </m:f>
            </m:e>
          </m:d>
          <m:r>
            <w:rPr>
              <w:rFonts w:ascii="Cambria Math" w:hAnsi="Cambria Math"/>
            </w:rPr>
            <m:t>×100</m:t>
          </m:r>
        </m:oMath>
      </m:oMathPara>
    </w:p>
    <w:p w14:paraId="2B55A18D" w14:textId="77777777" w:rsidR="00F64262" w:rsidRDefault="00F64262" w:rsidP="00343388">
      <w:pPr>
        <w:spacing w:after="0" w:line="480" w:lineRule="auto"/>
        <w:jc w:val="both"/>
        <w:rPr>
          <w:rFonts w:ascii="Calibri" w:hAnsi="Calibri"/>
          <w:szCs w:val="18"/>
        </w:rPr>
      </w:pPr>
    </w:p>
    <w:p w14:paraId="0F23797D" w14:textId="77777777" w:rsidR="00B00648" w:rsidRPr="00883037" w:rsidRDefault="00D97921" w:rsidP="00343388">
      <w:pPr>
        <w:pStyle w:val="ListParagraph"/>
        <w:numPr>
          <w:ilvl w:val="1"/>
          <w:numId w:val="5"/>
        </w:numPr>
        <w:spacing w:after="0" w:line="480" w:lineRule="auto"/>
        <w:ind w:left="714" w:hanging="357"/>
        <w:jc w:val="both"/>
        <w:outlineLvl w:val="1"/>
        <w:rPr>
          <w:rFonts w:ascii="Calibri" w:hAnsi="Calibri"/>
          <w:b/>
          <w:color w:val="000000" w:themeColor="text1"/>
          <w:szCs w:val="18"/>
        </w:rPr>
      </w:pPr>
      <w:r w:rsidRPr="00883037">
        <w:rPr>
          <w:rFonts w:ascii="Calibri" w:hAnsi="Calibri"/>
          <w:b/>
          <w:color w:val="000000" w:themeColor="text1"/>
          <w:szCs w:val="18"/>
        </w:rPr>
        <w:t>Benchmark Response Modelling</w:t>
      </w:r>
    </w:p>
    <w:p w14:paraId="5EF86D07" w14:textId="5192D60F" w:rsidR="00D97921" w:rsidRDefault="00B00648" w:rsidP="00343388">
      <w:pPr>
        <w:spacing w:after="0" w:line="480" w:lineRule="auto"/>
        <w:jc w:val="both"/>
        <w:rPr>
          <w:rFonts w:ascii="Calibri" w:hAnsi="Calibri"/>
          <w:color w:val="000000" w:themeColor="text1"/>
          <w:szCs w:val="18"/>
        </w:rPr>
      </w:pPr>
      <w:r>
        <w:rPr>
          <w:rFonts w:ascii="Calibri" w:hAnsi="Calibri"/>
          <w:color w:val="000000" w:themeColor="text1"/>
          <w:szCs w:val="18"/>
        </w:rPr>
        <w:t>Benchmark dose (BMD)</w:t>
      </w:r>
      <w:r w:rsidR="003F06C5">
        <w:rPr>
          <w:rFonts w:ascii="Calibri" w:hAnsi="Calibri"/>
          <w:color w:val="000000" w:themeColor="text1"/>
          <w:szCs w:val="18"/>
        </w:rPr>
        <w:t xml:space="preserve">, </w:t>
      </w:r>
      <w:r w:rsidRPr="0058184B">
        <w:rPr>
          <w:rFonts w:ascii="Calibri" w:hAnsi="Calibri"/>
          <w:i/>
          <w:color w:val="000000" w:themeColor="text1"/>
          <w:szCs w:val="18"/>
        </w:rPr>
        <w:t>i.e.</w:t>
      </w:r>
      <w:r>
        <w:rPr>
          <w:rFonts w:ascii="Calibri" w:hAnsi="Calibri"/>
          <w:color w:val="000000" w:themeColor="text1"/>
          <w:szCs w:val="18"/>
        </w:rPr>
        <w:t xml:space="preserve"> </w:t>
      </w:r>
      <w:r w:rsidR="007E4C26">
        <w:rPr>
          <w:rFonts w:ascii="Calibri" w:hAnsi="Calibri"/>
          <w:color w:val="000000" w:themeColor="text1"/>
          <w:szCs w:val="18"/>
        </w:rPr>
        <w:t>non-linear</w:t>
      </w:r>
      <w:r>
        <w:rPr>
          <w:rFonts w:ascii="Calibri" w:hAnsi="Calibri"/>
          <w:color w:val="000000" w:themeColor="text1"/>
          <w:szCs w:val="18"/>
        </w:rPr>
        <w:t xml:space="preserve"> regression analysis</w:t>
      </w:r>
      <w:r w:rsidR="003F06C5">
        <w:rPr>
          <w:rFonts w:ascii="Calibri" w:hAnsi="Calibri"/>
          <w:color w:val="000000" w:themeColor="text1"/>
          <w:szCs w:val="18"/>
        </w:rPr>
        <w:t>,</w:t>
      </w:r>
      <w:r>
        <w:rPr>
          <w:rFonts w:ascii="Calibri" w:hAnsi="Calibri"/>
          <w:color w:val="000000" w:themeColor="text1"/>
          <w:szCs w:val="18"/>
        </w:rPr>
        <w:t xml:space="preserve"> was conducted using the combined BMD-covariate approach described extensively in previous work</w:t>
      </w:r>
      <w:r w:rsidR="00343388">
        <w:rPr>
          <w:rFonts w:ascii="Calibri" w:hAnsi="Calibri"/>
          <w:color w:val="000000" w:themeColor="text1"/>
          <w:szCs w:val="18"/>
        </w:rPr>
        <w:t xml:space="preserve"> </w:t>
      </w:r>
      <w:r w:rsidR="0058184B">
        <w:rPr>
          <w:rFonts w:ascii="Calibri" w:hAnsi="Calibri"/>
          <w:color w:val="000000" w:themeColor="text1"/>
          <w:szCs w:val="18"/>
        </w:rPr>
        <w:fldChar w:fldCharType="begin" w:fldLock="1"/>
      </w:r>
      <w:r w:rsidR="002A7491">
        <w:rPr>
          <w:rFonts w:ascii="Calibri" w:hAnsi="Calibri"/>
          <w:color w:val="000000" w:themeColor="text1"/>
          <w:szCs w:val="18"/>
        </w:rPr>
        <w:instrText>ADDIN CSL_CITATION {"citationItems":[{"id":"ITEM-1","itemData":{"DOI":"10.1093/mutage/gev085","ISSN":"0267-8357","abstract":"Genetic toxicity testing has traditionally been used for hazard identification, with dichotomous classification of test results serving to identify genotoxic agents. However, the utility of genotoxicity data can be augmented by employing dose–response analysis and point of departure determination. Via interpolation from a fitted dose–response model, the benchmark dose (BMD) approach estimates the dose that elicits a specified (small) effect size. BMD metrics and their confidence intervals can be used for compound potency ranking within an endpoint, as well as potency comparisons across other factors such as cell line or exposure duration. A recently developed computational method, the BMD covariate approach, permits combined analysis of multiple dose–response data sets that are differentiated by covariates such as compound, cell type or exposure regime. The approach provides increased BMD precision for effective potency rankings across compounds and other covariates that pertain to a hypothesised mode of action (MOA). To illustrate these applications, the covariate approach was applied to the analysis of published in vitro micronucleus frequency dose–response data for ionising radiations, a set of aneugens, two mutagenic azo compounds and a topoisomerase II inhibitor. The ionising radiation results show that the precision of BMD estimates can be improved by employing the covariate method. The aneugen analysis provided potency groupings based on the BMD confidence intervals, and analyses of azo compound data from cells lines with differing metabolic capacity confirmed the influence of endogenous metabolism on genotoxic potency. This work, which is the first of a two-part series, shows that BMD-derived potency rankings can be employed to support MOA evaluations as well as facilitate read across to expedite chemical evaluations and regulatory decision-making. The follow-up (Part II) employs the combined covariate approach to analyse in vivo genetic toxicity dose–response data focussing on how improvements in BMD precision can impact the reduction and refinement of animal use in toxicological research.","author":[{"dropping-particle":"","family":"Wills","given":"John W","non-dropping-particle":"","parse-names":false,"suffix":""},{"dropping-particle":"","family":"Johnson","given":"George E","non-dropping-particle":"","parse-names":false,"suffix":""},{"dropping-particle":"","family":"Doak","given":"Shareen H","non-dropping-particle":"","parse-names":false,"suffix":""},{"dropping-particle":"","family":"Soeteman-Hernández","given":"Lya G","non-dropping-particle":"","parse-names":false,"suffix":""},{"dropping-particle":"","family":"Slob","given":"Wout","non-dropping-particle":"","parse-names":false,"suffix":""},{"dropping-particle":"","family":"White","given":"Paul A","non-dropping-particle":"","parse-names":false,"suffix":""}],"container-title":"Mutagenesis","id":"ITEM-1","issue":"3","issued":{"date-parts":[["2015"]]},"page":"255-263","title":"Empirical analysis of BMD metrics in genetic toxicology part I: in vitro analyses to provide robust potency rankings and support MOA determinations","type":"article-journal","volume":"31"},"uris":["http://www.mendeley.com/documents/?uuid=98772513-7108-4ec3-843d-ef718ca66ac0"]},{"id":"ITEM-2","itemData":{"DOI":"10.1093/mutage/gew009","ISSN":"0267-8357","abstract":"Genotoxicity tests have traditionally been used only for hazard identification, with qualitative dichotomous groupings being used to identify compounds that have the capacity to induce mutations and/or cytogenetic alterations. However, there is an increasing interest in employing quantitative analysis of in vivo dose–response data to derive point of departure (PoD) metrics that can be used to establish human exposure limits or margins of exposure (MOEs), thereby supporting human health risk assessments and regulatory decisions. This work is an extension of our companion article on in vitro dose–response analyses and outlines how the combined benchmark dose (BMD) approach across included covariates can be used to improve the analyses and interpretation of in vivo genetic toxicity dose–response data. Using the BMD-covariate approach, we show that empirical comparisons of micronucleus frequency dose–response data across multiple studies justifies dataset merging, with subsequent analyses improving the precision of BMD estimates and permitting attendant potency ranking of seven clastogens. Similarly, empirical comparisons of Pig-a mutant phenotype frequency data collected in males and females justified dataset merging across sex. This permitted more effective scrutiny regarding the effect of post-exposure sampling time on the mutagenicity of N-ethyl-N-nitrosourea observed in reticulocytes and erythrocytes in the Pig-a assay. The BMD-covariate approach revealed tissue-specific differences in the induction of lacZ transgene mutations in Muta™Mouse specimens exposed to benzo[a]pyrene (BaP), with the results permitting the formulation of mechanistic hypotheses regarding the observed potency ranking. Lastly, we illustrate how historical dose–response data for assessments that examined numerous doses (i.e. induced lacZ mutant frequency (MF) across 10 doses of BaP) can be used to improve the precision of BMDs derived from datasets with far fewer doses (i.e. lacZ MF for 3 doses of dibenz[a,h]anthracene). Collectively, the presented examples illustrate how innovative use of the BMD approach can permit refinement of the use of in vivo data; improving the efficacy of experimental animal use in genetic toxicology without sacrificing PoD precision.","author":[{"dropping-particle":"","family":"Wills","given":"John W","non-dropping-particle":"","parse-names":false,"suffix":""},{"dropping-particle":"","family":"Long","given":"Alexandra S","non-dropping-particle":"","parse-names":false,"suffix":""},{"dropping-particle":"","family":"Johnson","given":"George E","non-dropping-particle":"","parse-names":false,"suffix":""},{"dropping-particle":"","family":"Bemis","given":"Jeffrey C","non-dropping-particle":"","parse-names":false,"suffix":""},{"dropping-particle":"","family":"Dertinger","given":"Stephen D","non-dropping-particle":"","parse-names":false,"suffix":""},{"dropping-particle":"","family":"Slob","given":"Wout","non-dropping-particle":"","parse-names":false,"suffix":""},{"dropping-particle":"","family":"White","given":"Paul A","non-dropping-particle":"","parse-names":false,"suffix":""}],"container-title":"Mutagenesis","id":"ITEM-2","issue":"3","issued":{"date-parts":[["2016"]]},"page":"265-275","title":"Empirical analysis of BMD metrics in genetic toxicology part II: in vivo potency comparisons to promote reductions in the use of experimental animals for genetic toxicity assessment","type":"article-journal","volume":"31"},"uris":["http://www.mendeley.com/documents/?uuid=30e96453-914a-4a64-a51b-783b2b8fc8bc"]},{"id":"ITEM-3","itemData":{"DOI":"10.1021/acsnano.7b03708","ISSN":"1936-0851","author":[{"dropping-particle":"","family":"Wills","given":"John W","non-dropping-particle":"","parse-names":false,"suffix":""},{"dropping-particle":"","family":"Summers","given":"Huw D","non-dropping-particle":"","parse-names":false,"suffix":""},{"dropping-particle":"","family":"Hondow","given":"Nicole","non-dropping-particle":"","parse-names":false,"suffix":""},{"dropping-particle":"","family":"Sooresh","given":"Aishwarya","non-dropping-particle":"","parse-names":false,"suffix":""},{"dropping-particle":"","family":"Meissner","given":"Kenith E","non-dropping-particle":"","parse-names":false,"suffix":""},{"dropping-particle":"","family":"White","given":"Paul A","non-dropping-particle":"","parse-names":false,"suffix":""},{"dropping-particle":"","family":"Rees","given":"Paul","non-dropping-particle":"","parse-names":false,"suffix":""},{"dropping-particle":"","family":"Brown","given":"Andy","non-dropping-particle":"","parse-names":false,"suffix":""},{"dropping-particle":"","family":"Doak","given":"Shareen H","non-dropping-particle":"","parse-names":false,"suffix":""}],"container-title":"ACS Nano","id":"ITEM-3","issue":"12","issued":{"date-parts":[["2017","12","26"]]},"note":"doi: 10.1021/acsnano.7b03708","page":"11986-12000","publisher":"American Chemical Society","title":"Characterizing Nanoparticles in Biological Matrices: Tipping Points in Agglomeration State and Cellular Delivery In Vitro","type":"article-journal","volume":"11"},"uris":["http://www.mendeley.com/documents/?uuid=4f986bbe-1112-4cfc-90d8-e93b6ce22724"]}],"mendeley":{"formattedCitation":"(Wills et al., 2017, 2016, 2015)","plainTextFormattedCitation":"(Wills et al., 2017, 2016, 2015)","previouslyFormattedCitation":"(Wills et al., 2017, 2016, 2015)"},"properties":{"noteIndex":0},"schema":"https://github.com/citation-style-language/schema/raw/master/csl-citation.json"}</w:instrText>
      </w:r>
      <w:r w:rsidR="0058184B">
        <w:rPr>
          <w:rFonts w:ascii="Calibri" w:hAnsi="Calibri"/>
          <w:color w:val="000000" w:themeColor="text1"/>
          <w:szCs w:val="18"/>
        </w:rPr>
        <w:fldChar w:fldCharType="separate"/>
      </w:r>
      <w:r w:rsidR="003724C3" w:rsidRPr="003724C3">
        <w:rPr>
          <w:rFonts w:ascii="Calibri" w:hAnsi="Calibri"/>
          <w:noProof/>
          <w:color w:val="000000" w:themeColor="text1"/>
          <w:szCs w:val="18"/>
        </w:rPr>
        <w:t>(Wills et al., 2017, 2016, 2015)</w:t>
      </w:r>
      <w:r w:rsidR="0058184B">
        <w:rPr>
          <w:rFonts w:ascii="Calibri" w:hAnsi="Calibri"/>
          <w:color w:val="000000" w:themeColor="text1"/>
          <w:szCs w:val="18"/>
        </w:rPr>
        <w:fldChar w:fldCharType="end"/>
      </w:r>
      <w:r w:rsidR="00343388">
        <w:rPr>
          <w:rFonts w:ascii="Calibri" w:hAnsi="Calibri"/>
          <w:color w:val="000000" w:themeColor="text1"/>
          <w:szCs w:val="18"/>
        </w:rPr>
        <w:t>.</w:t>
      </w:r>
      <w:r>
        <w:rPr>
          <w:rFonts w:ascii="Calibri" w:hAnsi="Calibri"/>
          <w:color w:val="000000" w:themeColor="text1"/>
          <w:szCs w:val="18"/>
        </w:rPr>
        <w:t xml:space="preserve"> Analyses were carried out the R computing environment using the freely available PROAST package </w:t>
      </w:r>
      <w:r w:rsidR="00870192">
        <w:rPr>
          <w:rFonts w:ascii="Calibri" w:hAnsi="Calibri"/>
          <w:color w:val="000000" w:themeColor="text1"/>
          <w:szCs w:val="18"/>
        </w:rPr>
        <w:t>(</w:t>
      </w:r>
      <w:hyperlink r:id="rId11" w:history="1">
        <w:r w:rsidR="00870192" w:rsidRPr="00473E77">
          <w:rPr>
            <w:rStyle w:val="Hyperlink"/>
            <w:rFonts w:ascii="Calibri" w:hAnsi="Calibri"/>
            <w:szCs w:val="18"/>
          </w:rPr>
          <w:t>http://www.proast.nl</w:t>
        </w:r>
      </w:hyperlink>
      <w:r w:rsidR="00870192">
        <w:rPr>
          <w:rFonts w:ascii="Calibri" w:hAnsi="Calibri"/>
          <w:color w:val="000000" w:themeColor="text1"/>
          <w:szCs w:val="18"/>
        </w:rPr>
        <w:t>). The bacterial viability dose-response data were analysed using a nested family of four-parameter exponential models recommended for the analysis of continuous toxicity data</w:t>
      </w:r>
      <w:r w:rsidR="00870192" w:rsidRPr="00870192">
        <w:rPr>
          <w:rFonts w:ascii="Calibri" w:hAnsi="Calibri"/>
          <w:color w:val="000000" w:themeColor="text1"/>
          <w:szCs w:val="18"/>
        </w:rPr>
        <w:t xml:space="preserve"> </w:t>
      </w:r>
      <w:r w:rsidR="00870192">
        <w:rPr>
          <w:rFonts w:ascii="Calibri" w:hAnsi="Calibri"/>
          <w:color w:val="000000" w:themeColor="text1"/>
          <w:szCs w:val="18"/>
        </w:rPr>
        <w:t xml:space="preserve">by </w:t>
      </w:r>
      <w:r w:rsidR="00870192">
        <w:rPr>
          <w:rFonts w:ascii="Calibri" w:hAnsi="Calibri"/>
          <w:color w:val="000000" w:themeColor="text1"/>
          <w:szCs w:val="18"/>
        </w:rPr>
        <w:lastRenderedPageBreak/>
        <w:t>the EFSA</w:t>
      </w:r>
      <w:r w:rsidR="00343388">
        <w:rPr>
          <w:rFonts w:ascii="Calibri" w:hAnsi="Calibri"/>
          <w:color w:val="000000" w:themeColor="text1"/>
          <w:szCs w:val="18"/>
        </w:rPr>
        <w:t xml:space="preserve"> </w:t>
      </w:r>
      <w:r w:rsidR="0058184B">
        <w:rPr>
          <w:rFonts w:ascii="Calibri" w:hAnsi="Calibri"/>
          <w:color w:val="000000" w:themeColor="text1"/>
          <w:szCs w:val="18"/>
        </w:rPr>
        <w:fldChar w:fldCharType="begin" w:fldLock="1"/>
      </w:r>
      <w:r w:rsidR="005541E7">
        <w:rPr>
          <w:rFonts w:ascii="Calibri" w:hAnsi="Calibri"/>
          <w:color w:val="000000" w:themeColor="text1"/>
          <w:szCs w:val="18"/>
        </w:rPr>
        <w:instrText>ADDIN CSL_CITATION {"citationItems":[{"id":"ITEM-1","itemData":{"DOI":"10.2903/j.efsa.2009.1150","author":[{"dropping-particle":"","family":"EFSA","given":"","non-dropping-particle":"","parse-names":false,"suffix":""}],"container-title":"EFSA Journal","id":"ITEM-1","issue":"1150","issued":{"date-parts":[["2009"]]},"number-of-pages":"1-72","title":"European Food Safety Authority (EFSA). Guidance of the Scientific Committee on Use of the Benchmark Dose Approach in Risk Assessment","type":"book"},"uris":["http://www.mendeley.com/documents/?uuid=fd2bb6cf-e3a3-4caf-963d-a1cdb660409e"]},{"id":"ITEM-2","itemData":{"author":[{"dropping-particle":"","family":"EFSA","given":"","non-dropping-particle":"","parse-names":false,"suffix":""}],"container-title":"EFSA Journal","id":"ITEM-2","issue":"15","issued":{"date-parts":[["2017"]]},"number-of-pages":"4658-4699","title":"European Food Safety Authority (EFSA). Update: Guidance on the Use of the Benchmark Dose Approach in Risk Assessment","type":"book"},"uris":["http://www.mendeley.com/documents/?uuid=d73765d3-1a93-431b-9fd8-a6881fe6871f"]}],"mendeley":{"formattedCitation":"(EFSA, 2017, 2009)","plainTextFormattedCitation":"(EFSA, 2017, 2009)","previouslyFormattedCitation":"(EFSA, 2017, 2009)"},"properties":{"noteIndex":0},"schema":"https://github.com/citation-style-language/schema/raw/master/csl-citation.json"}</w:instrText>
      </w:r>
      <w:r w:rsidR="0058184B">
        <w:rPr>
          <w:rFonts w:ascii="Calibri" w:hAnsi="Calibri"/>
          <w:color w:val="000000" w:themeColor="text1"/>
          <w:szCs w:val="18"/>
        </w:rPr>
        <w:fldChar w:fldCharType="separate"/>
      </w:r>
      <w:r w:rsidR="002A7491" w:rsidRPr="002A7491">
        <w:rPr>
          <w:rFonts w:ascii="Calibri" w:hAnsi="Calibri"/>
          <w:noProof/>
          <w:color w:val="000000" w:themeColor="text1"/>
          <w:szCs w:val="18"/>
        </w:rPr>
        <w:t>(EFSA, 2017, 2009)</w:t>
      </w:r>
      <w:r w:rsidR="0058184B">
        <w:rPr>
          <w:rFonts w:ascii="Calibri" w:hAnsi="Calibri"/>
          <w:color w:val="000000" w:themeColor="text1"/>
          <w:szCs w:val="18"/>
        </w:rPr>
        <w:fldChar w:fldCharType="end"/>
      </w:r>
      <w:r w:rsidR="00343388">
        <w:rPr>
          <w:rFonts w:ascii="Calibri" w:hAnsi="Calibri"/>
          <w:color w:val="000000" w:themeColor="text1"/>
          <w:szCs w:val="18"/>
        </w:rPr>
        <w:t>.</w:t>
      </w:r>
      <w:r w:rsidR="001E6097">
        <w:rPr>
          <w:rFonts w:ascii="Calibri" w:hAnsi="Calibri"/>
          <w:color w:val="000000" w:themeColor="text1"/>
          <w:szCs w:val="18"/>
        </w:rPr>
        <w:t xml:space="preserve"> </w:t>
      </w:r>
      <w:r w:rsidR="00FA0C7A">
        <w:rPr>
          <w:rFonts w:ascii="Calibri" w:hAnsi="Calibri"/>
          <w:color w:val="000000" w:themeColor="text1"/>
          <w:szCs w:val="18"/>
        </w:rPr>
        <w:t xml:space="preserve">In each analysis, combined </w:t>
      </w:r>
      <w:r w:rsidR="00DD450F">
        <w:rPr>
          <w:rFonts w:ascii="Calibri" w:hAnsi="Calibri"/>
          <w:color w:val="000000" w:themeColor="text1"/>
          <w:szCs w:val="18"/>
        </w:rPr>
        <w:t xml:space="preserve">dose response </w:t>
      </w:r>
      <w:r w:rsidR="00FA0C7A">
        <w:rPr>
          <w:rFonts w:ascii="Calibri" w:hAnsi="Calibri"/>
          <w:color w:val="000000" w:themeColor="text1"/>
          <w:szCs w:val="18"/>
        </w:rPr>
        <w:t>data</w:t>
      </w:r>
      <w:r w:rsidR="00DD450F">
        <w:rPr>
          <w:rFonts w:ascii="Calibri" w:hAnsi="Calibri"/>
          <w:color w:val="000000" w:themeColor="text1"/>
          <w:szCs w:val="18"/>
        </w:rPr>
        <w:t xml:space="preserve"> for either the total dose of copper</w:t>
      </w:r>
      <w:r w:rsidR="00160277">
        <w:rPr>
          <w:rFonts w:ascii="Calibri" w:hAnsi="Calibri"/>
          <w:color w:val="000000" w:themeColor="text1"/>
          <w:szCs w:val="18"/>
        </w:rPr>
        <w:t xml:space="preserve"> (</w:t>
      </w:r>
      <w:r w:rsidR="00160277" w:rsidRPr="0058184B">
        <w:rPr>
          <w:rFonts w:ascii="Calibri" w:hAnsi="Calibri"/>
          <w:i/>
          <w:color w:val="000000" w:themeColor="text1"/>
          <w:szCs w:val="18"/>
        </w:rPr>
        <w:t>i.e.,</w:t>
      </w:r>
      <w:r w:rsidR="00160277">
        <w:rPr>
          <w:rFonts w:ascii="Calibri" w:hAnsi="Calibri"/>
          <w:color w:val="000000" w:themeColor="text1"/>
          <w:szCs w:val="18"/>
        </w:rPr>
        <w:t xml:space="preserve"> the dose-time product) </w:t>
      </w:r>
      <w:r w:rsidR="00DD450F">
        <w:rPr>
          <w:rFonts w:ascii="Calibri" w:hAnsi="Calibri"/>
          <w:color w:val="000000" w:themeColor="text1"/>
          <w:szCs w:val="18"/>
        </w:rPr>
        <w:t xml:space="preserve">or the </w:t>
      </w:r>
      <w:r w:rsidR="00160277">
        <w:rPr>
          <w:rFonts w:ascii="Calibri" w:hAnsi="Calibri"/>
          <w:color w:val="000000" w:themeColor="text1"/>
          <w:szCs w:val="18"/>
        </w:rPr>
        <w:t xml:space="preserve">released </w:t>
      </w:r>
      <w:r w:rsidR="00DD450F">
        <w:rPr>
          <w:rFonts w:ascii="Calibri" w:hAnsi="Calibri"/>
          <w:color w:val="000000" w:themeColor="text1"/>
          <w:szCs w:val="18"/>
        </w:rPr>
        <w:t xml:space="preserve">dose of soluble copper </w:t>
      </w:r>
      <w:r w:rsidR="00FA0C7A">
        <w:rPr>
          <w:rFonts w:ascii="Calibri" w:hAnsi="Calibri"/>
          <w:color w:val="000000" w:themeColor="text1"/>
          <w:szCs w:val="18"/>
        </w:rPr>
        <w:t xml:space="preserve">were analysed using the factor discriminating the </w:t>
      </w:r>
      <w:r w:rsidR="00DD450F">
        <w:rPr>
          <w:rFonts w:ascii="Calibri" w:hAnsi="Calibri"/>
          <w:color w:val="000000" w:themeColor="text1"/>
          <w:szCs w:val="18"/>
        </w:rPr>
        <w:t>subgroups</w:t>
      </w:r>
      <w:r w:rsidR="00FA0C7A">
        <w:rPr>
          <w:rFonts w:ascii="Calibri" w:hAnsi="Calibri"/>
          <w:color w:val="000000" w:themeColor="text1"/>
          <w:szCs w:val="18"/>
        </w:rPr>
        <w:t xml:space="preserve"> (</w:t>
      </w:r>
      <w:r w:rsidR="00FA0C7A" w:rsidRPr="0058184B">
        <w:rPr>
          <w:rFonts w:ascii="Calibri" w:hAnsi="Calibri"/>
          <w:i/>
          <w:color w:val="000000" w:themeColor="text1"/>
          <w:szCs w:val="18"/>
        </w:rPr>
        <w:t>i.e.,</w:t>
      </w:r>
      <w:r w:rsidR="00FA0C7A">
        <w:rPr>
          <w:rFonts w:ascii="Calibri" w:hAnsi="Calibri"/>
          <w:color w:val="000000" w:themeColor="text1"/>
          <w:szCs w:val="18"/>
        </w:rPr>
        <w:t xml:space="preserve"> copper</w:t>
      </w:r>
      <w:r w:rsidR="005F5AF6">
        <w:rPr>
          <w:rFonts w:ascii="Calibri" w:hAnsi="Calibri"/>
          <w:color w:val="000000" w:themeColor="text1"/>
          <w:szCs w:val="18"/>
        </w:rPr>
        <w:t>-based</w:t>
      </w:r>
      <w:r w:rsidR="00FA0C7A">
        <w:rPr>
          <w:rFonts w:ascii="Calibri" w:hAnsi="Calibri"/>
          <w:color w:val="000000" w:themeColor="text1"/>
          <w:szCs w:val="18"/>
        </w:rPr>
        <w:t xml:space="preserve"> nanoparticle type) as a covariate. </w:t>
      </w:r>
      <w:r w:rsidR="00DD450F">
        <w:rPr>
          <w:rFonts w:ascii="Calibri" w:hAnsi="Calibri"/>
          <w:color w:val="000000" w:themeColor="text1"/>
          <w:szCs w:val="18"/>
        </w:rPr>
        <w:t>Models were iteratively fitted to the data with more complex models with increasing numbers of covariate-dependent parameters only accepted if the difference in log-likelihood exceeded P &lt; 0.05. This approach allowed determination of which model parameters needed to be estimated for each subgroup, and which parameters could be considered constants across the combined data. Interpolation from the fitted model allowed estimation of the dose (</w:t>
      </w:r>
      <w:r w:rsidR="00DD450F" w:rsidRPr="0058184B">
        <w:rPr>
          <w:rFonts w:ascii="Calibri" w:hAnsi="Calibri"/>
          <w:i/>
          <w:color w:val="000000" w:themeColor="text1"/>
          <w:szCs w:val="18"/>
        </w:rPr>
        <w:t>i.e.,</w:t>
      </w:r>
      <w:r w:rsidR="00DD450F">
        <w:rPr>
          <w:rFonts w:ascii="Calibri" w:hAnsi="Calibri"/>
          <w:color w:val="000000" w:themeColor="text1"/>
          <w:szCs w:val="18"/>
        </w:rPr>
        <w:t xml:space="preserve"> the BMD) that could be expected to cause the benchmark response (set here at a 50% reduction in </w:t>
      </w:r>
      <w:r w:rsidR="006141B2">
        <w:rPr>
          <w:rFonts w:ascii="Calibri" w:hAnsi="Calibri"/>
          <w:color w:val="000000" w:themeColor="text1"/>
          <w:szCs w:val="18"/>
        </w:rPr>
        <w:t>bacterial</w:t>
      </w:r>
      <w:r w:rsidR="00DD450F">
        <w:rPr>
          <w:rFonts w:ascii="Calibri" w:hAnsi="Calibri"/>
          <w:color w:val="000000" w:themeColor="text1"/>
          <w:szCs w:val="18"/>
        </w:rPr>
        <w:t xml:space="preserve"> viability)</w:t>
      </w:r>
      <w:r w:rsidR="00782FB4">
        <w:rPr>
          <w:rFonts w:ascii="Calibri" w:hAnsi="Calibri"/>
          <w:color w:val="000000" w:themeColor="text1"/>
          <w:szCs w:val="18"/>
        </w:rPr>
        <w:t xml:space="preserve"> for each of the particle formulations. </w:t>
      </w:r>
    </w:p>
    <w:p w14:paraId="0E60169A" w14:textId="77777777" w:rsidR="00343388" w:rsidRDefault="00343388" w:rsidP="00343388">
      <w:pPr>
        <w:spacing w:after="0" w:line="480" w:lineRule="auto"/>
        <w:jc w:val="both"/>
        <w:rPr>
          <w:rFonts w:ascii="Calibri" w:hAnsi="Calibri" w:cstheme="minorHAnsi"/>
          <w:b/>
          <w:szCs w:val="18"/>
          <w:highlight w:val="yellow"/>
        </w:rPr>
      </w:pPr>
    </w:p>
    <w:p w14:paraId="7B7B7D5B" w14:textId="77777777" w:rsidR="00D97921" w:rsidRPr="00D97921" w:rsidRDefault="00D97921" w:rsidP="00343388">
      <w:pPr>
        <w:pStyle w:val="ListParagraph"/>
        <w:numPr>
          <w:ilvl w:val="1"/>
          <w:numId w:val="5"/>
        </w:numPr>
        <w:spacing w:after="0" w:line="480" w:lineRule="auto"/>
        <w:ind w:left="714" w:hanging="357"/>
        <w:contextualSpacing w:val="0"/>
        <w:jc w:val="both"/>
        <w:outlineLvl w:val="1"/>
        <w:rPr>
          <w:rFonts w:ascii="Calibri" w:hAnsi="Calibri" w:cstheme="minorHAnsi"/>
          <w:b/>
          <w:szCs w:val="18"/>
        </w:rPr>
      </w:pPr>
      <w:r w:rsidRPr="00D97921">
        <w:rPr>
          <w:rFonts w:ascii="Calibri" w:hAnsi="Calibri" w:cstheme="minorHAnsi"/>
          <w:b/>
          <w:szCs w:val="18"/>
        </w:rPr>
        <w:t xml:space="preserve"> TOF-SIMS analysis </w:t>
      </w:r>
    </w:p>
    <w:p w14:paraId="4B8507C4" w14:textId="74AF10FB" w:rsidR="00883037" w:rsidRPr="002422F1" w:rsidRDefault="00883037" w:rsidP="00343388">
      <w:pPr>
        <w:spacing w:after="0" w:line="480" w:lineRule="auto"/>
        <w:jc w:val="both"/>
        <w:rPr>
          <w:rFonts w:ascii="Calibri" w:hAnsi="Calibri" w:cstheme="minorHAnsi"/>
          <w:szCs w:val="18"/>
        </w:rPr>
      </w:pPr>
      <w:r>
        <w:rPr>
          <w:rFonts w:ascii="Calibri" w:hAnsi="Calibri" w:cstheme="minorHAnsi"/>
          <w:szCs w:val="18"/>
        </w:rPr>
        <w:t>A 40mM copper chloride solution was diluted to 500mg/L (</w:t>
      </w:r>
      <w:r w:rsidRPr="005359AA">
        <w:rPr>
          <w:rFonts w:ascii="Calibri" w:hAnsi="Calibri" w:cstheme="minorHAnsi"/>
          <w:i/>
          <w:szCs w:val="18"/>
        </w:rPr>
        <w:t xml:space="preserve">ca. </w:t>
      </w:r>
      <w:r>
        <w:rPr>
          <w:rFonts w:ascii="Calibri" w:hAnsi="Calibri" w:cstheme="minorHAnsi"/>
          <w:szCs w:val="18"/>
        </w:rPr>
        <w:t xml:space="preserve">7.9mM) in HMM and this stock was then further diluted to 12.5mg/L copper in an </w:t>
      </w:r>
      <w:r w:rsidRPr="00FA284B">
        <w:rPr>
          <w:rFonts w:ascii="Calibri" w:hAnsi="Calibri" w:cstheme="minorHAnsi"/>
          <w:i/>
          <w:szCs w:val="18"/>
        </w:rPr>
        <w:t>E.</w:t>
      </w:r>
      <w:r w:rsidR="007E68AC">
        <w:rPr>
          <w:rFonts w:ascii="Calibri" w:hAnsi="Calibri" w:cstheme="minorHAnsi"/>
          <w:i/>
          <w:szCs w:val="18"/>
        </w:rPr>
        <w:t xml:space="preserve"> </w:t>
      </w:r>
      <w:r w:rsidRPr="00FA284B">
        <w:rPr>
          <w:rFonts w:ascii="Calibri" w:hAnsi="Calibri" w:cstheme="minorHAnsi"/>
          <w:i/>
          <w:szCs w:val="18"/>
        </w:rPr>
        <w:t>coli</w:t>
      </w:r>
      <w:r>
        <w:rPr>
          <w:rFonts w:ascii="Calibri" w:hAnsi="Calibri" w:cstheme="minorHAnsi"/>
          <w:szCs w:val="18"/>
        </w:rPr>
        <w:t xml:space="preserve"> </w:t>
      </w:r>
      <w:r w:rsidR="00600AC4">
        <w:rPr>
          <w:rFonts w:ascii="Calibri" w:hAnsi="Calibri" w:cstheme="minorHAnsi"/>
          <w:szCs w:val="18"/>
        </w:rPr>
        <w:t>(DH</w:t>
      </w:r>
      <w:r w:rsidR="00600AC4">
        <w:rPr>
          <w:rFonts w:ascii="Calibri" w:hAnsi="Calibri" w:cstheme="minorHAnsi"/>
          <w:szCs w:val="18"/>
          <w:vertAlign w:val="subscript"/>
        </w:rPr>
        <w:t xml:space="preserve">5 </w:t>
      </w:r>
      <w:r w:rsidR="00600AC4">
        <w:rPr>
          <w:rFonts w:ascii="Calibri" w:hAnsi="Calibri" w:cstheme="minorHAnsi"/>
          <w:szCs w:val="18"/>
        </w:rPr>
        <w:t>alpha</w:t>
      </w:r>
      <w:r w:rsidR="003E6440">
        <w:rPr>
          <w:rFonts w:ascii="Calibri" w:hAnsi="Calibri" w:cstheme="minorHAnsi"/>
          <w:szCs w:val="18"/>
        </w:rPr>
        <w:t>)</w:t>
      </w:r>
      <w:r w:rsidR="00600AC4">
        <w:rPr>
          <w:rFonts w:ascii="Calibri" w:hAnsi="Calibri" w:cstheme="minorHAnsi"/>
          <w:szCs w:val="18"/>
        </w:rPr>
        <w:t xml:space="preserve"> </w:t>
      </w:r>
      <w:r>
        <w:rPr>
          <w:rFonts w:ascii="Calibri" w:hAnsi="Calibri" w:cstheme="minorHAnsi"/>
          <w:szCs w:val="18"/>
        </w:rPr>
        <w:t>culture in the stationary phase (</w:t>
      </w:r>
      <w:r w:rsidR="00A24E62">
        <w:rPr>
          <w:rFonts w:ascii="Calibri" w:hAnsi="Calibri" w:cstheme="minorHAnsi"/>
          <w:szCs w:val="18"/>
        </w:rPr>
        <w:t xml:space="preserve">pre-cultured in </w:t>
      </w:r>
      <w:r w:rsidR="008D019B">
        <w:rPr>
          <w:rFonts w:ascii="Calibri" w:hAnsi="Calibri" w:cstheme="minorHAnsi"/>
          <w:szCs w:val="18"/>
        </w:rPr>
        <w:t>Tryptic Soy Broth medium (</w:t>
      </w:r>
      <w:r w:rsidR="00A24E62">
        <w:rPr>
          <w:rFonts w:ascii="Calibri" w:hAnsi="Calibri" w:cstheme="minorHAnsi"/>
          <w:szCs w:val="18"/>
        </w:rPr>
        <w:t>TBS</w:t>
      </w:r>
      <w:r w:rsidR="008D019B">
        <w:rPr>
          <w:rFonts w:ascii="Calibri" w:hAnsi="Calibri" w:cstheme="minorHAnsi"/>
          <w:szCs w:val="18"/>
        </w:rPr>
        <w:t>)</w:t>
      </w:r>
      <w:r w:rsidR="00A24E62">
        <w:rPr>
          <w:rFonts w:ascii="Calibri" w:hAnsi="Calibri" w:cstheme="minorHAnsi"/>
          <w:szCs w:val="18"/>
        </w:rPr>
        <w:t xml:space="preserve"> and added in the exponential phase to </w:t>
      </w:r>
      <w:r w:rsidR="0088539A">
        <w:rPr>
          <w:rFonts w:ascii="Calibri" w:hAnsi="Calibri" w:cstheme="minorHAnsi"/>
          <w:szCs w:val="18"/>
        </w:rPr>
        <w:t>HMM overnight cultures (37</w:t>
      </w:r>
      <w:r w:rsidR="0088539A" w:rsidRPr="00C949A1">
        <w:rPr>
          <w:rFonts w:ascii="Calibri" w:hAnsi="Calibri" w:cstheme="minorHAnsi"/>
          <w:szCs w:val="18"/>
        </w:rPr>
        <w:t>°</w:t>
      </w:r>
      <w:r w:rsidR="0088539A">
        <w:rPr>
          <w:rFonts w:ascii="Calibri" w:hAnsi="Calibri" w:cstheme="minorHAnsi"/>
          <w:szCs w:val="18"/>
        </w:rPr>
        <w:t>C, 200 rpm; 1.9 cm orbit; Max 4000 Barnstead Lab-line)</w:t>
      </w:r>
      <w:r>
        <w:rPr>
          <w:rFonts w:ascii="Calibri" w:hAnsi="Calibri" w:cstheme="minorHAnsi"/>
          <w:szCs w:val="18"/>
        </w:rPr>
        <w:t>. Copper and bacteria were incubated at room temperature for 2 hours with no agitation. This culture was subsequently centrifuged at 1500rpm (</w:t>
      </w:r>
      <w:r w:rsidR="00D06CD4" w:rsidRPr="0069433C">
        <w:rPr>
          <w:rFonts w:ascii="Calibri" w:hAnsi="Calibri" w:cstheme="minorHAnsi"/>
          <w:color w:val="0D0D0D" w:themeColor="text1" w:themeTint="F2"/>
          <w:szCs w:val="18"/>
        </w:rPr>
        <w:t>250</w:t>
      </w:r>
      <w:r w:rsidRPr="0069433C">
        <w:rPr>
          <w:rFonts w:ascii="Calibri" w:hAnsi="Calibri" w:cstheme="minorHAnsi"/>
          <w:color w:val="0D0D0D" w:themeColor="text1" w:themeTint="F2"/>
          <w:szCs w:val="18"/>
        </w:rPr>
        <w:t>g</w:t>
      </w:r>
      <w:r w:rsidR="00031BAA" w:rsidRPr="0069433C">
        <w:rPr>
          <w:rFonts w:ascii="Calibri" w:hAnsi="Calibri" w:cstheme="minorHAnsi"/>
          <w:color w:val="0D0D0D" w:themeColor="text1" w:themeTint="F2"/>
          <w:szCs w:val="18"/>
        </w:rPr>
        <w:t xml:space="preserve">; Heraeus </w:t>
      </w:r>
      <w:proofErr w:type="spellStart"/>
      <w:r w:rsidR="00031BAA" w:rsidRPr="0069433C">
        <w:rPr>
          <w:rFonts w:ascii="Calibri" w:hAnsi="Calibri" w:cstheme="minorHAnsi"/>
          <w:color w:val="0D0D0D" w:themeColor="text1" w:themeTint="F2"/>
          <w:szCs w:val="18"/>
        </w:rPr>
        <w:t>multifuge</w:t>
      </w:r>
      <w:proofErr w:type="spellEnd"/>
      <w:r w:rsidRPr="0069433C">
        <w:rPr>
          <w:rFonts w:ascii="Calibri" w:hAnsi="Calibri" w:cstheme="minorHAnsi"/>
          <w:color w:val="0D0D0D" w:themeColor="text1" w:themeTint="F2"/>
          <w:szCs w:val="18"/>
        </w:rPr>
        <w:t xml:space="preserve">) for 5 min and the supernatant containing the medium and free copper </w:t>
      </w:r>
      <w:r>
        <w:rPr>
          <w:rFonts w:ascii="Calibri" w:hAnsi="Calibri" w:cstheme="minorHAnsi"/>
          <w:szCs w:val="18"/>
        </w:rPr>
        <w:t xml:space="preserve">was discarded. The remaining </w:t>
      </w:r>
      <w:r w:rsidR="004E1A53">
        <w:rPr>
          <w:rFonts w:ascii="Calibri" w:hAnsi="Calibri" w:cstheme="minorHAnsi"/>
          <w:szCs w:val="18"/>
        </w:rPr>
        <w:t xml:space="preserve">cell </w:t>
      </w:r>
      <w:r w:rsidR="004B5A25">
        <w:rPr>
          <w:rFonts w:ascii="Calibri" w:hAnsi="Calibri" w:cstheme="minorHAnsi"/>
          <w:szCs w:val="18"/>
        </w:rPr>
        <w:t xml:space="preserve">pellet </w:t>
      </w:r>
      <w:r>
        <w:rPr>
          <w:rFonts w:ascii="Calibri" w:hAnsi="Calibri" w:cstheme="minorHAnsi"/>
          <w:szCs w:val="18"/>
        </w:rPr>
        <w:t xml:space="preserve">was resuspended to </w:t>
      </w:r>
      <w:r w:rsidR="005C2329">
        <w:rPr>
          <w:rFonts w:ascii="Calibri" w:hAnsi="Calibri" w:cstheme="minorHAnsi"/>
          <w:szCs w:val="18"/>
        </w:rPr>
        <w:t xml:space="preserve">the </w:t>
      </w:r>
      <w:r>
        <w:rPr>
          <w:rFonts w:ascii="Calibri" w:hAnsi="Calibri" w:cstheme="minorHAnsi"/>
          <w:szCs w:val="18"/>
        </w:rPr>
        <w:t>original volume in UHP water</w:t>
      </w:r>
      <w:r w:rsidR="00FC3072">
        <w:rPr>
          <w:rFonts w:ascii="Calibri" w:hAnsi="Calibri" w:cstheme="minorHAnsi"/>
          <w:szCs w:val="18"/>
        </w:rPr>
        <w:t xml:space="preserve">. A </w:t>
      </w:r>
      <w:r w:rsidR="002505C5">
        <w:rPr>
          <w:rFonts w:ascii="Calibri" w:hAnsi="Calibri" w:cstheme="minorHAnsi"/>
          <w:szCs w:val="18"/>
        </w:rPr>
        <w:t xml:space="preserve">sample </w:t>
      </w:r>
      <w:r w:rsidR="00FC3072">
        <w:rPr>
          <w:rFonts w:ascii="Calibri" w:hAnsi="Calibri" w:cstheme="minorHAnsi"/>
          <w:szCs w:val="18"/>
        </w:rPr>
        <w:t xml:space="preserve">droplet was </w:t>
      </w:r>
      <w:r w:rsidR="005C2329">
        <w:rPr>
          <w:rFonts w:ascii="Calibri" w:hAnsi="Calibri" w:cstheme="minorHAnsi"/>
          <w:szCs w:val="18"/>
        </w:rPr>
        <w:t xml:space="preserve">mounted on </w:t>
      </w:r>
      <w:r w:rsidR="00C61C2F">
        <w:rPr>
          <w:rFonts w:ascii="Calibri" w:hAnsi="Calibri" w:cstheme="minorHAnsi"/>
          <w:szCs w:val="18"/>
        </w:rPr>
        <w:t>a silic</w:t>
      </w:r>
      <w:r w:rsidR="00E94E56">
        <w:rPr>
          <w:rFonts w:ascii="Calibri" w:hAnsi="Calibri" w:cstheme="minorHAnsi"/>
          <w:szCs w:val="18"/>
        </w:rPr>
        <w:t xml:space="preserve">on wafer, </w:t>
      </w:r>
      <w:r w:rsidR="005C2329">
        <w:rPr>
          <w:rFonts w:ascii="Calibri" w:hAnsi="Calibri" w:cstheme="minorHAnsi"/>
          <w:szCs w:val="18"/>
        </w:rPr>
        <w:t>heat-dried</w:t>
      </w:r>
      <w:r w:rsidR="005829A5">
        <w:rPr>
          <w:rFonts w:ascii="Calibri" w:hAnsi="Calibri" w:cstheme="minorHAnsi"/>
          <w:szCs w:val="18"/>
        </w:rPr>
        <w:t>,</w:t>
      </w:r>
      <w:r>
        <w:rPr>
          <w:rFonts w:ascii="Calibri" w:hAnsi="Calibri" w:cstheme="minorHAnsi"/>
          <w:szCs w:val="18"/>
        </w:rPr>
        <w:t xml:space="preserve"> and analysed </w:t>
      </w:r>
      <w:r w:rsidR="002505C5">
        <w:rPr>
          <w:rFonts w:ascii="Calibri" w:hAnsi="Calibri" w:cstheme="minorHAnsi"/>
          <w:szCs w:val="18"/>
        </w:rPr>
        <w:t>by</w:t>
      </w:r>
      <w:r>
        <w:rPr>
          <w:rFonts w:ascii="Calibri" w:hAnsi="Calibri" w:cstheme="minorHAnsi"/>
          <w:szCs w:val="18"/>
        </w:rPr>
        <w:t xml:space="preserve"> TOF-SIM</w:t>
      </w:r>
      <w:r w:rsidR="005829A5">
        <w:rPr>
          <w:rFonts w:ascii="Calibri" w:hAnsi="Calibri" w:cstheme="minorHAnsi"/>
          <w:szCs w:val="18"/>
        </w:rPr>
        <w:t>S</w:t>
      </w:r>
      <w:r>
        <w:rPr>
          <w:rFonts w:ascii="Calibri" w:hAnsi="Calibri" w:cstheme="minorHAnsi"/>
          <w:szCs w:val="18"/>
        </w:rPr>
        <w:t xml:space="preserve">.   </w:t>
      </w:r>
    </w:p>
    <w:p w14:paraId="4FE0989C" w14:textId="77777777" w:rsidR="00582EC9" w:rsidRPr="00582EC9" w:rsidRDefault="00582EC9" w:rsidP="00343388">
      <w:pPr>
        <w:spacing w:after="0" w:line="480" w:lineRule="auto"/>
        <w:jc w:val="both"/>
      </w:pPr>
      <w:proofErr w:type="spellStart"/>
      <w:r w:rsidRPr="00582EC9">
        <w:t>ToF</w:t>
      </w:r>
      <w:proofErr w:type="spellEnd"/>
      <w:r w:rsidRPr="00582EC9">
        <w:t>-SIMS imaging and depth profiling was performed using a TOF.SIMS V (ION-TOF, GmbH) using a 25 keV bismuth liquid metal ion gun as a primary ion source and a 10 KeV C</w:t>
      </w:r>
      <w:r w:rsidRPr="00582EC9">
        <w:rPr>
          <w:vertAlign w:val="subscript"/>
        </w:rPr>
        <w:t>60</w:t>
      </w:r>
      <w:r w:rsidRPr="00582EC9">
        <w:t xml:space="preserve"> ion source as a sputter source. The delayed extraction mode was used for imaging with an approximate lateral resolution of 400 nm at a </w:t>
      </w:r>
      <w:r w:rsidRPr="00582EC9">
        <w:rPr>
          <w:color w:val="000000" w:themeColor="text1"/>
        </w:rPr>
        <w:t>mass resolution of approx. 3500 at m/z 58. T</w:t>
      </w:r>
      <w:r w:rsidRPr="00582EC9">
        <w:t>he pulsed primary ion current of the Bi</w:t>
      </w:r>
      <w:r w:rsidRPr="00582EC9">
        <w:rPr>
          <w:vertAlign w:val="subscript"/>
        </w:rPr>
        <w:t>3</w:t>
      </w:r>
      <w:r w:rsidRPr="00582EC9">
        <w:rPr>
          <w:vertAlign w:val="superscript"/>
        </w:rPr>
        <w:t>+</w:t>
      </w:r>
      <w:r w:rsidRPr="00582EC9">
        <w:t xml:space="preserve"> ion used was 0.2 </w:t>
      </w:r>
      <w:proofErr w:type="spellStart"/>
      <w:r w:rsidRPr="00582EC9">
        <w:t>pA.</w:t>
      </w:r>
      <w:proofErr w:type="spellEnd"/>
      <w:r w:rsidRPr="00582EC9">
        <w:t xml:space="preserve"> The total primary ion dose density was 1 × 10</w:t>
      </w:r>
      <w:r w:rsidRPr="00582EC9">
        <w:rPr>
          <w:vertAlign w:val="superscript"/>
        </w:rPr>
        <w:t>11</w:t>
      </w:r>
      <w:r w:rsidRPr="00582EC9">
        <w:t xml:space="preserve"> ions/cm</w:t>
      </w:r>
      <w:r w:rsidRPr="00582EC9">
        <w:rPr>
          <w:vertAlign w:val="superscript"/>
        </w:rPr>
        <w:t>2</w:t>
      </w:r>
      <w:r w:rsidRPr="00582EC9">
        <w:t xml:space="preserve"> and therefore below the </w:t>
      </w:r>
      <w:r w:rsidRPr="00582EC9">
        <w:lastRenderedPageBreak/>
        <w:t xml:space="preserve">static limit. The </w:t>
      </w:r>
      <w:proofErr w:type="spellStart"/>
      <w:r w:rsidRPr="00582EC9">
        <w:t>SurfaceLab</w:t>
      </w:r>
      <w:proofErr w:type="spellEnd"/>
      <w:r w:rsidRPr="00582EC9">
        <w:t xml:space="preserve"> 6 software (v. 6.6, ION-TOF GmbH) was used for all processing of images and depth profiles. The mass spectra were calibrated internally to signals of [CH</w:t>
      </w:r>
      <w:proofErr w:type="gramStart"/>
      <w:r w:rsidRPr="00582EC9">
        <w:rPr>
          <w:vertAlign w:val="subscript"/>
        </w:rPr>
        <w:t>3</w:t>
      </w:r>
      <w:r w:rsidRPr="00582EC9">
        <w:t>]</w:t>
      </w:r>
      <w:r w:rsidRPr="00582EC9">
        <w:rPr>
          <w:vertAlign w:val="superscript"/>
        </w:rPr>
        <w:t>+</w:t>
      </w:r>
      <w:proofErr w:type="gramEnd"/>
      <w:r w:rsidRPr="00582EC9">
        <w:t>, [C</w:t>
      </w:r>
      <w:r w:rsidRPr="00582EC9">
        <w:rPr>
          <w:vertAlign w:val="subscript"/>
        </w:rPr>
        <w:t>5</w:t>
      </w:r>
      <w:r w:rsidRPr="00582EC9">
        <w:t>H</w:t>
      </w:r>
      <w:r w:rsidRPr="00582EC9">
        <w:rPr>
          <w:vertAlign w:val="subscript"/>
        </w:rPr>
        <w:t>12</w:t>
      </w:r>
      <w:r w:rsidRPr="00582EC9">
        <w:t>N]</w:t>
      </w:r>
      <w:r w:rsidRPr="00582EC9">
        <w:rPr>
          <w:vertAlign w:val="superscript"/>
        </w:rPr>
        <w:t>+</w:t>
      </w:r>
      <w:r w:rsidRPr="00582EC9">
        <w:t>,</w:t>
      </w:r>
      <w:r w:rsidRPr="00582EC9">
        <w:rPr>
          <w:vertAlign w:val="superscript"/>
        </w:rPr>
        <w:t xml:space="preserve"> </w:t>
      </w:r>
      <w:r w:rsidRPr="00582EC9">
        <w:t>and [C</w:t>
      </w:r>
      <w:r w:rsidRPr="00582EC9">
        <w:rPr>
          <w:vertAlign w:val="subscript"/>
        </w:rPr>
        <w:t>5</w:t>
      </w:r>
      <w:r w:rsidRPr="00582EC9">
        <w:t>H</w:t>
      </w:r>
      <w:r w:rsidRPr="00582EC9">
        <w:rPr>
          <w:vertAlign w:val="subscript"/>
        </w:rPr>
        <w:t>15</w:t>
      </w:r>
      <w:r w:rsidRPr="00582EC9">
        <w:t>PNO</w:t>
      </w:r>
      <w:r w:rsidRPr="00582EC9">
        <w:rPr>
          <w:vertAlign w:val="subscript"/>
        </w:rPr>
        <w:t>4</w:t>
      </w:r>
      <w:r w:rsidRPr="00582EC9">
        <w:t>]</w:t>
      </w:r>
      <w:r w:rsidRPr="00582EC9">
        <w:rPr>
          <w:vertAlign w:val="superscript"/>
        </w:rPr>
        <w:t>+</w:t>
      </w:r>
      <w:r w:rsidRPr="00582EC9">
        <w:t xml:space="preserve">. </w:t>
      </w:r>
    </w:p>
    <w:p w14:paraId="28F76EA3" w14:textId="7B2B54E2" w:rsidR="006F07A9" w:rsidRPr="00731A92" w:rsidRDefault="00582EC9" w:rsidP="00731A92">
      <w:pPr>
        <w:spacing w:after="240" w:line="480" w:lineRule="auto"/>
        <w:jc w:val="both"/>
        <w:rPr>
          <w:rFonts w:cstheme="minorHAnsi"/>
          <w:b/>
          <w:sz w:val="20"/>
          <w:szCs w:val="18"/>
          <w:highlight w:val="yellow"/>
        </w:rPr>
      </w:pPr>
      <w:r w:rsidRPr="00582EC9">
        <w:t>Depth profiling was performed in the non-interlaced mode (2</w:t>
      </w:r>
      <w:r w:rsidRPr="00582EC9">
        <w:rPr>
          <w:color w:val="000000" w:themeColor="text1"/>
        </w:rPr>
        <w:t xml:space="preserve"> shots per pixel, 1 frame per sputter cycle of 1 s with a 0.5 s pause)</w:t>
      </w:r>
      <w:r w:rsidRPr="00582EC9">
        <w:t xml:space="preserve"> using C60</w:t>
      </w:r>
      <w:r w:rsidRPr="00582EC9">
        <w:rPr>
          <w:vertAlign w:val="superscript"/>
        </w:rPr>
        <w:t>++</w:t>
      </w:r>
      <w:r w:rsidRPr="00582EC9">
        <w:t xml:space="preserve"> ions at a current of 0.15 </w:t>
      </w:r>
      <w:proofErr w:type="spellStart"/>
      <w:r w:rsidRPr="00582EC9">
        <w:t>nA.</w:t>
      </w:r>
      <w:proofErr w:type="spellEnd"/>
      <w:r w:rsidRPr="00582EC9">
        <w:t xml:space="preserve"> Craters were sputtered ranging from 150x150 µm</w:t>
      </w:r>
      <w:r w:rsidRPr="00582EC9">
        <w:rPr>
          <w:vertAlign w:val="superscript"/>
        </w:rPr>
        <w:t>2</w:t>
      </w:r>
      <w:r w:rsidRPr="00582EC9">
        <w:t xml:space="preserve"> to </w:t>
      </w:r>
      <w:r w:rsidRPr="00582EC9">
        <w:rPr>
          <w:color w:val="000000" w:themeColor="text1"/>
        </w:rPr>
        <w:t>300x300 µm</w:t>
      </w:r>
      <w:r w:rsidRPr="00582EC9">
        <w:rPr>
          <w:color w:val="000000" w:themeColor="text1"/>
          <w:vertAlign w:val="superscript"/>
        </w:rPr>
        <w:t>2</w:t>
      </w:r>
      <w:r w:rsidRPr="00582EC9">
        <w:rPr>
          <w:color w:val="000000" w:themeColor="text1"/>
        </w:rPr>
        <w:t xml:space="preserve"> </w:t>
      </w:r>
      <w:r w:rsidRPr="00582EC9">
        <w:t>while analysing areas of 50x50 µm</w:t>
      </w:r>
      <w:r w:rsidRPr="00582EC9">
        <w:rPr>
          <w:vertAlign w:val="superscript"/>
        </w:rPr>
        <w:t>2</w:t>
      </w:r>
      <w:r w:rsidRPr="00582EC9">
        <w:t xml:space="preserve"> to 150x150 µm</w:t>
      </w:r>
      <w:r w:rsidRPr="00582EC9">
        <w:rPr>
          <w:vertAlign w:val="superscript"/>
        </w:rPr>
        <w:t>2</w:t>
      </w:r>
      <w:r w:rsidRPr="00582EC9">
        <w:t xml:space="preserve"> using the primary ions. </w:t>
      </w:r>
      <w:r w:rsidRPr="00582EC9">
        <w:rPr>
          <w:color w:val="000000" w:themeColor="text1"/>
        </w:rPr>
        <w:t xml:space="preserve">The ratio between the analysed area and the sputtered area was &gt; 1.5. </w:t>
      </w:r>
      <w:r w:rsidRPr="00582EC9">
        <w:t>The total C60 dose in the experiments ranged from 4.9 × 10</w:t>
      </w:r>
      <w:r w:rsidRPr="00582EC9">
        <w:rPr>
          <w:vertAlign w:val="superscript"/>
        </w:rPr>
        <w:t>13</w:t>
      </w:r>
      <w:r w:rsidRPr="00582EC9">
        <w:t xml:space="preserve"> ions/cm</w:t>
      </w:r>
      <w:r w:rsidRPr="00582EC9">
        <w:rPr>
          <w:vertAlign w:val="superscript"/>
        </w:rPr>
        <w:t xml:space="preserve">2 </w:t>
      </w:r>
      <w:r w:rsidRPr="00582EC9">
        <w:t>to 5.8x10</w:t>
      </w:r>
      <w:r w:rsidRPr="00582EC9">
        <w:rPr>
          <w:vertAlign w:val="superscript"/>
        </w:rPr>
        <w:t xml:space="preserve">14 </w:t>
      </w:r>
      <w:r w:rsidRPr="00582EC9">
        <w:t>ions/cm</w:t>
      </w:r>
      <w:r w:rsidRPr="00582EC9">
        <w:rPr>
          <w:vertAlign w:val="superscript"/>
        </w:rPr>
        <w:t>2</w:t>
      </w:r>
      <w:r w:rsidRPr="00582EC9">
        <w:t xml:space="preserve">. </w:t>
      </w:r>
      <w:r w:rsidR="006F07A9">
        <w:rPr>
          <w:b/>
          <w:color w:val="000000" w:themeColor="text1"/>
          <w:sz w:val="28"/>
        </w:rPr>
        <w:br w:type="page"/>
      </w:r>
    </w:p>
    <w:p w14:paraId="375C1C89" w14:textId="77777777" w:rsidR="00160647" w:rsidRDefault="000365BC" w:rsidP="00343388">
      <w:pPr>
        <w:pStyle w:val="ListParagraph"/>
        <w:numPr>
          <w:ilvl w:val="0"/>
          <w:numId w:val="5"/>
        </w:numPr>
        <w:spacing w:line="360" w:lineRule="auto"/>
        <w:outlineLvl w:val="0"/>
        <w:rPr>
          <w:b/>
          <w:color w:val="000000" w:themeColor="text1"/>
          <w:sz w:val="28"/>
        </w:rPr>
      </w:pPr>
      <w:r w:rsidRPr="00A51C80">
        <w:rPr>
          <w:b/>
          <w:color w:val="000000" w:themeColor="text1"/>
          <w:sz w:val="28"/>
        </w:rPr>
        <w:lastRenderedPageBreak/>
        <w:t xml:space="preserve">Results </w:t>
      </w:r>
    </w:p>
    <w:p w14:paraId="63BF8BE2" w14:textId="4FE0BFD3" w:rsidR="006A679F" w:rsidRDefault="000365BC" w:rsidP="00831E30">
      <w:pPr>
        <w:spacing w:line="480" w:lineRule="auto"/>
        <w:jc w:val="both"/>
      </w:pPr>
      <w:r>
        <w:t>In the HMM bacterial medium</w:t>
      </w:r>
      <w:r w:rsidR="006E1A04">
        <w:t>,</w:t>
      </w:r>
      <w:r>
        <w:t xml:space="preserve"> the commercially available</w:t>
      </w:r>
      <w:r w:rsidR="00CD5D01">
        <w:t xml:space="preserve"> nano</w:t>
      </w:r>
      <w:r>
        <w:t>particles were</w:t>
      </w:r>
      <w:r w:rsidR="00F051C0">
        <w:t xml:space="preserve"> chief</w:t>
      </w:r>
      <w:r>
        <w:t xml:space="preserve">ly polydisperse micron-sized agglomerates </w:t>
      </w:r>
      <w:r w:rsidR="008D4321">
        <w:t xml:space="preserve">as determined </w:t>
      </w:r>
      <w:r>
        <w:t xml:space="preserve">by </w:t>
      </w:r>
      <w:r w:rsidR="00234908">
        <w:t>static light scattering measurements</w:t>
      </w:r>
      <w:r>
        <w:t xml:space="preserve"> (Fig</w:t>
      </w:r>
      <w:r w:rsidR="001601F3">
        <w:t>.</w:t>
      </w:r>
      <w:r>
        <w:t xml:space="preserve"> 1A). </w:t>
      </w:r>
      <w:r w:rsidR="00F051C0">
        <w:t>The c</w:t>
      </w:r>
      <w:r>
        <w:t xml:space="preserve">opper oxides were mostly 1-10 µm in diameter and the copper metal particles </w:t>
      </w:r>
      <w:r w:rsidR="00F051C0">
        <w:t xml:space="preserve">were larger </w:t>
      </w:r>
      <w:r w:rsidR="00AE32EF">
        <w:t>(</w:t>
      </w:r>
      <w:r>
        <w:t>10 -1000 µm</w:t>
      </w:r>
      <w:r w:rsidR="00AE32EF">
        <w:t>)</w:t>
      </w:r>
      <w:r>
        <w:t>. I</w:t>
      </w:r>
      <w:r w:rsidR="00BA39DF">
        <w:t>n</w:t>
      </w:r>
      <w:r>
        <w:t xml:space="preserve"> contrast</w:t>
      </w:r>
      <w:r w:rsidR="006E1A04">
        <w:t>,</w:t>
      </w:r>
      <w:r>
        <w:t xml:space="preserve"> the in-house-synthesised</w:t>
      </w:r>
      <w:r w:rsidR="006A6586">
        <w:t>,</w:t>
      </w:r>
      <w:r>
        <w:t xml:space="preserve"> silicate</w:t>
      </w:r>
      <w:r w:rsidR="006A6586">
        <w:t>-</w:t>
      </w:r>
      <w:r w:rsidR="00D06ECC">
        <w:t>substitute</w:t>
      </w:r>
      <w:r>
        <w:t xml:space="preserve">d copper oxo-hydroxides (termed </w:t>
      </w:r>
      <w:proofErr w:type="spellStart"/>
      <w:r>
        <w:t>CuSi</w:t>
      </w:r>
      <w:proofErr w:type="spellEnd"/>
      <w:r>
        <w:t xml:space="preserve"> NPs) had a </w:t>
      </w:r>
      <w:r w:rsidR="00BA39DF">
        <w:t>mod</w:t>
      </w:r>
      <w:r w:rsidR="006A6586">
        <w:t>al</w:t>
      </w:r>
      <w:r>
        <w:t xml:space="preserve"> diameter of </w:t>
      </w:r>
      <w:r w:rsidR="00BA39DF">
        <w:t>6.5</w:t>
      </w:r>
      <w:r>
        <w:t xml:space="preserve"> nm and almost all were </w:t>
      </w:r>
      <w:r w:rsidR="002C56A8">
        <w:t>4</w:t>
      </w:r>
      <w:r>
        <w:t>-20 nm in size (Fig</w:t>
      </w:r>
      <w:r w:rsidR="001601F3">
        <w:t>.</w:t>
      </w:r>
      <w:r>
        <w:t xml:space="preserve"> 1B</w:t>
      </w:r>
      <w:r w:rsidR="00140081" w:rsidRPr="00D97921">
        <w:t>).</w:t>
      </w:r>
      <w:r w:rsidR="00B6467D" w:rsidRPr="00D97921">
        <w:t xml:space="preserve"> </w:t>
      </w:r>
      <w:r w:rsidR="00D97921" w:rsidRPr="00D97921">
        <w:t>Size differentiation e</w:t>
      </w:r>
      <w:r w:rsidR="00B6467D" w:rsidRPr="00D97921">
        <w:t>xperiments</w:t>
      </w:r>
      <w:r w:rsidR="00D97921">
        <w:t>, based on filtration</w:t>
      </w:r>
      <w:r w:rsidR="00CB1B2E">
        <w:t xml:space="preserve"> and centrifugation</w:t>
      </w:r>
      <w:r w:rsidR="00D97921">
        <w:t>,</w:t>
      </w:r>
      <w:r w:rsidR="00B6467D">
        <w:t xml:space="preserve"> confirmed these findings with the </w:t>
      </w:r>
      <w:proofErr w:type="spellStart"/>
      <w:r w:rsidR="00CD5D01">
        <w:t>aquated</w:t>
      </w:r>
      <w:proofErr w:type="spellEnd"/>
      <w:r w:rsidR="00CD5D01">
        <w:t xml:space="preserve"> </w:t>
      </w:r>
      <w:r w:rsidR="00B6467D">
        <w:t xml:space="preserve">commercial </w:t>
      </w:r>
      <w:r w:rsidR="006A6586">
        <w:t>p</w:t>
      </w:r>
      <w:r w:rsidR="00B6467D">
        <w:t xml:space="preserve">articles dominated by agglomerated material and the in-house-synthesised </w:t>
      </w:r>
      <w:r w:rsidR="006A6586">
        <w:t>particles</w:t>
      </w:r>
      <w:r w:rsidR="00B6467D">
        <w:t xml:space="preserve"> dominated by </w:t>
      </w:r>
      <w:r w:rsidR="006A6586">
        <w:t xml:space="preserve">a </w:t>
      </w:r>
      <w:r w:rsidR="00EF71CC">
        <w:t xml:space="preserve">small </w:t>
      </w:r>
      <w:proofErr w:type="spellStart"/>
      <w:r w:rsidR="00B6467D">
        <w:t>nano</w:t>
      </w:r>
      <w:proofErr w:type="spellEnd"/>
      <w:r w:rsidR="00B6467D">
        <w:t xml:space="preserve"> f</w:t>
      </w:r>
      <w:r w:rsidR="004747A2">
        <w:t>raction (Fig. 1C). As expected</w:t>
      </w:r>
      <w:r w:rsidR="00B6467D">
        <w:t>, the</w:t>
      </w:r>
      <w:r w:rsidR="00CD5D01">
        <w:t xml:space="preserve"> copper</w:t>
      </w:r>
      <w:r w:rsidR="00B6467D">
        <w:t xml:space="preserve"> metal particles were positively-charged in the HMM medium and the</w:t>
      </w:r>
      <w:r w:rsidR="00CD5D01">
        <w:t xml:space="preserve"> copper</w:t>
      </w:r>
      <w:r w:rsidR="00B6467D">
        <w:t xml:space="preserve"> oxides we</w:t>
      </w:r>
      <w:r w:rsidR="002C56A8">
        <w:t>re negatively charged (Fig. 1D) with the</w:t>
      </w:r>
      <w:r w:rsidR="00322AAC">
        <w:t xml:space="preserve"> </w:t>
      </w:r>
      <w:proofErr w:type="spellStart"/>
      <w:r w:rsidR="00CD5D01">
        <w:t>aquated</w:t>
      </w:r>
      <w:proofErr w:type="spellEnd"/>
      <w:r w:rsidR="00CD5D01">
        <w:t xml:space="preserve"> nanoparticles</w:t>
      </w:r>
      <w:r w:rsidR="002C56A8">
        <w:t xml:space="preserve"> (</w:t>
      </w:r>
      <w:r w:rsidR="002C56A8" w:rsidRPr="006C6B40">
        <w:rPr>
          <w:i/>
        </w:rPr>
        <w:t>i.e.</w:t>
      </w:r>
      <w:r w:rsidR="002C56A8">
        <w:t xml:space="preserve"> t</w:t>
      </w:r>
      <w:r w:rsidR="00B6467D">
        <w:t xml:space="preserve">he </w:t>
      </w:r>
      <w:proofErr w:type="spellStart"/>
      <w:r w:rsidR="00B6467D">
        <w:t>CuSi</w:t>
      </w:r>
      <w:proofErr w:type="spellEnd"/>
      <w:r w:rsidR="00B6467D">
        <w:t xml:space="preserve"> NPs</w:t>
      </w:r>
      <w:r w:rsidR="002C56A8">
        <w:t>)</w:t>
      </w:r>
      <w:r w:rsidR="00B6467D">
        <w:t xml:space="preserve"> </w:t>
      </w:r>
      <w:r w:rsidR="002C56A8">
        <w:t xml:space="preserve">showing </w:t>
      </w:r>
      <w:r w:rsidR="00B6467D">
        <w:t xml:space="preserve">a </w:t>
      </w:r>
      <w:r w:rsidR="00322AAC">
        <w:t>large</w:t>
      </w:r>
      <w:r w:rsidR="002C56A8">
        <w:t xml:space="preserve"> enough</w:t>
      </w:r>
      <w:r w:rsidR="00322AAC">
        <w:t xml:space="preserve"> negative</w:t>
      </w:r>
      <w:r w:rsidR="002C56A8">
        <w:t xml:space="preserve"> </w:t>
      </w:r>
      <w:r w:rsidR="00B6467D">
        <w:t xml:space="preserve">zeta potential </w:t>
      </w:r>
      <w:r w:rsidR="00B6467D" w:rsidRPr="002C56A8">
        <w:t>(</w:t>
      </w:r>
      <w:r w:rsidR="00234908" w:rsidRPr="002C56A8">
        <w:t>-27 ± 1</w:t>
      </w:r>
      <w:r w:rsidR="00B6467D" w:rsidRPr="002C56A8">
        <w:t xml:space="preserve"> mV</w:t>
      </w:r>
      <w:r w:rsidR="00274167">
        <w:t>; Fig. 1D</w:t>
      </w:r>
      <w:r w:rsidR="00B6467D" w:rsidRPr="002C56A8">
        <w:t>)</w:t>
      </w:r>
      <w:r w:rsidR="00B6467D">
        <w:t xml:space="preserve"> </w:t>
      </w:r>
      <w:r w:rsidR="00CD5D01">
        <w:t>for</w:t>
      </w:r>
      <w:r w:rsidR="00B6467D">
        <w:t xml:space="preserve"> stable suspension in aqueous </w:t>
      </w:r>
      <w:r w:rsidR="00B6467D" w:rsidRPr="00274167">
        <w:t>media</w:t>
      </w:r>
      <w:r w:rsidR="00274167" w:rsidRPr="00274167">
        <w:t xml:space="preserve"> </w:t>
      </w:r>
      <w:r w:rsidR="00666C5B" w:rsidRPr="00274167">
        <w:fldChar w:fldCharType="begin" w:fldLock="1"/>
      </w:r>
      <w:r w:rsidR="002A7491" w:rsidRPr="00274167">
        <w:instrText>ADDIN CSL_CITATION {"citationItems":[{"id":"ITEM-1","itemData":{"DOI":"10.1016/j.jconrel.2016.06.017","ISSN":"0168-3659","abstract":"Adequate characterization of NPs (nanoparticles) is of paramount importance to develop well defined nanoformulations of therapeutic relevance. Determination of particle size and surface charge of NPs are indispensable for proper characterization of NPs. DLS (dynamic light scattering) and ZP (zeta potential) measurements have gained popularity as simple, easy and reproducible tools to ascertain particle size and surface charge. Unfortunately, on practical grounds plenty of challenges exist regarding these two techniques including inadequate understanding of the operating principles and dealing with critical issues like sample preparation and interpretation of the data. As both DLS and ZP have emerged from the realms of physical colloid chemistry – it is difficult for researchers engaged in nanomedicine research to master these two techniques. Additionally, there is little literature available in drug delivery research which offers a simple, concise account on these techniques. This review tries to address this issue while providing the fundamental principles of these techniques, summarizing the core mathematical principles and offering practical guidelines on tackling commonly encountered problems while running DLS and ZP measurements. Finally, the review tries to analyze the relevance of these two techniques from translatory perspective.","author":[{"dropping-particle":"","family":"Bhattacharjee","given":"Sourav","non-dropping-particle":"","parse-names":false,"suffix":""}],"container-title":"Journal of Controlled Release","id":"ITEM-1","issued":{"date-parts":[["2016"]]},"page":"337-351","title":"DLS and zeta potential – What they are and what they are not?","type":"article-journal","volume":"235"},"uris":["http://www.mendeley.com/documents/?uuid=b8ec9990-d23e-4420-866e-3ef4859d3bac"]}],"mendeley":{"formattedCitation":"(Bhattacharjee, 2016)","plainTextFormattedCitation":"(Bhattacharjee, 2016)","previouslyFormattedCitation":"(Bhattacharjee, 2016)"},"properties":{"noteIndex":0},"schema":"https://github.com/citation-style-language/schema/raw/master/csl-citation.json"}</w:instrText>
      </w:r>
      <w:r w:rsidR="00666C5B" w:rsidRPr="00274167">
        <w:fldChar w:fldCharType="separate"/>
      </w:r>
      <w:r w:rsidR="003724C3" w:rsidRPr="00274167">
        <w:rPr>
          <w:noProof/>
        </w:rPr>
        <w:t>(Bhattacharjee, 2016)</w:t>
      </w:r>
      <w:r w:rsidR="00666C5B" w:rsidRPr="00274167">
        <w:fldChar w:fldCharType="end"/>
      </w:r>
      <w:r w:rsidR="00343388" w:rsidRPr="00274167">
        <w:t>.</w:t>
      </w:r>
    </w:p>
    <w:p w14:paraId="46664E51" w14:textId="2AD1DF48" w:rsidR="005429C8" w:rsidRDefault="00CD5D01" w:rsidP="00831E30">
      <w:pPr>
        <w:spacing w:line="480" w:lineRule="auto"/>
        <w:jc w:val="both"/>
      </w:pPr>
      <w:r>
        <w:t xml:space="preserve">When the particles were </w:t>
      </w:r>
      <w:proofErr w:type="spellStart"/>
      <w:r>
        <w:t>aquated</w:t>
      </w:r>
      <w:proofErr w:type="spellEnd"/>
      <w:r>
        <w:t xml:space="preserve"> in the </w:t>
      </w:r>
      <w:r w:rsidR="003C3845" w:rsidRPr="00606E3B">
        <w:rPr>
          <w:i/>
        </w:rPr>
        <w:t>E. coli</w:t>
      </w:r>
      <w:r w:rsidR="003C3845">
        <w:t xml:space="preserve">-containing </w:t>
      </w:r>
      <w:r>
        <w:t xml:space="preserve">bacterial medium, </w:t>
      </w:r>
      <w:r w:rsidRPr="008F76D0">
        <w:t>it</w:t>
      </w:r>
      <w:r>
        <w:t xml:space="preserve"> was apparent that, except at the highest levels of exposure (50 mg/L copper), the </w:t>
      </w:r>
      <w:proofErr w:type="spellStart"/>
      <w:r>
        <w:t>aquated</w:t>
      </w:r>
      <w:proofErr w:type="spellEnd"/>
      <w:r>
        <w:t xml:space="preserve"> nanoparticulate material had much greater antimicrobial activity than the large particle material, during the 8 hours of experimentation (Fig 2. A). </w:t>
      </w:r>
      <w:r w:rsidR="00A84919">
        <w:t xml:space="preserve">Moreover, the particulate fraction, whether </w:t>
      </w:r>
      <w:proofErr w:type="spellStart"/>
      <w:r w:rsidR="00A84919">
        <w:t>nano</w:t>
      </w:r>
      <w:proofErr w:type="spellEnd"/>
      <w:r w:rsidR="00A84919">
        <w:t xml:space="preserve"> (</w:t>
      </w:r>
      <w:proofErr w:type="spellStart"/>
      <w:r w:rsidR="00A84919">
        <w:t>CuSi</w:t>
      </w:r>
      <w:proofErr w:type="spellEnd"/>
      <w:r w:rsidR="00A84919">
        <w:t xml:space="preserve"> NPs) or la</w:t>
      </w:r>
      <w:r w:rsidR="00BC152A">
        <w:t>r</w:t>
      </w:r>
      <w:r w:rsidR="00A84919">
        <w:t>ger (other materials)</w:t>
      </w:r>
      <w:r w:rsidR="00FF582F">
        <w:t xml:space="preserve"> or whether positively or negatively charged</w:t>
      </w:r>
      <w:r w:rsidR="00A84919">
        <w:t xml:space="preserve">, appeared inversely related to bacterial growth inhibition (Fig. 2B). Indeed, as therefore expected, the soluble fraction of copper appeared clearly related to inhibition of </w:t>
      </w:r>
      <w:r w:rsidR="00A84919" w:rsidRPr="008774E9">
        <w:rPr>
          <w:i/>
        </w:rPr>
        <w:t>E. coli</w:t>
      </w:r>
      <w:r w:rsidR="00A84919">
        <w:t xml:space="preserve"> growth, over time, for all materials (Fig. 2C). Notwithstanding, the interaction between time and solubility </w:t>
      </w:r>
      <w:r w:rsidR="00CD6773">
        <w:t>d</w:t>
      </w:r>
      <w:r w:rsidR="00A86C39">
        <w:t>id</w:t>
      </w:r>
      <w:r w:rsidR="00CD6773">
        <w:t xml:space="preserve"> not facilitate intuitive </w:t>
      </w:r>
      <w:r w:rsidR="00A84919">
        <w:t>understanding of just how well soluble copper concentration might explain antimicrobial activity</w:t>
      </w:r>
      <w:r w:rsidR="00CD6773">
        <w:t xml:space="preserve">. </w:t>
      </w:r>
      <w:r w:rsidR="00C05867" w:rsidRPr="00504E25">
        <w:t>To</w:t>
      </w:r>
      <w:r w:rsidR="00666C5B" w:rsidRPr="00504E25">
        <w:t xml:space="preserve"> </w:t>
      </w:r>
      <w:r w:rsidR="00A84919" w:rsidRPr="00504E25">
        <w:t>enable this</w:t>
      </w:r>
      <w:r w:rsidR="003B7982" w:rsidRPr="00504E25">
        <w:t>,</w:t>
      </w:r>
      <w:r w:rsidR="00CD6773" w:rsidRPr="00504E25">
        <w:t xml:space="preserve"> we </w:t>
      </w:r>
      <w:r w:rsidR="00A84919" w:rsidRPr="00504E25">
        <w:t xml:space="preserve">modelled </w:t>
      </w:r>
      <w:r w:rsidR="00184ECB" w:rsidRPr="00504E25">
        <w:t xml:space="preserve">the </w:t>
      </w:r>
      <w:r w:rsidR="00661C11" w:rsidRPr="00504E25">
        <w:t xml:space="preserve">effects on bacterial viability </w:t>
      </w:r>
      <w:r w:rsidR="00666C5B" w:rsidRPr="00504E25">
        <w:t>over</w:t>
      </w:r>
      <w:r w:rsidR="00A84919" w:rsidRPr="00504E25">
        <w:t xml:space="preserve"> </w:t>
      </w:r>
      <w:r w:rsidR="00666C5B" w:rsidRPr="00504E25">
        <w:t xml:space="preserve">time </w:t>
      </w:r>
      <w:r w:rsidR="00A84919" w:rsidRPr="00504E25">
        <w:t>using benchmark dose</w:t>
      </w:r>
      <w:r w:rsidR="00504E25" w:rsidRPr="00AA73A3">
        <w:t xml:space="preserve"> non-linear regression</w:t>
      </w:r>
      <w:r w:rsidR="00A84919" w:rsidRPr="00504E25">
        <w:t xml:space="preserve"> modelling</w:t>
      </w:r>
      <w:r w:rsidR="00184ECB" w:rsidRPr="00504E25">
        <w:t>.</w:t>
      </w:r>
      <w:r w:rsidR="00A84919">
        <w:t xml:space="preserve"> Firstly, we confirmed that </w:t>
      </w:r>
      <w:r w:rsidR="003B7982">
        <w:t>exposure to</w:t>
      </w:r>
      <w:r w:rsidR="00A84919">
        <w:t xml:space="preserve"> total</w:t>
      </w:r>
      <w:r w:rsidR="003B7982">
        <w:t xml:space="preserve"> </w:t>
      </w:r>
      <w:r w:rsidR="00CD6773" w:rsidRPr="008C3051">
        <w:t xml:space="preserve">copper in suspension </w:t>
      </w:r>
      <w:r w:rsidR="00184ECB" w:rsidRPr="008C3051">
        <w:t>was</w:t>
      </w:r>
      <w:r w:rsidR="00A84919">
        <w:t xml:space="preserve"> </w:t>
      </w:r>
      <w:r w:rsidR="00CD6773" w:rsidRPr="008C3051">
        <w:t xml:space="preserve">a very poor predictor of antimicrobial </w:t>
      </w:r>
      <w:r w:rsidR="00184ECB">
        <w:t>potency</w:t>
      </w:r>
      <w:r w:rsidR="00A84919">
        <w:t xml:space="preserve"> as would be expected for combined soluble and particulate </w:t>
      </w:r>
      <w:r w:rsidR="00A84919" w:rsidRPr="00401B13">
        <w:t xml:space="preserve">copper </w:t>
      </w:r>
      <w:r w:rsidR="00CD6773" w:rsidRPr="00401B13">
        <w:t>(</w:t>
      </w:r>
      <w:r w:rsidR="00A84919" w:rsidRPr="00401B13">
        <w:t xml:space="preserve">Appendix </w:t>
      </w:r>
      <w:r w:rsidR="005F1BD4">
        <w:t>D</w:t>
      </w:r>
      <w:r w:rsidR="00CD6773" w:rsidRPr="008C3051">
        <w:t xml:space="preserve">). </w:t>
      </w:r>
      <w:r w:rsidR="00703ECA" w:rsidRPr="008C3051">
        <w:t xml:space="preserve">In contrast, </w:t>
      </w:r>
      <w:r w:rsidR="003B7982">
        <w:t xml:space="preserve">the </w:t>
      </w:r>
      <w:r w:rsidR="00184ECB">
        <w:t xml:space="preserve">results for </w:t>
      </w:r>
      <w:r w:rsidR="00C774C8">
        <w:t>soluble</w:t>
      </w:r>
      <w:r w:rsidR="00703ECA" w:rsidRPr="008C3051">
        <w:t xml:space="preserve"> </w:t>
      </w:r>
      <w:r w:rsidR="00586666" w:rsidRPr="008C3051">
        <w:t>copper</w:t>
      </w:r>
      <w:r w:rsidR="00703ECA" w:rsidRPr="008C3051">
        <w:t xml:space="preserve"> converged</w:t>
      </w:r>
      <w:r w:rsidR="00184ECB">
        <w:t xml:space="preserve"> across all formulations tested</w:t>
      </w:r>
      <w:r w:rsidR="00703ECA" w:rsidRPr="008C3051">
        <w:t xml:space="preserve"> </w:t>
      </w:r>
      <w:r w:rsidR="00184ECB">
        <w:t>to</w:t>
      </w:r>
      <w:r w:rsidR="00703ECA" w:rsidRPr="008C3051">
        <w:t xml:space="preserve"> very similar benchmark dose</w:t>
      </w:r>
      <w:r w:rsidR="00113EDD" w:rsidRPr="008C3051">
        <w:t xml:space="preserve"> </w:t>
      </w:r>
      <w:r w:rsidR="00113EDD" w:rsidRPr="008C3051">
        <w:lastRenderedPageBreak/>
        <w:t>levels</w:t>
      </w:r>
      <w:r w:rsidR="00DC53E7">
        <w:t xml:space="preserve"> (Fig. 3)</w:t>
      </w:r>
      <w:r w:rsidR="00703ECA" w:rsidRPr="008C3051">
        <w:t>.</w:t>
      </w:r>
      <w:r w:rsidR="00703ECA" w:rsidRPr="00184ECB">
        <w:t xml:space="preserve"> </w:t>
      </w:r>
      <w:r w:rsidR="00703ECA" w:rsidRPr="008C3051">
        <w:t>Indeed, when the</w:t>
      </w:r>
      <w:r w:rsidR="003B7982">
        <w:t xml:space="preserve"> dose required to cause</w:t>
      </w:r>
      <w:r w:rsidR="00184ECB">
        <w:t xml:space="preserve"> a</w:t>
      </w:r>
      <w:r w:rsidR="00703ECA" w:rsidRPr="008C3051">
        <w:t xml:space="preserve"> 50% reduction in </w:t>
      </w:r>
      <w:r w:rsidR="00703ECA" w:rsidRPr="008C3051">
        <w:rPr>
          <w:i/>
        </w:rPr>
        <w:t>E. coli</w:t>
      </w:r>
      <w:r w:rsidR="00184ECB">
        <w:rPr>
          <w:i/>
        </w:rPr>
        <w:t xml:space="preserve"> </w:t>
      </w:r>
      <w:r w:rsidR="00184ECB" w:rsidRPr="008C3051">
        <w:t>viability</w:t>
      </w:r>
      <w:r w:rsidR="00703ECA" w:rsidRPr="008C3051">
        <w:t xml:space="preserve"> was compared, the total copper data showed </w:t>
      </w:r>
      <w:r w:rsidR="00113EDD" w:rsidRPr="008C3051">
        <w:t>an</w:t>
      </w:r>
      <w:r w:rsidR="00E018B1" w:rsidRPr="008C3051">
        <w:t xml:space="preserve"> order of magnitude variance (45-549mg/L Cu)</w:t>
      </w:r>
      <w:r w:rsidR="00113EDD" w:rsidRPr="008C3051">
        <w:t xml:space="preserve"> between particle types</w:t>
      </w:r>
      <w:r w:rsidR="00DC53E7">
        <w:t xml:space="preserve"> (</w:t>
      </w:r>
      <w:r w:rsidR="00401B13">
        <w:t xml:space="preserve">Appendix </w:t>
      </w:r>
      <w:r w:rsidR="005F1BD4">
        <w:t>D</w:t>
      </w:r>
      <w:r w:rsidR="00DC53E7">
        <w:t>)</w:t>
      </w:r>
      <w:r w:rsidR="00184ECB">
        <w:t>. Contrastingly,</w:t>
      </w:r>
      <w:r w:rsidR="00E018B1" w:rsidRPr="008C3051">
        <w:t xml:space="preserve"> </w:t>
      </w:r>
      <w:r w:rsidR="00184ECB">
        <w:t>the</w:t>
      </w:r>
      <w:r w:rsidR="00E018B1" w:rsidRPr="008C3051">
        <w:t xml:space="preserve"> </w:t>
      </w:r>
      <w:r w:rsidR="00184ECB">
        <w:t xml:space="preserve">dose of </w:t>
      </w:r>
      <w:r w:rsidR="00E018B1" w:rsidRPr="008C3051">
        <w:t>soluble copper</w:t>
      </w:r>
      <w:r w:rsidR="00184ECB">
        <w:t xml:space="preserve"> required</w:t>
      </w:r>
      <w:r w:rsidR="00E018B1" w:rsidRPr="008C3051">
        <w:t xml:space="preserve"> </w:t>
      </w:r>
      <w:r w:rsidR="00184ECB">
        <w:t xml:space="preserve">was tightly clustered for all formulations </w:t>
      </w:r>
      <w:r w:rsidR="003B7982">
        <w:t>around</w:t>
      </w:r>
      <w:r w:rsidR="00E018B1" w:rsidRPr="008C3051">
        <w:t xml:space="preserve"> 14.5mg/L </w:t>
      </w:r>
      <w:r w:rsidR="00785C3D">
        <w:t>with the 90 % confidence interval across all particle types</w:t>
      </w:r>
      <w:r w:rsidR="003B7982">
        <w:t xml:space="preserve"> spanning a range of</w:t>
      </w:r>
      <w:r w:rsidR="00785C3D">
        <w:t xml:space="preserve"> just </w:t>
      </w:r>
      <w:r w:rsidR="00E018B1" w:rsidRPr="008C3051">
        <w:t>10-19 mg/L</w:t>
      </w:r>
      <w:r w:rsidR="00DC53E7">
        <w:t xml:space="preserve"> (Fig. </w:t>
      </w:r>
      <w:r w:rsidR="00C15110">
        <w:t>3</w:t>
      </w:r>
      <w:r w:rsidR="00DC53E7">
        <w:t>)</w:t>
      </w:r>
      <w:r w:rsidR="00E018B1" w:rsidRPr="008C3051">
        <w:t>.</w:t>
      </w:r>
      <w:r w:rsidR="00E018B1">
        <w:t xml:space="preserve"> </w:t>
      </w:r>
    </w:p>
    <w:p w14:paraId="2B45AAFC" w14:textId="76A027F2" w:rsidR="00087DBC" w:rsidRDefault="00E018B1" w:rsidP="00343388">
      <w:pPr>
        <w:spacing w:line="480" w:lineRule="auto"/>
        <w:jc w:val="both"/>
      </w:pPr>
      <w:r>
        <w:t>Collectively, these data strongly imply that soluble, but not particulate copper levels</w:t>
      </w:r>
      <w:r w:rsidR="00DC53E7">
        <w:t xml:space="preserve"> whether </w:t>
      </w:r>
      <w:proofErr w:type="spellStart"/>
      <w:r w:rsidR="00DC53E7">
        <w:t>nano</w:t>
      </w:r>
      <w:proofErr w:type="spellEnd"/>
      <w:r w:rsidR="00DC53E7">
        <w:t xml:space="preserve"> or larger</w:t>
      </w:r>
      <w:r>
        <w:t xml:space="preserve">, achieved by hydrated copper-containing particles, determine a material’s antimicrobial activity. Finally, </w:t>
      </w:r>
      <w:r w:rsidR="00B41A35">
        <w:t xml:space="preserve">therefore, </w:t>
      </w:r>
      <w:r>
        <w:t>to confirm this we considered the intracellular (</w:t>
      </w:r>
      <w:r w:rsidRPr="00DC53E7">
        <w:rPr>
          <w:i/>
        </w:rPr>
        <w:t>i.e</w:t>
      </w:r>
      <w:r w:rsidR="000431B9">
        <w:rPr>
          <w:i/>
        </w:rPr>
        <w:t>.</w:t>
      </w:r>
      <w:r>
        <w:t xml:space="preserve"> intra-bacteria</w:t>
      </w:r>
      <w:r w:rsidR="00DC53E7">
        <w:t>l</w:t>
      </w:r>
      <w:r>
        <w:t xml:space="preserve">) levels of </w:t>
      </w:r>
      <w:r w:rsidR="00B308C6">
        <w:t>copper</w:t>
      </w:r>
      <w:r>
        <w:t xml:space="preserve"> versus that of the outer membrane</w:t>
      </w:r>
      <w:r w:rsidR="00B41A35">
        <w:t xml:space="preserve"> </w:t>
      </w:r>
      <w:r w:rsidR="00A83108">
        <w:t>following soluble copper exposure</w:t>
      </w:r>
      <w:r w:rsidR="007436D7">
        <w:t xml:space="preserve">. We </w:t>
      </w:r>
      <w:r w:rsidR="00B41A35">
        <w:t xml:space="preserve">reasoned </w:t>
      </w:r>
      <w:r w:rsidR="007436D7">
        <w:t xml:space="preserve">that a non-contact effect would favour intracellular copper localisation rather than membrane localisation, because the latter could </w:t>
      </w:r>
      <w:r w:rsidR="00B41A35">
        <w:t>have been achieved in the studies above with particles</w:t>
      </w:r>
      <w:r w:rsidR="00850AE9">
        <w:t>,</w:t>
      </w:r>
      <w:r w:rsidR="00B41A35">
        <w:t xml:space="preserve"> whereas the former could not have been</w:t>
      </w:r>
      <w:r w:rsidR="007436D7">
        <w:t xml:space="preserve"> achieved with particle</w:t>
      </w:r>
      <w:r w:rsidR="00B41A35">
        <w:t xml:space="preserve"> </w:t>
      </w:r>
      <w:r w:rsidR="007436D7">
        <w:t>surface</w:t>
      </w:r>
      <w:r w:rsidR="00850AE9">
        <w:t>s</w:t>
      </w:r>
      <w:r w:rsidR="007436D7">
        <w:t xml:space="preserve"> </w:t>
      </w:r>
      <w:r w:rsidR="009B420B">
        <w:t xml:space="preserve">since </w:t>
      </w:r>
      <w:r w:rsidR="007436D7">
        <w:t>bacteria have rigid membranes and no ability to internalise particles</w:t>
      </w:r>
      <w:r w:rsidR="00343388">
        <w:t xml:space="preserve"> </w:t>
      </w:r>
      <w:r w:rsidR="00C774C8">
        <w:fldChar w:fldCharType="begin" w:fldLock="1"/>
      </w:r>
      <w:r w:rsidR="002A7491">
        <w:instrText>ADDIN CSL_CITATION {"citationItems":[{"id":"ITEM-1","itemData":{"DOI":"10.1016/j.addr.2017.12.010","ISSN":"0169-409X","abstract":"With the dramatic consequences of bacterial resistance to antibiotics, nanomaterials and molecular transporters have started to be investigated as alternative antibacterials or anti-infective carrier systems to improve the internalization of bactericidal drugs. However, the capability of nanomaterials/molecular transporters to overcome the bacterial cell envelope is poorly understood. It is critical to consider the sophisticated architecture of bacterial envelopes and reflect how nanomaterials/molecular transporters can interact with these envelopes, being the major aim of this review. The first part of this manuscript overviews the permeability of bacterial envelopes and how it limits the internalization of common antibiotic and novel oligonucleotide drugs. Subsequently we critically discuss the mechanisms that allow nanomaterials/molecular transporters to overcome the bacterial envelopes, focusing on the most promising ones to this end – siderophores, cyclodextrins, metal nanoparticles, antimicrobial/cell-penetrating peptides and fusogenic liposomes. This review may stimulate drug delivery and microbiology scientists in designing effective nanomaterials/molecular transporters against bacterial infections.","author":[{"dropping-particle":"","family":"Santos","given":"Rita S","non-dropping-particle":"","parse-names":false,"suffix":""},{"dropping-particle":"","family":"Figueiredo","given":"Céu","non-dropping-particle":"","parse-names":false,"suffix":""},{"dropping-particle":"","family":"Azevedo","given":"Nuno F","non-dropping-particle":"","parse-names":false,"suffix":""},{"dropping-particle":"","family":"Braeckmans","given":"Kevin","non-dropping-particle":"","parse-names":false,"suffix":""},{"dropping-particle":"De","family":"Smedt","given":"Stefaan C","non-dropping-particle":"","parse-names":false,"suffix":""}],"container-title":"Advanced Drug Delivery Reviews","id":"ITEM-1","issued":{"date-parts":[["2018"]]},"note":"Editors' Collection 2018","page":"28-48","title":"Nanomaterials and molecular transporters to overcome the bacterial envelope barrier: Towards advanced delivery of antibiotics","type":"article-journal","volume":"136-137"},"uris":["http://www.mendeley.com/documents/?uuid=007fbe7a-0db0-4ee0-8c3c-101e11cf06f6"]}],"mendeley":{"formattedCitation":"(Santos et al., 2018)","plainTextFormattedCitation":"(Santos et al., 2018)","previouslyFormattedCitation":"(Santos et al., 2018)"},"properties":{"noteIndex":0},"schema":"https://github.com/citation-style-language/schema/raw/master/csl-citation.json"}</w:instrText>
      </w:r>
      <w:r w:rsidR="00C774C8">
        <w:fldChar w:fldCharType="separate"/>
      </w:r>
      <w:r w:rsidR="003724C3" w:rsidRPr="003724C3">
        <w:rPr>
          <w:noProof/>
        </w:rPr>
        <w:t>(Santos et al., 2018)</w:t>
      </w:r>
      <w:r w:rsidR="00C774C8">
        <w:fldChar w:fldCharType="end"/>
      </w:r>
      <w:r w:rsidR="00343388">
        <w:t>.</w:t>
      </w:r>
      <w:r w:rsidR="007436D7">
        <w:t xml:space="preserve"> We did not use intracellular copper sensors as we have previously </w:t>
      </w:r>
      <w:r w:rsidR="00C774C8">
        <w:fldChar w:fldCharType="begin" w:fldLock="1"/>
      </w:r>
      <w:r w:rsidR="002A7491">
        <w:instrText>ADDIN CSL_CITATION {"citationItems":[{"id":"ITEM-1","itemData":{"DOI":"10.1186/s11671-018-2520-7","ISSN":"1931-7573 (Print)","PMID":"29675656","abstract":"Bacterial resistance to antimicrobial therapies is an increasing clinical problem. This is as true for topical applications as it is for systemic therapy. Topically, copper ions may be effective and cheap antimicrobials that act through multiple pathways thereby limiting opportunities to bacteria for resistance. However, the chemistry of copper does not lend itself to facile formulations that will readily release copper ions at biologically compatible pHs. Here, we have developed nanoparticulate copper hydroxide adipate tartrate (CHAT) as a cheap, safe, and readily synthesised material that should enable antimicrobial copper ion release in an infected wound environment.First, we synthesised CHAT and showed that this had disperse aquated particle sizes of 2-5 nm and a mean zeta potential of - 40 mV. Next, when diluted into bacterial medium, CHAT demonstrated similar efficacy to copper chloride against Escherichia coli and Staphylococcus aureus, with dose-dependent activity occurring mostly around 12.5-50 mg/L of copper. Indeed, at these levels, CHAT very rapidly dissolved and, as confirmed by a bacterial copper biosensor, showed identical intracellular loading to copper ions derived from copper chloride. However, when formulated at 250 mg/L in a topically applied matrix, namely hydroxyethyl cellulose, the benefit of CHAT over copper chloride was apparent. The former yielded rapid sustained release of copper within the bactericidal range, but the copper chloride, which formed insoluble precipitates at such concentration and pH, achieved a maximum release of 10 +/- 7 mg/L copper by 24 h.We provide a practical formulation for topical copper-based antimicrobial therapy. Further studies, especially in vivo, are merited.","author":[{"dropping-particle":"","family":"Bastos","given":"Carlos A. P.","non-dropping-particle":"","parse-names":false,"suffix":""},{"dropping-particle":"","family":"Faria","given":"Nuno","non-dropping-particle":"","parse-names":false,"suffix":""},{"dropping-particle":"","family":"Ivask","given":"Angela","non-dropping-particle":"","parse-names":false,"suffix":""},{"dropping-particle":"","family":"Bondarenko","given":"Olesja M.","non-dropping-particle":"","parse-names":false,"suffix":""},{"dropping-particle":"","family":"Kahru","given":"Anne","non-dropping-particle":"","parse-names":false,"suffix":""},{"dropping-particle":"","family":"Powell","given":"Jonathan","non-dropping-particle":"","parse-names":false,"suffix":""}],"container-title":"Nanoscale research letters","id":"ITEM-1","issue":"1","issued":{"date-parts":[["2018","4","19"]]},"language":"eng","page":"111","publisher-place":"United States","title":"Ligand-Doped Copper Oxo-hydroxide Nanoparticles are Effective Antimicrobials.","type":"article-journal","volume":"13"},"uris":["http://www.mendeley.com/documents/?uuid=ea7b5011-0722-4df7-989e-150f4203a899"]},{"id":"ITEM-2","itemData":{"DOI":"10.1016/j.tiv.2009.05.015","ISSN":"0887-2333","abstract":"The aim of this study was to evaluate the toxic effect of nanosized ZnO, CuO and TiO2 to Saccharomyces cerevisiae – a widely used unicellular eukaryotic model organisms in molecular and cell biology. The effect of metal oxide nanoparticles, their bulk forms and respective ionic forms were compared. The bioavailable Zn2+ and Cu2+ ions in the growth medium were quantified by recombinant microbial sensors. Nano and bulk TiO2 were not toxic even at 20000mg/l. Both, nano and bulk ZnO were of comparable toxicity (8-h EC50 121–134mg ZnO/l and 24-h EC50 131–158mg/l). The toxicity was explained by soluble Zn-ions as proved by the microbial sensor. However, nano CuO was about 60-fold more toxic than bulk CuO: 8-h EC50 were 20.7 and 1297mg CuO/l and 24-h EC50 were 13.4 and 873mg/l, respectively. The increase in toxicity of both CuO formulations at 24th hour of growth was due to the increased dissolution of copper ions from CuO over time. Comparison of EC50 values of nano CuO, bulk CuO and Cu2+ with bioavailable copper concentrations in the growth medium showed that the solubilized Cu-ions explained only about 50% of the toxicity of both, nano and bulk CuO. To our knowledge, this is the first study that evaluates the toxicity of ZnO, CuO and TiO2 nanoparticles to S.cerevisiae.","author":[{"dropping-particle":"","family":"Kasemets","given":"Kaja","non-dropping-particle":"","parse-names":false,"suffix":""},{"dropping-particle":"","family":"Ivask","given":"Angela","non-dropping-particle":"","parse-names":false,"suffix":""},{"dropping-particle":"","family":"Dubourguier","given":"Henri-Charles","non-dropping-particle":"","parse-names":false,"suffix":""},{"dropping-particle":"","family":"Kahru","given":"Anne","non-dropping-particle":"","parse-names":false,"suffix":""}],"container-title":"Toxicology in Vitro","id":"ITEM-2","issue":"6","issued":{"date-parts":[["2009"]]},"page":"1116-1122","title":"Toxicity of nanoparticles of ZnO, CuO and TiO2 to yeast Saccharomyces cerevisiae","type":"article-journal","volume":"23"},"uris":["http://www.mendeley.com/documents/?uuid=96620f93-a849-41fc-a905-f8601235978c"]}],"mendeley":{"formattedCitation":"(Bastos et al., 2018; Kasemets et al., 2009)","plainTextFormattedCitation":"(Bastos et al., 2018; Kasemets et al., 2009)","previouslyFormattedCitation":"(Bastos et al., 2018; Kasemets et al., 2009)"},"properties":{"noteIndex":0},"schema":"https://github.com/citation-style-language/schema/raw/master/csl-citation.json"}</w:instrText>
      </w:r>
      <w:r w:rsidR="00C774C8">
        <w:fldChar w:fldCharType="separate"/>
      </w:r>
      <w:r w:rsidR="003724C3" w:rsidRPr="003724C3">
        <w:rPr>
          <w:noProof/>
        </w:rPr>
        <w:t>(Bastos et al., 2018; Kasemets et al., 2009)</w:t>
      </w:r>
      <w:r w:rsidR="00C774C8">
        <w:fldChar w:fldCharType="end"/>
      </w:r>
      <w:r w:rsidR="007436D7">
        <w:t xml:space="preserve"> because that approach does not enable membrane localisation to be assessed. Instead we used </w:t>
      </w:r>
      <w:proofErr w:type="spellStart"/>
      <w:r w:rsidR="007436D7" w:rsidRPr="00234908">
        <w:t>T</w:t>
      </w:r>
      <w:r w:rsidR="00B308C6">
        <w:t>o</w:t>
      </w:r>
      <w:r w:rsidR="007436D7" w:rsidRPr="00234908">
        <w:t>F</w:t>
      </w:r>
      <w:proofErr w:type="spellEnd"/>
      <w:r w:rsidR="007436D7" w:rsidRPr="00234908">
        <w:t>-SIMS</w:t>
      </w:r>
      <w:r w:rsidR="00806D16">
        <w:t xml:space="preserve">, where individual bacterial cells </w:t>
      </w:r>
      <w:r w:rsidR="00850AE9">
        <w:t>were first</w:t>
      </w:r>
      <w:r w:rsidR="00806D16">
        <w:t xml:space="preserve"> identified using K</w:t>
      </w:r>
      <w:r w:rsidR="00806D16" w:rsidRPr="00806D16">
        <w:rPr>
          <w:vertAlign w:val="superscript"/>
        </w:rPr>
        <w:t>+</w:t>
      </w:r>
      <w:r w:rsidR="00806D16">
        <w:t xml:space="preserve"> mapping </w:t>
      </w:r>
      <w:r w:rsidR="003E5A06">
        <w:t>and</w:t>
      </w:r>
      <w:r w:rsidR="00806D16">
        <w:t xml:space="preserve"> copper </w:t>
      </w:r>
      <w:r w:rsidR="00A83108">
        <w:t xml:space="preserve">was </w:t>
      </w:r>
      <w:r w:rsidR="007436D7">
        <w:t>directly analyse</w:t>
      </w:r>
      <w:r w:rsidR="003E5A06">
        <w:t>d</w:t>
      </w:r>
      <w:r w:rsidR="00806D16">
        <w:t xml:space="preserve"> with a combined</w:t>
      </w:r>
      <w:r w:rsidR="003E5A06">
        <w:t xml:space="preserve"> </w:t>
      </w:r>
      <w:r w:rsidR="003E5A06" w:rsidRPr="003E5A06">
        <w:rPr>
          <w:vertAlign w:val="superscript"/>
        </w:rPr>
        <w:t>63</w:t>
      </w:r>
      <w:r w:rsidR="003E5A06">
        <w:t xml:space="preserve">Cu + </w:t>
      </w:r>
      <w:r w:rsidR="003E5A06" w:rsidRPr="003E5A06">
        <w:rPr>
          <w:vertAlign w:val="superscript"/>
        </w:rPr>
        <w:t>65</w:t>
      </w:r>
      <w:r w:rsidR="00806D16">
        <w:t>Cu signal</w:t>
      </w:r>
      <w:r w:rsidR="00343388">
        <w:t xml:space="preserve"> </w:t>
      </w:r>
      <w:r w:rsidR="00606E3B">
        <w:fldChar w:fldCharType="begin" w:fldLock="1"/>
      </w:r>
      <w:r w:rsidR="002A7491">
        <w:instrText>ADDIN CSL_CITATION {"citationItems":[{"id":"ITEM-1","itemData":{"DOI":"10.1116/1.5053814","author":[{"dropping-particle":"","family":"Blockhuys","given":"Stéphanie","non-dropping-particle":"","parse-names":false,"suffix":""},{"dropping-particle":"","family":"Malmberg","given":"Per","non-dropping-particle":"","parse-names":false,"suffix":""},{"dropping-particle":"","family":"Wittung-Stafshede","given":"Pernilla","non-dropping-particle":"","parse-names":false,"suffix":""}],"container-title":"Biointerphases","id":"ITEM-1","issue":"6","issued":{"date-parts":[["2018"]]},"page":"06E412","title":"Copper distribution in breast cancer cells detected by time-of-flight secondary ion mass spectrometry with delayed extraction methodology","type":"article-journal","volume":"13"},"uris":["http://www.mendeley.com/documents/?uuid=7bb851dd-92d5-4ecc-9524-f60c433cfc27"]}],"mendeley":{"formattedCitation":"(Blockhuys et al., 2018)","plainTextFormattedCitation":"(Blockhuys et al., 2018)","previouslyFormattedCitation":"(Blockhuys et al., 2018)"},"properties":{"noteIndex":0},"schema":"https://github.com/citation-style-language/schema/raw/master/csl-citation.json"}</w:instrText>
      </w:r>
      <w:r w:rsidR="00606E3B">
        <w:fldChar w:fldCharType="separate"/>
      </w:r>
      <w:r w:rsidR="003724C3" w:rsidRPr="003724C3">
        <w:rPr>
          <w:noProof/>
        </w:rPr>
        <w:t>(Blockhuys et al., 2018)</w:t>
      </w:r>
      <w:r w:rsidR="00606E3B">
        <w:fldChar w:fldCharType="end"/>
      </w:r>
      <w:r w:rsidR="00343388">
        <w:t>.</w:t>
      </w:r>
      <w:r w:rsidR="003E5A06">
        <w:t xml:space="preserve"> </w:t>
      </w:r>
      <w:r w:rsidR="003E5A06" w:rsidRPr="005B018B">
        <w:t>Following exposure to 12.5</w:t>
      </w:r>
      <w:r w:rsidR="00087DBC">
        <w:t xml:space="preserve"> </w:t>
      </w:r>
      <w:r w:rsidR="003E5A06" w:rsidRPr="005B018B">
        <w:t xml:space="preserve">mg/l </w:t>
      </w:r>
      <w:r w:rsidR="00B308C6" w:rsidRPr="005B018B">
        <w:t>copper</w:t>
      </w:r>
      <w:r w:rsidR="00087DBC">
        <w:t xml:space="preserve">, </w:t>
      </w:r>
      <w:r w:rsidR="00087DBC" w:rsidRPr="00087DBC">
        <w:rPr>
          <w:i/>
        </w:rPr>
        <w:t>i.e.</w:t>
      </w:r>
      <w:r w:rsidR="00087DBC">
        <w:t xml:space="preserve"> </w:t>
      </w:r>
      <w:r w:rsidR="00A83108" w:rsidRPr="005B018B">
        <w:t>non-precipitat</w:t>
      </w:r>
      <w:r w:rsidR="00FB4E7F" w:rsidRPr="005B018B">
        <w:t>ing</w:t>
      </w:r>
      <w:r w:rsidR="00087DBC">
        <w:t xml:space="preserve"> conditions in the bacterial medium,</w:t>
      </w:r>
      <w:r w:rsidR="003E5A06" w:rsidRPr="005B018B">
        <w:t xml:space="preserve"> the </w:t>
      </w:r>
      <w:r w:rsidR="00850AE9" w:rsidRPr="005B018B">
        <w:t xml:space="preserve">copper </w:t>
      </w:r>
      <w:r w:rsidR="00087DBC">
        <w:t>signal</w:t>
      </w:r>
      <w:r w:rsidR="003E5A06" w:rsidRPr="005B018B">
        <w:t xml:space="preserve"> was low at the</w:t>
      </w:r>
      <w:r w:rsidR="00087DBC">
        <w:t xml:space="preserve"> bacterial</w:t>
      </w:r>
      <w:r w:rsidR="00043279" w:rsidRPr="005B018B">
        <w:t xml:space="preserve"> cell</w:t>
      </w:r>
      <w:r w:rsidR="003E5A06" w:rsidRPr="005B018B">
        <w:t xml:space="preserve"> membrane</w:t>
      </w:r>
      <w:r w:rsidR="00087DBC">
        <w:t xml:space="preserve">, the site of which was </w:t>
      </w:r>
      <w:r w:rsidR="00850AE9" w:rsidRPr="005B018B">
        <w:t>determined by C</w:t>
      </w:r>
      <w:r w:rsidR="00850AE9" w:rsidRPr="005B018B">
        <w:rPr>
          <w:vertAlign w:val="subscript"/>
        </w:rPr>
        <w:t>5</w:t>
      </w:r>
      <w:r w:rsidR="00850AE9" w:rsidRPr="005B018B">
        <w:t>H</w:t>
      </w:r>
      <w:r w:rsidR="00850AE9" w:rsidRPr="005B018B">
        <w:rPr>
          <w:vertAlign w:val="subscript"/>
        </w:rPr>
        <w:t>15</w:t>
      </w:r>
      <w:r w:rsidR="00850AE9" w:rsidRPr="005B018B">
        <w:t>PNO</w:t>
      </w:r>
      <w:r w:rsidR="00850AE9" w:rsidRPr="005B018B">
        <w:rPr>
          <w:vertAlign w:val="subscript"/>
        </w:rPr>
        <w:t>4</w:t>
      </w:r>
      <w:r w:rsidR="00850AE9" w:rsidRPr="005B018B">
        <w:rPr>
          <w:vertAlign w:val="superscript"/>
        </w:rPr>
        <w:t>+</w:t>
      </w:r>
      <w:r w:rsidR="00087DBC">
        <w:t xml:space="preserve"> as before </w:t>
      </w:r>
      <w:r w:rsidR="00606E3B">
        <w:fldChar w:fldCharType="begin" w:fldLock="1"/>
      </w:r>
      <w:r w:rsidR="002A7491">
        <w:instrText>ADDIN CSL_CITATION {"citationItems":[{"id":"ITEM-1","itemData":{"DOI":"10.1002/jemt.20502","abstract":"Abstract The distribution of phosphocholine ions (m/z 184, m/z 86), sodium ions, and potassium ions in thyroid tumor cells was analyzed by imaging TOF-SIMS. Repeated sputtering with a C source and subsequent analysis with a Bi gun produced a series of 138 images that were stacked to make a 3D display of the chemistry of cells. Phosphocholine was seen in the plasma membrane (m/z 184) and intracellular membranes (m/z 86). The different fragmentation of the phospholipid probably reflects the chemical composition of membranes at these sites. High intensity of secondary ion signals of potassium was seen in membrane-encompassed cellular compartments. The data indicate that potassium ions are compartmentalized in thyroid tumor cells. Microsc. Res. Tech., 2007. © 2007 Wiley-Liss, Inc.","author":[{"dropping-particle":"","family":"Nygren","given":"Håkan","non-dropping-particle":"","parse-names":false,"suffix":""},{"dropping-particle":"","family":"Hagenhoff","given":"Birgit","non-dropping-particle":"","parse-names":false,"suffix":""},{"dropping-particle":"","family":"Malmberg","given":"Per","non-dropping-particle":"","parse-names":false,"suffix":""},{"dropping-particle":"","family":"Nilsson","given":"Mikael","non-dropping-particle":"","parse-names":false,"suffix":""},{"dropping-particle":"","family":"Richter","given":"Katrin","non-dropping-particle":"","parse-names":false,"suffix":""}],"container-title":"Microscopy Research and Technique","id":"ITEM-1","issue":"11","issued":{"date-parts":[["2007"]]},"page":"969-974","title":"Bioimaging TOF-SIMS: High resolution 3D imaging of single cells","type":"article-journal","volume":"70"},"uris":["http://www.mendeley.com/documents/?uuid=4f89a630-47f0-48d1-9eb1-5c18461de635"]}],"mendeley":{"formattedCitation":"(Nygren et al., 2007)","plainTextFormattedCitation":"(Nygren et al., 2007)","previouslyFormattedCitation":"(Nygren et al., 2007)"},"properties":{"noteIndex":0},"schema":"https://github.com/citation-style-language/schema/raw/master/csl-citation.json"}</w:instrText>
      </w:r>
      <w:r w:rsidR="00606E3B">
        <w:fldChar w:fldCharType="separate"/>
      </w:r>
      <w:r w:rsidR="003724C3" w:rsidRPr="003724C3">
        <w:rPr>
          <w:noProof/>
        </w:rPr>
        <w:t>(Nygren et al., 2007)</w:t>
      </w:r>
      <w:r w:rsidR="00606E3B">
        <w:fldChar w:fldCharType="end"/>
      </w:r>
      <w:r w:rsidR="00087DBC">
        <w:t>,</w:t>
      </w:r>
      <w:r w:rsidR="008774E9">
        <w:t xml:space="preserve"> </w:t>
      </w:r>
      <w:r w:rsidR="00043279" w:rsidRPr="005B018B">
        <w:t>and</w:t>
      </w:r>
      <w:r w:rsidR="008774E9">
        <w:t>,</w:t>
      </w:r>
      <w:r w:rsidR="00087DBC">
        <w:t xml:space="preserve"> was</w:t>
      </w:r>
      <w:r w:rsidR="00043279" w:rsidRPr="005B018B">
        <w:t xml:space="preserve"> high intracellularly</w:t>
      </w:r>
      <w:r w:rsidR="002E28A2" w:rsidRPr="005B018B">
        <w:t xml:space="preserve"> (Fig</w:t>
      </w:r>
      <w:r w:rsidR="002E28A2">
        <w:t>. 4)</w:t>
      </w:r>
      <w:r w:rsidR="00043279">
        <w:t>.</w:t>
      </w:r>
      <w:r w:rsidR="002E28A2">
        <w:t xml:space="preserve"> Collectively, our findings show that</w:t>
      </w:r>
      <w:r w:rsidR="00A83108">
        <w:t xml:space="preserve"> regardless of size, charge and composition of copper-based particles, </w:t>
      </w:r>
      <w:r w:rsidR="002E28A2">
        <w:t>it is the release of copper ions into solution that primarily determines the</w:t>
      </w:r>
      <w:r w:rsidR="00087DBC">
        <w:t>ir</w:t>
      </w:r>
      <w:r w:rsidR="002E28A2">
        <w:t xml:space="preserve"> antimicrobial activity</w:t>
      </w:r>
      <w:r w:rsidR="00087DBC">
        <w:t xml:space="preserve"> when </w:t>
      </w:r>
      <w:proofErr w:type="spellStart"/>
      <w:r w:rsidR="00087DBC">
        <w:t>aquated</w:t>
      </w:r>
      <w:proofErr w:type="spellEnd"/>
      <w:r w:rsidR="002E28A2">
        <w:t>.</w:t>
      </w:r>
      <w:r w:rsidR="00087DBC">
        <w:br w:type="page"/>
      </w:r>
    </w:p>
    <w:p w14:paraId="2ABD5592" w14:textId="77777777" w:rsidR="00D067B2" w:rsidRDefault="00D067B2" w:rsidP="001B7A7B">
      <w:pPr>
        <w:pStyle w:val="ListParagraph"/>
        <w:numPr>
          <w:ilvl w:val="0"/>
          <w:numId w:val="5"/>
        </w:numPr>
        <w:spacing w:after="0" w:line="360" w:lineRule="auto"/>
        <w:ind w:left="714" w:hanging="357"/>
        <w:contextualSpacing w:val="0"/>
        <w:outlineLvl w:val="0"/>
        <w:rPr>
          <w:b/>
          <w:sz w:val="28"/>
        </w:rPr>
      </w:pPr>
      <w:r w:rsidRPr="00D067B2">
        <w:rPr>
          <w:b/>
          <w:sz w:val="28"/>
        </w:rPr>
        <w:lastRenderedPageBreak/>
        <w:t>Discussion</w:t>
      </w:r>
    </w:p>
    <w:p w14:paraId="573C259D" w14:textId="1A4830C7" w:rsidR="002404F5" w:rsidRDefault="00D067B2" w:rsidP="00163481">
      <w:pPr>
        <w:spacing w:line="480" w:lineRule="auto"/>
        <w:jc w:val="both"/>
      </w:pPr>
      <w:r>
        <w:t>It is w</w:t>
      </w:r>
      <w:r w:rsidR="00F41500">
        <w:t xml:space="preserve">ell recognised that </w:t>
      </w:r>
      <w:r w:rsidR="00087DBC">
        <w:t xml:space="preserve">soluble forms of </w:t>
      </w:r>
      <w:r w:rsidR="00F41500">
        <w:t xml:space="preserve">copper </w:t>
      </w:r>
      <w:r w:rsidR="00087DBC">
        <w:t xml:space="preserve">have antibacterial activity. </w:t>
      </w:r>
      <w:r w:rsidR="00F41500">
        <w:t xml:space="preserve">However, whether particulate copper in suspension </w:t>
      </w:r>
      <w:r w:rsidR="000948D1">
        <w:t xml:space="preserve">also </w:t>
      </w:r>
      <w:r w:rsidR="00F41500">
        <w:t>has a</w:t>
      </w:r>
      <w:r w:rsidR="005B018B">
        <w:t xml:space="preserve"> direct</w:t>
      </w:r>
      <w:r w:rsidR="00F41500">
        <w:t xml:space="preserve"> impact has not been established. Plausibility for this </w:t>
      </w:r>
      <w:r w:rsidR="00F41500" w:rsidRPr="005336B4">
        <w:rPr>
          <w:color w:val="000000" w:themeColor="text1"/>
        </w:rPr>
        <w:t xml:space="preserve">is </w:t>
      </w:r>
      <w:r w:rsidR="005B018B" w:rsidRPr="005B018B">
        <w:rPr>
          <w:color w:val="000000" w:themeColor="text1"/>
        </w:rPr>
        <w:t>po</w:t>
      </w:r>
      <w:r w:rsidR="00087DBC">
        <w:rPr>
          <w:color w:val="000000" w:themeColor="text1"/>
        </w:rPr>
        <w:t>site</w:t>
      </w:r>
      <w:r w:rsidR="005B018B" w:rsidRPr="005B018B">
        <w:rPr>
          <w:color w:val="000000" w:themeColor="text1"/>
        </w:rPr>
        <w:t>d</w:t>
      </w:r>
      <w:r w:rsidR="00F41500" w:rsidRPr="005336B4">
        <w:rPr>
          <w:color w:val="000000" w:themeColor="text1"/>
        </w:rPr>
        <w:t xml:space="preserve"> on the </w:t>
      </w:r>
      <w:r w:rsidR="00F41500">
        <w:t xml:space="preserve">fact that copper surfaces </w:t>
      </w:r>
      <w:r w:rsidR="001C1612">
        <w:t>can</w:t>
      </w:r>
      <w:r w:rsidR="005336B4">
        <w:t xml:space="preserve"> be used to facilitate environmental infection control</w:t>
      </w:r>
      <w:r w:rsidR="000948D1">
        <w:t>. Moreover,</w:t>
      </w:r>
      <w:r w:rsidR="005336B4">
        <w:t xml:space="preserve"> particles in suspension are, generally, </w:t>
      </w:r>
      <w:r w:rsidR="005A4A51">
        <w:t xml:space="preserve">attracted to cell </w:t>
      </w:r>
      <w:r w:rsidR="005336B4">
        <w:t xml:space="preserve">membranes due to </w:t>
      </w:r>
      <w:r w:rsidR="000948D1">
        <w:t xml:space="preserve">entropic </w:t>
      </w:r>
      <w:r w:rsidR="005A4A51">
        <w:t xml:space="preserve">and, often, </w:t>
      </w:r>
      <w:r w:rsidR="000948D1">
        <w:t>electrostatic</w:t>
      </w:r>
      <w:r w:rsidR="005A4A51">
        <w:t xml:space="preserve"> forces.</w:t>
      </w:r>
      <w:r w:rsidR="003800A8">
        <w:t xml:space="preserve"> </w:t>
      </w:r>
      <w:r w:rsidR="00163481">
        <w:t>Indeed, attractive</w:t>
      </w:r>
      <w:r w:rsidR="00D95B3F">
        <w:t xml:space="preserve"> </w:t>
      </w:r>
      <w:r w:rsidR="003800A8">
        <w:t>forces c</w:t>
      </w:r>
      <w:r w:rsidR="00D95B3F">
        <w:t xml:space="preserve">ould </w:t>
      </w:r>
      <w:r w:rsidR="003800A8">
        <w:t xml:space="preserve">be </w:t>
      </w:r>
      <w:r w:rsidR="00D95B3F">
        <w:t>enhanced</w:t>
      </w:r>
      <w:r w:rsidR="003800A8">
        <w:t xml:space="preserve"> using </w:t>
      </w:r>
      <w:r w:rsidR="00163481">
        <w:t>particle surface</w:t>
      </w:r>
      <w:r w:rsidR="00D95B3F">
        <w:t xml:space="preserve"> </w:t>
      </w:r>
      <w:r w:rsidR="00485A0D">
        <w:t>coatings although</w:t>
      </w:r>
      <w:r w:rsidR="00D95B3F">
        <w:t xml:space="preserve"> these then increase particle size, which is especially noticeable for the </w:t>
      </w:r>
      <w:proofErr w:type="spellStart"/>
      <w:r w:rsidR="00D95B3F">
        <w:t>ultra</w:t>
      </w:r>
      <w:r w:rsidR="00163481">
        <w:t xml:space="preserve"> </w:t>
      </w:r>
      <w:r w:rsidR="00D95B3F">
        <w:t>small</w:t>
      </w:r>
      <w:proofErr w:type="spellEnd"/>
      <w:r w:rsidR="00D95B3F">
        <w:t xml:space="preserve"> particle size rang</w:t>
      </w:r>
      <w:r w:rsidR="003C6A30">
        <w:t>e</w:t>
      </w:r>
      <w:r w:rsidR="0020677A">
        <w:t>.</w:t>
      </w:r>
      <w:r w:rsidR="00F41500">
        <w:t xml:space="preserve"> </w:t>
      </w:r>
      <w:r w:rsidR="002404F5">
        <w:t xml:space="preserve">On this point, it is unlikely that </w:t>
      </w:r>
      <w:r w:rsidR="005A4A51" w:rsidRPr="009B01B5">
        <w:t>bacteria acquire</w:t>
      </w:r>
      <w:r w:rsidR="005A4A51">
        <w:t xml:space="preserve"> and internalise </w:t>
      </w:r>
      <w:proofErr w:type="spellStart"/>
      <w:r w:rsidR="00FB4E7F">
        <w:t>ultra</w:t>
      </w:r>
      <w:r w:rsidR="000948D1">
        <w:t xml:space="preserve"> </w:t>
      </w:r>
      <w:r w:rsidR="00FB4E7F">
        <w:t>small</w:t>
      </w:r>
      <w:proofErr w:type="spellEnd"/>
      <w:r w:rsidR="002404F5">
        <w:t xml:space="preserve"> (or larger)</w:t>
      </w:r>
      <w:r w:rsidR="005A4A51">
        <w:t xml:space="preserve"> nanoparticles</w:t>
      </w:r>
      <w:r w:rsidR="002404F5">
        <w:t xml:space="preserve"> as t</w:t>
      </w:r>
      <w:r w:rsidR="005A4A51">
        <w:t xml:space="preserve">he rigidity of the </w:t>
      </w:r>
      <w:r w:rsidR="005A4A51" w:rsidRPr="009B01B5">
        <w:t xml:space="preserve">bacterial </w:t>
      </w:r>
      <w:r w:rsidR="009B01B5" w:rsidRPr="009B01B5">
        <w:t>cell wall</w:t>
      </w:r>
      <w:r w:rsidR="005A4A51" w:rsidRPr="009B01B5">
        <w:t xml:space="preserve"> </w:t>
      </w:r>
      <w:r w:rsidR="005A4A51">
        <w:t>does not support endocytic mechanisms</w:t>
      </w:r>
      <w:r w:rsidR="00485A0D">
        <w:t xml:space="preserve"> </w:t>
      </w:r>
      <w:r w:rsidR="00485A0D">
        <w:fldChar w:fldCharType="begin" w:fldLock="1"/>
      </w:r>
      <w:r w:rsidR="005352CC">
        <w:instrText>ADDIN CSL_CITATION {"citationItems":[{"id":"ITEM-1","itemData":{"DOI":"10.1016/j.addr.2017.12.010","ISSN":"0169-409X","abstract":"With the dramatic consequences of bacterial resistance to antibiotics, nanomaterials and molecular transporters have started to be investigated as alternative antibacterials or anti-infective carrier systems to improve the internalization of bactericidal drugs. However, the capability of nanomaterials/molecular transporters to overcome the bacterial cell envelope is poorly understood. It is critical to consider the sophisticated architecture of bacterial envelopes and reflect how nanomaterials/molecular transporters can interact with these envelopes, being the major aim of this review. The first part of this manuscript overviews the permeability of bacterial envelopes and how it limits the internalization of common antibiotic and novel oligonucleotide drugs. Subsequently we critically discuss the mechanisms that allow nanomaterials/molecular transporters to overcome the bacterial envelopes, focusing on the most promising ones to this end – siderophores, cyclodextrins, metal nanoparticles, antimicrobial/cell-penetrating peptides and fusogenic liposomes. This review may stimulate drug delivery and microbiology scientists in designing effective nanomaterials/molecular transporters against bacterial infections.","author":[{"dropping-particle":"","family":"Santos","given":"Rita S","non-dropping-particle":"","parse-names":false,"suffix":""},{"dropping-particle":"","family":"Figueiredo","given":"Céu","non-dropping-particle":"","parse-names":false,"suffix":""},{"dropping-particle":"","family":"Azevedo","given":"Nuno F","non-dropping-particle":"","parse-names":false,"suffix":""},{"dropping-particle":"","family":"Braeckmans","given":"Kevin","non-dropping-particle":"","parse-names":false,"suffix":""},{"dropping-particle":"De","family":"Smedt","given":"Stefaan C","non-dropping-particle":"","parse-names":false,"suffix":""}],"container-title":"Advanced Drug Delivery Reviews","id":"ITEM-1","issued":{"date-parts":[["2018"]]},"note":"Editors' Collection 2018","page":"28-48","title":"Nanomaterials and molecular transporters to overcome the bacterial envelope barrier: Towards advanced delivery of antibiotics","type":"article-journal","volume":"136-137"},"uris":["http://www.mendeley.com/documents/?uuid=007fbe7a-0db0-4ee0-8c3c-101e11cf06f6"]}],"mendeley":{"formattedCitation":"(Santos et al., 2018)","plainTextFormattedCitation":"(Santos et al., 2018)","previouslyFormattedCitation":"(Santos et al., 2018)"},"properties":{"noteIndex":0},"schema":"https://github.com/citation-style-language/schema/raw/master/csl-citation.json"}</w:instrText>
      </w:r>
      <w:r w:rsidR="00485A0D">
        <w:fldChar w:fldCharType="separate"/>
      </w:r>
      <w:r w:rsidR="00485A0D" w:rsidRPr="00485A0D">
        <w:rPr>
          <w:noProof/>
        </w:rPr>
        <w:t>(Santos et al., 2018)</w:t>
      </w:r>
      <w:r w:rsidR="00485A0D">
        <w:fldChar w:fldCharType="end"/>
      </w:r>
      <w:r w:rsidR="00485A0D">
        <w:t>. Particle penetration could occur if the cell membrane was degraded by a sp</w:t>
      </w:r>
      <w:r w:rsidR="00C06DA5">
        <w:t>ecific particle coating</w:t>
      </w:r>
      <w:r w:rsidR="002404F5">
        <w:t xml:space="preserve"> or carrier</w:t>
      </w:r>
      <w:r w:rsidR="00C06DA5">
        <w:t xml:space="preserve"> (e.g. surfact</w:t>
      </w:r>
      <w:r w:rsidR="00C06DA5" w:rsidRPr="005352CC">
        <w:t xml:space="preserve">ants), but this </w:t>
      </w:r>
      <w:r w:rsidR="002404F5" w:rsidRPr="005352CC">
        <w:t xml:space="preserve">would not be a direct </w:t>
      </w:r>
      <w:r w:rsidR="00C06DA5" w:rsidRPr="005352CC">
        <w:t xml:space="preserve">nanoparticle </w:t>
      </w:r>
      <w:r w:rsidR="002404F5" w:rsidRPr="005352CC">
        <w:t xml:space="preserve">interaction </w:t>
      </w:r>
      <w:r w:rsidR="004A1287" w:rsidRPr="005352CC">
        <w:fldChar w:fldCharType="begin" w:fldLock="1"/>
      </w:r>
      <w:r w:rsidR="00FB5C54">
        <w:instrText>ADDIN CSL_CITATION {"citationItems":[{"id":"ITEM-1","itemData":{"DOI":"10.1038/srep11033","ISSN":"2045-2322","abstract":"The use of Catechin as an antibacterial agent is becoming ever-more common, whereas unstable and easy oxidation, have limited its application. A simple and low-energy-consuming approach to synthesize highly stable and dispersive Catechin-Cu nanoparticles(NPs) has been developed, in which the stability and dispersivity of the NPs are varied greatly with the pH value and temperature of the reaction. The results demonstrate that the optimal reaction conditions are pH 11 at room temperature. As-synthesized NPs display excellent antimicrobial activity, the survival rates of bacterial cells exposed to the NPs were evaluated using live/dead Bacterial Viability Kit. The results showed that NPs at the concentration of 10 ppm and 20 ppm provided rapid and effective killing of up to 90% and 85% of S. aureus and E. coli within 3 h, respectively. After treatment with 20 ppm and 40 ppm NPs, the bacteria are killed completely. Furthermore, on the basis of assessing the antibacterial effects by SEM, TEM, and AFM, it was found the cell membrane damage of the bacteria caused by direct contact of the bacteria with the NPs was the effective mechanism in the bacterial inactivation.","author":[{"dropping-particle":"","family":"Li","given":"Huanhuan","non-dropping-particle":"","parse-names":false,"suffix":""},{"dropping-particle":"","family":"Chen","given":"Quansheng","non-dropping-particle":"","parse-names":false,"suffix":""},{"dropping-particle":"","family":"Zhao","given":"Jiewen","non-dropping-particle":"","parse-names":false,"suffix":""},{"dropping-particle":"","family":"Urmila","given":"Khulal","non-dropping-particle":"","parse-names":false,"suffix":""}],"container-title":"Scientific reports","id":"ITEM-1","issued":{"date-parts":[["2015","6","5"]]},"language":"eng","page":"11033","publisher":"Nature Publishing Group","title":"Enhancing the antimicrobial activity of natural extraction using the synthetic ultrasmall metal nanoparticles","type":"article-journal","volume":"5"},"uris":["http://www.mendeley.com/documents/?uuid=58c534f6-4e75-40ea-b915-3c968a7db8ab"]},{"id":"ITEM-2","itemData":{"DOI":"10.1021/nl301934w","ISSN":"1530-6984","author":[{"dropping-particle":"","family":"Xiu","given":"Zong-ming","non-dropping-particle":"","parse-names":false,"suffix":""},{"dropping-particle":"","family":"Zhang","given":"Qing-bo","non-dropping-particle":"","parse-names":false,"suffix":""},{"dropping-particle":"","family":"Puppala","given":"Hema L","non-dropping-particle":"","parse-names":false,"suffix":""},{"dropping-particle":"","family":"Colvin","given":"Vicki L","non-dropping-particle":"","parse-names":false,"suffix":""},{"dropping-particle":"","family":"Alvarez","given":"Pedro J J","non-dropping-particle":"","parse-names":false,"suffix":""}],"container-title":"Nano Letters","id":"ITEM-2","issue":"8","issued":{"date-parts":[["2012","8","8"]]},"note":"doi: 10.1021/nl301934w","page":"4271-4275","publisher":"American Chemical Society","title":"Negligible Particle-Specific Antibacterial Activity of Silver Nanoparticles","type":"article-journal","volume":"12"},"uris":["http://www.mendeley.com/documents/?uuid=ab62200d-3b8c-43a4-a5e3-ebd62a74aed3"]}],"mendeley":{"formattedCitation":"(Li et al., 2015; Xiu et al., 2012)","plainTextFormattedCitation":"(Li et al., 2015; Xiu et al., 2012)","previouslyFormattedCitation":"(Li et al., 2015; Xiu et al., 2012)"},"properties":{"noteIndex":0},"schema":"https://github.com/citation-style-language/schema/raw/master/csl-citation.json"}</w:instrText>
      </w:r>
      <w:r w:rsidR="004A1287" w:rsidRPr="005352CC">
        <w:fldChar w:fldCharType="separate"/>
      </w:r>
      <w:r w:rsidR="005352CC" w:rsidRPr="005352CC">
        <w:rPr>
          <w:noProof/>
        </w:rPr>
        <w:t>(Li et al., 2015; Xiu et al., 2012)</w:t>
      </w:r>
      <w:r w:rsidR="004A1287" w:rsidRPr="005352CC">
        <w:fldChar w:fldCharType="end"/>
      </w:r>
      <w:r w:rsidR="00AF1B3B" w:rsidRPr="005352CC">
        <w:t>.</w:t>
      </w:r>
      <w:r w:rsidR="00D01729">
        <w:t xml:space="preserve"> </w:t>
      </w:r>
    </w:p>
    <w:p w14:paraId="078F626F" w14:textId="709B8C2C" w:rsidR="00C47D61" w:rsidRDefault="00C06DA5" w:rsidP="00163481">
      <w:pPr>
        <w:spacing w:line="480" w:lineRule="auto"/>
        <w:jc w:val="both"/>
      </w:pPr>
      <w:r>
        <w:t>H</w:t>
      </w:r>
      <w:r w:rsidR="005A4A51">
        <w:t>ere we show that</w:t>
      </w:r>
      <w:r w:rsidR="002404F5">
        <w:t xml:space="preserve">, in the absence of a </w:t>
      </w:r>
      <w:r w:rsidR="00163481">
        <w:t>permeabilising</w:t>
      </w:r>
      <w:r w:rsidR="002404F5">
        <w:t xml:space="preserve"> agent,</w:t>
      </w:r>
      <w:r w:rsidR="005A4A51">
        <w:t xml:space="preserve"> ne</w:t>
      </w:r>
      <w:r w:rsidR="007C74A7">
        <w:t>i</w:t>
      </w:r>
      <w:r w:rsidR="005A4A51">
        <w:t>ther larg</w:t>
      </w:r>
      <w:r w:rsidR="003164AC">
        <w:t>e nor small particles of copper-</w:t>
      </w:r>
      <w:r w:rsidR="005A4A51">
        <w:t xml:space="preserve">based materials have a measurable impact on </w:t>
      </w:r>
      <w:r w:rsidR="000948D1">
        <w:t>bacterial growth</w:t>
      </w:r>
      <w:r w:rsidR="005A4A51">
        <w:t xml:space="preserve"> above and beyond the effect through loss of copper ions into the aqueous medium. </w:t>
      </w:r>
      <w:r w:rsidR="003164AC">
        <w:t xml:space="preserve">In other words, it is the dissolution of copper-based particles, but not their </w:t>
      </w:r>
      <w:r w:rsidR="003164AC" w:rsidRPr="0073254C">
        <w:t xml:space="preserve">particulate nature </w:t>
      </w:r>
      <w:r w:rsidR="003164AC" w:rsidRPr="0073254C">
        <w:rPr>
          <w:i/>
        </w:rPr>
        <w:t>per se</w:t>
      </w:r>
      <w:r w:rsidR="002404F5">
        <w:rPr>
          <w:i/>
        </w:rPr>
        <w:t xml:space="preserve"> </w:t>
      </w:r>
      <w:r w:rsidR="003164AC" w:rsidRPr="0073254C">
        <w:t>that is responsible for the antimicrobial</w:t>
      </w:r>
      <w:r w:rsidR="003164AC">
        <w:t xml:space="preserve"> activity. Precisely what soluble products</w:t>
      </w:r>
      <w:r w:rsidR="000948D1">
        <w:t xml:space="preserve"> are formed</w:t>
      </w:r>
      <w:r w:rsidR="003164AC">
        <w:t xml:space="preserve"> and at what rates</w:t>
      </w:r>
      <w:r w:rsidR="000948D1">
        <w:t xml:space="preserve"> this occurs</w:t>
      </w:r>
      <w:r w:rsidR="003164AC">
        <w:t xml:space="preserve">, will depend upon the particle itself as well as the nature of the aqueous environment. In the media used in this work (HMM) there </w:t>
      </w:r>
      <w:r w:rsidR="000948D1">
        <w:t>a</w:t>
      </w:r>
      <w:r w:rsidR="003164AC">
        <w:t xml:space="preserve">re no strong chelating </w:t>
      </w:r>
      <w:r w:rsidR="008774E9">
        <w:t>agents,</w:t>
      </w:r>
      <w:r w:rsidR="003164AC">
        <w:t xml:space="preserve"> but the presence of amino acids probably allow</w:t>
      </w:r>
      <w:r w:rsidR="000948D1">
        <w:t>s</w:t>
      </w:r>
      <w:r w:rsidR="003164AC">
        <w:t xml:space="preserve"> more copper in solution through weak</w:t>
      </w:r>
      <w:r w:rsidR="000948D1">
        <w:t xml:space="preserve"> </w:t>
      </w:r>
      <w:r w:rsidR="003164AC">
        <w:t>moderate interactions with the metal, th</w:t>
      </w:r>
      <w:r w:rsidR="000948D1">
        <w:t>a</w:t>
      </w:r>
      <w:r w:rsidR="003164AC">
        <w:t xml:space="preserve">n water alone would allow. In other words, </w:t>
      </w:r>
      <w:r w:rsidR="00A74081">
        <w:t xml:space="preserve">low </w:t>
      </w:r>
      <w:r w:rsidR="00A74081" w:rsidRPr="009B01B5">
        <w:t xml:space="preserve">molecular weight ligands can retard oxo-hydroxide formation of hydrolytic metal ions (such as copper) at near-neutral </w:t>
      </w:r>
      <w:proofErr w:type="spellStart"/>
      <w:r w:rsidR="00A74081" w:rsidRPr="009B01B5">
        <w:t>pHs</w:t>
      </w:r>
      <w:proofErr w:type="spellEnd"/>
      <w:r w:rsidR="00A74081" w:rsidRPr="009B01B5">
        <w:t xml:space="preserve">. However, in this work, the same medium was used for all </w:t>
      </w:r>
      <w:r w:rsidR="008774E9" w:rsidRPr="009B01B5">
        <w:t>experiments,</w:t>
      </w:r>
      <w:r w:rsidR="00A74081" w:rsidRPr="009B01B5">
        <w:t xml:space="preserve"> so conditions were</w:t>
      </w:r>
      <w:r w:rsidR="00A74081">
        <w:t xml:space="preserve"> matched except for particle type. As a result</w:t>
      </w:r>
      <w:r w:rsidR="000948D1">
        <w:t>,</w:t>
      </w:r>
      <w:r w:rsidR="00A74081">
        <w:t xml:space="preserve"> concentration of soluble copper, over time, is the only variable that need</w:t>
      </w:r>
      <w:r w:rsidR="000948D1">
        <w:t>ed</w:t>
      </w:r>
      <w:r w:rsidR="00A74081">
        <w:t xml:space="preserve"> to be considered and its fractionation allowed robust modelling of the </w:t>
      </w:r>
      <w:r w:rsidR="000948D1">
        <w:t xml:space="preserve">phase </w:t>
      </w:r>
      <w:r w:rsidR="00A74081">
        <w:t xml:space="preserve">of copper that mediated the antimicrobial effect. </w:t>
      </w:r>
      <w:r w:rsidR="00402FFA">
        <w:t>Of course</w:t>
      </w:r>
      <w:r w:rsidR="000948D1">
        <w:t>,</w:t>
      </w:r>
      <w:r w:rsidR="00402FFA">
        <w:t xml:space="preserve"> we cannot </w:t>
      </w:r>
      <w:r w:rsidR="00402FFA">
        <w:lastRenderedPageBreak/>
        <w:t>exclude some effect of particulate copper-based m</w:t>
      </w:r>
      <w:r w:rsidR="000948D1">
        <w:t xml:space="preserve">aterial in terms </w:t>
      </w:r>
      <w:r w:rsidR="00402FFA">
        <w:t xml:space="preserve">of antimicrobial </w:t>
      </w:r>
      <w:proofErr w:type="gramStart"/>
      <w:r w:rsidR="00402FFA">
        <w:t>impact</w:t>
      </w:r>
      <w:proofErr w:type="gramEnd"/>
      <w:r w:rsidR="00402FFA">
        <w:t xml:space="preserve"> but this will be negligible compared to the soluble effect. </w:t>
      </w:r>
    </w:p>
    <w:p w14:paraId="1A5D5731" w14:textId="77777777" w:rsidR="00C47D61" w:rsidRDefault="00C47D61" w:rsidP="00163481">
      <w:pPr>
        <w:spacing w:line="480" w:lineRule="auto"/>
        <w:jc w:val="both"/>
      </w:pPr>
    </w:p>
    <w:p w14:paraId="4DA61D30" w14:textId="61E7B4AF" w:rsidR="008D019B" w:rsidRDefault="008D019B" w:rsidP="00343388">
      <w:pPr>
        <w:pStyle w:val="ListParagraph"/>
        <w:numPr>
          <w:ilvl w:val="0"/>
          <w:numId w:val="5"/>
        </w:numPr>
        <w:spacing w:after="0" w:line="360" w:lineRule="auto"/>
        <w:ind w:left="714" w:hanging="357"/>
        <w:contextualSpacing w:val="0"/>
        <w:jc w:val="both"/>
        <w:outlineLvl w:val="0"/>
        <w:rPr>
          <w:b/>
          <w:sz w:val="28"/>
          <w:szCs w:val="28"/>
        </w:rPr>
      </w:pPr>
      <w:r w:rsidRPr="008D019B">
        <w:rPr>
          <w:b/>
          <w:sz w:val="28"/>
          <w:szCs w:val="28"/>
        </w:rPr>
        <w:t xml:space="preserve">Conclusion </w:t>
      </w:r>
    </w:p>
    <w:p w14:paraId="5FC558ED" w14:textId="7936FD73" w:rsidR="00402FFA" w:rsidRPr="008D019B" w:rsidRDefault="00402FFA" w:rsidP="008D019B">
      <w:pPr>
        <w:spacing w:line="480" w:lineRule="auto"/>
        <w:ind w:left="360"/>
        <w:jc w:val="both"/>
        <w:rPr>
          <w:b/>
          <w:sz w:val="28"/>
          <w:szCs w:val="28"/>
        </w:rPr>
      </w:pPr>
      <w:r>
        <w:t>Apart from clarifying a rather long</w:t>
      </w:r>
      <w:r w:rsidR="007C74A7">
        <w:t>-</w:t>
      </w:r>
      <w:r>
        <w:t>standing question in the field, our finding</w:t>
      </w:r>
      <w:r w:rsidR="007C74A7">
        <w:t>s</w:t>
      </w:r>
      <w:r>
        <w:t xml:space="preserve"> have implications for both inadvertent and purposeful exposures</w:t>
      </w:r>
      <w:r w:rsidR="000948D1">
        <w:t xml:space="preserve"> to copper-based materials</w:t>
      </w:r>
      <w:r>
        <w:t>. For the former, it is likely that toxicity of copper-based materials to symbiotic bacteria is driven by solubility in an aqueous environment. For the latter, novel copper-based antimicrobial therapeutics should focus towards soluble rather than nanoparticulate forms of copper as antimicrobial actives. As noted above, nanos</w:t>
      </w:r>
      <w:r w:rsidR="000948D1">
        <w:t>izi</w:t>
      </w:r>
      <w:r>
        <w:t xml:space="preserve">ng or other particulate </w:t>
      </w:r>
      <w:r w:rsidR="000948D1">
        <w:t>structuring</w:t>
      </w:r>
      <w:r>
        <w:t xml:space="preserve"> of copper</w:t>
      </w:r>
      <w:r w:rsidR="000948D1">
        <w:t xml:space="preserve"> materials</w:t>
      </w:r>
      <w:r>
        <w:t xml:space="preserve"> may have advantage for delivery and </w:t>
      </w:r>
      <w:r w:rsidR="000948D1">
        <w:t>formulati</w:t>
      </w:r>
      <w:r>
        <w:t>on purposes</w:t>
      </w:r>
      <w:r w:rsidR="00F25932">
        <w:t>,</w:t>
      </w:r>
      <w:r>
        <w:t xml:space="preserve"> but we conclude that this is not the case</w:t>
      </w:r>
      <w:r w:rsidR="007C74A7">
        <w:t xml:space="preserve"> for</w:t>
      </w:r>
      <w:r>
        <w:t xml:space="preserve"> </w:t>
      </w:r>
      <w:r w:rsidR="00D4500E">
        <w:t>activity purposes</w:t>
      </w:r>
      <w:r w:rsidR="000948D1">
        <w:t xml:space="preserve">, and, for which dissolution is the key. </w:t>
      </w:r>
      <w:r>
        <w:t xml:space="preserve"> </w:t>
      </w:r>
    </w:p>
    <w:p w14:paraId="37E1CE2F" w14:textId="77777777" w:rsidR="00F41500" w:rsidRPr="00D067B2" w:rsidRDefault="00F41500" w:rsidP="00D067B2">
      <w:pPr>
        <w:spacing w:line="480" w:lineRule="auto"/>
        <w:jc w:val="both"/>
      </w:pPr>
    </w:p>
    <w:p w14:paraId="468671E9" w14:textId="28093247" w:rsidR="001114C1" w:rsidRPr="001B7A7B" w:rsidRDefault="00776FF4" w:rsidP="00343388">
      <w:pPr>
        <w:pStyle w:val="Heading1"/>
        <w:numPr>
          <w:ilvl w:val="0"/>
          <w:numId w:val="5"/>
        </w:numPr>
        <w:spacing w:before="0" w:after="120" w:line="360" w:lineRule="auto"/>
        <w:rPr>
          <w:rFonts w:asciiTheme="minorHAnsi" w:eastAsia="Calibri" w:hAnsiTheme="minorHAnsi" w:cstheme="minorHAnsi"/>
          <w:b/>
          <w:color w:val="000000" w:themeColor="text1"/>
          <w:sz w:val="28"/>
        </w:rPr>
      </w:pPr>
      <w:r>
        <w:rPr>
          <w:rFonts w:asciiTheme="minorHAnsi" w:eastAsia="Calibri" w:hAnsiTheme="minorHAnsi" w:cstheme="minorHAnsi"/>
          <w:b/>
          <w:color w:val="000000" w:themeColor="text1"/>
          <w:sz w:val="28"/>
        </w:rPr>
        <w:t>Conflicts of interest</w:t>
      </w:r>
    </w:p>
    <w:p w14:paraId="4BF1916F" w14:textId="77777777" w:rsidR="00776FF4" w:rsidRDefault="001114C1" w:rsidP="00731A92">
      <w:pPr>
        <w:spacing w:line="480" w:lineRule="auto"/>
        <w:rPr>
          <w:rFonts w:ascii="Times New Roman" w:eastAsia="Calibri" w:hAnsi="Times New Roman" w:cs="Times New Roman"/>
          <w:sz w:val="24"/>
          <w:szCs w:val="24"/>
        </w:rPr>
      </w:pPr>
      <w:r w:rsidRPr="002167DD">
        <w:t>The authors declare no conflict of interest but C.A.P.B., N.F., and J.J.P. wish to note that they are inventors on a patent detailing use of copper oxo-hydroxide structures as antimicrobials</w:t>
      </w:r>
      <w:r w:rsidRPr="002167DD">
        <w:rPr>
          <w:rFonts w:ascii="Times New Roman" w:eastAsia="Calibri" w:hAnsi="Times New Roman" w:cs="Times New Roman"/>
          <w:sz w:val="24"/>
          <w:szCs w:val="24"/>
        </w:rPr>
        <w:t>.</w:t>
      </w:r>
    </w:p>
    <w:p w14:paraId="6F3F57F3" w14:textId="77777777" w:rsidR="00921E81" w:rsidRDefault="00921E81" w:rsidP="00731A92">
      <w:pPr>
        <w:spacing w:line="480" w:lineRule="auto"/>
        <w:rPr>
          <w:rFonts w:ascii="Times New Roman" w:eastAsia="Calibri" w:hAnsi="Times New Roman" w:cs="Times New Roman"/>
          <w:sz w:val="24"/>
          <w:szCs w:val="24"/>
        </w:rPr>
      </w:pPr>
    </w:p>
    <w:p w14:paraId="45206090" w14:textId="56DEE374" w:rsidR="00776FF4" w:rsidRPr="00855768" w:rsidRDefault="00776FF4" w:rsidP="00343388">
      <w:pPr>
        <w:pStyle w:val="Heading1"/>
        <w:numPr>
          <w:ilvl w:val="0"/>
          <w:numId w:val="5"/>
        </w:numPr>
        <w:spacing w:before="0" w:after="120" w:line="360" w:lineRule="auto"/>
        <w:rPr>
          <w:rFonts w:eastAsia="Calibri"/>
          <w:b/>
        </w:rPr>
      </w:pPr>
      <w:r w:rsidRPr="001B7A7B">
        <w:rPr>
          <w:rFonts w:asciiTheme="minorHAnsi" w:eastAsia="Calibri" w:hAnsiTheme="minorHAnsi" w:cstheme="minorHAnsi"/>
          <w:b/>
          <w:color w:val="000000" w:themeColor="text1"/>
          <w:sz w:val="28"/>
        </w:rPr>
        <w:t>Acknowledgements</w:t>
      </w:r>
    </w:p>
    <w:p w14:paraId="13436A50" w14:textId="4A623AA9" w:rsidR="00731A92" w:rsidRPr="00776FF4" w:rsidRDefault="00776FF4" w:rsidP="00776FF4">
      <w:pPr>
        <w:spacing w:line="480" w:lineRule="auto"/>
        <w:jc w:val="both"/>
        <w:rPr>
          <w:color w:val="000000" w:themeColor="text1"/>
        </w:rPr>
      </w:pPr>
      <w:r w:rsidRPr="00F14D27">
        <w:rPr>
          <w:color w:val="000000" w:themeColor="text1"/>
        </w:rPr>
        <w:t xml:space="preserve">This work </w:t>
      </w:r>
      <w:r w:rsidR="00343388">
        <w:rPr>
          <w:color w:val="000000" w:themeColor="text1"/>
        </w:rPr>
        <w:t xml:space="preserve">was supported by </w:t>
      </w:r>
      <w:r w:rsidRPr="00F14D27">
        <w:rPr>
          <w:color w:val="000000" w:themeColor="text1"/>
        </w:rPr>
        <w:t>the UK Medical Research Council</w:t>
      </w:r>
      <w:r>
        <w:rPr>
          <w:color w:val="000000" w:themeColor="text1"/>
        </w:rPr>
        <w:t>, University of Cambridge (UK) and the grant</w:t>
      </w:r>
      <w:r w:rsidRPr="00F14D27">
        <w:rPr>
          <w:color w:val="000000" w:themeColor="text1"/>
        </w:rPr>
        <w:t xml:space="preserve"> number </w:t>
      </w:r>
      <w:r>
        <w:t>M</w:t>
      </w:r>
      <w:bookmarkStart w:id="2" w:name="_GoBack"/>
      <w:bookmarkEnd w:id="2"/>
      <w:r>
        <w:t xml:space="preserve">R/R005699/1 </w:t>
      </w:r>
      <w:r>
        <w:rPr>
          <w:color w:val="000000" w:themeColor="text1"/>
        </w:rPr>
        <w:t xml:space="preserve">is here acknowledged. </w:t>
      </w:r>
      <w:r w:rsidR="00731A92">
        <w:rPr>
          <w:rFonts w:eastAsia="Calibri"/>
          <w:b/>
          <w:sz w:val="28"/>
        </w:rPr>
        <w:br w:type="page"/>
      </w:r>
    </w:p>
    <w:p w14:paraId="6309F0A2" w14:textId="1B2806E5" w:rsidR="00A61C0B" w:rsidRPr="00343388" w:rsidRDefault="00A61C0B" w:rsidP="00343388">
      <w:pPr>
        <w:pStyle w:val="ListParagraph"/>
        <w:numPr>
          <w:ilvl w:val="0"/>
          <w:numId w:val="5"/>
        </w:numPr>
        <w:spacing w:after="0" w:line="276" w:lineRule="auto"/>
        <w:ind w:left="714" w:hanging="357"/>
        <w:contextualSpacing w:val="0"/>
        <w:outlineLvl w:val="0"/>
        <w:rPr>
          <w:rFonts w:eastAsia="Calibri"/>
          <w:b/>
          <w:sz w:val="28"/>
        </w:rPr>
      </w:pPr>
      <w:r w:rsidRPr="00343388">
        <w:rPr>
          <w:rFonts w:eastAsia="Calibri"/>
          <w:b/>
          <w:sz w:val="28"/>
        </w:rPr>
        <w:lastRenderedPageBreak/>
        <w:t>References</w:t>
      </w:r>
    </w:p>
    <w:p w14:paraId="5E09B8B3" w14:textId="7C4DC0BD" w:rsidR="00454102" w:rsidRPr="00454102" w:rsidRDefault="00A61C0B" w:rsidP="00454102">
      <w:pPr>
        <w:widowControl w:val="0"/>
        <w:autoSpaceDE w:val="0"/>
        <w:autoSpaceDN w:val="0"/>
        <w:adjustRightInd w:val="0"/>
        <w:spacing w:before="240" w:after="0" w:line="360" w:lineRule="auto"/>
        <w:ind w:left="480" w:hanging="480"/>
        <w:rPr>
          <w:rFonts w:ascii="Calibri" w:hAnsi="Calibri" w:cs="Calibri"/>
          <w:noProof/>
          <w:szCs w:val="24"/>
        </w:rPr>
      </w:pPr>
      <w:r>
        <w:rPr>
          <w:rFonts w:eastAsia="Calibri"/>
        </w:rPr>
        <w:fldChar w:fldCharType="begin" w:fldLock="1"/>
      </w:r>
      <w:r>
        <w:rPr>
          <w:rFonts w:eastAsia="Calibri"/>
        </w:rPr>
        <w:instrText xml:space="preserve">ADDIN Mendeley Bibliography CSL_BIBLIOGRAPHY </w:instrText>
      </w:r>
      <w:r>
        <w:rPr>
          <w:rFonts w:eastAsia="Calibri"/>
        </w:rPr>
        <w:fldChar w:fldCharType="separate"/>
      </w:r>
      <w:r w:rsidR="00454102" w:rsidRPr="00454102">
        <w:rPr>
          <w:rFonts w:ascii="Calibri" w:hAnsi="Calibri" w:cs="Calibri"/>
          <w:noProof/>
          <w:szCs w:val="24"/>
        </w:rPr>
        <w:t xml:space="preserve">Aruoja, V., Dubourguier, H.-C., Kasemets, K., Kahru, A., 2009. Toxicity of nanoparticles of CuO, ZnO and TiO2 to microalgae </w:t>
      </w:r>
      <w:r w:rsidR="00454102" w:rsidRPr="0099698D">
        <w:rPr>
          <w:rFonts w:ascii="Calibri" w:hAnsi="Calibri" w:cs="Calibri"/>
          <w:i/>
          <w:noProof/>
          <w:szCs w:val="24"/>
        </w:rPr>
        <w:t>Pseudokirchneriella subcapitata</w:t>
      </w:r>
      <w:r w:rsidR="00454102" w:rsidRPr="00454102">
        <w:rPr>
          <w:rFonts w:ascii="Calibri" w:hAnsi="Calibri" w:cs="Calibri"/>
          <w:noProof/>
          <w:szCs w:val="24"/>
        </w:rPr>
        <w:t>. Sci. Total Environ. 407, 1461–1468. https://doi.org/10.1016/j.scitotenv.2008.10.053</w:t>
      </w:r>
    </w:p>
    <w:p w14:paraId="35FF9FFE"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Bastos, C.A.P., Faria, N., Ivask, A., Bondarenko, O.M., Kahru, A., Powell, J., 2018. Ligand-Doped Copper Oxo-hydroxide Nanoparticles are Effective Antimicrobials. Nanoscale Res. Lett. 13, 111. https://doi.org/10.1186/s11671-018-2520-7</w:t>
      </w:r>
    </w:p>
    <w:p w14:paraId="2AA99B82"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Bhattacharjee, S., 2016. DLS and zeta potential – What they are and what they are not? J. Control. Release 235, 337–351. https://doi.org/10.1016/j.jconrel.2016.06.017</w:t>
      </w:r>
    </w:p>
    <w:p w14:paraId="47BF8199"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Blockhuys, S., Malmberg, P., Wittung-Stafshede, P., 2018. Copper distribution in breast cancer cells detected by time-of-flight secondary ion mass spectrometry with delayed extraction methodology. Biointerphases 13, 06E412. https://doi.org/10.1116/1.5053814</w:t>
      </w:r>
    </w:p>
    <w:p w14:paraId="18DBAD57"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Cassini, A., Högberg, L.D., Plachouras, D., Quattrocchi, A., Hoxha, A., Simonsen, G.S., Colomb-Cotinat, M., Kretzschmar, M.E., Devleesschauwer, B., Cecchini, M., Ouakrim, D.A., Oliveira, T.C., Struelens, M.J., Suetens, C., Monnet, D.L., Group, B. of A.M.R.C., 2019. Attributable deaths and disability-adjusted life-years caused by infections with antibiotic-resistant bacteria in the EU and the European Economic Area in 2015: a population-level modelling analysis. Lancet. Infect. Dis. 19, 56–66. https://doi.org/10.1016/S1473-3099(18)30605-4</w:t>
      </w:r>
    </w:p>
    <w:p w14:paraId="3E95A584"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 xml:space="preserve">Chen, J., Mao, S., Xu, Z., Ding, W., 2019. Various antibacterial mechanisms of biosynthesized copper oxide nanoparticles against soilborne </w:t>
      </w:r>
      <w:r w:rsidRPr="0099698D">
        <w:rPr>
          <w:rFonts w:ascii="Calibri" w:hAnsi="Calibri" w:cs="Calibri"/>
          <w:i/>
          <w:noProof/>
          <w:szCs w:val="24"/>
        </w:rPr>
        <w:t>Ralstonia solanacearum</w:t>
      </w:r>
      <w:r w:rsidRPr="00454102">
        <w:rPr>
          <w:rFonts w:ascii="Calibri" w:hAnsi="Calibri" w:cs="Calibri"/>
          <w:noProof/>
          <w:szCs w:val="24"/>
        </w:rPr>
        <w:t>. RSC Adv. 9, 3788–3799. https://doi.org/10.1039/c8ra09186b</w:t>
      </w:r>
    </w:p>
    <w:p w14:paraId="0DFB9AAA"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Chen, M., Qin, X., Zeng, G., 2017. Biodiversity change behind wide applications of nanomaterials? Nano Today 17, 11–13. https://doi.org/10.1016/j.nantod.2017.09.001</w:t>
      </w:r>
    </w:p>
    <w:p w14:paraId="086919D8"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EFSA, 2018. European Food Safety Authority (EFSA). Guidance on risk assessment of the application of nanoscience and nanotechnologies in the food and feed chain: Part 1, human and animal health, EFSA Journal. https://doi.org/10.2903/j.efsa.2018.5327</w:t>
      </w:r>
    </w:p>
    <w:p w14:paraId="43111BC8"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EFSA, 2017. European Food Safety Authority (EFSA). Update: Guidance on the Use of the Benchmark Dose Approach in Risk Assessment, EFSA Journal.</w:t>
      </w:r>
    </w:p>
    <w:p w14:paraId="026396DC"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 xml:space="preserve">EFSA, 2009. European Food Safety Authority (EFSA). Guidance of the Scientific Committee on Use of </w:t>
      </w:r>
      <w:r w:rsidRPr="00454102">
        <w:rPr>
          <w:rFonts w:ascii="Calibri" w:hAnsi="Calibri" w:cs="Calibri"/>
          <w:noProof/>
          <w:szCs w:val="24"/>
        </w:rPr>
        <w:lastRenderedPageBreak/>
        <w:t>the Benchmark Dose Approach in Risk Assessment, EFSA Journal. https://doi.org/10.2903/j.efsa.2009.1150</w:t>
      </w:r>
    </w:p>
    <w:p w14:paraId="419F292C"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ESCMID, 2003. Determination of minimum inhibitory concentrations (MICs) of antibacterial agents by broth dilution, by European Committee for Antimicrobial Susceptibility Testing (EUCAST) of the European Society of Clinical Microbiology and Infectious Diseases. Clin. Microbiol. Infect. 9, ix–xv. https://doi.org/10.1046/j.1469-0691.2003.00790.x</w:t>
      </w:r>
    </w:p>
    <w:p w14:paraId="11FB601F"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Herrmann, H., Bucksch, H., 2015. Copper Compound, Dictionary Geotechnical Engineering/Wörterbuch GeoTechnik. https://doi.org/10.1007/978-3-642-41714-6_34811</w:t>
      </w:r>
    </w:p>
    <w:p w14:paraId="73A3354A"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Ingle, A.P., Duran, N., Rai, M., 2014. Bioactivity, mechanism of action, and cytotoxicity of copper-based nanoparticles: A review. Appl. Microbiol. Biotechnol. 98, 1001–1009. https://doi.org/10.1007/s00253-013-5422-8</w:t>
      </w:r>
    </w:p>
    <w:p w14:paraId="57404248"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 xml:space="preserve">Kasemets, K., Ivask, A., Dubourguier, H.-C., Kahru, A., 2009. Toxicity of nanoparticles of ZnO, CuO and TiO2 to yeast </w:t>
      </w:r>
      <w:r w:rsidRPr="0099698D">
        <w:rPr>
          <w:rFonts w:ascii="Calibri" w:hAnsi="Calibri" w:cs="Calibri"/>
          <w:i/>
          <w:noProof/>
          <w:szCs w:val="24"/>
        </w:rPr>
        <w:t>Saccharomyces cerevisiae</w:t>
      </w:r>
      <w:r w:rsidRPr="00454102">
        <w:rPr>
          <w:rFonts w:ascii="Calibri" w:hAnsi="Calibri" w:cs="Calibri"/>
          <w:noProof/>
          <w:szCs w:val="24"/>
        </w:rPr>
        <w:t>. Toxicol. Vitr. 23, 1116–1122. https://doi.org/10.1016/j.tiv.2009.05.015</w:t>
      </w:r>
    </w:p>
    <w:p w14:paraId="573B9B4C"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 xml:space="preserve">LaRossa, R.A., Smulski, D.R., Van Dyk, T.K., 1995. Interaction of lead nitrate and cadmium chloride with </w:t>
      </w:r>
      <w:r w:rsidRPr="0099698D">
        <w:rPr>
          <w:rFonts w:ascii="Calibri" w:hAnsi="Calibri" w:cs="Calibri"/>
          <w:i/>
          <w:noProof/>
          <w:szCs w:val="24"/>
        </w:rPr>
        <w:t xml:space="preserve">Escherichia coli </w:t>
      </w:r>
      <w:r w:rsidRPr="00454102">
        <w:rPr>
          <w:rFonts w:ascii="Calibri" w:hAnsi="Calibri" w:cs="Calibri"/>
          <w:noProof/>
          <w:szCs w:val="24"/>
        </w:rPr>
        <w:t xml:space="preserve">K-12 and </w:t>
      </w:r>
      <w:r w:rsidRPr="0099698D">
        <w:rPr>
          <w:rFonts w:ascii="Calibri" w:hAnsi="Calibri" w:cs="Calibri"/>
          <w:i/>
          <w:noProof/>
          <w:szCs w:val="24"/>
        </w:rPr>
        <w:t>Salmonella typhimurium</w:t>
      </w:r>
      <w:r w:rsidRPr="00454102">
        <w:rPr>
          <w:rFonts w:ascii="Calibri" w:hAnsi="Calibri" w:cs="Calibri"/>
          <w:noProof/>
          <w:szCs w:val="24"/>
        </w:rPr>
        <w:t xml:space="preserve"> global regulatory mutants. J. Ind. Microbiol. 14, 252–258. https://doi.org/10.1007/BF01569936</w:t>
      </w:r>
    </w:p>
    <w:p w14:paraId="24C195F7"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Lemire, J.A., Harrison, J.J., Turner, R.J., 2013. Antimicrobial activity of metals: mechanisms, molecular targets and applications. Nat. Rev. Microbiol. 11, 371. https://doi.org/10.1038/nrmicro3028</w:t>
      </w:r>
    </w:p>
    <w:p w14:paraId="31A2F907"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Li, H., Chen, Q., Zhao, J., Urmila, K., 2015. Enhancing the antimicrobial activity of natural extraction using the synthetic ultrasmall metal nanoparticles. Sci. Rep. 5, 11033. https://doi.org/10.1038/srep11033</w:t>
      </w:r>
    </w:p>
    <w:p w14:paraId="54384248"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Malvern Instruments, 2015. Malvern Instruments Ltd - A basic guide to particle characterization.</w:t>
      </w:r>
    </w:p>
    <w:p w14:paraId="0D539B9A"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McClements, D.J., Xiao, H., 2017. Is nano safe in foods? Establishing the factors impacting the gastrointestinal fate and toxicity of organic and inorganic food-grade nanoparticles. npj Sci. Food 1, 6. https://doi.org/10.1038/s41538-017-0005-1</w:t>
      </w:r>
    </w:p>
    <w:p w14:paraId="5B851572"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Moschini, E., Gualtieri, M., Colombo, M., Fascio, U., Camatini, M., Mantecca, P., 2013a. The modality of cell–particle interactions drives the toxicity of nanosized CuO and TiO2 in human alveolar epithelial cells. Toxicol. Lett. 222, 102–116. https://doi.org/10.1016/j.toxlet.2013.07.019</w:t>
      </w:r>
    </w:p>
    <w:p w14:paraId="1B94A097"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lastRenderedPageBreak/>
        <w:t>Moschini, E., Gualtieri, M., Colombo, M., Fascio, U., Camatini, M., Mantecca, P., 2013b. The modality of cell–particle interactions drives the toxicity of nanosized CuO and TiO2 in human alveolar epithelial cells. Toxicol. Lett. 222, 102–116. https://doi.org/10.1016/j.toxlet.2013.07.019</w:t>
      </w:r>
    </w:p>
    <w:p w14:paraId="2FE18318"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Nygren, H., Hagenhoff, B., Malmberg, P., Nilsson, M., Richter, K., 2007. Bioimaging TOF-SIMS: High resolution 3D imaging of single cells. Microsc. Res. Tech. 70, 969–974. https://doi.org/10.1002/jemt.20502</w:t>
      </w:r>
    </w:p>
    <w:p w14:paraId="796EF912"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Paulson, A.J., Kester, D.R., 1980. Copper(II) ion hydrolysis in aqueous solution. J. Solution Chem. 9, 269–277. https://doi.org/10.1007/BF00644552</w:t>
      </w:r>
    </w:p>
    <w:p w14:paraId="31562113"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Pfeiffer, C., Rehbock, C., Hühn, D., Carrillo-Carrion, C., de Aberasturi, D.J., Merk, V., Barcikowski, S., Parak, W.J., 2014. Interaction of colloidal nanoparticles with their local environment: the (ionic) nanoenvironment around nanoparticles is different from bulk and determines the physico-chemical properties of the nanoparticles. J. R. Soc. Interface 11, 20130931. https://doi.org/10.1098/rsif.2013.0931</w:t>
      </w:r>
    </w:p>
    <w:p w14:paraId="503FA15B"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Raffi, M., Mehrwan, S., Bhatti, T.M., Akhter, J.I., Hameed, A., Yawar, W., ul Hasan, M.M., 2010. Investigations into the antibacterial behavior of copper nanoparticles against</w:t>
      </w:r>
      <w:r w:rsidRPr="0099698D">
        <w:rPr>
          <w:rFonts w:ascii="Calibri" w:hAnsi="Calibri" w:cs="Calibri"/>
          <w:i/>
          <w:noProof/>
          <w:szCs w:val="24"/>
        </w:rPr>
        <w:t xml:space="preserve"> Escherichia coli</w:t>
      </w:r>
      <w:r w:rsidRPr="00454102">
        <w:rPr>
          <w:rFonts w:ascii="Calibri" w:hAnsi="Calibri" w:cs="Calibri"/>
          <w:noProof/>
          <w:szCs w:val="24"/>
        </w:rPr>
        <w:t>. Ann. Microbiol. 60, 75–80. https://doi.org/10.1007/s13213-010-0015-6</w:t>
      </w:r>
    </w:p>
    <w:p w14:paraId="341DF687"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Reller, L.B., Weinstein, M., Jorgensen, J.H., Ferraro, M.J., 2009. Antimicrobial Susceptibility Testing: A Review of General Principles and Contemporary Practices. Clin. Infect. Dis. 49, 1749–1755. https://doi.org/10.1086/647952</w:t>
      </w:r>
    </w:p>
    <w:p w14:paraId="7C87640B"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Santos, R.S., Figueiredo, C., Azevedo, N.F., Braeckmans, K., Smedt, S.C. De, 2018. Nanomaterials and molecular transporters to overcome the bacterial envelope barrier: Towards advanced delivery of antibiotics. Adv. Drug Deliv. Rev. 136–137, 28–48. https://doi.org/10.1016/j.addr.2017.12.010</w:t>
      </w:r>
    </w:p>
    <w:p w14:paraId="7115F361"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 xml:space="preserve">Sarkar, R.K., Chattopadhyay, A.P., Aich, P., Chakraborty, R., Chatterjee, A.K., Basu, T., 2012. A simple robust method for synthesis of metallic copper nanoparticles of high antibacterial potency against </w:t>
      </w:r>
      <w:r w:rsidRPr="0099698D">
        <w:rPr>
          <w:rFonts w:ascii="Calibri" w:hAnsi="Calibri" w:cs="Calibri"/>
          <w:i/>
          <w:noProof/>
          <w:szCs w:val="24"/>
        </w:rPr>
        <w:t>E. coli</w:t>
      </w:r>
      <w:r w:rsidRPr="00454102">
        <w:rPr>
          <w:rFonts w:ascii="Calibri" w:hAnsi="Calibri" w:cs="Calibri"/>
          <w:noProof/>
          <w:szCs w:val="24"/>
        </w:rPr>
        <w:t>. Nanotechnology 23.</w:t>
      </w:r>
    </w:p>
    <w:p w14:paraId="7226B3F7"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Wills, J.W., Johnson, G.E., Doak, S.H., Soeteman-Hernández, L.G., Slob, W., White, P.A., 2015. Empirical analysis of BMD metrics in genetic toxicology part I: in vitro analyses to provide robust potency rankings and support MOA determinations. Mutagenesis 31, 255–263. https://doi.org/10.1093/mutage/gev085</w:t>
      </w:r>
    </w:p>
    <w:p w14:paraId="51D301F1"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lastRenderedPageBreak/>
        <w:t>Wills, J.W., Long, A.S., Johnson, G.E., Bemis, J.C., Dertinger, S.D., Slob, W., White, P.A., 2016. Empirical analysis of BMD metrics in genetic toxicology part II: in vivo potency comparisons to promote reductions in the use of experimental animals for genetic toxicity assessment. Mutagenesis 31, 265–275. https://doi.org/10.1093/mutage/gew009</w:t>
      </w:r>
    </w:p>
    <w:p w14:paraId="26FE5418"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Wills, J.W., Summers, H.D., Hondow, N., Sooresh, A., Meissner, K.E., White, P.A., Rees, P., Brown, A., Doak, S.H., 2017. Characterizing Nanoparticles in Biological Matrices: Tipping Points in Agglomeration State and Cellular Delivery In Vitro. ACS Nano 11, 11986–12000. https://doi.org/10.1021/acsnano.7b03708</w:t>
      </w:r>
    </w:p>
    <w:p w14:paraId="05ECD285"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szCs w:val="24"/>
        </w:rPr>
      </w:pPr>
      <w:r w:rsidRPr="00454102">
        <w:rPr>
          <w:rFonts w:ascii="Calibri" w:hAnsi="Calibri" w:cs="Calibri"/>
          <w:noProof/>
          <w:szCs w:val="24"/>
        </w:rPr>
        <w:t>Xiu, Z., Zhang, Q., Puppala, H.L., Colvin, V.L., Alvarez, P.J.J., 2012. Negligible Particle-Specific Antibacterial Activity of Silver Nanoparticles. Nano Lett. 12, 4271–4275. https://doi.org/10.1021/nl301934w</w:t>
      </w:r>
    </w:p>
    <w:p w14:paraId="6954FBD3" w14:textId="77777777" w:rsidR="00454102" w:rsidRPr="00454102" w:rsidRDefault="00454102" w:rsidP="00454102">
      <w:pPr>
        <w:widowControl w:val="0"/>
        <w:autoSpaceDE w:val="0"/>
        <w:autoSpaceDN w:val="0"/>
        <w:adjustRightInd w:val="0"/>
        <w:spacing w:before="240" w:after="0" w:line="360" w:lineRule="auto"/>
        <w:ind w:left="480" w:hanging="480"/>
        <w:rPr>
          <w:rFonts w:ascii="Calibri" w:hAnsi="Calibri" w:cs="Calibri"/>
          <w:noProof/>
        </w:rPr>
      </w:pPr>
      <w:r w:rsidRPr="00454102">
        <w:rPr>
          <w:rFonts w:ascii="Calibri" w:hAnsi="Calibri" w:cs="Calibri"/>
          <w:noProof/>
          <w:szCs w:val="24"/>
        </w:rPr>
        <w:t>Zhang, J., Richardson, H.W., 2016. Copper Compounds, in: Ullmann’s Encyclopedia of Industrial Chemistry. American Cancer Society, pp. 1–31. https://doi.org/10.1002/14356007.a07_567.pub2</w:t>
      </w:r>
    </w:p>
    <w:p w14:paraId="02490B5D" w14:textId="183C9A74" w:rsidR="003530C2" w:rsidRDefault="00A61C0B">
      <w:pPr>
        <w:rPr>
          <w:b/>
          <w:sz w:val="28"/>
        </w:rPr>
      </w:pPr>
      <w:r>
        <w:rPr>
          <w:rFonts w:eastAsia="Calibri"/>
        </w:rPr>
        <w:fldChar w:fldCharType="end"/>
      </w:r>
      <w:r w:rsidR="003530C2">
        <w:rPr>
          <w:b/>
          <w:sz w:val="28"/>
        </w:rPr>
        <w:br w:type="page"/>
      </w:r>
    </w:p>
    <w:p w14:paraId="28CDDC48" w14:textId="2BDE17F0" w:rsidR="00E60038" w:rsidRPr="00E55F7E" w:rsidRDefault="00E60038" w:rsidP="00E60038">
      <w:pPr>
        <w:rPr>
          <w:b/>
          <w:sz w:val="28"/>
        </w:rPr>
      </w:pPr>
      <w:r w:rsidRPr="00E55F7E">
        <w:rPr>
          <w:b/>
          <w:sz w:val="28"/>
        </w:rPr>
        <w:lastRenderedPageBreak/>
        <w:t xml:space="preserve">List of Figures </w:t>
      </w:r>
    </w:p>
    <w:p w14:paraId="7C42E5CA" w14:textId="4D1E233F" w:rsidR="00E60038" w:rsidRDefault="00E60038" w:rsidP="00E60038">
      <w:pPr>
        <w:spacing w:after="0"/>
        <w:jc w:val="both"/>
      </w:pPr>
      <w:r>
        <w:object w:dxaOrig="16315" w:dyaOrig="10526" w14:anchorId="46A20F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8pt;height:303.6pt" o:ole="">
            <v:imagedata r:id="rId12" o:title=""/>
          </v:shape>
          <o:OLEObject Type="Embed" ProgID="Prism6.Document" ShapeID="_x0000_i1025" DrawAspect="Content" ObjectID="_1633424076" r:id="rId13"/>
        </w:object>
      </w:r>
      <w:bookmarkStart w:id="3" w:name="OLE_LINK2"/>
      <w:bookmarkStart w:id="4" w:name="OLE_LINK7"/>
      <w:r w:rsidRPr="00655EF6">
        <w:rPr>
          <w:b/>
        </w:rPr>
        <w:t xml:space="preserve">Figure </w:t>
      </w:r>
      <w:r>
        <w:rPr>
          <w:b/>
        </w:rPr>
        <w:t>1</w:t>
      </w:r>
      <w:r w:rsidRPr="00655EF6">
        <w:rPr>
          <w:b/>
        </w:rPr>
        <w:t>.</w:t>
      </w:r>
      <w:r>
        <w:rPr>
          <w:b/>
        </w:rPr>
        <w:t xml:space="preserve"> </w:t>
      </w:r>
      <w:r w:rsidR="009B2E61">
        <w:rPr>
          <w:b/>
        </w:rPr>
        <w:t>Particle characterisation in stock solutions and bacterial medium</w:t>
      </w:r>
      <w:r>
        <w:rPr>
          <w:b/>
        </w:rPr>
        <w:t>.</w:t>
      </w:r>
      <w:r>
        <w:t xml:space="preserve"> </w:t>
      </w:r>
      <w:r w:rsidRPr="00B97020">
        <w:rPr>
          <w:b/>
        </w:rPr>
        <w:t>(A)</w:t>
      </w:r>
      <w:r>
        <w:t xml:space="preserve"> Particle size distribution of commercial copper nanoparticles in bacterial medium (HMM) at 50mg/L copper obtained by static light scattering. </w:t>
      </w:r>
      <w:r w:rsidRPr="00B97020">
        <w:rPr>
          <w:b/>
        </w:rPr>
        <w:t>(B)</w:t>
      </w:r>
      <w:r w:rsidRPr="000F1E86">
        <w:t xml:space="preserve"> Particle size distribution of </w:t>
      </w:r>
      <w:proofErr w:type="spellStart"/>
      <w:r w:rsidRPr="000F1E86">
        <w:t>CuSi</w:t>
      </w:r>
      <w:proofErr w:type="spellEnd"/>
      <w:r w:rsidRPr="000F1E86">
        <w:t xml:space="preserve"> NPs in its original stock at 20mM in water. </w:t>
      </w:r>
      <w:r w:rsidRPr="00B97020">
        <w:rPr>
          <w:b/>
        </w:rPr>
        <w:t>(C)</w:t>
      </w:r>
      <w:r w:rsidRPr="000F1E86">
        <w:t xml:space="preserve"> Copper phase distribution</w:t>
      </w:r>
      <w:r>
        <w:t xml:space="preserve"> of nanoparticle </w:t>
      </w:r>
      <w:r w:rsidRPr="000F1E86">
        <w:t>in</w:t>
      </w:r>
      <w:r>
        <w:t xml:space="preserve"> bacterial medium (</w:t>
      </w:r>
      <w:r w:rsidRPr="000F1E86">
        <w:t>HMM</w:t>
      </w:r>
      <w:r>
        <w:t xml:space="preserve">) at </w:t>
      </w:r>
      <w:r w:rsidRPr="000F1E86">
        <w:t xml:space="preserve">50mg/L Cu. </w:t>
      </w:r>
      <w:r w:rsidRPr="00B97020">
        <w:rPr>
          <w:b/>
        </w:rPr>
        <w:t>(D)</w:t>
      </w:r>
      <w:r w:rsidRPr="000F1E86">
        <w:t xml:space="preserve"> Zeta potential of copper nanoparticles in their corresponding stocks at 20mM copper.</w:t>
      </w:r>
      <w:r>
        <w:t xml:space="preserve"> </w:t>
      </w:r>
      <w:bookmarkEnd w:id="3"/>
      <w:r>
        <w:br w:type="page"/>
      </w:r>
    </w:p>
    <w:p w14:paraId="7D295983" w14:textId="77777777" w:rsidR="009B2E61" w:rsidRDefault="00E60038" w:rsidP="009B2E61">
      <w:pPr>
        <w:spacing w:after="0"/>
        <w:contextualSpacing/>
        <w:jc w:val="both"/>
        <w:rPr>
          <w:b/>
        </w:rPr>
      </w:pPr>
      <w:r>
        <w:object w:dxaOrig="13534" w:dyaOrig="9187" w14:anchorId="5244C446">
          <v:shape id="_x0000_i1026" type="#_x0000_t75" style="width:450.6pt;height:306pt" o:ole="">
            <v:imagedata r:id="rId14" o:title=""/>
          </v:shape>
          <o:OLEObject Type="Embed" ProgID="Prism6.Document" ShapeID="_x0000_i1026" DrawAspect="Content" ObjectID="_1633424077" r:id="rId15"/>
        </w:object>
      </w:r>
      <w:bookmarkEnd w:id="4"/>
      <w:r w:rsidRPr="00A25BA9">
        <w:rPr>
          <w:b/>
        </w:rPr>
        <w:t xml:space="preserve">Figure </w:t>
      </w:r>
      <w:r>
        <w:rPr>
          <w:b/>
        </w:rPr>
        <w:t>2</w:t>
      </w:r>
      <w:r>
        <w:t xml:space="preserve">. </w:t>
      </w:r>
      <w:r w:rsidR="009B2E61" w:rsidRPr="009B2E61">
        <w:rPr>
          <w:b/>
        </w:rPr>
        <w:t>Antimicrobial activity and phase distribution of the materials in bacterial medium</w:t>
      </w:r>
      <w:r>
        <w:rPr>
          <w:b/>
        </w:rPr>
        <w:t xml:space="preserve">. </w:t>
      </w:r>
      <w:r w:rsidR="009B2E61">
        <w:rPr>
          <w:b/>
        </w:rPr>
        <w:t xml:space="preserve"> </w:t>
      </w:r>
    </w:p>
    <w:p w14:paraId="33F8B61A" w14:textId="261F366A" w:rsidR="00E60038" w:rsidRDefault="00E60038" w:rsidP="00E60038">
      <w:pPr>
        <w:jc w:val="both"/>
      </w:pPr>
      <w:r w:rsidRPr="00C40B19">
        <w:rPr>
          <w:b/>
        </w:rPr>
        <w:t>(</w:t>
      </w:r>
      <w:r>
        <w:rPr>
          <w:b/>
        </w:rPr>
        <w:t>A)</w:t>
      </w:r>
      <w:r>
        <w:t xml:space="preserve"> </w:t>
      </w:r>
      <w:r w:rsidRPr="00CE4754">
        <w:rPr>
          <w:i/>
        </w:rPr>
        <w:t xml:space="preserve">E. </w:t>
      </w:r>
      <w:r w:rsidR="009B2E61" w:rsidRPr="00CE4754">
        <w:rPr>
          <w:i/>
        </w:rPr>
        <w:t>coli</w:t>
      </w:r>
      <w:r w:rsidR="009B2E61">
        <w:t xml:space="preserve"> growth inhibition (%) as a function of time upon incubation with copper nanoparticles at 12.5 mg/L (top), 25 mg/L (middle) and 50 mg/L (bottom). </w:t>
      </w:r>
      <w:r w:rsidR="009B2E61" w:rsidRPr="00B97020">
        <w:rPr>
          <w:b/>
        </w:rPr>
        <w:t>(B)</w:t>
      </w:r>
      <w:r w:rsidR="009B2E61">
        <w:t xml:space="preserve"> Particulate copper in bacterial medium overtime and </w:t>
      </w:r>
      <w:r w:rsidR="009B2E61" w:rsidRPr="00CE4754">
        <w:rPr>
          <w:b/>
        </w:rPr>
        <w:t>(</w:t>
      </w:r>
      <w:r w:rsidR="009B2E61">
        <w:rPr>
          <w:b/>
        </w:rPr>
        <w:t>C</w:t>
      </w:r>
      <w:r w:rsidR="009B2E61" w:rsidRPr="00CE4754">
        <w:rPr>
          <w:b/>
        </w:rPr>
        <w:t>)</w:t>
      </w:r>
      <w:r w:rsidR="009B2E61">
        <w:t xml:space="preserve"> soluble copper released in bacterial medium over time upon incubation with copper nanoparticles at 12.5 mg/L (top), 25 mg/L (middle) and 50 mg/L (bottom).  </w:t>
      </w:r>
      <w:r>
        <w:br w:type="page"/>
      </w:r>
    </w:p>
    <w:p w14:paraId="0594052F" w14:textId="1D9EB310" w:rsidR="00E60038" w:rsidRPr="00E60038" w:rsidRDefault="00E60038" w:rsidP="00E60038">
      <w:pPr>
        <w:jc w:val="both"/>
        <w:rPr>
          <w:rFonts w:eastAsia="Calibri"/>
        </w:rPr>
      </w:pPr>
      <w:r>
        <w:lastRenderedPageBreak/>
        <w:t xml:space="preserve"> </w:t>
      </w:r>
      <w:r w:rsidR="00EE64CF">
        <w:rPr>
          <w:rFonts w:eastAsiaTheme="minorEastAsia"/>
          <w:noProof/>
        </w:rPr>
        <w:object w:dxaOrig="1440" w:dyaOrig="1440" w14:anchorId="733EADE5">
          <v:shape id="_x0000_s1026" type="#_x0000_t75" style="position:absolute;left:0;text-align:left;margin-left:67.8pt;margin-top:0;width:315.6pt;height:565.8pt;z-index:251658240;mso-position-horizontal:absolute;mso-position-horizontal-relative:text;mso-position-vertical-relative:text">
            <v:imagedata r:id="rId16" o:title=""/>
            <w10:wrap type="square" side="right"/>
          </v:shape>
          <o:OLEObject Type="Embed" ProgID="Prism6.Document" ShapeID="_x0000_s1026" DrawAspect="Content" ObjectID="_1633424079" r:id="rId17"/>
        </w:object>
      </w:r>
      <w:r>
        <w:br w:type="textWrapping" w:clear="all"/>
      </w:r>
      <w:r w:rsidRPr="00084CD9">
        <w:rPr>
          <w:rFonts w:eastAsia="Calibri"/>
          <w:b/>
        </w:rPr>
        <w:t>Figure</w:t>
      </w:r>
      <w:r>
        <w:rPr>
          <w:rFonts w:eastAsia="Calibri"/>
          <w:b/>
        </w:rPr>
        <w:t xml:space="preserve"> 3</w:t>
      </w:r>
      <w:r w:rsidRPr="00D67C74">
        <w:rPr>
          <w:rFonts w:eastAsia="Calibri"/>
        </w:rPr>
        <w:t xml:space="preserve">. </w:t>
      </w:r>
      <w:r w:rsidR="009B2E61">
        <w:rPr>
          <w:rFonts w:eastAsia="Calibri"/>
          <w:b/>
        </w:rPr>
        <w:t>C</w:t>
      </w:r>
      <w:r w:rsidRPr="00D67C74">
        <w:rPr>
          <w:rFonts w:eastAsia="Calibri"/>
          <w:b/>
        </w:rPr>
        <w:t>orrelation between bacteri</w:t>
      </w:r>
      <w:r w:rsidR="009B2E61">
        <w:rPr>
          <w:rFonts w:eastAsia="Calibri"/>
          <w:b/>
        </w:rPr>
        <w:t xml:space="preserve">al growth inhibition and total soluble copper released from the </w:t>
      </w:r>
      <w:r w:rsidRPr="00D67C74">
        <w:rPr>
          <w:rFonts w:eastAsia="Calibri"/>
          <w:b/>
        </w:rPr>
        <w:t>particles</w:t>
      </w:r>
      <w:r>
        <w:rPr>
          <w:rFonts w:eastAsia="Calibri"/>
        </w:rPr>
        <w:t xml:space="preserve">. </w:t>
      </w:r>
      <w:r w:rsidRPr="00AC6557">
        <w:rPr>
          <w:rFonts w:eastAsia="Calibri"/>
          <w:b/>
        </w:rPr>
        <w:t>(</w:t>
      </w:r>
      <w:r>
        <w:rPr>
          <w:rFonts w:eastAsia="Calibri"/>
          <w:b/>
        </w:rPr>
        <w:t>A</w:t>
      </w:r>
      <w:r w:rsidRPr="00AC6557">
        <w:rPr>
          <w:rFonts w:eastAsia="Calibri"/>
          <w:b/>
        </w:rPr>
        <w:t>)</w:t>
      </w:r>
      <w:r>
        <w:rPr>
          <w:rFonts w:eastAsia="Calibri"/>
        </w:rPr>
        <w:t xml:space="preserve"> </w:t>
      </w:r>
      <w:bookmarkStart w:id="5" w:name="OLE_LINK1"/>
      <w:r>
        <w:rPr>
          <w:rFonts w:eastAsia="Calibri"/>
        </w:rPr>
        <w:t xml:space="preserve">Benchmark dose non-linear regression modelling to compare the effect of released soluble copper on bacterial growth inhibition. </w:t>
      </w:r>
      <w:r w:rsidRPr="006B0949">
        <w:rPr>
          <w:rFonts w:eastAsia="Calibri"/>
          <w:b/>
        </w:rPr>
        <w:t>(B)</w:t>
      </w:r>
      <w:r>
        <w:rPr>
          <w:rFonts w:eastAsia="Calibri"/>
        </w:rPr>
        <w:t xml:space="preserve"> 90% confidence intervals from each analysis, showing for each particle formulation the dose </w:t>
      </w:r>
      <w:r w:rsidRPr="00AC6557">
        <w:rPr>
          <w:rFonts w:eastAsia="Calibri"/>
        </w:rPr>
        <w:t xml:space="preserve">required to </w:t>
      </w:r>
      <w:r>
        <w:rPr>
          <w:rFonts w:eastAsia="Calibri"/>
        </w:rPr>
        <w:t>elicit a</w:t>
      </w:r>
      <w:r w:rsidRPr="00AC6557">
        <w:rPr>
          <w:rFonts w:eastAsia="Calibri"/>
        </w:rPr>
        <w:t xml:space="preserve"> 50% reduction in bacterial growth</w:t>
      </w:r>
      <w:r>
        <w:rPr>
          <w:rFonts w:eastAsia="Calibri"/>
        </w:rPr>
        <w:t>. The intervals for soluble copper converge into a narrow range, unlike for total copper that shows poor correlation across formulations, suggesting ion release drives the inhibition effect observed.</w:t>
      </w:r>
      <w:bookmarkEnd w:id="5"/>
    </w:p>
    <w:p w14:paraId="419CF166" w14:textId="12C40E2F" w:rsidR="006B7EC0" w:rsidRPr="00E60038" w:rsidRDefault="00E60038" w:rsidP="00E60038">
      <w:pPr>
        <w:jc w:val="both"/>
      </w:pPr>
      <w:r>
        <w:object w:dxaOrig="13526" w:dyaOrig="4253" w14:anchorId="332A8FFE">
          <v:shape id="_x0000_i1028" type="#_x0000_t75" style="width:453.6pt;height:2in" o:ole="">
            <v:imagedata r:id="rId18" o:title=""/>
          </v:shape>
          <o:OLEObject Type="Embed" ProgID="Prism6.Document" ShapeID="_x0000_i1028" DrawAspect="Content" ObjectID="_1633424078" r:id="rId19"/>
        </w:object>
      </w:r>
      <w:r w:rsidRPr="000F1E86">
        <w:rPr>
          <w:b/>
        </w:rPr>
        <w:t xml:space="preserve">Figure </w:t>
      </w:r>
      <w:r>
        <w:rPr>
          <w:b/>
        </w:rPr>
        <w:t>4</w:t>
      </w:r>
      <w:r w:rsidRPr="000F1E86">
        <w:rPr>
          <w:b/>
        </w:rPr>
        <w:t>.</w:t>
      </w:r>
      <w:r w:rsidRPr="000F1E86">
        <w:t xml:space="preserve"> </w:t>
      </w:r>
      <w:r w:rsidRPr="00D67C74">
        <w:rPr>
          <w:b/>
        </w:rPr>
        <w:t>Copper mapping in bacteria using Time-of-Flight Secondary Ion Mass Spectrometry (</w:t>
      </w:r>
      <w:proofErr w:type="spellStart"/>
      <w:r w:rsidRPr="00D67C74">
        <w:rPr>
          <w:b/>
        </w:rPr>
        <w:t>ToF</w:t>
      </w:r>
      <w:proofErr w:type="spellEnd"/>
      <w:r w:rsidRPr="00D67C74">
        <w:rPr>
          <w:b/>
        </w:rPr>
        <w:t>-SIMS).</w:t>
      </w:r>
      <w:r>
        <w:t xml:space="preserve"> </w:t>
      </w:r>
      <w:r w:rsidRPr="00B97020">
        <w:rPr>
          <w:b/>
        </w:rPr>
        <w:t>(A)</w:t>
      </w:r>
      <w:r>
        <w:t xml:space="preserve"> Depth profile for combined </w:t>
      </w:r>
      <w:r w:rsidRPr="00113B16">
        <w:rPr>
          <w:vertAlign w:val="superscript"/>
        </w:rPr>
        <w:t>63</w:t>
      </w:r>
      <w:r>
        <w:t>Cu</w:t>
      </w:r>
      <w:r w:rsidRPr="006405A7">
        <w:rPr>
          <w:vertAlign w:val="superscript"/>
        </w:rPr>
        <w:t>+</w:t>
      </w:r>
      <w:r>
        <w:t xml:space="preserve">, </w:t>
      </w:r>
      <w:r w:rsidRPr="006405A7">
        <w:rPr>
          <w:vertAlign w:val="superscript"/>
        </w:rPr>
        <w:t>65</w:t>
      </w:r>
      <w:r>
        <w:t>Cu</w:t>
      </w:r>
      <w:r w:rsidRPr="006405A7">
        <w:rPr>
          <w:vertAlign w:val="superscript"/>
        </w:rPr>
        <w:t>+</w:t>
      </w:r>
      <w:r>
        <w:t xml:space="preserve"> signal as a function of sputter time in samples where bacteria were exposed to 0 or 12.5mg/L copper </w:t>
      </w:r>
      <w:r w:rsidRPr="0047245E">
        <w:t>chloride;</w:t>
      </w:r>
      <w:r>
        <w:t xml:space="preserve"> </w:t>
      </w:r>
      <w:r w:rsidRPr="00B97020">
        <w:rPr>
          <w:b/>
        </w:rPr>
        <w:t>(B)</w:t>
      </w:r>
      <w:r>
        <w:t xml:space="preserve"> </w:t>
      </w:r>
      <w:r w:rsidRPr="0047245E">
        <w:t xml:space="preserve">and </w:t>
      </w:r>
      <w:r>
        <w:t>c</w:t>
      </w:r>
      <w:r w:rsidRPr="0047245E">
        <w:t xml:space="preserve">omparison between copper (combined </w:t>
      </w:r>
      <w:r w:rsidRPr="00113B16">
        <w:rPr>
          <w:vertAlign w:val="superscript"/>
        </w:rPr>
        <w:t>63</w:t>
      </w:r>
      <w:r>
        <w:t>Cu</w:t>
      </w:r>
      <w:r w:rsidRPr="0047245E">
        <w:rPr>
          <w:vertAlign w:val="superscript"/>
        </w:rPr>
        <w:t>+</w:t>
      </w:r>
      <w:r w:rsidRPr="0047245E">
        <w:t xml:space="preserve">, </w:t>
      </w:r>
      <w:r w:rsidRPr="0047245E">
        <w:rPr>
          <w:vertAlign w:val="superscript"/>
        </w:rPr>
        <w:t>65</w:t>
      </w:r>
      <w:r w:rsidRPr="0047245E">
        <w:t>Cu</w:t>
      </w:r>
      <w:r w:rsidRPr="0047245E">
        <w:rPr>
          <w:vertAlign w:val="superscript"/>
        </w:rPr>
        <w:t>+</w:t>
      </w:r>
      <w:r w:rsidRPr="0047245E">
        <w:t xml:space="preserve">) and </w:t>
      </w:r>
      <w:r>
        <w:t xml:space="preserve">a </w:t>
      </w:r>
      <w:r w:rsidRPr="0047245E">
        <w:t xml:space="preserve">membrane </w:t>
      </w:r>
      <w:r>
        <w:t xml:space="preserve">marker </w:t>
      </w:r>
      <w:r w:rsidRPr="0047245E">
        <w:t>(C</w:t>
      </w:r>
      <w:r w:rsidRPr="0047245E">
        <w:rPr>
          <w:vertAlign w:val="subscript"/>
        </w:rPr>
        <w:t>5</w:t>
      </w:r>
      <w:r w:rsidRPr="0047245E">
        <w:t>H</w:t>
      </w:r>
      <w:r w:rsidRPr="0047245E">
        <w:rPr>
          <w:vertAlign w:val="subscript"/>
        </w:rPr>
        <w:t>15</w:t>
      </w:r>
      <w:r w:rsidRPr="0047245E">
        <w:t>PNO</w:t>
      </w:r>
      <w:r w:rsidRPr="0047245E">
        <w:rPr>
          <w:vertAlign w:val="subscript"/>
        </w:rPr>
        <w:t>4</w:t>
      </w:r>
      <w:r w:rsidRPr="0047245E">
        <w:rPr>
          <w:vertAlign w:val="superscript"/>
        </w:rPr>
        <w:t>+</w:t>
      </w:r>
      <w:r w:rsidRPr="0047245E">
        <w:t>).</w:t>
      </w:r>
      <w:r>
        <w:t xml:space="preserve"> </w:t>
      </w:r>
    </w:p>
    <w:sectPr w:rsidR="006B7EC0" w:rsidRPr="00E60038" w:rsidSect="00343388">
      <w:headerReference w:type="default" r:id="rId20"/>
      <w:footerReference w:type="default" r:id="rId21"/>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143EFF" w14:textId="77777777" w:rsidR="00EE64CF" w:rsidRDefault="00EE64CF" w:rsidP="00386791">
      <w:pPr>
        <w:spacing w:after="0" w:line="240" w:lineRule="auto"/>
      </w:pPr>
      <w:r>
        <w:separator/>
      </w:r>
    </w:p>
  </w:endnote>
  <w:endnote w:type="continuationSeparator" w:id="0">
    <w:p w14:paraId="71B43AA6" w14:textId="77777777" w:rsidR="00EE64CF" w:rsidRDefault="00EE64CF" w:rsidP="003867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20901301"/>
      <w:docPartObj>
        <w:docPartGallery w:val="Page Numbers (Bottom of Page)"/>
        <w:docPartUnique/>
      </w:docPartObj>
    </w:sdtPr>
    <w:sdtEndPr>
      <w:rPr>
        <w:noProof/>
      </w:rPr>
    </w:sdtEndPr>
    <w:sdtContent>
      <w:p w14:paraId="145A8709" w14:textId="63A3E250" w:rsidR="00E91ABD" w:rsidRDefault="00E91ABD">
        <w:pPr>
          <w:pStyle w:val="Footer"/>
          <w:jc w:val="center"/>
        </w:pPr>
        <w:r>
          <w:fldChar w:fldCharType="begin"/>
        </w:r>
        <w:r>
          <w:instrText xml:space="preserve"> PAGE   \* MERGEFORMAT </w:instrText>
        </w:r>
        <w:r>
          <w:fldChar w:fldCharType="separate"/>
        </w:r>
        <w:r w:rsidR="00364BFC">
          <w:rPr>
            <w:noProof/>
          </w:rPr>
          <w:t>10</w:t>
        </w:r>
        <w:r>
          <w:rPr>
            <w:noProof/>
          </w:rPr>
          <w:fldChar w:fldCharType="end"/>
        </w:r>
      </w:p>
    </w:sdtContent>
  </w:sdt>
  <w:p w14:paraId="6FFB2E25" w14:textId="77777777" w:rsidR="00E91ABD" w:rsidRDefault="00E91A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FF00E3" w14:textId="77777777" w:rsidR="00EE64CF" w:rsidRDefault="00EE64CF" w:rsidP="00386791">
      <w:pPr>
        <w:spacing w:after="0" w:line="240" w:lineRule="auto"/>
      </w:pPr>
      <w:r>
        <w:separator/>
      </w:r>
    </w:p>
  </w:footnote>
  <w:footnote w:type="continuationSeparator" w:id="0">
    <w:p w14:paraId="3C845376" w14:textId="77777777" w:rsidR="00EE64CF" w:rsidRDefault="00EE64CF" w:rsidP="003867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8CFC97" w14:textId="77777777" w:rsidR="00E91ABD" w:rsidRDefault="00E91ABD" w:rsidP="006D41B6">
    <w:pPr>
      <w:pStyle w:val="Header"/>
      <w:tabs>
        <w:tab w:val="clear" w:pos="4513"/>
        <w:tab w:val="clear" w:pos="9026"/>
        <w:tab w:val="left" w:pos="2264"/>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A7738"/>
    <w:multiLevelType w:val="multilevel"/>
    <w:tmpl w:val="BEC2BA9A"/>
    <w:lvl w:ilvl="0">
      <w:start w:val="40"/>
      <w:numFmt w:val="decimal"/>
      <w:lvlText w:val="%1"/>
      <w:lvlJc w:val="left"/>
      <w:pPr>
        <w:ind w:left="504" w:hanging="504"/>
      </w:pPr>
      <w:rPr>
        <w:rFonts w:hint="default"/>
      </w:rPr>
    </w:lvl>
    <w:lvl w:ilvl="1">
      <w:start w:val="60"/>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5910369"/>
    <w:multiLevelType w:val="hybridMultilevel"/>
    <w:tmpl w:val="2A6E3178"/>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 w15:restartNumberingAfterBreak="0">
    <w:nsid w:val="1ABA1676"/>
    <w:multiLevelType w:val="multilevel"/>
    <w:tmpl w:val="CCF67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16716F1"/>
    <w:multiLevelType w:val="hybridMultilevel"/>
    <w:tmpl w:val="5D029A2A"/>
    <w:lvl w:ilvl="0" w:tplc="8842DEC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F8168B6"/>
    <w:multiLevelType w:val="hybridMultilevel"/>
    <w:tmpl w:val="E6E4399E"/>
    <w:lvl w:ilvl="0" w:tplc="882A294E">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1FB0E77"/>
    <w:multiLevelType w:val="hybridMultilevel"/>
    <w:tmpl w:val="C3900546"/>
    <w:lvl w:ilvl="0" w:tplc="323EE604">
      <w:start w:val="1"/>
      <w:numFmt w:val="decimal"/>
      <w:lvlText w:val="%1."/>
      <w:lvlJc w:val="left"/>
      <w:pPr>
        <w:ind w:left="720" w:hanging="360"/>
      </w:pPr>
      <w:rPr>
        <w:rFonts w:asciiTheme="minorHAnsi" w:hAnsi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AE29DA"/>
    <w:multiLevelType w:val="multilevel"/>
    <w:tmpl w:val="BBB22C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4080659"/>
    <w:multiLevelType w:val="hybridMultilevel"/>
    <w:tmpl w:val="42145E60"/>
    <w:lvl w:ilvl="0" w:tplc="F9D29EDE">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75B4A0E"/>
    <w:multiLevelType w:val="hybridMultilevel"/>
    <w:tmpl w:val="7CE493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A261484"/>
    <w:multiLevelType w:val="multilevel"/>
    <w:tmpl w:val="5FF0051A"/>
    <w:lvl w:ilvl="0">
      <w:start w:val="1"/>
      <w:numFmt w:val="decimal"/>
      <w:lvlText w:val="%1."/>
      <w:lvlJc w:val="left"/>
      <w:pPr>
        <w:ind w:left="720" w:hanging="360"/>
      </w:pPr>
      <w:rPr>
        <w:rFonts w:asciiTheme="minorHAnsi" w:hAnsiTheme="minorHAnsi" w:cstheme="minorHAnsi" w:hint="default"/>
        <w:color w:val="000000" w:themeColor="text1"/>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5"/>
  </w:num>
  <w:num w:numId="3">
    <w:abstractNumId w:val="6"/>
  </w:num>
  <w:num w:numId="4">
    <w:abstractNumId w:val="8"/>
  </w:num>
  <w:num w:numId="5">
    <w:abstractNumId w:val="9"/>
  </w:num>
  <w:num w:numId="6">
    <w:abstractNumId w:val="0"/>
  </w:num>
  <w:num w:numId="7">
    <w:abstractNumId w:val="2"/>
  </w:num>
  <w:num w:numId="8">
    <w:abstractNumId w:val="7"/>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linkStyles/>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zep9a2v6fpsv7e55575ed2csvaexrw55xww&quot;&gt;Copper antimicrobials Paper&lt;record-ids&gt;&lt;item&gt;4&lt;/item&gt;&lt;item&gt;10&lt;/item&gt;&lt;item&gt;13&lt;/item&gt;&lt;item&gt;16&lt;/item&gt;&lt;item&gt;17&lt;/item&gt;&lt;item&gt;18&lt;/item&gt;&lt;item&gt;22&lt;/item&gt;&lt;item&gt;23&lt;/item&gt;&lt;item&gt;24&lt;/item&gt;&lt;item&gt;25&lt;/item&gt;&lt;item&gt;27&lt;/item&gt;&lt;item&gt;29&lt;/item&gt;&lt;item&gt;51&lt;/item&gt;&lt;item&gt;52&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record-ids&gt;&lt;/item&gt;&lt;/Libraries&gt;"/>
  </w:docVars>
  <w:rsids>
    <w:rsidRoot w:val="008E463E"/>
    <w:rsid w:val="00001FD8"/>
    <w:rsid w:val="00002E74"/>
    <w:rsid w:val="00003805"/>
    <w:rsid w:val="0000693D"/>
    <w:rsid w:val="00007E84"/>
    <w:rsid w:val="00012D18"/>
    <w:rsid w:val="000153E7"/>
    <w:rsid w:val="00023B1C"/>
    <w:rsid w:val="000247A4"/>
    <w:rsid w:val="0002556D"/>
    <w:rsid w:val="00026007"/>
    <w:rsid w:val="00026209"/>
    <w:rsid w:val="0003018E"/>
    <w:rsid w:val="0003037D"/>
    <w:rsid w:val="00030896"/>
    <w:rsid w:val="00030CC0"/>
    <w:rsid w:val="00030F9B"/>
    <w:rsid w:val="00031BAA"/>
    <w:rsid w:val="00034703"/>
    <w:rsid w:val="00034723"/>
    <w:rsid w:val="00034C40"/>
    <w:rsid w:val="000365BC"/>
    <w:rsid w:val="00040123"/>
    <w:rsid w:val="000431B9"/>
    <w:rsid w:val="00043279"/>
    <w:rsid w:val="00044BEE"/>
    <w:rsid w:val="00045034"/>
    <w:rsid w:val="00050113"/>
    <w:rsid w:val="0005041F"/>
    <w:rsid w:val="00052CEE"/>
    <w:rsid w:val="00053E0C"/>
    <w:rsid w:val="00054EBF"/>
    <w:rsid w:val="00055683"/>
    <w:rsid w:val="00055C58"/>
    <w:rsid w:val="00063122"/>
    <w:rsid w:val="000639FA"/>
    <w:rsid w:val="000713E4"/>
    <w:rsid w:val="00071862"/>
    <w:rsid w:val="00071D4D"/>
    <w:rsid w:val="00073C43"/>
    <w:rsid w:val="00074B69"/>
    <w:rsid w:val="00075E07"/>
    <w:rsid w:val="00075F73"/>
    <w:rsid w:val="000836FB"/>
    <w:rsid w:val="00084CD9"/>
    <w:rsid w:val="000851AB"/>
    <w:rsid w:val="00085281"/>
    <w:rsid w:val="00087DBC"/>
    <w:rsid w:val="0009206B"/>
    <w:rsid w:val="000948D1"/>
    <w:rsid w:val="000965E1"/>
    <w:rsid w:val="00096F3A"/>
    <w:rsid w:val="000A0045"/>
    <w:rsid w:val="000A2549"/>
    <w:rsid w:val="000A4BE6"/>
    <w:rsid w:val="000B36D9"/>
    <w:rsid w:val="000B4992"/>
    <w:rsid w:val="000B4FD0"/>
    <w:rsid w:val="000B51EC"/>
    <w:rsid w:val="000C25DD"/>
    <w:rsid w:val="000C652C"/>
    <w:rsid w:val="000C7547"/>
    <w:rsid w:val="000C7ABA"/>
    <w:rsid w:val="000D08FC"/>
    <w:rsid w:val="000D0FD0"/>
    <w:rsid w:val="000D333F"/>
    <w:rsid w:val="000D3B4E"/>
    <w:rsid w:val="000D3D43"/>
    <w:rsid w:val="000E2C7B"/>
    <w:rsid w:val="000E39A5"/>
    <w:rsid w:val="000E4AD6"/>
    <w:rsid w:val="000F1E86"/>
    <w:rsid w:val="000F2D27"/>
    <w:rsid w:val="000F36B4"/>
    <w:rsid w:val="000F475E"/>
    <w:rsid w:val="000F756B"/>
    <w:rsid w:val="00101CB7"/>
    <w:rsid w:val="00103297"/>
    <w:rsid w:val="001071C9"/>
    <w:rsid w:val="00110776"/>
    <w:rsid w:val="001114C1"/>
    <w:rsid w:val="001135AC"/>
    <w:rsid w:val="00113B16"/>
    <w:rsid w:val="00113EDD"/>
    <w:rsid w:val="00116978"/>
    <w:rsid w:val="0012002D"/>
    <w:rsid w:val="001211E5"/>
    <w:rsid w:val="00122EC2"/>
    <w:rsid w:val="00123CC4"/>
    <w:rsid w:val="00127BA8"/>
    <w:rsid w:val="00127DB9"/>
    <w:rsid w:val="0013235C"/>
    <w:rsid w:val="00132402"/>
    <w:rsid w:val="00132AD9"/>
    <w:rsid w:val="00134C5F"/>
    <w:rsid w:val="001370F3"/>
    <w:rsid w:val="00140081"/>
    <w:rsid w:val="00140CD1"/>
    <w:rsid w:val="00142525"/>
    <w:rsid w:val="00144819"/>
    <w:rsid w:val="00147B3A"/>
    <w:rsid w:val="00151318"/>
    <w:rsid w:val="001520CA"/>
    <w:rsid w:val="00153567"/>
    <w:rsid w:val="0015389C"/>
    <w:rsid w:val="001576AA"/>
    <w:rsid w:val="001601F3"/>
    <w:rsid w:val="00160277"/>
    <w:rsid w:val="00160647"/>
    <w:rsid w:val="00160A75"/>
    <w:rsid w:val="00160C57"/>
    <w:rsid w:val="00160CDE"/>
    <w:rsid w:val="00160F2B"/>
    <w:rsid w:val="00163481"/>
    <w:rsid w:val="00167B0E"/>
    <w:rsid w:val="00171360"/>
    <w:rsid w:val="001723AC"/>
    <w:rsid w:val="00172775"/>
    <w:rsid w:val="00172DF6"/>
    <w:rsid w:val="00173C56"/>
    <w:rsid w:val="001742EB"/>
    <w:rsid w:val="00174753"/>
    <w:rsid w:val="00184ECB"/>
    <w:rsid w:val="0018719D"/>
    <w:rsid w:val="0019150B"/>
    <w:rsid w:val="00191716"/>
    <w:rsid w:val="00191DC0"/>
    <w:rsid w:val="0019215B"/>
    <w:rsid w:val="00193FC5"/>
    <w:rsid w:val="00194CCC"/>
    <w:rsid w:val="001A48CF"/>
    <w:rsid w:val="001A7314"/>
    <w:rsid w:val="001A7F65"/>
    <w:rsid w:val="001B1DE9"/>
    <w:rsid w:val="001B26ED"/>
    <w:rsid w:val="001B28E3"/>
    <w:rsid w:val="001B5C48"/>
    <w:rsid w:val="001B7175"/>
    <w:rsid w:val="001B7A7B"/>
    <w:rsid w:val="001C1435"/>
    <w:rsid w:val="001C1587"/>
    <w:rsid w:val="001C1612"/>
    <w:rsid w:val="001C25AE"/>
    <w:rsid w:val="001C4642"/>
    <w:rsid w:val="001C61F7"/>
    <w:rsid w:val="001C7B3B"/>
    <w:rsid w:val="001D01A3"/>
    <w:rsid w:val="001D2C52"/>
    <w:rsid w:val="001D52A3"/>
    <w:rsid w:val="001D78EA"/>
    <w:rsid w:val="001E2AF3"/>
    <w:rsid w:val="001E3E90"/>
    <w:rsid w:val="001E6097"/>
    <w:rsid w:val="001F0733"/>
    <w:rsid w:val="001F1771"/>
    <w:rsid w:val="001F4794"/>
    <w:rsid w:val="001F6000"/>
    <w:rsid w:val="00202AB3"/>
    <w:rsid w:val="0020677A"/>
    <w:rsid w:val="00206EEB"/>
    <w:rsid w:val="00213BF7"/>
    <w:rsid w:val="00215080"/>
    <w:rsid w:val="00215A79"/>
    <w:rsid w:val="00215C35"/>
    <w:rsid w:val="00216E41"/>
    <w:rsid w:val="00217729"/>
    <w:rsid w:val="00227031"/>
    <w:rsid w:val="00227D86"/>
    <w:rsid w:val="0023055C"/>
    <w:rsid w:val="00232896"/>
    <w:rsid w:val="00234908"/>
    <w:rsid w:val="002368CB"/>
    <w:rsid w:val="00240083"/>
    <w:rsid w:val="002404F5"/>
    <w:rsid w:val="002505C5"/>
    <w:rsid w:val="00255F5A"/>
    <w:rsid w:val="00271E19"/>
    <w:rsid w:val="00273AD5"/>
    <w:rsid w:val="00274167"/>
    <w:rsid w:val="00274721"/>
    <w:rsid w:val="00274D57"/>
    <w:rsid w:val="002812A8"/>
    <w:rsid w:val="002830F8"/>
    <w:rsid w:val="002831ED"/>
    <w:rsid w:val="00286563"/>
    <w:rsid w:val="002900FA"/>
    <w:rsid w:val="00291533"/>
    <w:rsid w:val="00292F9A"/>
    <w:rsid w:val="002930E3"/>
    <w:rsid w:val="002933A8"/>
    <w:rsid w:val="002A029C"/>
    <w:rsid w:val="002A02A3"/>
    <w:rsid w:val="002A4F62"/>
    <w:rsid w:val="002A5B33"/>
    <w:rsid w:val="002A608B"/>
    <w:rsid w:val="002A7491"/>
    <w:rsid w:val="002A78F0"/>
    <w:rsid w:val="002B144F"/>
    <w:rsid w:val="002B4BBC"/>
    <w:rsid w:val="002B7242"/>
    <w:rsid w:val="002C04DC"/>
    <w:rsid w:val="002C1A4F"/>
    <w:rsid w:val="002C3766"/>
    <w:rsid w:val="002C56A8"/>
    <w:rsid w:val="002C6F1B"/>
    <w:rsid w:val="002D03AF"/>
    <w:rsid w:val="002D3806"/>
    <w:rsid w:val="002D3F10"/>
    <w:rsid w:val="002E1FEF"/>
    <w:rsid w:val="002E28A2"/>
    <w:rsid w:val="002E2FE5"/>
    <w:rsid w:val="002E3C21"/>
    <w:rsid w:val="002E3E17"/>
    <w:rsid w:val="002E6815"/>
    <w:rsid w:val="002F25EE"/>
    <w:rsid w:val="002F47D7"/>
    <w:rsid w:val="003007B5"/>
    <w:rsid w:val="00303080"/>
    <w:rsid w:val="0030370D"/>
    <w:rsid w:val="00303E49"/>
    <w:rsid w:val="00304EC5"/>
    <w:rsid w:val="003053E8"/>
    <w:rsid w:val="00306ECF"/>
    <w:rsid w:val="00307A1D"/>
    <w:rsid w:val="003110BD"/>
    <w:rsid w:val="0031552A"/>
    <w:rsid w:val="003164AC"/>
    <w:rsid w:val="00322AAC"/>
    <w:rsid w:val="00323462"/>
    <w:rsid w:val="0032685C"/>
    <w:rsid w:val="00331DFA"/>
    <w:rsid w:val="0033774D"/>
    <w:rsid w:val="00337BD2"/>
    <w:rsid w:val="00341397"/>
    <w:rsid w:val="00343388"/>
    <w:rsid w:val="003456B3"/>
    <w:rsid w:val="00350A52"/>
    <w:rsid w:val="003530C2"/>
    <w:rsid w:val="00354B89"/>
    <w:rsid w:val="00354BC8"/>
    <w:rsid w:val="00355C13"/>
    <w:rsid w:val="003560D7"/>
    <w:rsid w:val="00357104"/>
    <w:rsid w:val="0036050C"/>
    <w:rsid w:val="0036055A"/>
    <w:rsid w:val="00362BE8"/>
    <w:rsid w:val="003633ED"/>
    <w:rsid w:val="00363AD7"/>
    <w:rsid w:val="00363B13"/>
    <w:rsid w:val="00364BFC"/>
    <w:rsid w:val="00365793"/>
    <w:rsid w:val="00365EDA"/>
    <w:rsid w:val="003724C3"/>
    <w:rsid w:val="00373B14"/>
    <w:rsid w:val="003752AF"/>
    <w:rsid w:val="003769C8"/>
    <w:rsid w:val="003776EC"/>
    <w:rsid w:val="003800A8"/>
    <w:rsid w:val="00382200"/>
    <w:rsid w:val="00384C96"/>
    <w:rsid w:val="00386791"/>
    <w:rsid w:val="0038681A"/>
    <w:rsid w:val="003877F6"/>
    <w:rsid w:val="00392467"/>
    <w:rsid w:val="00394C57"/>
    <w:rsid w:val="00395C4C"/>
    <w:rsid w:val="003978D7"/>
    <w:rsid w:val="003A1644"/>
    <w:rsid w:val="003A17AA"/>
    <w:rsid w:val="003A19E0"/>
    <w:rsid w:val="003A2F1F"/>
    <w:rsid w:val="003A41E7"/>
    <w:rsid w:val="003A7326"/>
    <w:rsid w:val="003B0D72"/>
    <w:rsid w:val="003B4ECC"/>
    <w:rsid w:val="003B5064"/>
    <w:rsid w:val="003B6AA1"/>
    <w:rsid w:val="003B6D61"/>
    <w:rsid w:val="003B6FC8"/>
    <w:rsid w:val="003B7982"/>
    <w:rsid w:val="003C3845"/>
    <w:rsid w:val="003C3E6A"/>
    <w:rsid w:val="003C48F1"/>
    <w:rsid w:val="003C6A30"/>
    <w:rsid w:val="003C783D"/>
    <w:rsid w:val="003C7BF8"/>
    <w:rsid w:val="003D1CD5"/>
    <w:rsid w:val="003D2470"/>
    <w:rsid w:val="003D4FF3"/>
    <w:rsid w:val="003D5A3E"/>
    <w:rsid w:val="003D6C11"/>
    <w:rsid w:val="003E1668"/>
    <w:rsid w:val="003E2E28"/>
    <w:rsid w:val="003E43B3"/>
    <w:rsid w:val="003E58AE"/>
    <w:rsid w:val="003E5A06"/>
    <w:rsid w:val="003E6440"/>
    <w:rsid w:val="003F03A7"/>
    <w:rsid w:val="003F06C5"/>
    <w:rsid w:val="003F1105"/>
    <w:rsid w:val="003F31FF"/>
    <w:rsid w:val="003F56D2"/>
    <w:rsid w:val="003F716E"/>
    <w:rsid w:val="003F79AD"/>
    <w:rsid w:val="00401B13"/>
    <w:rsid w:val="00402FFA"/>
    <w:rsid w:val="00405F58"/>
    <w:rsid w:val="00406870"/>
    <w:rsid w:val="00410756"/>
    <w:rsid w:val="0041661A"/>
    <w:rsid w:val="0042102B"/>
    <w:rsid w:val="00422502"/>
    <w:rsid w:val="00422887"/>
    <w:rsid w:val="00423DA4"/>
    <w:rsid w:val="00423DCC"/>
    <w:rsid w:val="00426062"/>
    <w:rsid w:val="00431100"/>
    <w:rsid w:val="00431C54"/>
    <w:rsid w:val="00437357"/>
    <w:rsid w:val="00440607"/>
    <w:rsid w:val="00442DD7"/>
    <w:rsid w:val="0044628F"/>
    <w:rsid w:val="00454102"/>
    <w:rsid w:val="004541D5"/>
    <w:rsid w:val="004558F6"/>
    <w:rsid w:val="00460960"/>
    <w:rsid w:val="00460E8D"/>
    <w:rsid w:val="00466483"/>
    <w:rsid w:val="00466638"/>
    <w:rsid w:val="00467818"/>
    <w:rsid w:val="0047245E"/>
    <w:rsid w:val="004747A2"/>
    <w:rsid w:val="0047607F"/>
    <w:rsid w:val="00480337"/>
    <w:rsid w:val="00480B78"/>
    <w:rsid w:val="0048322C"/>
    <w:rsid w:val="00483C68"/>
    <w:rsid w:val="00485A0D"/>
    <w:rsid w:val="0049197F"/>
    <w:rsid w:val="00492A1F"/>
    <w:rsid w:val="004A0E2E"/>
    <w:rsid w:val="004A1287"/>
    <w:rsid w:val="004A14CA"/>
    <w:rsid w:val="004A15DE"/>
    <w:rsid w:val="004A1DC7"/>
    <w:rsid w:val="004A494B"/>
    <w:rsid w:val="004A4A36"/>
    <w:rsid w:val="004B100B"/>
    <w:rsid w:val="004B185A"/>
    <w:rsid w:val="004B21CB"/>
    <w:rsid w:val="004B259F"/>
    <w:rsid w:val="004B2C6B"/>
    <w:rsid w:val="004B5A25"/>
    <w:rsid w:val="004B65A7"/>
    <w:rsid w:val="004C0C7B"/>
    <w:rsid w:val="004C4A6A"/>
    <w:rsid w:val="004C52D9"/>
    <w:rsid w:val="004C6A72"/>
    <w:rsid w:val="004D496A"/>
    <w:rsid w:val="004D6D51"/>
    <w:rsid w:val="004D78AA"/>
    <w:rsid w:val="004E136F"/>
    <w:rsid w:val="004E1A53"/>
    <w:rsid w:val="004E43AC"/>
    <w:rsid w:val="004E5FE7"/>
    <w:rsid w:val="004F0EF4"/>
    <w:rsid w:val="004F1F06"/>
    <w:rsid w:val="004F62F0"/>
    <w:rsid w:val="004F6AB8"/>
    <w:rsid w:val="004F7088"/>
    <w:rsid w:val="004F73CE"/>
    <w:rsid w:val="00502019"/>
    <w:rsid w:val="00503530"/>
    <w:rsid w:val="00504E25"/>
    <w:rsid w:val="005051E1"/>
    <w:rsid w:val="00506ABA"/>
    <w:rsid w:val="00512EA8"/>
    <w:rsid w:val="00514127"/>
    <w:rsid w:val="00514C12"/>
    <w:rsid w:val="00514D68"/>
    <w:rsid w:val="005168B6"/>
    <w:rsid w:val="00522AA7"/>
    <w:rsid w:val="00527CFC"/>
    <w:rsid w:val="005327A8"/>
    <w:rsid w:val="005336B4"/>
    <w:rsid w:val="005352CC"/>
    <w:rsid w:val="005359AA"/>
    <w:rsid w:val="005360B0"/>
    <w:rsid w:val="00540056"/>
    <w:rsid w:val="005429C8"/>
    <w:rsid w:val="00543111"/>
    <w:rsid w:val="00543453"/>
    <w:rsid w:val="00551DCA"/>
    <w:rsid w:val="005530A6"/>
    <w:rsid w:val="005541E7"/>
    <w:rsid w:val="00554CED"/>
    <w:rsid w:val="00555117"/>
    <w:rsid w:val="00563A94"/>
    <w:rsid w:val="00564230"/>
    <w:rsid w:val="005745CB"/>
    <w:rsid w:val="005747B0"/>
    <w:rsid w:val="00575E0D"/>
    <w:rsid w:val="005779A9"/>
    <w:rsid w:val="005803E9"/>
    <w:rsid w:val="0058068F"/>
    <w:rsid w:val="0058184B"/>
    <w:rsid w:val="0058187B"/>
    <w:rsid w:val="005829A5"/>
    <w:rsid w:val="00582DF1"/>
    <w:rsid w:val="00582EC9"/>
    <w:rsid w:val="00582ED4"/>
    <w:rsid w:val="0058582F"/>
    <w:rsid w:val="005864D5"/>
    <w:rsid w:val="00586666"/>
    <w:rsid w:val="005870BB"/>
    <w:rsid w:val="00587BE8"/>
    <w:rsid w:val="00587FC5"/>
    <w:rsid w:val="005902BC"/>
    <w:rsid w:val="00593F2E"/>
    <w:rsid w:val="005942F3"/>
    <w:rsid w:val="005963F4"/>
    <w:rsid w:val="005A0A05"/>
    <w:rsid w:val="005A34B3"/>
    <w:rsid w:val="005A4A51"/>
    <w:rsid w:val="005A537D"/>
    <w:rsid w:val="005A5D1E"/>
    <w:rsid w:val="005A7E99"/>
    <w:rsid w:val="005A7F3C"/>
    <w:rsid w:val="005B018B"/>
    <w:rsid w:val="005B0874"/>
    <w:rsid w:val="005B093D"/>
    <w:rsid w:val="005B0AAA"/>
    <w:rsid w:val="005B1CD1"/>
    <w:rsid w:val="005B43E7"/>
    <w:rsid w:val="005B46BB"/>
    <w:rsid w:val="005B6EAA"/>
    <w:rsid w:val="005C2329"/>
    <w:rsid w:val="005D23B2"/>
    <w:rsid w:val="005D2609"/>
    <w:rsid w:val="005D6CF3"/>
    <w:rsid w:val="005D7E87"/>
    <w:rsid w:val="005D7F86"/>
    <w:rsid w:val="005D7F9E"/>
    <w:rsid w:val="005E2654"/>
    <w:rsid w:val="005E26B2"/>
    <w:rsid w:val="005E3D2B"/>
    <w:rsid w:val="005F1BD4"/>
    <w:rsid w:val="005F546F"/>
    <w:rsid w:val="005F5801"/>
    <w:rsid w:val="005F5AF6"/>
    <w:rsid w:val="005F74BD"/>
    <w:rsid w:val="00600AC4"/>
    <w:rsid w:val="00603F42"/>
    <w:rsid w:val="00606B67"/>
    <w:rsid w:val="00606E3B"/>
    <w:rsid w:val="006124E0"/>
    <w:rsid w:val="006141B2"/>
    <w:rsid w:val="00614381"/>
    <w:rsid w:val="0061536E"/>
    <w:rsid w:val="00616ACA"/>
    <w:rsid w:val="0062163F"/>
    <w:rsid w:val="00621EF3"/>
    <w:rsid w:val="006222AB"/>
    <w:rsid w:val="00622850"/>
    <w:rsid w:val="00630B13"/>
    <w:rsid w:val="006334C7"/>
    <w:rsid w:val="006345BC"/>
    <w:rsid w:val="00635098"/>
    <w:rsid w:val="00640130"/>
    <w:rsid w:val="006405A7"/>
    <w:rsid w:val="00643263"/>
    <w:rsid w:val="00644075"/>
    <w:rsid w:val="00646001"/>
    <w:rsid w:val="00646311"/>
    <w:rsid w:val="0065082D"/>
    <w:rsid w:val="006518B6"/>
    <w:rsid w:val="00653AF8"/>
    <w:rsid w:val="00654EED"/>
    <w:rsid w:val="00655EF6"/>
    <w:rsid w:val="00655FE1"/>
    <w:rsid w:val="00661589"/>
    <w:rsid w:val="00661C11"/>
    <w:rsid w:val="0066381A"/>
    <w:rsid w:val="00663AC3"/>
    <w:rsid w:val="00663B55"/>
    <w:rsid w:val="00663F36"/>
    <w:rsid w:val="00664AA5"/>
    <w:rsid w:val="0066657B"/>
    <w:rsid w:val="00666C5B"/>
    <w:rsid w:val="006678BA"/>
    <w:rsid w:val="00673594"/>
    <w:rsid w:val="00673B38"/>
    <w:rsid w:val="00675F1B"/>
    <w:rsid w:val="00680DE3"/>
    <w:rsid w:val="00681AC2"/>
    <w:rsid w:val="00684CDC"/>
    <w:rsid w:val="00685C2D"/>
    <w:rsid w:val="00686EBB"/>
    <w:rsid w:val="00693B32"/>
    <w:rsid w:val="006940FB"/>
    <w:rsid w:val="0069433C"/>
    <w:rsid w:val="00694617"/>
    <w:rsid w:val="00695410"/>
    <w:rsid w:val="00695A9D"/>
    <w:rsid w:val="00695D81"/>
    <w:rsid w:val="00697044"/>
    <w:rsid w:val="00697589"/>
    <w:rsid w:val="006A33FC"/>
    <w:rsid w:val="006A5E86"/>
    <w:rsid w:val="006A6586"/>
    <w:rsid w:val="006A679F"/>
    <w:rsid w:val="006A75F8"/>
    <w:rsid w:val="006A7661"/>
    <w:rsid w:val="006A7668"/>
    <w:rsid w:val="006B02B3"/>
    <w:rsid w:val="006B3546"/>
    <w:rsid w:val="006B3D97"/>
    <w:rsid w:val="006B42D6"/>
    <w:rsid w:val="006B56EB"/>
    <w:rsid w:val="006B69B6"/>
    <w:rsid w:val="006B7009"/>
    <w:rsid w:val="006B7EC0"/>
    <w:rsid w:val="006C11C1"/>
    <w:rsid w:val="006C4F80"/>
    <w:rsid w:val="006C6B40"/>
    <w:rsid w:val="006D07DC"/>
    <w:rsid w:val="006D41B6"/>
    <w:rsid w:val="006D79DC"/>
    <w:rsid w:val="006E1A04"/>
    <w:rsid w:val="006E27E0"/>
    <w:rsid w:val="006E436F"/>
    <w:rsid w:val="006E5E2B"/>
    <w:rsid w:val="006F07A9"/>
    <w:rsid w:val="006F0D74"/>
    <w:rsid w:val="006F33CC"/>
    <w:rsid w:val="00700676"/>
    <w:rsid w:val="00700DC9"/>
    <w:rsid w:val="007024E0"/>
    <w:rsid w:val="00702559"/>
    <w:rsid w:val="00703ECA"/>
    <w:rsid w:val="00705CEE"/>
    <w:rsid w:val="00710C2B"/>
    <w:rsid w:val="00712147"/>
    <w:rsid w:val="0071317D"/>
    <w:rsid w:val="0071480D"/>
    <w:rsid w:val="00717821"/>
    <w:rsid w:val="007243B7"/>
    <w:rsid w:val="007254EC"/>
    <w:rsid w:val="00726C9A"/>
    <w:rsid w:val="007309D0"/>
    <w:rsid w:val="00730D24"/>
    <w:rsid w:val="00731A92"/>
    <w:rsid w:val="0073254C"/>
    <w:rsid w:val="00732D84"/>
    <w:rsid w:val="00735632"/>
    <w:rsid w:val="0073718A"/>
    <w:rsid w:val="007379E5"/>
    <w:rsid w:val="007436D7"/>
    <w:rsid w:val="007472E9"/>
    <w:rsid w:val="007518F8"/>
    <w:rsid w:val="00751F2D"/>
    <w:rsid w:val="0075286E"/>
    <w:rsid w:val="00753290"/>
    <w:rsid w:val="00754C72"/>
    <w:rsid w:val="00755D68"/>
    <w:rsid w:val="00755F4C"/>
    <w:rsid w:val="00756ED4"/>
    <w:rsid w:val="007576A7"/>
    <w:rsid w:val="00761AEC"/>
    <w:rsid w:val="00763D6F"/>
    <w:rsid w:val="0076464C"/>
    <w:rsid w:val="00766361"/>
    <w:rsid w:val="00770D8D"/>
    <w:rsid w:val="00771012"/>
    <w:rsid w:val="00771245"/>
    <w:rsid w:val="007714E7"/>
    <w:rsid w:val="0077432A"/>
    <w:rsid w:val="0077533D"/>
    <w:rsid w:val="00776FF4"/>
    <w:rsid w:val="00782FB4"/>
    <w:rsid w:val="00785C3D"/>
    <w:rsid w:val="007875B4"/>
    <w:rsid w:val="007879A7"/>
    <w:rsid w:val="00787EEF"/>
    <w:rsid w:val="007908C8"/>
    <w:rsid w:val="00794F9C"/>
    <w:rsid w:val="00795C25"/>
    <w:rsid w:val="007A134E"/>
    <w:rsid w:val="007A16F5"/>
    <w:rsid w:val="007A19CA"/>
    <w:rsid w:val="007A1E2A"/>
    <w:rsid w:val="007A384D"/>
    <w:rsid w:val="007A6A73"/>
    <w:rsid w:val="007A7086"/>
    <w:rsid w:val="007B692B"/>
    <w:rsid w:val="007B69A1"/>
    <w:rsid w:val="007C2C6D"/>
    <w:rsid w:val="007C2CCF"/>
    <w:rsid w:val="007C5217"/>
    <w:rsid w:val="007C5FEB"/>
    <w:rsid w:val="007C74A7"/>
    <w:rsid w:val="007C7A27"/>
    <w:rsid w:val="007D1EC0"/>
    <w:rsid w:val="007D3F36"/>
    <w:rsid w:val="007D622B"/>
    <w:rsid w:val="007D63CF"/>
    <w:rsid w:val="007E1359"/>
    <w:rsid w:val="007E224B"/>
    <w:rsid w:val="007E3E54"/>
    <w:rsid w:val="007E445C"/>
    <w:rsid w:val="007E4C26"/>
    <w:rsid w:val="007E5BD2"/>
    <w:rsid w:val="007E6047"/>
    <w:rsid w:val="007E68AC"/>
    <w:rsid w:val="007F08ED"/>
    <w:rsid w:val="007F3008"/>
    <w:rsid w:val="007F4737"/>
    <w:rsid w:val="007F64FA"/>
    <w:rsid w:val="007F7155"/>
    <w:rsid w:val="007F7463"/>
    <w:rsid w:val="0080370C"/>
    <w:rsid w:val="00803922"/>
    <w:rsid w:val="00803995"/>
    <w:rsid w:val="00803DDD"/>
    <w:rsid w:val="0080651B"/>
    <w:rsid w:val="00806D16"/>
    <w:rsid w:val="00807767"/>
    <w:rsid w:val="0081268D"/>
    <w:rsid w:val="008143A9"/>
    <w:rsid w:val="00820085"/>
    <w:rsid w:val="0082089F"/>
    <w:rsid w:val="0082610A"/>
    <w:rsid w:val="00831476"/>
    <w:rsid w:val="00831E30"/>
    <w:rsid w:val="00832D0B"/>
    <w:rsid w:val="00833F0F"/>
    <w:rsid w:val="00834D30"/>
    <w:rsid w:val="008366F5"/>
    <w:rsid w:val="0084087F"/>
    <w:rsid w:val="00844BEB"/>
    <w:rsid w:val="00846CBE"/>
    <w:rsid w:val="008503D2"/>
    <w:rsid w:val="00850AE9"/>
    <w:rsid w:val="00855768"/>
    <w:rsid w:val="008629C4"/>
    <w:rsid w:val="00863573"/>
    <w:rsid w:val="008640CB"/>
    <w:rsid w:val="0086644C"/>
    <w:rsid w:val="00870192"/>
    <w:rsid w:val="00871FE4"/>
    <w:rsid w:val="008774E9"/>
    <w:rsid w:val="00877E8C"/>
    <w:rsid w:val="0088133A"/>
    <w:rsid w:val="00881D16"/>
    <w:rsid w:val="00883037"/>
    <w:rsid w:val="0088539A"/>
    <w:rsid w:val="00886803"/>
    <w:rsid w:val="00893747"/>
    <w:rsid w:val="0089423E"/>
    <w:rsid w:val="008951C9"/>
    <w:rsid w:val="0089612B"/>
    <w:rsid w:val="008964B7"/>
    <w:rsid w:val="008A09DE"/>
    <w:rsid w:val="008A1018"/>
    <w:rsid w:val="008A1FE5"/>
    <w:rsid w:val="008A6096"/>
    <w:rsid w:val="008A7E1B"/>
    <w:rsid w:val="008B220E"/>
    <w:rsid w:val="008B6991"/>
    <w:rsid w:val="008C0463"/>
    <w:rsid w:val="008C2B9E"/>
    <w:rsid w:val="008C3051"/>
    <w:rsid w:val="008C30DB"/>
    <w:rsid w:val="008C38B2"/>
    <w:rsid w:val="008C4AFC"/>
    <w:rsid w:val="008D019B"/>
    <w:rsid w:val="008D4321"/>
    <w:rsid w:val="008D5E46"/>
    <w:rsid w:val="008D690B"/>
    <w:rsid w:val="008D6A18"/>
    <w:rsid w:val="008D6BFE"/>
    <w:rsid w:val="008D71A4"/>
    <w:rsid w:val="008D7DCF"/>
    <w:rsid w:val="008E270C"/>
    <w:rsid w:val="008E463E"/>
    <w:rsid w:val="008E50FF"/>
    <w:rsid w:val="008E62EA"/>
    <w:rsid w:val="008E70EF"/>
    <w:rsid w:val="008E7A45"/>
    <w:rsid w:val="008F2013"/>
    <w:rsid w:val="008F21E3"/>
    <w:rsid w:val="008F22E7"/>
    <w:rsid w:val="008F302C"/>
    <w:rsid w:val="008F3F6B"/>
    <w:rsid w:val="008F76D0"/>
    <w:rsid w:val="00902D68"/>
    <w:rsid w:val="00904D3F"/>
    <w:rsid w:val="009056E7"/>
    <w:rsid w:val="00907F85"/>
    <w:rsid w:val="00920911"/>
    <w:rsid w:val="00921079"/>
    <w:rsid w:val="009217C8"/>
    <w:rsid w:val="00921E81"/>
    <w:rsid w:val="009232BE"/>
    <w:rsid w:val="00923C7F"/>
    <w:rsid w:val="00924A9A"/>
    <w:rsid w:val="00926162"/>
    <w:rsid w:val="00930A07"/>
    <w:rsid w:val="00931563"/>
    <w:rsid w:val="00931CF7"/>
    <w:rsid w:val="00932160"/>
    <w:rsid w:val="00934AAA"/>
    <w:rsid w:val="00934F94"/>
    <w:rsid w:val="00935637"/>
    <w:rsid w:val="00936AD0"/>
    <w:rsid w:val="00937590"/>
    <w:rsid w:val="009426D9"/>
    <w:rsid w:val="00954BC4"/>
    <w:rsid w:val="00955579"/>
    <w:rsid w:val="00955CE8"/>
    <w:rsid w:val="00957831"/>
    <w:rsid w:val="0096089D"/>
    <w:rsid w:val="0096212F"/>
    <w:rsid w:val="00970560"/>
    <w:rsid w:val="00970D37"/>
    <w:rsid w:val="00973F8B"/>
    <w:rsid w:val="0097674D"/>
    <w:rsid w:val="00976D8C"/>
    <w:rsid w:val="00980E3E"/>
    <w:rsid w:val="009810A0"/>
    <w:rsid w:val="00982991"/>
    <w:rsid w:val="00982DFC"/>
    <w:rsid w:val="00991AD9"/>
    <w:rsid w:val="00992226"/>
    <w:rsid w:val="00993320"/>
    <w:rsid w:val="009960EF"/>
    <w:rsid w:val="0099698D"/>
    <w:rsid w:val="009A37B0"/>
    <w:rsid w:val="009A5A75"/>
    <w:rsid w:val="009A5DDC"/>
    <w:rsid w:val="009B01B5"/>
    <w:rsid w:val="009B11B9"/>
    <w:rsid w:val="009B12B1"/>
    <w:rsid w:val="009B2E61"/>
    <w:rsid w:val="009B31F4"/>
    <w:rsid w:val="009B3946"/>
    <w:rsid w:val="009B420B"/>
    <w:rsid w:val="009B56F6"/>
    <w:rsid w:val="009B5EEA"/>
    <w:rsid w:val="009B6701"/>
    <w:rsid w:val="009C42FE"/>
    <w:rsid w:val="009C77E9"/>
    <w:rsid w:val="009E1CB7"/>
    <w:rsid w:val="009E1DE5"/>
    <w:rsid w:val="009E3448"/>
    <w:rsid w:val="009E4329"/>
    <w:rsid w:val="009E6980"/>
    <w:rsid w:val="009E7836"/>
    <w:rsid w:val="009F0BF9"/>
    <w:rsid w:val="009F0F1B"/>
    <w:rsid w:val="009F4169"/>
    <w:rsid w:val="009F65AD"/>
    <w:rsid w:val="00A0115C"/>
    <w:rsid w:val="00A01665"/>
    <w:rsid w:val="00A037E3"/>
    <w:rsid w:val="00A05362"/>
    <w:rsid w:val="00A06EA0"/>
    <w:rsid w:val="00A134BA"/>
    <w:rsid w:val="00A20444"/>
    <w:rsid w:val="00A21369"/>
    <w:rsid w:val="00A246BE"/>
    <w:rsid w:val="00A24E62"/>
    <w:rsid w:val="00A25BA9"/>
    <w:rsid w:val="00A26B68"/>
    <w:rsid w:val="00A35CE3"/>
    <w:rsid w:val="00A366DC"/>
    <w:rsid w:val="00A444ED"/>
    <w:rsid w:val="00A445A0"/>
    <w:rsid w:val="00A451A9"/>
    <w:rsid w:val="00A51C80"/>
    <w:rsid w:val="00A619B0"/>
    <w:rsid w:val="00A61C0B"/>
    <w:rsid w:val="00A61EFF"/>
    <w:rsid w:val="00A62335"/>
    <w:rsid w:val="00A6632B"/>
    <w:rsid w:val="00A670AF"/>
    <w:rsid w:val="00A6720C"/>
    <w:rsid w:val="00A7020F"/>
    <w:rsid w:val="00A72994"/>
    <w:rsid w:val="00A74081"/>
    <w:rsid w:val="00A75734"/>
    <w:rsid w:val="00A770EF"/>
    <w:rsid w:val="00A80C31"/>
    <w:rsid w:val="00A83108"/>
    <w:rsid w:val="00A83E43"/>
    <w:rsid w:val="00A84919"/>
    <w:rsid w:val="00A86C39"/>
    <w:rsid w:val="00A8724E"/>
    <w:rsid w:val="00A929D3"/>
    <w:rsid w:val="00A94CAF"/>
    <w:rsid w:val="00A94EF0"/>
    <w:rsid w:val="00A96195"/>
    <w:rsid w:val="00A967A0"/>
    <w:rsid w:val="00AA2710"/>
    <w:rsid w:val="00AA3161"/>
    <w:rsid w:val="00AA526C"/>
    <w:rsid w:val="00AA62C5"/>
    <w:rsid w:val="00AA73A3"/>
    <w:rsid w:val="00AA77A9"/>
    <w:rsid w:val="00AB2E04"/>
    <w:rsid w:val="00AB32C0"/>
    <w:rsid w:val="00AB4795"/>
    <w:rsid w:val="00AB5B1F"/>
    <w:rsid w:val="00AB72B6"/>
    <w:rsid w:val="00AC0520"/>
    <w:rsid w:val="00AC13D8"/>
    <w:rsid w:val="00AC1FC7"/>
    <w:rsid w:val="00AC25FF"/>
    <w:rsid w:val="00AC54FE"/>
    <w:rsid w:val="00AC59B3"/>
    <w:rsid w:val="00AC6557"/>
    <w:rsid w:val="00AC734D"/>
    <w:rsid w:val="00AD08C3"/>
    <w:rsid w:val="00AD257F"/>
    <w:rsid w:val="00AD25B5"/>
    <w:rsid w:val="00AD32FA"/>
    <w:rsid w:val="00AD565D"/>
    <w:rsid w:val="00AD6EE3"/>
    <w:rsid w:val="00AE32EF"/>
    <w:rsid w:val="00AE47F9"/>
    <w:rsid w:val="00AE553F"/>
    <w:rsid w:val="00AF1015"/>
    <w:rsid w:val="00AF1B3B"/>
    <w:rsid w:val="00AF5389"/>
    <w:rsid w:val="00AF61EC"/>
    <w:rsid w:val="00AF6635"/>
    <w:rsid w:val="00AF6A97"/>
    <w:rsid w:val="00B00648"/>
    <w:rsid w:val="00B02464"/>
    <w:rsid w:val="00B05C6C"/>
    <w:rsid w:val="00B07DBA"/>
    <w:rsid w:val="00B07EF9"/>
    <w:rsid w:val="00B07F35"/>
    <w:rsid w:val="00B13606"/>
    <w:rsid w:val="00B16141"/>
    <w:rsid w:val="00B172EF"/>
    <w:rsid w:val="00B17FB6"/>
    <w:rsid w:val="00B209F3"/>
    <w:rsid w:val="00B231DF"/>
    <w:rsid w:val="00B241D4"/>
    <w:rsid w:val="00B25274"/>
    <w:rsid w:val="00B26FC7"/>
    <w:rsid w:val="00B3007F"/>
    <w:rsid w:val="00B308C6"/>
    <w:rsid w:val="00B31F7B"/>
    <w:rsid w:val="00B341CF"/>
    <w:rsid w:val="00B35E9F"/>
    <w:rsid w:val="00B37B8C"/>
    <w:rsid w:val="00B40A6C"/>
    <w:rsid w:val="00B41A35"/>
    <w:rsid w:val="00B42033"/>
    <w:rsid w:val="00B44B26"/>
    <w:rsid w:val="00B46CF9"/>
    <w:rsid w:val="00B512E1"/>
    <w:rsid w:val="00B636CF"/>
    <w:rsid w:val="00B6467D"/>
    <w:rsid w:val="00B64CE3"/>
    <w:rsid w:val="00B650AC"/>
    <w:rsid w:val="00B65623"/>
    <w:rsid w:val="00B7072F"/>
    <w:rsid w:val="00B70ADC"/>
    <w:rsid w:val="00B768FD"/>
    <w:rsid w:val="00B80D74"/>
    <w:rsid w:val="00B833E0"/>
    <w:rsid w:val="00B83ADD"/>
    <w:rsid w:val="00B8493D"/>
    <w:rsid w:val="00B86860"/>
    <w:rsid w:val="00B935FB"/>
    <w:rsid w:val="00B93934"/>
    <w:rsid w:val="00B944D1"/>
    <w:rsid w:val="00B96EBF"/>
    <w:rsid w:val="00B96FFF"/>
    <w:rsid w:val="00BA2634"/>
    <w:rsid w:val="00BA39DF"/>
    <w:rsid w:val="00BA7DDD"/>
    <w:rsid w:val="00BB3F1C"/>
    <w:rsid w:val="00BB4294"/>
    <w:rsid w:val="00BC152A"/>
    <w:rsid w:val="00BC3543"/>
    <w:rsid w:val="00BC5C15"/>
    <w:rsid w:val="00BC5DA2"/>
    <w:rsid w:val="00BD27C2"/>
    <w:rsid w:val="00BD49A4"/>
    <w:rsid w:val="00BD5109"/>
    <w:rsid w:val="00BD73FA"/>
    <w:rsid w:val="00BD7A90"/>
    <w:rsid w:val="00BE415D"/>
    <w:rsid w:val="00BE79BE"/>
    <w:rsid w:val="00BF2023"/>
    <w:rsid w:val="00BF6E3A"/>
    <w:rsid w:val="00BF79AC"/>
    <w:rsid w:val="00C04435"/>
    <w:rsid w:val="00C044A3"/>
    <w:rsid w:val="00C05867"/>
    <w:rsid w:val="00C062B3"/>
    <w:rsid w:val="00C06DA5"/>
    <w:rsid w:val="00C1377B"/>
    <w:rsid w:val="00C15110"/>
    <w:rsid w:val="00C2545E"/>
    <w:rsid w:val="00C34059"/>
    <w:rsid w:val="00C35042"/>
    <w:rsid w:val="00C40B19"/>
    <w:rsid w:val="00C426E2"/>
    <w:rsid w:val="00C4349A"/>
    <w:rsid w:val="00C44B4D"/>
    <w:rsid w:val="00C4644C"/>
    <w:rsid w:val="00C47D61"/>
    <w:rsid w:val="00C50E39"/>
    <w:rsid w:val="00C526DF"/>
    <w:rsid w:val="00C565B5"/>
    <w:rsid w:val="00C57088"/>
    <w:rsid w:val="00C604FC"/>
    <w:rsid w:val="00C61C2F"/>
    <w:rsid w:val="00C634D2"/>
    <w:rsid w:val="00C63681"/>
    <w:rsid w:val="00C65CA0"/>
    <w:rsid w:val="00C6771C"/>
    <w:rsid w:val="00C67ABC"/>
    <w:rsid w:val="00C72138"/>
    <w:rsid w:val="00C7264A"/>
    <w:rsid w:val="00C72974"/>
    <w:rsid w:val="00C72B9D"/>
    <w:rsid w:val="00C75380"/>
    <w:rsid w:val="00C774C8"/>
    <w:rsid w:val="00C7774A"/>
    <w:rsid w:val="00C80553"/>
    <w:rsid w:val="00C82307"/>
    <w:rsid w:val="00C855A5"/>
    <w:rsid w:val="00C87E98"/>
    <w:rsid w:val="00C92F7D"/>
    <w:rsid w:val="00C949A1"/>
    <w:rsid w:val="00C95635"/>
    <w:rsid w:val="00C95B39"/>
    <w:rsid w:val="00C97652"/>
    <w:rsid w:val="00CA386A"/>
    <w:rsid w:val="00CA3B6E"/>
    <w:rsid w:val="00CB18BC"/>
    <w:rsid w:val="00CB1B2E"/>
    <w:rsid w:val="00CB4039"/>
    <w:rsid w:val="00CC2404"/>
    <w:rsid w:val="00CC2EC0"/>
    <w:rsid w:val="00CC372A"/>
    <w:rsid w:val="00CC4252"/>
    <w:rsid w:val="00CD281E"/>
    <w:rsid w:val="00CD5D01"/>
    <w:rsid w:val="00CD6773"/>
    <w:rsid w:val="00CD6E4B"/>
    <w:rsid w:val="00CE14C2"/>
    <w:rsid w:val="00CE1E1D"/>
    <w:rsid w:val="00CE2909"/>
    <w:rsid w:val="00CE295F"/>
    <w:rsid w:val="00CE4754"/>
    <w:rsid w:val="00CE4EA3"/>
    <w:rsid w:val="00CE53F6"/>
    <w:rsid w:val="00CF07A7"/>
    <w:rsid w:val="00CF1C1D"/>
    <w:rsid w:val="00CF2CA5"/>
    <w:rsid w:val="00CF3E75"/>
    <w:rsid w:val="00D01729"/>
    <w:rsid w:val="00D01BCD"/>
    <w:rsid w:val="00D02284"/>
    <w:rsid w:val="00D0260D"/>
    <w:rsid w:val="00D03F0D"/>
    <w:rsid w:val="00D06170"/>
    <w:rsid w:val="00D067B2"/>
    <w:rsid w:val="00D06CD4"/>
    <w:rsid w:val="00D06ECC"/>
    <w:rsid w:val="00D07DF2"/>
    <w:rsid w:val="00D10A38"/>
    <w:rsid w:val="00D10BA8"/>
    <w:rsid w:val="00D10D09"/>
    <w:rsid w:val="00D12764"/>
    <w:rsid w:val="00D12936"/>
    <w:rsid w:val="00D13BFA"/>
    <w:rsid w:val="00D144EA"/>
    <w:rsid w:val="00D14AA0"/>
    <w:rsid w:val="00D1727A"/>
    <w:rsid w:val="00D24059"/>
    <w:rsid w:val="00D26F6A"/>
    <w:rsid w:val="00D32384"/>
    <w:rsid w:val="00D341E1"/>
    <w:rsid w:val="00D34621"/>
    <w:rsid w:val="00D354F9"/>
    <w:rsid w:val="00D35C63"/>
    <w:rsid w:val="00D3722F"/>
    <w:rsid w:val="00D400EC"/>
    <w:rsid w:val="00D4500E"/>
    <w:rsid w:val="00D47ACF"/>
    <w:rsid w:val="00D47F83"/>
    <w:rsid w:val="00D50D28"/>
    <w:rsid w:val="00D52C95"/>
    <w:rsid w:val="00D60736"/>
    <w:rsid w:val="00D66F9B"/>
    <w:rsid w:val="00D72268"/>
    <w:rsid w:val="00D72C70"/>
    <w:rsid w:val="00D736A5"/>
    <w:rsid w:val="00D74406"/>
    <w:rsid w:val="00D8270B"/>
    <w:rsid w:val="00D846D1"/>
    <w:rsid w:val="00D869CF"/>
    <w:rsid w:val="00D87A41"/>
    <w:rsid w:val="00D87D44"/>
    <w:rsid w:val="00D90711"/>
    <w:rsid w:val="00D95B3F"/>
    <w:rsid w:val="00D95C38"/>
    <w:rsid w:val="00D9721C"/>
    <w:rsid w:val="00D97921"/>
    <w:rsid w:val="00DA0DD0"/>
    <w:rsid w:val="00DA0E47"/>
    <w:rsid w:val="00DA1F87"/>
    <w:rsid w:val="00DA3D3C"/>
    <w:rsid w:val="00DA3FF7"/>
    <w:rsid w:val="00DA7E0C"/>
    <w:rsid w:val="00DB3ACB"/>
    <w:rsid w:val="00DB65D8"/>
    <w:rsid w:val="00DB7895"/>
    <w:rsid w:val="00DC2E21"/>
    <w:rsid w:val="00DC53E7"/>
    <w:rsid w:val="00DD450F"/>
    <w:rsid w:val="00DE0092"/>
    <w:rsid w:val="00DE312B"/>
    <w:rsid w:val="00DE5271"/>
    <w:rsid w:val="00DE7624"/>
    <w:rsid w:val="00DF0DAD"/>
    <w:rsid w:val="00DF1C9A"/>
    <w:rsid w:val="00DF75D4"/>
    <w:rsid w:val="00E00FAB"/>
    <w:rsid w:val="00E018B1"/>
    <w:rsid w:val="00E02C68"/>
    <w:rsid w:val="00E038A1"/>
    <w:rsid w:val="00E049EB"/>
    <w:rsid w:val="00E05ED9"/>
    <w:rsid w:val="00E1270D"/>
    <w:rsid w:val="00E12B39"/>
    <w:rsid w:val="00E15692"/>
    <w:rsid w:val="00E22807"/>
    <w:rsid w:val="00E23634"/>
    <w:rsid w:val="00E23F20"/>
    <w:rsid w:val="00E2525D"/>
    <w:rsid w:val="00E25FDB"/>
    <w:rsid w:val="00E27A4B"/>
    <w:rsid w:val="00E3069B"/>
    <w:rsid w:val="00E31972"/>
    <w:rsid w:val="00E41A61"/>
    <w:rsid w:val="00E42B27"/>
    <w:rsid w:val="00E42E95"/>
    <w:rsid w:val="00E43B0D"/>
    <w:rsid w:val="00E47311"/>
    <w:rsid w:val="00E524CD"/>
    <w:rsid w:val="00E60038"/>
    <w:rsid w:val="00E6267C"/>
    <w:rsid w:val="00E65CB2"/>
    <w:rsid w:val="00E67262"/>
    <w:rsid w:val="00E67A66"/>
    <w:rsid w:val="00E67E7C"/>
    <w:rsid w:val="00E71152"/>
    <w:rsid w:val="00E71931"/>
    <w:rsid w:val="00E71A8A"/>
    <w:rsid w:val="00E743AD"/>
    <w:rsid w:val="00E74686"/>
    <w:rsid w:val="00E77491"/>
    <w:rsid w:val="00E77A9A"/>
    <w:rsid w:val="00E82CB8"/>
    <w:rsid w:val="00E838D7"/>
    <w:rsid w:val="00E84218"/>
    <w:rsid w:val="00E853BA"/>
    <w:rsid w:val="00E8568A"/>
    <w:rsid w:val="00E867E3"/>
    <w:rsid w:val="00E87B56"/>
    <w:rsid w:val="00E87FAE"/>
    <w:rsid w:val="00E91ABD"/>
    <w:rsid w:val="00E94E56"/>
    <w:rsid w:val="00E95955"/>
    <w:rsid w:val="00EA0CBD"/>
    <w:rsid w:val="00EA211A"/>
    <w:rsid w:val="00EB2749"/>
    <w:rsid w:val="00EB32E0"/>
    <w:rsid w:val="00EB3486"/>
    <w:rsid w:val="00EC1F79"/>
    <w:rsid w:val="00EC36BB"/>
    <w:rsid w:val="00EC7687"/>
    <w:rsid w:val="00ED1685"/>
    <w:rsid w:val="00ED2242"/>
    <w:rsid w:val="00ED2572"/>
    <w:rsid w:val="00ED3397"/>
    <w:rsid w:val="00ED3E1D"/>
    <w:rsid w:val="00ED659C"/>
    <w:rsid w:val="00ED7D6D"/>
    <w:rsid w:val="00EE10C6"/>
    <w:rsid w:val="00EE319B"/>
    <w:rsid w:val="00EE64CF"/>
    <w:rsid w:val="00EF2D72"/>
    <w:rsid w:val="00EF3343"/>
    <w:rsid w:val="00EF6CFC"/>
    <w:rsid w:val="00EF71CC"/>
    <w:rsid w:val="00EF7950"/>
    <w:rsid w:val="00F00309"/>
    <w:rsid w:val="00F02405"/>
    <w:rsid w:val="00F02FF5"/>
    <w:rsid w:val="00F051C0"/>
    <w:rsid w:val="00F14D27"/>
    <w:rsid w:val="00F15399"/>
    <w:rsid w:val="00F16311"/>
    <w:rsid w:val="00F16669"/>
    <w:rsid w:val="00F20EC2"/>
    <w:rsid w:val="00F21BE1"/>
    <w:rsid w:val="00F25780"/>
    <w:rsid w:val="00F25932"/>
    <w:rsid w:val="00F26282"/>
    <w:rsid w:val="00F26C58"/>
    <w:rsid w:val="00F31F81"/>
    <w:rsid w:val="00F32EB1"/>
    <w:rsid w:val="00F3333A"/>
    <w:rsid w:val="00F372DC"/>
    <w:rsid w:val="00F37B5A"/>
    <w:rsid w:val="00F40975"/>
    <w:rsid w:val="00F40ABC"/>
    <w:rsid w:val="00F41500"/>
    <w:rsid w:val="00F41ADD"/>
    <w:rsid w:val="00F4447C"/>
    <w:rsid w:val="00F44939"/>
    <w:rsid w:val="00F46F76"/>
    <w:rsid w:val="00F51AE1"/>
    <w:rsid w:val="00F51D12"/>
    <w:rsid w:val="00F55B29"/>
    <w:rsid w:val="00F6129A"/>
    <w:rsid w:val="00F617D9"/>
    <w:rsid w:val="00F6232D"/>
    <w:rsid w:val="00F635BE"/>
    <w:rsid w:val="00F63719"/>
    <w:rsid w:val="00F64262"/>
    <w:rsid w:val="00F66F40"/>
    <w:rsid w:val="00F6743C"/>
    <w:rsid w:val="00F74FDD"/>
    <w:rsid w:val="00F75B86"/>
    <w:rsid w:val="00F76E09"/>
    <w:rsid w:val="00F82C7A"/>
    <w:rsid w:val="00F84B91"/>
    <w:rsid w:val="00F8666D"/>
    <w:rsid w:val="00F91FAF"/>
    <w:rsid w:val="00F93A2D"/>
    <w:rsid w:val="00F97B21"/>
    <w:rsid w:val="00F97F12"/>
    <w:rsid w:val="00FA0C7A"/>
    <w:rsid w:val="00FA2B76"/>
    <w:rsid w:val="00FA6440"/>
    <w:rsid w:val="00FA6F36"/>
    <w:rsid w:val="00FA763C"/>
    <w:rsid w:val="00FB2067"/>
    <w:rsid w:val="00FB4E7F"/>
    <w:rsid w:val="00FB56B7"/>
    <w:rsid w:val="00FB5C54"/>
    <w:rsid w:val="00FB62CE"/>
    <w:rsid w:val="00FC001A"/>
    <w:rsid w:val="00FC3072"/>
    <w:rsid w:val="00FC446D"/>
    <w:rsid w:val="00FC5102"/>
    <w:rsid w:val="00FC6E27"/>
    <w:rsid w:val="00FD2030"/>
    <w:rsid w:val="00FD2FC5"/>
    <w:rsid w:val="00FD4A7A"/>
    <w:rsid w:val="00FE018A"/>
    <w:rsid w:val="00FE09D6"/>
    <w:rsid w:val="00FE1E38"/>
    <w:rsid w:val="00FE33B3"/>
    <w:rsid w:val="00FE4884"/>
    <w:rsid w:val="00FE6080"/>
    <w:rsid w:val="00FF2459"/>
    <w:rsid w:val="00FF582F"/>
    <w:rsid w:val="00FF78F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59C7F6D"/>
  <w15:docId w15:val="{11ABB717-1CF0-44F7-86BE-4D0F5A8D7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5C54"/>
    <w:rPr>
      <w:rFonts w:eastAsiaTheme="minorHAnsi"/>
    </w:rPr>
  </w:style>
  <w:style w:type="paragraph" w:styleId="Heading1">
    <w:name w:val="heading 1"/>
    <w:basedOn w:val="Normal"/>
    <w:next w:val="Normal"/>
    <w:link w:val="Heading1Char"/>
    <w:uiPriority w:val="9"/>
    <w:qFormat/>
    <w:rsid w:val="0071480D"/>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Heading2">
    <w:name w:val="heading 2"/>
    <w:basedOn w:val="Normal"/>
    <w:next w:val="Normal"/>
    <w:link w:val="Heading2Char"/>
    <w:uiPriority w:val="9"/>
    <w:unhideWhenUsed/>
    <w:qFormat/>
    <w:rsid w:val="0071480D"/>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71480D"/>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71480D"/>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71480D"/>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71480D"/>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71480D"/>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71480D"/>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71480D"/>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rsid w:val="00FB5C54"/>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FB5C54"/>
  </w:style>
  <w:style w:type="paragraph" w:styleId="NormalWeb">
    <w:name w:val="Normal (Web)"/>
    <w:basedOn w:val="Normal"/>
    <w:uiPriority w:val="99"/>
    <w:semiHidden/>
    <w:unhideWhenUsed/>
    <w:rsid w:val="00D06170"/>
    <w:pPr>
      <w:spacing w:before="100" w:beforeAutospacing="1" w:after="100" w:afterAutospacing="1" w:line="240" w:lineRule="auto"/>
    </w:pPr>
    <w:rPr>
      <w:rFonts w:ascii="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A670A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70AF"/>
    <w:rPr>
      <w:rFonts w:ascii="Tahoma" w:hAnsi="Tahoma" w:cs="Tahoma"/>
      <w:sz w:val="16"/>
      <w:szCs w:val="16"/>
    </w:rPr>
  </w:style>
  <w:style w:type="character" w:customStyle="1" w:styleId="Heading2Char">
    <w:name w:val="Heading 2 Char"/>
    <w:basedOn w:val="DefaultParagraphFont"/>
    <w:link w:val="Heading2"/>
    <w:uiPriority w:val="9"/>
    <w:rsid w:val="0071480D"/>
    <w:rPr>
      <w:rFonts w:asciiTheme="majorHAnsi" w:eastAsiaTheme="majorEastAsia" w:hAnsiTheme="majorHAnsi" w:cstheme="majorBidi"/>
      <w:color w:val="2E74B5" w:themeColor="accent1" w:themeShade="BF"/>
      <w:sz w:val="32"/>
      <w:szCs w:val="32"/>
    </w:rPr>
  </w:style>
  <w:style w:type="character" w:customStyle="1" w:styleId="Heading1Char">
    <w:name w:val="Heading 1 Char"/>
    <w:basedOn w:val="DefaultParagraphFont"/>
    <w:link w:val="Heading1"/>
    <w:uiPriority w:val="9"/>
    <w:rsid w:val="0071480D"/>
    <w:rPr>
      <w:rFonts w:asciiTheme="majorHAnsi" w:eastAsiaTheme="majorEastAsia" w:hAnsiTheme="majorHAnsi" w:cstheme="majorBidi"/>
      <w:color w:val="1F4E79" w:themeColor="accent1" w:themeShade="80"/>
      <w:sz w:val="36"/>
      <w:szCs w:val="36"/>
    </w:rPr>
  </w:style>
  <w:style w:type="character" w:customStyle="1" w:styleId="Heading3Char">
    <w:name w:val="Heading 3 Char"/>
    <w:basedOn w:val="DefaultParagraphFont"/>
    <w:link w:val="Heading3"/>
    <w:uiPriority w:val="9"/>
    <w:rsid w:val="0071480D"/>
    <w:rPr>
      <w:rFonts w:asciiTheme="majorHAnsi" w:eastAsiaTheme="majorEastAsia" w:hAnsiTheme="majorHAnsi" w:cstheme="majorBidi"/>
      <w:color w:val="2E74B5" w:themeColor="accent1" w:themeShade="BF"/>
      <w:sz w:val="28"/>
      <w:szCs w:val="28"/>
    </w:rPr>
  </w:style>
  <w:style w:type="paragraph" w:styleId="Caption">
    <w:name w:val="caption"/>
    <w:basedOn w:val="Normal"/>
    <w:next w:val="Normal"/>
    <w:uiPriority w:val="35"/>
    <w:unhideWhenUsed/>
    <w:qFormat/>
    <w:rsid w:val="0071480D"/>
    <w:pPr>
      <w:spacing w:line="240" w:lineRule="auto"/>
    </w:pPr>
    <w:rPr>
      <w:b/>
      <w:bCs/>
      <w:smallCaps/>
      <w:color w:val="44546A" w:themeColor="text2"/>
    </w:rPr>
  </w:style>
  <w:style w:type="table" w:styleId="TableGrid">
    <w:name w:val="Table Grid"/>
    <w:basedOn w:val="TableNormal"/>
    <w:uiPriority w:val="39"/>
    <w:rsid w:val="005F546F"/>
    <w:pPr>
      <w:spacing w:after="0" w:line="240" w:lineRule="auto"/>
    </w:pPr>
    <w:rPr>
      <w:rFonts w:ascii="Calibri" w:hAnsi="Calibri"/>
      <w:color w:val="000000" w:themeColor="text1"/>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86803"/>
    <w:rPr>
      <w:sz w:val="16"/>
      <w:szCs w:val="16"/>
    </w:rPr>
  </w:style>
  <w:style w:type="paragraph" w:styleId="CommentText">
    <w:name w:val="annotation text"/>
    <w:basedOn w:val="Normal"/>
    <w:link w:val="CommentTextChar"/>
    <w:uiPriority w:val="99"/>
    <w:unhideWhenUsed/>
    <w:rsid w:val="00886803"/>
    <w:pPr>
      <w:spacing w:line="240" w:lineRule="auto"/>
    </w:pPr>
    <w:rPr>
      <w:sz w:val="20"/>
      <w:szCs w:val="20"/>
    </w:rPr>
  </w:style>
  <w:style w:type="character" w:customStyle="1" w:styleId="CommentTextChar">
    <w:name w:val="Comment Text Char"/>
    <w:basedOn w:val="DefaultParagraphFont"/>
    <w:link w:val="CommentText"/>
    <w:uiPriority w:val="99"/>
    <w:rsid w:val="00886803"/>
    <w:rPr>
      <w:sz w:val="20"/>
      <w:szCs w:val="20"/>
    </w:rPr>
  </w:style>
  <w:style w:type="paragraph" w:styleId="CommentSubject">
    <w:name w:val="annotation subject"/>
    <w:basedOn w:val="CommentText"/>
    <w:next w:val="CommentText"/>
    <w:link w:val="CommentSubjectChar"/>
    <w:uiPriority w:val="99"/>
    <w:semiHidden/>
    <w:unhideWhenUsed/>
    <w:rsid w:val="00886803"/>
    <w:rPr>
      <w:b/>
      <w:bCs/>
    </w:rPr>
  </w:style>
  <w:style w:type="character" w:customStyle="1" w:styleId="CommentSubjectChar">
    <w:name w:val="Comment Subject Char"/>
    <w:basedOn w:val="CommentTextChar"/>
    <w:link w:val="CommentSubject"/>
    <w:uiPriority w:val="99"/>
    <w:semiHidden/>
    <w:rsid w:val="00886803"/>
    <w:rPr>
      <w:b/>
      <w:bCs/>
      <w:sz w:val="20"/>
      <w:szCs w:val="20"/>
    </w:rPr>
  </w:style>
  <w:style w:type="paragraph" w:styleId="FootnoteText">
    <w:name w:val="footnote text"/>
    <w:basedOn w:val="Normal"/>
    <w:link w:val="FootnoteTextChar"/>
    <w:uiPriority w:val="99"/>
    <w:semiHidden/>
    <w:unhideWhenUsed/>
    <w:rsid w:val="00386791"/>
    <w:pPr>
      <w:spacing w:after="0" w:line="240" w:lineRule="auto"/>
      <w:jc w:val="both"/>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386791"/>
    <w:rPr>
      <w:rFonts w:ascii="Calibri" w:eastAsia="Calibri" w:hAnsi="Calibri" w:cs="Times New Roman"/>
      <w:sz w:val="20"/>
      <w:szCs w:val="20"/>
    </w:rPr>
  </w:style>
  <w:style w:type="character" w:styleId="FootnoteReference">
    <w:name w:val="footnote reference"/>
    <w:uiPriority w:val="99"/>
    <w:semiHidden/>
    <w:unhideWhenUsed/>
    <w:rsid w:val="00386791"/>
    <w:rPr>
      <w:vertAlign w:val="superscript"/>
    </w:rPr>
  </w:style>
  <w:style w:type="character" w:styleId="Hyperlink">
    <w:name w:val="Hyperlink"/>
    <w:basedOn w:val="DefaultParagraphFont"/>
    <w:uiPriority w:val="99"/>
    <w:unhideWhenUsed/>
    <w:rsid w:val="00616ACA"/>
    <w:rPr>
      <w:color w:val="0563C1" w:themeColor="hyperlink"/>
      <w:u w:val="single"/>
    </w:rPr>
  </w:style>
  <w:style w:type="paragraph" w:styleId="Revision">
    <w:name w:val="Revision"/>
    <w:hidden/>
    <w:uiPriority w:val="99"/>
    <w:semiHidden/>
    <w:rsid w:val="00A6720C"/>
    <w:pPr>
      <w:spacing w:after="0" w:line="240" w:lineRule="auto"/>
    </w:pPr>
  </w:style>
  <w:style w:type="paragraph" w:styleId="ListParagraph">
    <w:name w:val="List Paragraph"/>
    <w:basedOn w:val="Normal"/>
    <w:uiPriority w:val="34"/>
    <w:qFormat/>
    <w:rsid w:val="006C4F80"/>
    <w:pPr>
      <w:ind w:left="720"/>
      <w:contextualSpacing/>
    </w:pPr>
  </w:style>
  <w:style w:type="paragraph" w:styleId="Header">
    <w:name w:val="header"/>
    <w:basedOn w:val="Normal"/>
    <w:link w:val="HeaderChar"/>
    <w:uiPriority w:val="99"/>
    <w:unhideWhenUsed/>
    <w:rsid w:val="006D41B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41B6"/>
  </w:style>
  <w:style w:type="paragraph" w:styleId="Footer">
    <w:name w:val="footer"/>
    <w:basedOn w:val="Normal"/>
    <w:link w:val="FooterChar"/>
    <w:uiPriority w:val="99"/>
    <w:unhideWhenUsed/>
    <w:rsid w:val="006D41B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41B6"/>
  </w:style>
  <w:style w:type="paragraph" w:customStyle="1" w:styleId="EndNoteBibliographyTitle">
    <w:name w:val="EndNote Bibliography Title"/>
    <w:basedOn w:val="Normal"/>
    <w:link w:val="EndNoteBibliographyTitleChar"/>
    <w:rsid w:val="00F66F40"/>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F66F40"/>
    <w:rPr>
      <w:rFonts w:ascii="Calibri" w:hAnsi="Calibri"/>
      <w:noProof/>
      <w:lang w:val="en-US"/>
    </w:rPr>
  </w:style>
  <w:style w:type="paragraph" w:customStyle="1" w:styleId="EndNoteBibliography">
    <w:name w:val="EndNote Bibliography"/>
    <w:basedOn w:val="Normal"/>
    <w:link w:val="EndNoteBibliographyChar"/>
    <w:rsid w:val="00F66F40"/>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F66F40"/>
    <w:rPr>
      <w:rFonts w:ascii="Calibri" w:hAnsi="Calibri"/>
      <w:noProof/>
      <w:lang w:val="en-US"/>
    </w:rPr>
  </w:style>
  <w:style w:type="table" w:customStyle="1" w:styleId="GridTable1Light1">
    <w:name w:val="Grid Table 1 Light1"/>
    <w:basedOn w:val="TableNormal"/>
    <w:uiPriority w:val="46"/>
    <w:rsid w:val="00B35E9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4Char">
    <w:name w:val="Heading 4 Char"/>
    <w:basedOn w:val="DefaultParagraphFont"/>
    <w:link w:val="Heading4"/>
    <w:uiPriority w:val="9"/>
    <w:rsid w:val="0071480D"/>
    <w:rPr>
      <w:rFonts w:asciiTheme="majorHAnsi" w:eastAsiaTheme="majorEastAsia" w:hAnsiTheme="majorHAnsi" w:cstheme="majorBidi"/>
      <w:color w:val="2E74B5" w:themeColor="accent1" w:themeShade="BF"/>
      <w:sz w:val="24"/>
      <w:szCs w:val="24"/>
    </w:rPr>
  </w:style>
  <w:style w:type="character" w:customStyle="1" w:styleId="Heading5Char">
    <w:name w:val="Heading 5 Char"/>
    <w:basedOn w:val="DefaultParagraphFont"/>
    <w:link w:val="Heading5"/>
    <w:uiPriority w:val="9"/>
    <w:semiHidden/>
    <w:rsid w:val="0071480D"/>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71480D"/>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71480D"/>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71480D"/>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71480D"/>
    <w:rPr>
      <w:rFonts w:asciiTheme="majorHAnsi" w:eastAsiaTheme="majorEastAsia" w:hAnsiTheme="majorHAnsi" w:cstheme="majorBidi"/>
      <w:i/>
      <w:iCs/>
      <w:color w:val="1F4E79" w:themeColor="accent1" w:themeShade="80"/>
    </w:rPr>
  </w:style>
  <w:style w:type="paragraph" w:styleId="Title">
    <w:name w:val="Title"/>
    <w:basedOn w:val="Normal"/>
    <w:next w:val="Normal"/>
    <w:link w:val="TitleChar"/>
    <w:uiPriority w:val="10"/>
    <w:qFormat/>
    <w:rsid w:val="0071480D"/>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71480D"/>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71480D"/>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71480D"/>
    <w:rPr>
      <w:rFonts w:asciiTheme="majorHAnsi" w:eastAsiaTheme="majorEastAsia" w:hAnsiTheme="majorHAnsi" w:cstheme="majorBidi"/>
      <w:color w:val="5B9BD5" w:themeColor="accent1"/>
      <w:sz w:val="28"/>
      <w:szCs w:val="28"/>
    </w:rPr>
  </w:style>
  <w:style w:type="character" w:styleId="Strong">
    <w:name w:val="Strong"/>
    <w:basedOn w:val="DefaultParagraphFont"/>
    <w:uiPriority w:val="22"/>
    <w:qFormat/>
    <w:rsid w:val="0071480D"/>
    <w:rPr>
      <w:b/>
      <w:bCs/>
    </w:rPr>
  </w:style>
  <w:style w:type="character" w:styleId="Emphasis">
    <w:name w:val="Emphasis"/>
    <w:basedOn w:val="DefaultParagraphFont"/>
    <w:uiPriority w:val="20"/>
    <w:qFormat/>
    <w:rsid w:val="0071480D"/>
    <w:rPr>
      <w:i/>
      <w:iCs/>
    </w:rPr>
  </w:style>
  <w:style w:type="paragraph" w:styleId="NoSpacing">
    <w:name w:val="No Spacing"/>
    <w:uiPriority w:val="1"/>
    <w:qFormat/>
    <w:rsid w:val="0071480D"/>
    <w:pPr>
      <w:spacing w:after="0" w:line="240" w:lineRule="auto"/>
    </w:pPr>
  </w:style>
  <w:style w:type="paragraph" w:styleId="Quote">
    <w:name w:val="Quote"/>
    <w:basedOn w:val="Normal"/>
    <w:next w:val="Normal"/>
    <w:link w:val="QuoteChar"/>
    <w:uiPriority w:val="29"/>
    <w:qFormat/>
    <w:rsid w:val="0071480D"/>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71480D"/>
    <w:rPr>
      <w:color w:val="44546A" w:themeColor="text2"/>
      <w:sz w:val="24"/>
      <w:szCs w:val="24"/>
    </w:rPr>
  </w:style>
  <w:style w:type="paragraph" w:styleId="IntenseQuote">
    <w:name w:val="Intense Quote"/>
    <w:basedOn w:val="Normal"/>
    <w:next w:val="Normal"/>
    <w:link w:val="IntenseQuoteChar"/>
    <w:uiPriority w:val="30"/>
    <w:qFormat/>
    <w:rsid w:val="0071480D"/>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71480D"/>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71480D"/>
    <w:rPr>
      <w:i/>
      <w:iCs/>
      <w:color w:val="595959" w:themeColor="text1" w:themeTint="A6"/>
    </w:rPr>
  </w:style>
  <w:style w:type="character" w:styleId="IntenseEmphasis">
    <w:name w:val="Intense Emphasis"/>
    <w:basedOn w:val="DefaultParagraphFont"/>
    <w:uiPriority w:val="21"/>
    <w:qFormat/>
    <w:rsid w:val="0071480D"/>
    <w:rPr>
      <w:b/>
      <w:bCs/>
      <w:i/>
      <w:iCs/>
    </w:rPr>
  </w:style>
  <w:style w:type="character" w:styleId="SubtleReference">
    <w:name w:val="Subtle Reference"/>
    <w:basedOn w:val="DefaultParagraphFont"/>
    <w:uiPriority w:val="31"/>
    <w:qFormat/>
    <w:rsid w:val="0071480D"/>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71480D"/>
    <w:rPr>
      <w:b/>
      <w:bCs/>
      <w:smallCaps/>
      <w:color w:val="44546A" w:themeColor="text2"/>
      <w:u w:val="single"/>
    </w:rPr>
  </w:style>
  <w:style w:type="character" w:styleId="BookTitle">
    <w:name w:val="Book Title"/>
    <w:basedOn w:val="DefaultParagraphFont"/>
    <w:uiPriority w:val="33"/>
    <w:qFormat/>
    <w:rsid w:val="0071480D"/>
    <w:rPr>
      <w:b/>
      <w:bCs/>
      <w:smallCaps/>
      <w:spacing w:val="10"/>
    </w:rPr>
  </w:style>
  <w:style w:type="paragraph" w:styleId="TOCHeading">
    <w:name w:val="TOC Heading"/>
    <w:basedOn w:val="Heading1"/>
    <w:next w:val="Normal"/>
    <w:uiPriority w:val="39"/>
    <w:semiHidden/>
    <w:unhideWhenUsed/>
    <w:qFormat/>
    <w:rsid w:val="0071480D"/>
    <w:pPr>
      <w:outlineLvl w:val="9"/>
    </w:pPr>
  </w:style>
  <w:style w:type="character" w:styleId="LineNumber">
    <w:name w:val="line number"/>
    <w:basedOn w:val="DefaultParagraphFont"/>
    <w:uiPriority w:val="99"/>
    <w:semiHidden/>
    <w:unhideWhenUsed/>
    <w:rsid w:val="00C15110"/>
  </w:style>
  <w:style w:type="character" w:customStyle="1" w:styleId="UnresolvedMention1">
    <w:name w:val="Unresolved Mention1"/>
    <w:basedOn w:val="DefaultParagraphFont"/>
    <w:uiPriority w:val="99"/>
    <w:semiHidden/>
    <w:unhideWhenUsed/>
    <w:rsid w:val="004F6A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379978">
      <w:bodyDiv w:val="1"/>
      <w:marLeft w:val="0"/>
      <w:marRight w:val="0"/>
      <w:marTop w:val="0"/>
      <w:marBottom w:val="0"/>
      <w:divBdr>
        <w:top w:val="none" w:sz="0" w:space="0" w:color="auto"/>
        <w:left w:val="none" w:sz="0" w:space="0" w:color="auto"/>
        <w:bottom w:val="none" w:sz="0" w:space="0" w:color="auto"/>
        <w:right w:val="none" w:sz="0" w:space="0" w:color="auto"/>
      </w:divBdr>
    </w:div>
    <w:div w:id="443959037">
      <w:bodyDiv w:val="1"/>
      <w:marLeft w:val="0"/>
      <w:marRight w:val="0"/>
      <w:marTop w:val="0"/>
      <w:marBottom w:val="0"/>
      <w:divBdr>
        <w:top w:val="none" w:sz="0" w:space="0" w:color="auto"/>
        <w:left w:val="none" w:sz="0" w:space="0" w:color="auto"/>
        <w:bottom w:val="none" w:sz="0" w:space="0" w:color="auto"/>
        <w:right w:val="none" w:sz="0" w:space="0" w:color="auto"/>
      </w:divBdr>
    </w:div>
    <w:div w:id="550582528">
      <w:bodyDiv w:val="1"/>
      <w:marLeft w:val="0"/>
      <w:marRight w:val="0"/>
      <w:marTop w:val="0"/>
      <w:marBottom w:val="0"/>
      <w:divBdr>
        <w:top w:val="none" w:sz="0" w:space="0" w:color="auto"/>
        <w:left w:val="none" w:sz="0" w:space="0" w:color="auto"/>
        <w:bottom w:val="none" w:sz="0" w:space="0" w:color="auto"/>
        <w:right w:val="none" w:sz="0" w:space="0" w:color="auto"/>
      </w:divBdr>
    </w:div>
    <w:div w:id="853036354">
      <w:bodyDiv w:val="1"/>
      <w:marLeft w:val="0"/>
      <w:marRight w:val="0"/>
      <w:marTop w:val="0"/>
      <w:marBottom w:val="0"/>
      <w:divBdr>
        <w:top w:val="none" w:sz="0" w:space="0" w:color="auto"/>
        <w:left w:val="none" w:sz="0" w:space="0" w:color="auto"/>
        <w:bottom w:val="none" w:sz="0" w:space="0" w:color="auto"/>
        <w:right w:val="none" w:sz="0" w:space="0" w:color="auto"/>
      </w:divBdr>
    </w:div>
    <w:div w:id="887037972">
      <w:bodyDiv w:val="1"/>
      <w:marLeft w:val="0"/>
      <w:marRight w:val="0"/>
      <w:marTop w:val="0"/>
      <w:marBottom w:val="0"/>
      <w:divBdr>
        <w:top w:val="none" w:sz="0" w:space="0" w:color="auto"/>
        <w:left w:val="none" w:sz="0" w:space="0" w:color="auto"/>
        <w:bottom w:val="none" w:sz="0" w:space="0" w:color="auto"/>
        <w:right w:val="none" w:sz="0" w:space="0" w:color="auto"/>
      </w:divBdr>
    </w:div>
    <w:div w:id="1132793675">
      <w:bodyDiv w:val="1"/>
      <w:marLeft w:val="0"/>
      <w:marRight w:val="0"/>
      <w:marTop w:val="0"/>
      <w:marBottom w:val="0"/>
      <w:divBdr>
        <w:top w:val="none" w:sz="0" w:space="0" w:color="auto"/>
        <w:left w:val="none" w:sz="0" w:space="0" w:color="auto"/>
        <w:bottom w:val="none" w:sz="0" w:space="0" w:color="auto"/>
        <w:right w:val="none" w:sz="0" w:space="0" w:color="auto"/>
      </w:divBdr>
    </w:div>
    <w:div w:id="1158956305">
      <w:bodyDiv w:val="1"/>
      <w:marLeft w:val="0"/>
      <w:marRight w:val="0"/>
      <w:marTop w:val="0"/>
      <w:marBottom w:val="0"/>
      <w:divBdr>
        <w:top w:val="none" w:sz="0" w:space="0" w:color="auto"/>
        <w:left w:val="none" w:sz="0" w:space="0" w:color="auto"/>
        <w:bottom w:val="none" w:sz="0" w:space="0" w:color="auto"/>
        <w:right w:val="none" w:sz="0" w:space="0" w:color="auto"/>
      </w:divBdr>
    </w:div>
    <w:div w:id="1220090583">
      <w:bodyDiv w:val="1"/>
      <w:marLeft w:val="0"/>
      <w:marRight w:val="0"/>
      <w:marTop w:val="0"/>
      <w:marBottom w:val="0"/>
      <w:divBdr>
        <w:top w:val="none" w:sz="0" w:space="0" w:color="auto"/>
        <w:left w:val="none" w:sz="0" w:space="0" w:color="auto"/>
        <w:bottom w:val="none" w:sz="0" w:space="0" w:color="auto"/>
        <w:right w:val="none" w:sz="0" w:space="0" w:color="auto"/>
      </w:divBdr>
    </w:div>
    <w:div w:id="1264411853">
      <w:bodyDiv w:val="1"/>
      <w:marLeft w:val="0"/>
      <w:marRight w:val="0"/>
      <w:marTop w:val="0"/>
      <w:marBottom w:val="0"/>
      <w:divBdr>
        <w:top w:val="none" w:sz="0" w:space="0" w:color="auto"/>
        <w:left w:val="none" w:sz="0" w:space="0" w:color="auto"/>
        <w:bottom w:val="none" w:sz="0" w:space="0" w:color="auto"/>
        <w:right w:val="none" w:sz="0" w:space="0" w:color="auto"/>
      </w:divBdr>
    </w:div>
    <w:div w:id="1543323250">
      <w:bodyDiv w:val="1"/>
      <w:marLeft w:val="0"/>
      <w:marRight w:val="0"/>
      <w:marTop w:val="0"/>
      <w:marBottom w:val="0"/>
      <w:divBdr>
        <w:top w:val="none" w:sz="0" w:space="0" w:color="auto"/>
        <w:left w:val="none" w:sz="0" w:space="0" w:color="auto"/>
        <w:bottom w:val="none" w:sz="0" w:space="0" w:color="auto"/>
        <w:right w:val="none" w:sz="0" w:space="0" w:color="auto"/>
      </w:divBdr>
    </w:div>
    <w:div w:id="1621449792">
      <w:bodyDiv w:val="1"/>
      <w:marLeft w:val="0"/>
      <w:marRight w:val="0"/>
      <w:marTop w:val="0"/>
      <w:marBottom w:val="0"/>
      <w:divBdr>
        <w:top w:val="none" w:sz="0" w:space="0" w:color="auto"/>
        <w:left w:val="none" w:sz="0" w:space="0" w:color="auto"/>
        <w:bottom w:val="none" w:sz="0" w:space="0" w:color="auto"/>
        <w:right w:val="none" w:sz="0" w:space="0" w:color="auto"/>
      </w:divBdr>
    </w:div>
    <w:div w:id="1699118331">
      <w:bodyDiv w:val="1"/>
      <w:marLeft w:val="0"/>
      <w:marRight w:val="0"/>
      <w:marTop w:val="0"/>
      <w:marBottom w:val="0"/>
      <w:divBdr>
        <w:top w:val="none" w:sz="0" w:space="0" w:color="auto"/>
        <w:left w:val="none" w:sz="0" w:space="0" w:color="auto"/>
        <w:bottom w:val="none" w:sz="0" w:space="0" w:color="auto"/>
        <w:right w:val="none" w:sz="0" w:space="0" w:color="auto"/>
      </w:divBdr>
    </w:div>
    <w:div w:id="1877961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jp37@cam.ac.uk" TargetMode="External"/><Relationship Id="rId13" Type="http://schemas.openxmlformats.org/officeDocument/2006/relationships/oleObject" Target="embeddings/oleObject1.bin"/><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oast.nl" TargetMode="Externa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theme" Target="theme/theme1.xml"/><Relationship Id="rId10" Type="http://schemas.openxmlformats.org/officeDocument/2006/relationships/image" Target="media/image1.tiff"/><Relationship Id="rId19"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hyperlink" Target="mailto:capb2@cam.ac.uk" TargetMode="External"/><Relationship Id="rId14" Type="http://schemas.openxmlformats.org/officeDocument/2006/relationships/image" Target="media/image3.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1C0A681E-6547-47CE-B639-06435DAE0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19149</Words>
  <Characters>109151</Characters>
  <Application>Microsoft Office Word</Application>
  <DocSecurity>0</DocSecurity>
  <Lines>909</Lines>
  <Paragraphs>256</Paragraphs>
  <ScaleCrop>false</ScaleCrop>
  <HeadingPairs>
    <vt:vector size="2" baseType="variant">
      <vt:variant>
        <vt:lpstr>Title</vt:lpstr>
      </vt:variant>
      <vt:variant>
        <vt:i4>1</vt:i4>
      </vt:variant>
    </vt:vector>
  </HeadingPairs>
  <TitlesOfParts>
    <vt:vector size="1" baseType="lpstr">
      <vt:lpstr/>
    </vt:vector>
  </TitlesOfParts>
  <Company>HNR</Company>
  <LinksUpToDate>false</LinksUpToDate>
  <CharactersWithSpaces>128044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Bastos</dc:creator>
  <cp:keywords/>
  <dc:description/>
  <cp:lastModifiedBy>Carlos Bastos</cp:lastModifiedBy>
  <cp:revision>3</cp:revision>
  <cp:lastPrinted>2019-10-15T17:16:00Z</cp:lastPrinted>
  <dcterms:created xsi:type="dcterms:W3CDTF">2019-10-24T11:05:00Z</dcterms:created>
  <dcterms:modified xsi:type="dcterms:W3CDTF">2019-10-24T11:08:00Z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http://www.zotero.org/styles/nanoimpact</vt:lpwstr>
  </property>
  <property fmtid="{D5CDD505-2E9C-101B-9397-08002B2CF9AE}" pid="19" name="Mendeley Recent Style Name 8_1">
    <vt:lpwstr>NanoImpact</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843062e3-cb06-3982-9c68-ae4672872248</vt:lpwstr>
  </property>
  <property fmtid="{D5CDD505-2E9C-101B-9397-08002B2CF9AE}" pid="24" name="Mendeley Citation Style_1">
    <vt:lpwstr>http://www.zotero.org/styles/nanoimpact</vt:lpwstr>
  </property>
</Properties>
</file>