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96E1AB" w14:textId="77777777" w:rsidR="00832601" w:rsidRDefault="00B72ABC">
      <w:pPr>
        <w:autoSpaceDE w:val="0"/>
        <w:autoSpaceDN w:val="0"/>
        <w:adjustRightInd w:val="0"/>
        <w:jc w:val="center"/>
        <w:rPr>
          <w:rFonts w:ascii="Times New Roman" w:hAnsi="Times New Roman" w:cs="Times New Roman"/>
          <w:b/>
          <w:kern w:val="0"/>
          <w:sz w:val="32"/>
          <w:szCs w:val="28"/>
        </w:rPr>
      </w:pPr>
      <w:r>
        <w:rPr>
          <w:rFonts w:ascii="Times New Roman" w:hAnsi="Times New Roman" w:cs="Times New Roman"/>
          <w:b/>
          <w:kern w:val="0"/>
          <w:sz w:val="32"/>
          <w:szCs w:val="28"/>
        </w:rPr>
        <w:t xml:space="preserve">Avalanches and </w:t>
      </w:r>
      <w:r>
        <w:rPr>
          <w:rFonts w:ascii="Times New Roman" w:hAnsi="Times New Roman" w:cs="Times New Roman" w:hint="eastAsia"/>
          <w:b/>
          <w:kern w:val="0"/>
          <w:sz w:val="32"/>
          <w:szCs w:val="28"/>
        </w:rPr>
        <w:t>M</w:t>
      </w:r>
      <w:r>
        <w:rPr>
          <w:rFonts w:ascii="Times New Roman" w:hAnsi="Times New Roman" w:cs="Times New Roman"/>
          <w:b/>
          <w:kern w:val="0"/>
          <w:sz w:val="32"/>
          <w:szCs w:val="28"/>
        </w:rPr>
        <w:t>ixing behavior of P</w:t>
      </w:r>
      <w:r>
        <w:rPr>
          <w:rFonts w:ascii="Times New Roman" w:hAnsi="Times New Roman" w:cs="Times New Roman" w:hint="eastAsia"/>
          <w:b/>
          <w:kern w:val="0"/>
          <w:sz w:val="32"/>
          <w:szCs w:val="28"/>
        </w:rPr>
        <w:t>orous</w:t>
      </w:r>
      <w:r>
        <w:rPr>
          <w:rFonts w:ascii="Times New Roman" w:hAnsi="Times New Roman" w:cs="Times New Roman"/>
          <w:b/>
          <w:kern w:val="0"/>
          <w:sz w:val="32"/>
          <w:szCs w:val="28"/>
        </w:rPr>
        <w:t xml:space="preserve"> 316L Stainless Steel under Tension</w:t>
      </w:r>
    </w:p>
    <w:p w14:paraId="1C5C33AA" w14:textId="77777777" w:rsidR="00832601" w:rsidRDefault="00832601">
      <w:pPr>
        <w:autoSpaceDE w:val="0"/>
        <w:autoSpaceDN w:val="0"/>
        <w:adjustRightInd w:val="0"/>
        <w:jc w:val="left"/>
        <w:rPr>
          <w:rFonts w:ascii="Times New Roman" w:hAnsi="Times New Roman" w:cs="Times New Roman"/>
          <w:b/>
          <w:color w:val="0070C0"/>
          <w:kern w:val="0"/>
          <w:sz w:val="32"/>
          <w:szCs w:val="28"/>
        </w:rPr>
      </w:pPr>
    </w:p>
    <w:p w14:paraId="1836D2BB" w14:textId="77777777" w:rsidR="00832601" w:rsidRDefault="00B72ABC">
      <w:pPr>
        <w:autoSpaceDE w:val="0"/>
        <w:autoSpaceDN w:val="0"/>
        <w:adjustRightInd w:val="0"/>
        <w:jc w:val="center"/>
        <w:rPr>
          <w:rFonts w:ascii="Times New Roman" w:hAnsi="Times New Roman" w:cs="Times New Roman"/>
          <w:b/>
          <w:bCs/>
          <w:sz w:val="28"/>
          <w:szCs w:val="28"/>
          <w:vertAlign w:val="superscript"/>
        </w:rPr>
      </w:pPr>
      <w:r>
        <w:rPr>
          <w:rFonts w:ascii="Times New Roman" w:hAnsi="Times New Roman" w:cs="Times New Roman"/>
          <w:b/>
          <w:bCs/>
          <w:sz w:val="28"/>
          <w:szCs w:val="28"/>
        </w:rPr>
        <w:t>Yan Chen</w:t>
      </w:r>
      <w:r>
        <w:rPr>
          <w:rFonts w:ascii="Times New Roman" w:hAnsi="Times New Roman" w:cs="Times New Roman" w:hint="eastAsia"/>
          <w:b/>
          <w:bCs/>
          <w:sz w:val="28"/>
          <w:szCs w:val="28"/>
          <w:vertAlign w:val="superscript"/>
        </w:rPr>
        <w:t>1</w:t>
      </w:r>
      <w:r>
        <w:rPr>
          <w:rFonts w:ascii="Times New Roman" w:hAnsi="Times New Roman" w:cs="Times New Roman"/>
          <w:b/>
          <w:bCs/>
          <w:sz w:val="28"/>
          <w:szCs w:val="28"/>
          <w:vertAlign w:val="superscript"/>
        </w:rPr>
        <w:t>,2</w:t>
      </w:r>
      <w:r>
        <w:rPr>
          <w:rFonts w:ascii="Times New Roman" w:hAnsi="Times New Roman" w:cs="Times New Roman" w:hint="eastAsia"/>
          <w:b/>
          <w:bCs/>
          <w:sz w:val="28"/>
          <w:szCs w:val="28"/>
        </w:rPr>
        <w:t xml:space="preserve">, </w:t>
      </w:r>
      <w:r>
        <w:rPr>
          <w:rFonts w:ascii="Times New Roman" w:hAnsi="Times New Roman" w:cs="Times New Roman"/>
          <w:b/>
          <w:bCs/>
          <w:sz w:val="28"/>
          <w:szCs w:val="28"/>
        </w:rPr>
        <w:t>Qiangbing Wang</w:t>
      </w:r>
      <w:r>
        <w:rPr>
          <w:rFonts w:ascii="Times New Roman" w:hAnsi="Times New Roman" w:cs="Times New Roman"/>
          <w:b/>
          <w:bCs/>
          <w:sz w:val="28"/>
          <w:szCs w:val="28"/>
          <w:vertAlign w:val="superscript"/>
        </w:rPr>
        <w:t>3</w:t>
      </w:r>
      <w:r>
        <w:rPr>
          <w:rFonts w:ascii="Times New Roman" w:hAnsi="Times New Roman" w:cs="Times New Roman"/>
          <w:b/>
          <w:bCs/>
          <w:sz w:val="28"/>
          <w:szCs w:val="28"/>
        </w:rPr>
        <w:t xml:space="preserve">, </w:t>
      </w:r>
      <w:r>
        <w:rPr>
          <w:rFonts w:ascii="Times New Roman" w:hAnsi="Times New Roman" w:cs="Times New Roman" w:hint="eastAsia"/>
          <w:b/>
          <w:bCs/>
          <w:sz w:val="28"/>
          <w:szCs w:val="28"/>
        </w:rPr>
        <w:t>Xiangdong Ding</w:t>
      </w:r>
      <w:r>
        <w:rPr>
          <w:rFonts w:ascii="Times New Roman" w:hAnsi="Times New Roman" w:cs="Times New Roman" w:hint="eastAsia"/>
          <w:b/>
          <w:bCs/>
          <w:sz w:val="28"/>
          <w:szCs w:val="28"/>
          <w:vertAlign w:val="superscript"/>
        </w:rPr>
        <w:t>1,a</w:t>
      </w:r>
      <w:r>
        <w:rPr>
          <w:rFonts w:ascii="Times New Roman" w:hAnsi="Times New Roman" w:cs="Times New Roman" w:hint="eastAsia"/>
          <w:b/>
          <w:bCs/>
          <w:sz w:val="28"/>
          <w:szCs w:val="28"/>
        </w:rPr>
        <w:t>,</w:t>
      </w:r>
      <w:r>
        <w:rPr>
          <w:rFonts w:ascii="Times New Roman" w:hAnsi="Times New Roman" w:cs="Times New Roman"/>
          <w:b/>
          <w:bCs/>
          <w:sz w:val="28"/>
          <w:szCs w:val="28"/>
        </w:rPr>
        <w:t xml:space="preserve"> </w:t>
      </w:r>
      <w:r>
        <w:rPr>
          <w:rFonts w:ascii="Times New Roman" w:hAnsi="Times New Roman" w:cs="Times New Roman" w:hint="eastAsia"/>
          <w:b/>
          <w:bCs/>
          <w:sz w:val="28"/>
          <w:szCs w:val="28"/>
        </w:rPr>
        <w:t>Jun Sun</w:t>
      </w:r>
      <w:r>
        <w:rPr>
          <w:rFonts w:ascii="Times New Roman" w:hAnsi="Times New Roman" w:cs="Times New Roman" w:hint="eastAsia"/>
          <w:b/>
          <w:bCs/>
          <w:sz w:val="28"/>
          <w:szCs w:val="28"/>
          <w:vertAlign w:val="superscript"/>
        </w:rPr>
        <w:t>1</w:t>
      </w:r>
      <w:r>
        <w:rPr>
          <w:rFonts w:ascii="Times New Roman" w:hAnsi="Times New Roman" w:cs="Times New Roman" w:hint="eastAsia"/>
          <w:b/>
          <w:bCs/>
          <w:sz w:val="28"/>
          <w:szCs w:val="28"/>
        </w:rPr>
        <w:t xml:space="preserve"> and </w:t>
      </w:r>
      <w:r>
        <w:rPr>
          <w:rFonts w:ascii="Times New Roman" w:hAnsi="Times New Roman" w:cs="Times New Roman"/>
          <w:b/>
          <w:bCs/>
          <w:sz w:val="28"/>
          <w:szCs w:val="28"/>
        </w:rPr>
        <w:t>Ekhard K.H. Salje</w:t>
      </w:r>
      <w:r>
        <w:rPr>
          <w:rFonts w:ascii="Times New Roman" w:hAnsi="Times New Roman" w:cs="Times New Roman" w:hint="eastAsia"/>
          <w:b/>
          <w:bCs/>
          <w:sz w:val="28"/>
          <w:szCs w:val="28"/>
          <w:vertAlign w:val="superscript"/>
        </w:rPr>
        <w:t>1,2,a</w:t>
      </w:r>
    </w:p>
    <w:p w14:paraId="0A3F1ED6" w14:textId="77777777" w:rsidR="00832601" w:rsidRDefault="00B72ABC">
      <w:pPr>
        <w:rPr>
          <w:rFonts w:ascii="Times New Roman" w:hAnsi="Times New Roman" w:cs="Times New Roman"/>
          <w:sz w:val="24"/>
          <w:szCs w:val="24"/>
        </w:rPr>
      </w:pPr>
      <w:r>
        <w:rPr>
          <w:rFonts w:ascii="Times New Roman" w:hAnsi="Times New Roman" w:cs="Times New Roman" w:hint="eastAsia"/>
          <w:sz w:val="24"/>
          <w:szCs w:val="24"/>
        </w:rPr>
        <w:t>1 State Key Laboratory for Mechanical Behavior of Materials, Xi</w:t>
      </w:r>
      <w:r>
        <w:rPr>
          <w:rFonts w:ascii="Times New Roman" w:hAnsi="Times New Roman" w:cs="Times New Roman"/>
          <w:sz w:val="24"/>
          <w:szCs w:val="24"/>
        </w:rPr>
        <w:t>’</w:t>
      </w:r>
      <w:r>
        <w:rPr>
          <w:rFonts w:ascii="Times New Roman" w:hAnsi="Times New Roman" w:cs="Times New Roman" w:hint="eastAsia"/>
          <w:sz w:val="24"/>
          <w:szCs w:val="24"/>
        </w:rPr>
        <w:t>an Jiaotong University, Xi</w:t>
      </w:r>
      <w:r>
        <w:rPr>
          <w:rFonts w:ascii="Times New Roman" w:hAnsi="Times New Roman" w:cs="Times New Roman"/>
          <w:sz w:val="24"/>
          <w:szCs w:val="24"/>
        </w:rPr>
        <w:t>’</w:t>
      </w:r>
      <w:r>
        <w:rPr>
          <w:rFonts w:ascii="Times New Roman" w:hAnsi="Times New Roman" w:cs="Times New Roman" w:hint="eastAsia"/>
          <w:sz w:val="24"/>
          <w:szCs w:val="24"/>
        </w:rPr>
        <w:t>an 710049, China</w:t>
      </w:r>
    </w:p>
    <w:p w14:paraId="328EB57C" w14:textId="4A54DBE5" w:rsidR="00832601" w:rsidRDefault="00B72ABC">
      <w:pPr>
        <w:rPr>
          <w:rFonts w:ascii="Times New Roman" w:hAnsi="Times New Roman" w:cs="Times New Roman"/>
          <w:sz w:val="24"/>
          <w:szCs w:val="24"/>
        </w:rPr>
      </w:pPr>
      <w:r>
        <w:rPr>
          <w:rFonts w:ascii="Times New Roman" w:hAnsi="Times New Roman" w:cs="Times New Roman" w:hint="eastAsia"/>
          <w:sz w:val="24"/>
          <w:szCs w:val="24"/>
        </w:rPr>
        <w:t xml:space="preserve">2 Department of Earth Sciences, University of Cambridge, Cambridge CB2 3EQ, </w:t>
      </w:r>
      <w:r w:rsidR="008D18F9">
        <w:rPr>
          <w:rFonts w:ascii="Times New Roman" w:hAnsi="Times New Roman" w:cs="Times New Roman"/>
          <w:sz w:val="24"/>
          <w:szCs w:val="24"/>
        </w:rPr>
        <w:t>United Kingdom</w:t>
      </w:r>
    </w:p>
    <w:p w14:paraId="27D5234D" w14:textId="77777777" w:rsidR="00832601" w:rsidRDefault="00B72ABC">
      <w:pPr>
        <w:rPr>
          <w:rFonts w:ascii="Times New Roman" w:hAnsi="Times New Roman" w:cs="Times New Roman"/>
          <w:sz w:val="24"/>
          <w:szCs w:val="24"/>
        </w:rPr>
      </w:pPr>
      <w:r>
        <w:rPr>
          <w:rFonts w:ascii="Times New Roman" w:hAnsi="Times New Roman" w:cs="Times New Roman"/>
          <w:sz w:val="24"/>
          <w:szCs w:val="24"/>
        </w:rPr>
        <w:t>3 Guangzhou Sailong Additive Manufacturing Co., Ltd., Guangzhou 510700, China</w:t>
      </w:r>
    </w:p>
    <w:p w14:paraId="36B7FEDD" w14:textId="77777777" w:rsidR="00832601" w:rsidRDefault="00832601">
      <w:pPr>
        <w:jc w:val="center"/>
        <w:rPr>
          <w:rFonts w:ascii="Times New Roman" w:hAnsi="Times New Roman" w:cs="Times New Roman"/>
          <w:b/>
          <w:bCs/>
          <w:color w:val="0000FF"/>
          <w:sz w:val="28"/>
          <w:szCs w:val="28"/>
          <w:lang w:eastAsia="en-US"/>
        </w:rPr>
      </w:pPr>
    </w:p>
    <w:p w14:paraId="4BB93F79" w14:textId="77777777" w:rsidR="00832601" w:rsidRDefault="00B72ABC">
      <w:pPr>
        <w:rPr>
          <w:rFonts w:ascii="Times New Roman" w:hAnsi="Times New Roman" w:cs="Times New Roman"/>
          <w:sz w:val="24"/>
          <w:szCs w:val="24"/>
        </w:rPr>
      </w:pPr>
      <w:r>
        <w:rPr>
          <w:rFonts w:ascii="Times New Roman" w:hAnsi="Times New Roman" w:cs="Times New Roman" w:hint="eastAsia"/>
          <w:sz w:val="24"/>
          <w:szCs w:val="24"/>
        </w:rPr>
        <w:t>a) E-mail addresses: ekhard@esc.cam.ac.uk (Ekhard K.H. Salje)</w:t>
      </w:r>
    </w:p>
    <w:p w14:paraId="1CC4E0F9" w14:textId="77777777" w:rsidR="00832601" w:rsidRDefault="00B72ABC">
      <w:pPr>
        <w:rPr>
          <w:rFonts w:ascii="Times New Roman" w:hAnsi="Times New Roman" w:cs="Times New Roman"/>
          <w:sz w:val="24"/>
          <w:szCs w:val="24"/>
        </w:rPr>
      </w:pPr>
      <w:r>
        <w:rPr>
          <w:rFonts w:ascii="Times New Roman" w:hAnsi="Times New Roman" w:cs="Times New Roman" w:hint="eastAsia"/>
          <w:sz w:val="24"/>
          <w:szCs w:val="24"/>
        </w:rPr>
        <w:t xml:space="preserve">                 dingxd@mail.xjtu.edu.cn (Xiangdong Ding)</w:t>
      </w:r>
    </w:p>
    <w:p w14:paraId="47F76608" w14:textId="77777777" w:rsidR="00832601" w:rsidRDefault="00832601">
      <w:pPr>
        <w:autoSpaceDE w:val="0"/>
        <w:autoSpaceDN w:val="0"/>
        <w:adjustRightInd w:val="0"/>
        <w:jc w:val="center"/>
        <w:rPr>
          <w:rFonts w:ascii="Times New Roman" w:hAnsi="Times New Roman" w:cs="Times New Roman"/>
          <w:b/>
          <w:color w:val="0070C0"/>
          <w:kern w:val="0"/>
          <w:sz w:val="32"/>
          <w:szCs w:val="28"/>
        </w:rPr>
      </w:pPr>
    </w:p>
    <w:p w14:paraId="791215DF" w14:textId="77777777" w:rsidR="00832601" w:rsidRDefault="00B72ABC">
      <w:pPr>
        <w:autoSpaceDE w:val="0"/>
        <w:autoSpaceDN w:val="0"/>
        <w:adjustRightInd w:val="0"/>
        <w:jc w:val="center"/>
        <w:rPr>
          <w:rFonts w:ascii="Times New Roman" w:hAnsi="Times New Roman" w:cs="Times New Roman"/>
          <w:b/>
          <w:kern w:val="0"/>
          <w:sz w:val="28"/>
          <w:szCs w:val="28"/>
        </w:rPr>
      </w:pPr>
      <w:r>
        <w:rPr>
          <w:rFonts w:ascii="Times New Roman" w:hAnsi="Times New Roman" w:cs="Times New Roman"/>
          <w:b/>
          <w:kern w:val="0"/>
          <w:sz w:val="28"/>
          <w:szCs w:val="28"/>
        </w:rPr>
        <w:t>Abstract</w:t>
      </w:r>
    </w:p>
    <w:p w14:paraId="45DE0B77" w14:textId="560AD603" w:rsidR="00832601" w:rsidRDefault="00B72ABC">
      <w:pPr>
        <w:autoSpaceDE w:val="0"/>
        <w:autoSpaceDN w:val="0"/>
        <w:adjustRightInd w:val="0"/>
        <w:ind w:firstLineChars="200" w:firstLine="480"/>
        <w:rPr>
          <w:rFonts w:ascii="Times New Roman" w:hAnsi="Times New Roman" w:cs="Times New Roman"/>
          <w:b/>
          <w:kern w:val="0"/>
          <w:sz w:val="28"/>
          <w:szCs w:val="28"/>
        </w:rPr>
      </w:pPr>
      <w:r>
        <w:rPr>
          <w:rFonts w:ascii="Times New Roman" w:hAnsi="Times New Roman" w:cs="Times New Roman"/>
          <w:bCs/>
          <w:sz w:val="24"/>
          <w:szCs w:val="24"/>
        </w:rPr>
        <w:t>The investigation of acoustic emission (AE) reveals mixing of avalanche processes in porous 316L stainless steel. One avalanche mechanism relates to the movement of dislocations, the other to crack propagation. Both mechanisms occur under different external tensions</w:t>
      </w:r>
      <w:r w:rsidR="001D5C99">
        <w:rPr>
          <w:rFonts w:ascii="Times New Roman" w:hAnsi="Times New Roman" w:cs="Times New Roman"/>
          <w:bCs/>
          <w:sz w:val="24"/>
          <w:szCs w:val="24"/>
        </w:rPr>
        <w:t>:</w:t>
      </w:r>
      <w:r>
        <w:rPr>
          <w:rFonts w:ascii="Times New Roman" w:hAnsi="Times New Roman" w:cs="Times New Roman"/>
          <w:bCs/>
          <w:sz w:val="24"/>
          <w:szCs w:val="24"/>
        </w:rPr>
        <w:t xml:space="preserve"> small tension dislodges dislocation</w:t>
      </w:r>
      <w:r w:rsidR="00E84C96">
        <w:rPr>
          <w:rFonts w:ascii="Times New Roman" w:hAnsi="Times New Roman" w:cs="Times New Roman"/>
          <w:bCs/>
          <w:sz w:val="24"/>
          <w:szCs w:val="24"/>
        </w:rPr>
        <w:t>s</w:t>
      </w:r>
      <w:r>
        <w:rPr>
          <w:rFonts w:ascii="Times New Roman" w:hAnsi="Times New Roman" w:cs="Times New Roman"/>
          <w:bCs/>
          <w:sz w:val="24"/>
          <w:szCs w:val="24"/>
        </w:rPr>
        <w:t xml:space="preserve"> </w:t>
      </w:r>
      <w:r w:rsidR="00E84C96">
        <w:rPr>
          <w:rFonts w:ascii="Times New Roman" w:hAnsi="Times New Roman" w:cs="Times New Roman"/>
          <w:bCs/>
          <w:sz w:val="24"/>
          <w:szCs w:val="24"/>
        </w:rPr>
        <w:t xml:space="preserve">while </w:t>
      </w:r>
      <w:r>
        <w:rPr>
          <w:rFonts w:ascii="Times New Roman" w:hAnsi="Times New Roman" w:cs="Times New Roman"/>
          <w:bCs/>
          <w:sz w:val="24"/>
          <w:szCs w:val="24"/>
        </w:rPr>
        <w:t xml:space="preserve">crack propagation </w:t>
      </w:r>
      <w:r w:rsidR="001D5C99">
        <w:rPr>
          <w:rFonts w:ascii="Times New Roman" w:hAnsi="Times New Roman" w:cs="Times New Roman"/>
          <w:bCs/>
          <w:sz w:val="24"/>
          <w:szCs w:val="24"/>
        </w:rPr>
        <w:t>occurs</w:t>
      </w:r>
      <w:r>
        <w:rPr>
          <w:rFonts w:ascii="Times New Roman" w:hAnsi="Times New Roman" w:cs="Times New Roman"/>
          <w:bCs/>
          <w:sz w:val="24"/>
          <w:szCs w:val="24"/>
        </w:rPr>
        <w:t xml:space="preserve"> at</w:t>
      </w:r>
      <w:r w:rsidR="001D5C99">
        <w:rPr>
          <w:rFonts w:ascii="Times New Roman" w:hAnsi="Times New Roman" w:cs="Times New Roman"/>
          <w:bCs/>
          <w:sz w:val="24"/>
          <w:szCs w:val="24"/>
        </w:rPr>
        <w:t xml:space="preserve"> much higher tension</w:t>
      </w:r>
      <w:r w:rsidR="00E84C96">
        <w:rPr>
          <w:rFonts w:ascii="Times New Roman" w:hAnsi="Times New Roman" w:cs="Times New Roman"/>
          <w:bCs/>
          <w:sz w:val="24"/>
          <w:szCs w:val="24"/>
        </w:rPr>
        <w:t xml:space="preserve"> close</w:t>
      </w:r>
      <w:r>
        <w:rPr>
          <w:rFonts w:ascii="Times New Roman" w:hAnsi="Times New Roman" w:cs="Times New Roman"/>
          <w:bCs/>
          <w:sz w:val="24"/>
          <w:szCs w:val="24"/>
        </w:rPr>
        <w:t xml:space="preserve"> to the mechanical failure point. In an intermediate overlap regime, both effects occur simultaneously. </w:t>
      </w:r>
      <w:r w:rsidR="001D5C99">
        <w:rPr>
          <w:rFonts w:ascii="Times New Roman" w:hAnsi="Times New Roman" w:cs="Times New Roman"/>
          <w:bCs/>
          <w:sz w:val="24"/>
          <w:szCs w:val="24"/>
        </w:rPr>
        <w:t>The</w:t>
      </w:r>
      <w:r>
        <w:rPr>
          <w:rFonts w:ascii="Times New Roman" w:hAnsi="Times New Roman" w:cs="Times New Roman"/>
          <w:bCs/>
          <w:sz w:val="24"/>
          <w:szCs w:val="24"/>
        </w:rPr>
        <w:t xml:space="preserve"> avalanche related power laws show </w:t>
      </w:r>
      <w:r w:rsidR="00E84C96">
        <w:rPr>
          <w:rFonts w:ascii="Times New Roman" w:hAnsi="Times New Roman" w:cs="Times New Roman"/>
          <w:bCs/>
          <w:sz w:val="24"/>
          <w:szCs w:val="24"/>
        </w:rPr>
        <w:t>a</w:t>
      </w:r>
      <w:r>
        <w:rPr>
          <w:rFonts w:ascii="Times New Roman" w:hAnsi="Times New Roman" w:cs="Times New Roman"/>
          <w:bCs/>
          <w:sz w:val="24"/>
          <w:szCs w:val="24"/>
        </w:rPr>
        <w:t xml:space="preserve"> mixing behavior</w:t>
      </w:r>
      <w:r w:rsidR="00E84C96">
        <w:rPr>
          <w:rFonts w:ascii="Times New Roman" w:hAnsi="Times New Roman" w:cs="Times New Roman"/>
          <w:bCs/>
          <w:sz w:val="24"/>
          <w:szCs w:val="24"/>
        </w:rPr>
        <w:t xml:space="preserve"> </w:t>
      </w:r>
      <w:r>
        <w:rPr>
          <w:rFonts w:ascii="Times New Roman" w:hAnsi="Times New Roman" w:cs="Times New Roman"/>
          <w:bCs/>
          <w:sz w:val="24"/>
          <w:szCs w:val="24"/>
        </w:rPr>
        <w:t>where the higher avalanche exponents form an upper limit for the mixing curve and the lower exponent is approached asymptotically for strong AE signals</w:t>
      </w:r>
      <w:r w:rsidRPr="00F52EEF">
        <w:rPr>
          <w:rFonts w:ascii="Times New Roman" w:hAnsi="Times New Roman" w:cs="Times New Roman"/>
          <w:bCs/>
          <w:sz w:val="24"/>
          <w:szCs w:val="24"/>
        </w:rPr>
        <w:t>. The power law probability distribution functions, PDF, show</w:t>
      </w:r>
      <w:r w:rsidR="001D5C99" w:rsidRPr="00F52EEF">
        <w:rPr>
          <w:rFonts w:ascii="Times New Roman" w:hAnsi="Times New Roman" w:cs="Times New Roman"/>
          <w:bCs/>
          <w:sz w:val="24"/>
          <w:szCs w:val="24"/>
        </w:rPr>
        <w:t>s</w:t>
      </w:r>
      <w:r w:rsidRPr="00F52EEF">
        <w:rPr>
          <w:rFonts w:ascii="Times New Roman" w:hAnsi="Times New Roman" w:cs="Times New Roman"/>
          <w:bCs/>
          <w:sz w:val="24"/>
          <w:szCs w:val="24"/>
        </w:rPr>
        <w:t xml:space="preserve"> a characteristic upwards bend near the crossover between the two mechanisms. The three regimes, namely </w:t>
      </w:r>
      <w:r w:rsidR="00E84C96" w:rsidRPr="00F52EEF">
        <w:rPr>
          <w:rFonts w:ascii="Times New Roman" w:hAnsi="Times New Roman" w:cs="Times New Roman"/>
          <w:bCs/>
          <w:sz w:val="24"/>
          <w:szCs w:val="24"/>
        </w:rPr>
        <w:t xml:space="preserve">the </w:t>
      </w:r>
      <w:r w:rsidRPr="00F52EEF">
        <w:rPr>
          <w:rFonts w:ascii="Times New Roman" w:hAnsi="Times New Roman" w:cs="Times New Roman"/>
          <w:bCs/>
          <w:sz w:val="24"/>
          <w:szCs w:val="24"/>
        </w:rPr>
        <w:t>dislocation movement, mixing, and crack propagation, are confirmed by other avalanche characteristics: the sparseness of the AE spectra, the avalanche exponents of energy, amplitude and duration</w:t>
      </w:r>
      <w:r w:rsidR="00E84C96" w:rsidRPr="00F52EEF">
        <w:rPr>
          <w:rFonts w:ascii="Times New Roman" w:hAnsi="Times New Roman" w:cs="Times New Roman"/>
          <w:bCs/>
          <w:sz w:val="24"/>
          <w:szCs w:val="24"/>
        </w:rPr>
        <w:t>.</w:t>
      </w:r>
      <w:r w:rsidRPr="00F52EEF">
        <w:rPr>
          <w:rFonts w:ascii="Times New Roman" w:hAnsi="Times New Roman" w:cs="Times New Roman"/>
          <w:bCs/>
          <w:sz w:val="24"/>
          <w:szCs w:val="24"/>
        </w:rPr>
        <w:t xml:space="preserve"> Only the crack propagation follows mean field predictions, while the dislocation movements (in confined spaces) </w:t>
      </w:r>
      <w:r w:rsidR="00E84C96" w:rsidRPr="00F52EEF">
        <w:rPr>
          <w:rFonts w:ascii="Times New Roman" w:hAnsi="Times New Roman" w:cs="Times New Roman"/>
          <w:bCs/>
          <w:sz w:val="24"/>
          <w:szCs w:val="24"/>
        </w:rPr>
        <w:t xml:space="preserve">deviates significantly from mean field behavior with </w:t>
      </w:r>
      <w:r w:rsidRPr="00F52EEF">
        <w:rPr>
          <w:rFonts w:ascii="Times New Roman" w:hAnsi="Times New Roman" w:cs="Times New Roman"/>
          <w:bCs/>
          <w:sz w:val="24"/>
          <w:szCs w:val="24"/>
        </w:rPr>
        <w:t xml:space="preserve">much greater exponents than </w:t>
      </w:r>
      <w:r w:rsidR="00E84C96" w:rsidRPr="00F52EEF">
        <w:rPr>
          <w:rFonts w:ascii="Times New Roman" w:hAnsi="Times New Roman" w:cs="Times New Roman"/>
          <w:bCs/>
          <w:sz w:val="24"/>
          <w:szCs w:val="24"/>
        </w:rPr>
        <w:t xml:space="preserve">predicted in this approximation. We demonstrate that apparent deviations from scale invariance are, in reality, the result of two superimposed avalanche processes whereby each of them remains scale invariant. </w:t>
      </w:r>
      <w:r w:rsidR="001D5C99" w:rsidRPr="00F52EEF">
        <w:rPr>
          <w:rFonts w:ascii="Times New Roman" w:hAnsi="Times New Roman" w:cs="Times New Roman"/>
          <w:bCs/>
          <w:sz w:val="24"/>
          <w:szCs w:val="24"/>
        </w:rPr>
        <w:t>The seeming d</w:t>
      </w:r>
      <w:r w:rsidR="00E84C96" w:rsidRPr="00F52EEF">
        <w:rPr>
          <w:rFonts w:ascii="Times New Roman" w:hAnsi="Times New Roman" w:cs="Times New Roman"/>
          <w:bCs/>
          <w:sz w:val="24"/>
          <w:szCs w:val="24"/>
        </w:rPr>
        <w:t>eviations</w:t>
      </w:r>
      <w:r w:rsidR="001D5C99" w:rsidRPr="00F52EEF">
        <w:rPr>
          <w:rFonts w:ascii="Times New Roman" w:hAnsi="Times New Roman" w:cs="Times New Roman"/>
          <w:bCs/>
          <w:sz w:val="24"/>
          <w:szCs w:val="24"/>
        </w:rPr>
        <w:t xml:space="preserve"> from scale invariance</w:t>
      </w:r>
      <w:r w:rsidR="00E84C96" w:rsidRPr="00F52EEF">
        <w:rPr>
          <w:rFonts w:ascii="Times New Roman" w:hAnsi="Times New Roman" w:cs="Times New Roman"/>
          <w:bCs/>
          <w:sz w:val="24"/>
          <w:szCs w:val="24"/>
        </w:rPr>
        <w:t xml:space="preserve"> are </w:t>
      </w:r>
      <w:r w:rsidR="001D5C99" w:rsidRPr="00F52EEF">
        <w:rPr>
          <w:rFonts w:ascii="Times New Roman" w:hAnsi="Times New Roman" w:cs="Times New Roman"/>
          <w:bCs/>
          <w:sz w:val="24"/>
          <w:szCs w:val="24"/>
        </w:rPr>
        <w:t>actually</w:t>
      </w:r>
      <w:r w:rsidR="00E84C96" w:rsidRPr="00F52EEF">
        <w:rPr>
          <w:rFonts w:ascii="Times New Roman" w:hAnsi="Times New Roman" w:cs="Times New Roman"/>
          <w:bCs/>
          <w:sz w:val="24"/>
          <w:szCs w:val="24"/>
        </w:rPr>
        <w:t xml:space="preserve"> superposition effects.</w:t>
      </w:r>
      <w:r>
        <w:rPr>
          <w:rFonts w:ascii="Times New Roman" w:hAnsi="Times New Roman" w:cs="Times New Roman"/>
          <w:b/>
          <w:kern w:val="0"/>
          <w:sz w:val="28"/>
          <w:szCs w:val="28"/>
        </w:rPr>
        <w:br w:type="page"/>
      </w:r>
    </w:p>
    <w:p w14:paraId="726AAD05" w14:textId="77777777" w:rsidR="00832601" w:rsidRPr="00F52EEF" w:rsidRDefault="00B72ABC" w:rsidP="00B72ABC">
      <w:pPr>
        <w:autoSpaceDE w:val="0"/>
        <w:autoSpaceDN w:val="0"/>
        <w:adjustRightInd w:val="0"/>
        <w:ind w:firstLineChars="200" w:firstLine="480"/>
        <w:rPr>
          <w:rFonts w:ascii="Times New Roman" w:hAnsi="Times New Roman" w:cs="Times New Roman"/>
          <w:kern w:val="0"/>
          <w:sz w:val="24"/>
          <w:szCs w:val="24"/>
        </w:rPr>
      </w:pPr>
      <w:r w:rsidRPr="00B72ABC">
        <w:rPr>
          <w:rFonts w:ascii="Times New Roman" w:hAnsi="Times New Roman" w:cs="Times New Roman"/>
          <w:kern w:val="0"/>
          <w:sz w:val="24"/>
          <w:szCs w:val="24"/>
        </w:rPr>
        <w:lastRenderedPageBreak/>
        <w:t>Crackling noise is the manifestation of avalanches</w:t>
      </w:r>
      <w:r>
        <w:rPr>
          <w:rFonts w:ascii="Times New Roman" w:hAnsi="Times New Roman" w:cs="Times New Roman"/>
          <w:kern w:val="0"/>
          <w:sz w:val="24"/>
          <w:szCs w:val="24"/>
        </w:rPr>
        <w:t>,</w:t>
      </w:r>
      <w:r w:rsidRPr="00B72ABC">
        <w:rPr>
          <w:rFonts w:ascii="Times New Roman" w:hAnsi="Times New Roman" w:cs="Times New Roman"/>
          <w:kern w:val="0"/>
          <w:sz w:val="24"/>
          <w:szCs w:val="24"/>
        </w:rPr>
        <w:t xml:space="preserve"> which are commonly observed under divers scenarios like magnetization processes [1], martensitic transitions [2], crystal plasticity [3-4], stellar evolution [5], ferroelectric switching [6] and material failure [7-10]. A quantitative analysis is commonly undertaken under external forcing w</w:t>
      </w:r>
      <w:r w:rsidRPr="00F52EEF">
        <w:rPr>
          <w:rFonts w:ascii="Times New Roman" w:hAnsi="Times New Roman" w:cs="Times New Roman"/>
          <w:kern w:val="0"/>
          <w:sz w:val="24"/>
          <w:szCs w:val="24"/>
        </w:rPr>
        <w:t>ith constant rates, with the known highest experimental resolution for the collapse of porous materials [11-16], ferroelastic crystals [4, 17-19] and nano pillars [20-22].</w:t>
      </w:r>
    </w:p>
    <w:p w14:paraId="32BEE2D0" w14:textId="77777777" w:rsidR="00117B78" w:rsidRPr="00F52EEF" w:rsidRDefault="00117B78" w:rsidP="00117B78">
      <w:pPr>
        <w:autoSpaceDE w:val="0"/>
        <w:autoSpaceDN w:val="0"/>
        <w:adjustRightInd w:val="0"/>
        <w:ind w:firstLineChars="200" w:firstLine="480"/>
        <w:rPr>
          <w:rFonts w:ascii="Times New Roman" w:hAnsi="Times New Roman" w:cs="Times New Roman"/>
          <w:kern w:val="0"/>
          <w:sz w:val="24"/>
          <w:szCs w:val="24"/>
        </w:rPr>
      </w:pPr>
      <w:r w:rsidRPr="00F52EEF">
        <w:rPr>
          <w:rFonts w:ascii="Times New Roman" w:hAnsi="Times New Roman" w:cs="Times New Roman"/>
          <w:kern w:val="0"/>
          <w:sz w:val="24"/>
          <w:szCs w:val="24"/>
        </w:rPr>
        <w:t>Experimentally, one of the most accurate methods for the observation of crackling noise is the measurement of acoustic emission (AE). AE is associated with rapid changes of the strain field in an externally forced material. Detection of AE is a very sensitive technique adequate to detect local changes that occur at length scales ranging from nanometers to micrometers. It has been widely used to monitor crackling noise in materials subjected to an external stress whereby several competing processes can combine to generate AE spectra [23]. As an example, we found that a MgHo binary displays such kind of mixing characteristics. Collapsing holes and movements of dislocations compete under external forcing during acoustic emission experiments [24].</w:t>
      </w:r>
    </w:p>
    <w:p w14:paraId="115FE764" w14:textId="61C2FDFC" w:rsidR="00B72ABC" w:rsidRPr="00F52EEF" w:rsidRDefault="00117B78" w:rsidP="0063054B">
      <w:pPr>
        <w:autoSpaceDE w:val="0"/>
        <w:autoSpaceDN w:val="0"/>
        <w:adjustRightInd w:val="0"/>
        <w:ind w:firstLineChars="200" w:firstLine="480"/>
        <w:rPr>
          <w:rFonts w:ascii="Arial" w:eastAsia="Times New Roman" w:hAnsi="Arial" w:cs="Arial"/>
          <w:color w:val="2A2D35"/>
          <w:szCs w:val="21"/>
        </w:rPr>
      </w:pPr>
      <w:r w:rsidRPr="00F52EEF">
        <w:rPr>
          <w:rFonts w:ascii="Times New Roman" w:hAnsi="Times New Roman" w:cs="Times New Roman"/>
          <w:kern w:val="0"/>
          <w:sz w:val="24"/>
          <w:szCs w:val="24"/>
        </w:rPr>
        <w:t>A major objection to the idea of scale invariance of avalanches is related to deviations from the required scale invariance: avalanches signals are power law distributed with trivial deviations for small length scales (~ the atomic cut-off) and large length scales (~ the sample size cut-off). Such wide ranges for power law distributions were indeed observed in some cases. Good experimental data were show</w:t>
      </w:r>
      <w:r w:rsidR="007D13BC">
        <w:rPr>
          <w:rFonts w:ascii="Times New Roman" w:hAnsi="Times New Roman" w:cs="Times New Roman"/>
          <w:kern w:val="0"/>
          <w:sz w:val="24"/>
          <w:szCs w:val="24"/>
        </w:rPr>
        <w:t>n</w:t>
      </w:r>
      <w:r w:rsidRPr="00F52EEF">
        <w:rPr>
          <w:rFonts w:ascii="Times New Roman" w:hAnsi="Times New Roman" w:cs="Times New Roman"/>
          <w:kern w:val="0"/>
          <w:sz w:val="24"/>
          <w:szCs w:val="24"/>
        </w:rPr>
        <w:t>, e.g. over ca. 7 orders of magnitude of scale invariance with very little indication of any sample size cut-off in [</w:t>
      </w:r>
      <w:r w:rsidRPr="00F52EEF">
        <w:rPr>
          <w:rFonts w:ascii="Times New Roman" w:hAnsi="Times New Roman" w:cs="Times New Roman" w:hint="eastAsia"/>
          <w:kern w:val="0"/>
          <w:sz w:val="24"/>
          <w:szCs w:val="24"/>
        </w:rPr>
        <w:t>1</w:t>
      </w:r>
      <w:r w:rsidRPr="00F52EEF">
        <w:rPr>
          <w:rFonts w:ascii="Times New Roman" w:hAnsi="Times New Roman" w:cs="Times New Roman"/>
          <w:kern w:val="0"/>
          <w:sz w:val="24"/>
          <w:szCs w:val="24"/>
        </w:rPr>
        <w:t>1]. Nevertheless, other distributions show apparently non-power law distributions were the deviations from the scale invariances appears as deviations from a power law distributions somewhere in the middle of the distribution function. These deviations are unrelated to trivial cut-off effects. They are often observed as an upwards bend of the distribution functions [24] which defines a typical scale [25]. This problem was treated theoretically in [23] where it was argued that such upwards bends and their statistical consequences in the shape of the maximum likelihood curves [26] are due to</w:t>
      </w:r>
      <w:r w:rsidRPr="00F52EEF">
        <w:rPr>
          <w:rFonts w:ascii="CMR9" w:hAnsi="CMR9"/>
          <w:sz w:val="24"/>
          <w:szCs w:val="24"/>
        </w:rPr>
        <w:t xml:space="preserve"> the coincidence of separate physical processes, whereby each process is leading to scale invariant avalanches. With other words, the proposed solution is that several avalanche processes coexist with each individual avalanche process being scale invariant. The apparent deviation from the scale invariance of the </w:t>
      </w:r>
      <w:r w:rsidRPr="00F52EEF">
        <w:rPr>
          <w:rFonts w:ascii="CMR9" w:hAnsi="CMR9" w:hint="eastAsia"/>
          <w:sz w:val="24"/>
          <w:szCs w:val="24"/>
        </w:rPr>
        <w:t>observable</w:t>
      </w:r>
      <w:r w:rsidRPr="00F52EEF">
        <w:rPr>
          <w:rFonts w:ascii="CMR9" w:hAnsi="CMR9"/>
          <w:sz w:val="24"/>
          <w:szCs w:val="24"/>
        </w:rPr>
        <w:t xml:space="preserve"> total avalanche stems simply from the superposition of different avalanche mechanisms. This idea was tested previously [12, 24]</w:t>
      </w:r>
      <w:r w:rsidRPr="00F52EEF">
        <w:rPr>
          <w:rFonts w:ascii="CMR9" w:hAnsi="CMR9"/>
          <w:sz w:val="18"/>
          <w:szCs w:val="18"/>
        </w:rPr>
        <w:t xml:space="preserve"> </w:t>
      </w:r>
      <w:r w:rsidRPr="00F52EEF">
        <w:rPr>
          <w:rFonts w:ascii="Times New Roman" w:hAnsi="Times New Roman" w:cs="Times New Roman"/>
          <w:kern w:val="0"/>
          <w:sz w:val="24"/>
          <w:szCs w:val="24"/>
        </w:rPr>
        <w:t xml:space="preserve">where several mechanisms were identified. In this paper we report significant further progress: we designed an experiment where the mixing of the two processes is controlled experimentally. By doing so we generate three regimes, namely two regimes with </w:t>
      </w:r>
      <w:r w:rsidR="007D13BC">
        <w:rPr>
          <w:rFonts w:ascii="Times New Roman" w:hAnsi="Times New Roman" w:cs="Times New Roman"/>
          <w:kern w:val="0"/>
          <w:sz w:val="24"/>
          <w:szCs w:val="24"/>
        </w:rPr>
        <w:t>a</w:t>
      </w:r>
      <w:r w:rsidRPr="00F52EEF">
        <w:rPr>
          <w:rFonts w:ascii="Times New Roman" w:hAnsi="Times New Roman" w:cs="Times New Roman"/>
          <w:kern w:val="0"/>
          <w:sz w:val="24"/>
          <w:szCs w:val="24"/>
        </w:rPr>
        <w:t xml:space="preserve"> first ‘pure’ mechanism and </w:t>
      </w:r>
      <w:r w:rsidR="007D13BC">
        <w:rPr>
          <w:rFonts w:ascii="Times New Roman" w:hAnsi="Times New Roman" w:cs="Times New Roman"/>
          <w:kern w:val="0"/>
          <w:sz w:val="24"/>
          <w:szCs w:val="24"/>
        </w:rPr>
        <w:t>a</w:t>
      </w:r>
      <w:r w:rsidRPr="00F52EEF">
        <w:rPr>
          <w:rFonts w:ascii="Times New Roman" w:hAnsi="Times New Roman" w:cs="Times New Roman"/>
          <w:kern w:val="0"/>
          <w:sz w:val="24"/>
          <w:szCs w:val="24"/>
        </w:rPr>
        <w:t xml:space="preserve"> second ‘pure’ mechanism, and the mixing regime where both mechanisms coincide</w:t>
      </w:r>
      <w:r w:rsidRPr="00F52EEF">
        <w:rPr>
          <w:rFonts w:ascii="Times New Roman" w:hAnsi="Times New Roman" w:cs="Times New Roman" w:hint="eastAsia"/>
          <w:kern w:val="0"/>
          <w:sz w:val="24"/>
          <w:szCs w:val="24"/>
        </w:rPr>
        <w:t>.</w:t>
      </w:r>
    </w:p>
    <w:p w14:paraId="4431290B" w14:textId="77777777" w:rsidR="00117B78" w:rsidRPr="00C778DA" w:rsidRDefault="00117B78" w:rsidP="00117B78">
      <w:pPr>
        <w:autoSpaceDE w:val="0"/>
        <w:autoSpaceDN w:val="0"/>
        <w:adjustRightInd w:val="0"/>
        <w:ind w:firstLineChars="200" w:firstLine="480"/>
        <w:rPr>
          <w:rFonts w:ascii="Times New Roman" w:hAnsi="Times New Roman" w:cs="Times New Roman"/>
          <w:kern w:val="0"/>
          <w:sz w:val="24"/>
          <w:szCs w:val="24"/>
        </w:rPr>
      </w:pPr>
      <w:r w:rsidRPr="00F52EEF">
        <w:rPr>
          <w:rFonts w:ascii="Times New Roman" w:hAnsi="Times New Roman" w:cs="Times New Roman"/>
          <w:kern w:val="0"/>
          <w:sz w:val="24"/>
          <w:szCs w:val="24"/>
        </w:rPr>
        <w:t xml:space="preserve">Our experiment became possible because we found that porous 316L stainless steel under uniaxial tension shows two different deformation mechanisms depending on the magnitude of the applied tension. Porous 316L stainless steel is probably one </w:t>
      </w:r>
      <w:r w:rsidRPr="00F52EEF">
        <w:rPr>
          <w:rFonts w:ascii="Times New Roman" w:hAnsi="Times New Roman" w:cs="Times New Roman"/>
          <w:kern w:val="0"/>
          <w:sz w:val="24"/>
          <w:szCs w:val="24"/>
        </w:rPr>
        <w:lastRenderedPageBreak/>
        <w:t>of the most common alloys due to its exceptional mechanical properties and a wide range of applications in chemical and petrochemical industry, wastewater treatment, and aerospace. We show that 316L displays indeed two AE mechanisms in tensile experiments and that we can distinguish between the two mechanisms in time sequences where one mechanism relates to moving dislocations and other to crack propagation. Our observations then prove that different scale invariant power laws and their mixing can be distinguished when the sample emits AE under different tensile strengths.</w:t>
      </w:r>
      <w:r w:rsidRPr="00C778DA">
        <w:rPr>
          <w:sz w:val="24"/>
          <w:szCs w:val="24"/>
        </w:rPr>
        <w:t xml:space="preserve"> </w:t>
      </w:r>
    </w:p>
    <w:p w14:paraId="5B1FC19A" w14:textId="2D006669" w:rsidR="00832601" w:rsidRDefault="00117B78" w:rsidP="00117B78">
      <w:pPr>
        <w:widowControl/>
        <w:ind w:firstLineChars="200" w:firstLine="480"/>
        <w:rPr>
          <w:rFonts w:ascii="Times New Roman" w:hAnsi="Times New Roman" w:cs="Times New Roman"/>
          <w:kern w:val="0"/>
          <w:sz w:val="24"/>
          <w:szCs w:val="24"/>
        </w:rPr>
      </w:pPr>
      <w:r w:rsidRPr="00C778DA">
        <w:rPr>
          <w:rFonts w:ascii="Times New Roman" w:hAnsi="Times New Roman" w:cs="Times New Roman"/>
          <w:kern w:val="0"/>
          <w:sz w:val="24"/>
          <w:szCs w:val="24"/>
        </w:rPr>
        <w:t>The porous 316L SS samples were produced by powder metallurgy. The average grain diameter of the powder is ca. 20μm. Fig.1 shows a scanning electron microscopy (SEM) image of a virgin sample after sintering, showing a large number of pores with size ranging from 10μm-200μm. Porosity of the sample is abo</w:t>
      </w:r>
      <w:r>
        <w:rPr>
          <w:rFonts w:ascii="Times New Roman" w:hAnsi="Times New Roman" w:cs="Times New Roman"/>
          <w:kern w:val="0"/>
          <w:sz w:val="24"/>
          <w:szCs w:val="24"/>
        </w:rPr>
        <w:t xml:space="preserve">ut 35%, </w:t>
      </w:r>
      <w:r w:rsidRPr="00C778DA">
        <w:rPr>
          <w:rFonts w:ascii="Times New Roman" w:hAnsi="Times New Roman" w:cs="Times New Roman"/>
          <w:kern w:val="0"/>
          <w:sz w:val="24"/>
          <w:szCs w:val="24"/>
        </w:rPr>
        <w:t>which is determined by relative density measurements. Composition of the porous 316L SS has shown in Table 1</w:t>
      </w:r>
      <w:r w:rsidR="00B72ABC" w:rsidRPr="00C778DA">
        <w:rPr>
          <w:rFonts w:ascii="Times New Roman" w:hAnsi="Times New Roman" w:cs="Times New Roman"/>
          <w:kern w:val="0"/>
          <w:sz w:val="24"/>
          <w:szCs w:val="24"/>
        </w:rPr>
        <w:t>.</w:t>
      </w:r>
    </w:p>
    <w:p w14:paraId="6C5313D9" w14:textId="77777777" w:rsidR="00832601" w:rsidRDefault="00832601">
      <w:pPr>
        <w:jc w:val="center"/>
        <w:rPr>
          <w:rFonts w:ascii="Times New Roman" w:hAnsi="Times New Roman" w:cs="Times New Roman"/>
          <w:szCs w:val="21"/>
        </w:rPr>
      </w:pPr>
    </w:p>
    <w:p w14:paraId="4A2D630B" w14:textId="77777777" w:rsidR="00832601" w:rsidRPr="00513763" w:rsidRDefault="00B72ABC" w:rsidP="00513763">
      <w:pPr>
        <w:spacing w:afterLines="50" w:after="156"/>
        <w:jc w:val="center"/>
        <w:rPr>
          <w:rFonts w:ascii="Times New Roman" w:hAnsi="Times New Roman" w:cs="Times New Roman"/>
          <w:b/>
          <w:szCs w:val="21"/>
        </w:rPr>
      </w:pPr>
      <w:r w:rsidRPr="00513763">
        <w:rPr>
          <w:rFonts w:ascii="Times New Roman" w:hAnsi="Times New Roman" w:cs="Times New Roman"/>
          <w:b/>
          <w:szCs w:val="21"/>
        </w:rPr>
        <w:t>Table1 Element composition of porous 316L stainless steel.</w:t>
      </w:r>
    </w:p>
    <w:tbl>
      <w:tblPr>
        <w:tblStyle w:val="21"/>
        <w:tblW w:w="0" w:type="auto"/>
        <w:jc w:val="center"/>
        <w:tblLook w:val="04A0" w:firstRow="1" w:lastRow="0" w:firstColumn="1" w:lastColumn="0" w:noHBand="0" w:noVBand="1"/>
      </w:tblPr>
      <w:tblGrid>
        <w:gridCol w:w="766"/>
        <w:gridCol w:w="554"/>
        <w:gridCol w:w="554"/>
        <w:gridCol w:w="554"/>
        <w:gridCol w:w="510"/>
        <w:gridCol w:w="510"/>
        <w:gridCol w:w="554"/>
        <w:gridCol w:w="510"/>
        <w:gridCol w:w="510"/>
      </w:tblGrid>
      <w:tr w:rsidR="00832601" w14:paraId="13EBA676" w14:textId="77777777" w:rsidTr="00513763">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510" w:type="dxa"/>
          </w:tcPr>
          <w:p w14:paraId="4A3D7689" w14:textId="77777777" w:rsidR="00832601" w:rsidRPr="00513763" w:rsidRDefault="00B72ABC">
            <w:pPr>
              <w:widowControl/>
              <w:spacing w:line="240" w:lineRule="exact"/>
              <w:jc w:val="center"/>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Mass</w:t>
            </w:r>
          </w:p>
          <w:p w14:paraId="32F941EF" w14:textId="77777777" w:rsidR="00832601" w:rsidRPr="00513763" w:rsidRDefault="00B72ABC">
            <w:pPr>
              <w:widowControl/>
              <w:spacing w:line="200" w:lineRule="atLeast"/>
              <w:jc w:val="center"/>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Fraction</w:t>
            </w:r>
          </w:p>
        </w:tc>
        <w:tc>
          <w:tcPr>
            <w:tcW w:w="510" w:type="dxa"/>
            <w:vAlign w:val="center"/>
          </w:tcPr>
          <w:p w14:paraId="1F633156"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Fe</w:t>
            </w:r>
          </w:p>
        </w:tc>
        <w:tc>
          <w:tcPr>
            <w:tcW w:w="510" w:type="dxa"/>
            <w:vAlign w:val="center"/>
          </w:tcPr>
          <w:p w14:paraId="3B687CF8"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Cr</w:t>
            </w:r>
          </w:p>
        </w:tc>
        <w:tc>
          <w:tcPr>
            <w:tcW w:w="510" w:type="dxa"/>
            <w:vAlign w:val="center"/>
          </w:tcPr>
          <w:p w14:paraId="328F0FEF"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Ni</w:t>
            </w:r>
          </w:p>
        </w:tc>
        <w:tc>
          <w:tcPr>
            <w:tcW w:w="510" w:type="dxa"/>
            <w:vAlign w:val="center"/>
          </w:tcPr>
          <w:p w14:paraId="3563157F"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Mo</w:t>
            </w:r>
          </w:p>
        </w:tc>
        <w:tc>
          <w:tcPr>
            <w:tcW w:w="510" w:type="dxa"/>
            <w:vAlign w:val="center"/>
          </w:tcPr>
          <w:p w14:paraId="353C8287"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Si</w:t>
            </w:r>
          </w:p>
        </w:tc>
        <w:tc>
          <w:tcPr>
            <w:tcW w:w="510" w:type="dxa"/>
            <w:vAlign w:val="center"/>
          </w:tcPr>
          <w:p w14:paraId="6D684344"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P</w:t>
            </w:r>
          </w:p>
        </w:tc>
        <w:tc>
          <w:tcPr>
            <w:tcW w:w="510" w:type="dxa"/>
            <w:vAlign w:val="center"/>
          </w:tcPr>
          <w:p w14:paraId="53E979D1"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C</w:t>
            </w:r>
          </w:p>
        </w:tc>
        <w:tc>
          <w:tcPr>
            <w:tcW w:w="510" w:type="dxa"/>
            <w:vAlign w:val="center"/>
          </w:tcPr>
          <w:p w14:paraId="3EF33957" w14:textId="77777777" w:rsidR="00832601" w:rsidRPr="00513763"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 w:val="15"/>
                <w:szCs w:val="21"/>
              </w:rPr>
            </w:pPr>
            <w:r w:rsidRPr="00513763">
              <w:rPr>
                <w:rFonts w:ascii="Times New Roman" w:eastAsia="宋体" w:hAnsi="Times New Roman" w:cs="Times New Roman"/>
                <w:kern w:val="0"/>
                <w:sz w:val="15"/>
                <w:szCs w:val="21"/>
              </w:rPr>
              <w:t>Mn</w:t>
            </w:r>
          </w:p>
        </w:tc>
      </w:tr>
      <w:tr w:rsidR="00832601" w14:paraId="330E656C" w14:textId="77777777" w:rsidTr="00513763">
        <w:trPr>
          <w:trHeight w:val="567"/>
          <w:jc w:val="center"/>
        </w:trPr>
        <w:tc>
          <w:tcPr>
            <w:cnfStyle w:val="001000000000" w:firstRow="0" w:lastRow="0" w:firstColumn="1" w:lastColumn="0" w:oddVBand="0" w:evenVBand="0" w:oddHBand="0" w:evenHBand="0" w:firstRowFirstColumn="0" w:firstRowLastColumn="0" w:lastRowFirstColumn="0" w:lastRowLastColumn="0"/>
            <w:tcW w:w="510" w:type="dxa"/>
            <w:vAlign w:val="center"/>
          </w:tcPr>
          <w:p w14:paraId="525DA6E7" w14:textId="77777777" w:rsidR="00832601" w:rsidRPr="00513763" w:rsidRDefault="00B72ABC">
            <w:pPr>
              <w:widowControl/>
              <w:spacing w:before="100" w:beforeAutospacing="1" w:after="100" w:afterAutospacing="1"/>
              <w:jc w:val="center"/>
              <w:rPr>
                <w:rFonts w:ascii="Times New Roman" w:eastAsia="宋体" w:hAnsi="Times New Roman" w:cs="Times New Roman"/>
                <w:b w:val="0"/>
                <w:bCs w:val="0"/>
                <w:color w:val="000000"/>
                <w:kern w:val="0"/>
                <w:sz w:val="15"/>
                <w:szCs w:val="21"/>
              </w:rPr>
            </w:pPr>
            <w:r w:rsidRPr="00513763">
              <w:rPr>
                <w:rFonts w:ascii="Times New Roman" w:eastAsia="宋体" w:hAnsi="Times New Roman" w:cs="Times New Roman"/>
                <w:color w:val="000000"/>
                <w:kern w:val="0"/>
                <w:sz w:val="15"/>
                <w:szCs w:val="21"/>
              </w:rPr>
              <w:t>Porous (%)</w:t>
            </w:r>
          </w:p>
        </w:tc>
        <w:tc>
          <w:tcPr>
            <w:tcW w:w="510" w:type="dxa"/>
            <w:vAlign w:val="center"/>
          </w:tcPr>
          <w:p w14:paraId="6DD8C1EF"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61.26</w:t>
            </w:r>
          </w:p>
        </w:tc>
        <w:tc>
          <w:tcPr>
            <w:tcW w:w="510" w:type="dxa"/>
            <w:vAlign w:val="center"/>
          </w:tcPr>
          <w:p w14:paraId="2F94DBBF"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15.65</w:t>
            </w:r>
          </w:p>
        </w:tc>
        <w:tc>
          <w:tcPr>
            <w:tcW w:w="510" w:type="dxa"/>
            <w:vAlign w:val="center"/>
          </w:tcPr>
          <w:p w14:paraId="7CBEF3D8"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11.05</w:t>
            </w:r>
          </w:p>
        </w:tc>
        <w:tc>
          <w:tcPr>
            <w:tcW w:w="510" w:type="dxa"/>
            <w:vAlign w:val="center"/>
          </w:tcPr>
          <w:p w14:paraId="449D8DEB"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2.48</w:t>
            </w:r>
          </w:p>
        </w:tc>
        <w:tc>
          <w:tcPr>
            <w:tcW w:w="510" w:type="dxa"/>
            <w:vAlign w:val="center"/>
          </w:tcPr>
          <w:p w14:paraId="6B5A524D"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0.78</w:t>
            </w:r>
          </w:p>
        </w:tc>
        <w:tc>
          <w:tcPr>
            <w:tcW w:w="510" w:type="dxa"/>
            <w:vAlign w:val="center"/>
          </w:tcPr>
          <w:p w14:paraId="03143D53"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0.008</w:t>
            </w:r>
          </w:p>
        </w:tc>
        <w:tc>
          <w:tcPr>
            <w:tcW w:w="510" w:type="dxa"/>
            <w:vAlign w:val="center"/>
          </w:tcPr>
          <w:p w14:paraId="3A815B9D"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8.67</w:t>
            </w:r>
          </w:p>
        </w:tc>
        <w:tc>
          <w:tcPr>
            <w:tcW w:w="510" w:type="dxa"/>
            <w:vAlign w:val="center"/>
          </w:tcPr>
          <w:p w14:paraId="0FA4744D"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5"/>
                <w:szCs w:val="21"/>
              </w:rPr>
            </w:pPr>
            <w:r w:rsidRPr="00513763">
              <w:rPr>
                <w:rFonts w:ascii="Times New Roman" w:eastAsia="宋体" w:hAnsi="Times New Roman" w:cs="Times New Roman"/>
                <w:color w:val="000000"/>
                <w:kern w:val="0"/>
                <w:sz w:val="15"/>
                <w:szCs w:val="21"/>
              </w:rPr>
              <w:t>0.1</w:t>
            </w:r>
          </w:p>
        </w:tc>
      </w:tr>
    </w:tbl>
    <w:p w14:paraId="4A55A398" w14:textId="77777777" w:rsidR="00832601" w:rsidRDefault="00832601">
      <w:pPr>
        <w:widowControl/>
        <w:rPr>
          <w:rFonts w:ascii="Times New Roman" w:hAnsi="Times New Roman" w:cs="Times New Roman" w:hint="eastAsia"/>
          <w:kern w:val="0"/>
          <w:sz w:val="24"/>
          <w:szCs w:val="24"/>
        </w:rPr>
      </w:pPr>
    </w:p>
    <w:p w14:paraId="5271E35F" w14:textId="0A885B98" w:rsidR="00832601" w:rsidRDefault="00B72ABC">
      <w:pPr>
        <w:autoSpaceDE w:val="0"/>
        <w:autoSpaceDN w:val="0"/>
        <w:adjustRightInd w:val="0"/>
        <w:ind w:firstLineChars="200" w:firstLine="480"/>
        <w:rPr>
          <w:rFonts w:ascii="Times New Roman" w:hAnsi="Times New Roman" w:cs="Times New Roman"/>
          <w:kern w:val="0"/>
          <w:sz w:val="24"/>
          <w:szCs w:val="24"/>
        </w:rPr>
      </w:pPr>
      <w:r>
        <w:rPr>
          <w:rFonts w:ascii="Times New Roman" w:hAnsi="Times New Roman" w:cs="Times New Roman"/>
          <w:kern w:val="0"/>
          <w:sz w:val="24"/>
          <w:szCs w:val="24"/>
        </w:rPr>
        <w:t xml:space="preserve">The samples were cut into dog-bone specimens with </w:t>
      </w:r>
      <w:r>
        <w:rPr>
          <w:rFonts w:ascii="Times New Roman" w:hAnsi="Times New Roman" w:cs="Times New Roman"/>
          <w:sz w:val="24"/>
          <w:szCs w:val="24"/>
        </w:rPr>
        <w:t>a gauge range of 25mm</w:t>
      </w:r>
      <w:bookmarkStart w:id="0" w:name="OLE_LINK3"/>
      <w:r>
        <w:rPr>
          <w:rFonts w:ascii="Arial" w:hAnsi="Arial" w:cs="Arial"/>
          <w:sz w:val="24"/>
          <w:szCs w:val="24"/>
        </w:rPr>
        <w:t>×</w:t>
      </w:r>
      <w:bookmarkEnd w:id="0"/>
      <w:r>
        <w:rPr>
          <w:rFonts w:ascii="Times New Roman" w:hAnsi="Times New Roman" w:cs="Times New Roman"/>
          <w:sz w:val="24"/>
          <w:szCs w:val="24"/>
        </w:rPr>
        <w:t>4mm</w:t>
      </w:r>
      <w:r>
        <w:rPr>
          <w:rFonts w:ascii="Arial" w:hAnsi="Arial" w:cs="Arial"/>
          <w:sz w:val="24"/>
          <w:szCs w:val="24"/>
        </w:rPr>
        <w:t>×</w:t>
      </w:r>
      <w:r>
        <w:rPr>
          <w:rFonts w:ascii="Times New Roman" w:hAnsi="Times New Roman" w:cs="Times New Roman"/>
          <w:sz w:val="24"/>
          <w:szCs w:val="24"/>
        </w:rPr>
        <w:t>1.37mm</w:t>
      </w:r>
      <w:r>
        <w:rPr>
          <w:rFonts w:ascii="Times New Roman" w:hAnsi="Times New Roman" w:cs="Times New Roman"/>
          <w:kern w:val="0"/>
          <w:sz w:val="24"/>
          <w:szCs w:val="24"/>
        </w:rPr>
        <w:t xml:space="preserve">. </w:t>
      </w:r>
      <w:r>
        <w:rPr>
          <w:rFonts w:ascii="Times New Roman" w:hAnsi="Times New Roman" w:cs="Times New Roman"/>
          <w:sz w:val="24"/>
          <w:szCs w:val="24"/>
        </w:rPr>
        <w:t xml:space="preserve">Uniaxial tensile experiments were performed at room temperature with a rate of </w:t>
      </w:r>
      <w:r>
        <w:rPr>
          <w:rFonts w:ascii="Times New Roman" w:hAnsi="Times New Roman" w:cs="Times New Roman"/>
          <w:kern w:val="0"/>
          <w:sz w:val="24"/>
          <w:szCs w:val="24"/>
        </w:rPr>
        <w:t>10</w:t>
      </w:r>
      <w:r>
        <w:rPr>
          <w:rFonts w:ascii="Times New Roman" w:hAnsi="Times New Roman" w:cs="Times New Roman"/>
          <w:kern w:val="0"/>
          <w:sz w:val="24"/>
          <w:szCs w:val="24"/>
          <w:vertAlign w:val="superscript"/>
        </w:rPr>
        <w:t>-2</w:t>
      </w:r>
      <w:r>
        <w:rPr>
          <w:rFonts w:ascii="Times New Roman" w:hAnsi="Times New Roman" w:cs="Times New Roman"/>
          <w:kern w:val="0"/>
          <w:sz w:val="24"/>
          <w:szCs w:val="24"/>
        </w:rPr>
        <w:t>mm/min</w:t>
      </w:r>
      <w:r>
        <w:rPr>
          <w:rFonts w:ascii="Times New Roman" w:hAnsi="Times New Roman" w:cs="Times New Roman"/>
          <w:sz w:val="24"/>
          <w:szCs w:val="24"/>
        </w:rPr>
        <w:t xml:space="preserve"> on an Instron5969 Universal Testing System.</w:t>
      </w:r>
      <w:r>
        <w:rPr>
          <w:rFonts w:ascii="Times New Roman" w:hAnsi="Times New Roman" w:cs="Times New Roman"/>
          <w:kern w:val="0"/>
          <w:sz w:val="24"/>
          <w:szCs w:val="24"/>
        </w:rPr>
        <w:t xml:space="preserve"> </w:t>
      </w:r>
      <w:r>
        <w:rPr>
          <w:rFonts w:ascii="Times New Roman" w:hAnsi="Times New Roman" w:cs="Times New Roman"/>
          <w:sz w:val="24"/>
          <w:szCs w:val="24"/>
        </w:rPr>
        <w:t>We collected acousti</w:t>
      </w:r>
      <w:r>
        <w:rPr>
          <w:rFonts w:ascii="Times New Roman" w:hAnsi="Times New Roman" w:cs="Times New Roman"/>
          <w:kern w:val="0"/>
          <w:sz w:val="24"/>
          <w:szCs w:val="24"/>
        </w:rPr>
        <w:t xml:space="preserve">c signals through a </w:t>
      </w:r>
      <w:r>
        <w:rPr>
          <w:rFonts w:ascii="Times New Roman" w:hAnsi="Times New Roman" w:cs="Times New Roman"/>
          <w:sz w:val="24"/>
          <w:szCs w:val="24"/>
        </w:rPr>
        <w:t>piezoelectric sensor</w:t>
      </w:r>
      <w:r w:rsidR="00185CE1">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kern w:val="0"/>
          <w:sz w:val="24"/>
          <w:szCs w:val="24"/>
        </w:rPr>
        <w:t>which is tied directly onto the surface of the sample. The signals from the sensor are first pre-amplified at 49dB over a frequency range between 95 kHz and 850 kHz, and</w:t>
      </w:r>
      <w:r>
        <w:rPr>
          <w:rFonts w:ascii="Times New Roman" w:eastAsia="MS Mincho" w:hAnsi="Times New Roman" w:cs="Times New Roman"/>
          <w:sz w:val="24"/>
          <w:szCs w:val="24"/>
          <w:lang w:eastAsia="en-US" w:bidi="ar"/>
        </w:rPr>
        <w:t xml:space="preserve"> </w:t>
      </w:r>
      <w:r>
        <w:rPr>
          <w:rFonts w:ascii="Times New Roman" w:hAnsi="Times New Roman" w:cs="Times New Roman"/>
          <w:kern w:val="0"/>
          <w:sz w:val="24"/>
          <w:szCs w:val="24"/>
        </w:rPr>
        <w:t>transferred to the AMSY-6 AE-measurement system (</w:t>
      </w:r>
      <w:bookmarkStart w:id="1" w:name="OLE_LINK1"/>
      <w:bookmarkStart w:id="2" w:name="OLE_LINK2"/>
      <w:r>
        <w:rPr>
          <w:rFonts w:ascii="Times New Roman" w:hAnsi="Times New Roman" w:cs="Times New Roman"/>
          <w:kern w:val="0"/>
          <w:sz w:val="24"/>
          <w:szCs w:val="24"/>
        </w:rPr>
        <w:t>Vallen-Systeme GmbH</w:t>
      </w:r>
      <w:bookmarkEnd w:id="1"/>
      <w:bookmarkEnd w:id="2"/>
      <w:r>
        <w:rPr>
          <w:rFonts w:ascii="Times New Roman" w:hAnsi="Times New Roman" w:cs="Times New Roman"/>
          <w:kern w:val="0"/>
          <w:sz w:val="24"/>
          <w:szCs w:val="24"/>
        </w:rPr>
        <w:t xml:space="preserve">) </w:t>
      </w:r>
      <w:r>
        <w:rPr>
          <w:rFonts w:ascii="Times New Roman" w:eastAsia="MS Mincho" w:hAnsi="Times New Roman" w:cs="Times New Roman"/>
          <w:sz w:val="24"/>
          <w:szCs w:val="24"/>
          <w:lang w:eastAsia="en-US" w:bidi="ar"/>
        </w:rPr>
        <w:t>with a time resolution of 20 MHz</w:t>
      </w:r>
      <w:r>
        <w:rPr>
          <w:rFonts w:ascii="Times New Roman" w:hAnsi="Times New Roman" w:cs="Times New Roman"/>
          <w:kern w:val="0"/>
          <w:sz w:val="24"/>
          <w:szCs w:val="24"/>
        </w:rPr>
        <w:t xml:space="preserve">. An AE signal is defined as a ‘burst’ in the noise spectrum. A threshold of 20 dB was determined by an </w:t>
      </w:r>
      <w:r w:rsidR="00185CE1">
        <w:rPr>
          <w:rFonts w:ascii="Times New Roman" w:hAnsi="Times New Roman" w:cs="Times New Roman"/>
          <w:kern w:val="0"/>
          <w:sz w:val="24"/>
          <w:szCs w:val="24"/>
        </w:rPr>
        <w:t xml:space="preserve">control </w:t>
      </w:r>
      <w:r>
        <w:rPr>
          <w:rFonts w:ascii="Times New Roman" w:hAnsi="Times New Roman" w:cs="Times New Roman"/>
          <w:kern w:val="0"/>
          <w:sz w:val="24"/>
          <w:szCs w:val="24"/>
        </w:rPr>
        <w:t xml:space="preserve">experiment to evaluate the internal random noise of the experimental arrangement. </w:t>
      </w:r>
    </w:p>
    <w:p w14:paraId="2773B925" w14:textId="3FC3018C" w:rsidR="00832601" w:rsidRDefault="00B72ABC" w:rsidP="003B1E5A">
      <w:pPr>
        <w:autoSpaceDE w:val="0"/>
        <w:autoSpaceDN w:val="0"/>
        <w:adjustRightInd w:val="0"/>
        <w:ind w:firstLineChars="200" w:firstLine="560"/>
        <w:rPr>
          <w:rFonts w:ascii="Times New Roman" w:hAnsi="Times New Roman" w:cs="Times New Roman"/>
          <w:sz w:val="24"/>
          <w:szCs w:val="24"/>
        </w:rPr>
      </w:pPr>
      <w:r>
        <w:rPr>
          <w:rFonts w:ascii="Times New Roman" w:hAnsi="Times New Roman" w:cs="Times New Roman"/>
          <w:kern w:val="0"/>
          <w:sz w:val="28"/>
          <w:szCs w:val="28"/>
        </w:rPr>
        <w:t xml:space="preserve"> </w:t>
      </w:r>
      <w:r w:rsidRPr="003B1E5A">
        <w:rPr>
          <w:rFonts w:ascii="Times New Roman" w:hAnsi="Times New Roman" w:cs="Times New Roman"/>
          <w:sz w:val="24"/>
          <w:szCs w:val="24"/>
        </w:rPr>
        <w:t>Time sequences of stress and acoustic signals during tension up to the sample fracture are shown in Fig. 2(a). Two sets of data are collected simultaneously. The porous sample is much softer t</w:t>
      </w:r>
      <w:r w:rsidR="00420FCC">
        <w:rPr>
          <w:rFonts w:ascii="Times New Roman" w:hAnsi="Times New Roman" w:cs="Times New Roman"/>
          <w:sz w:val="24"/>
          <w:szCs w:val="24"/>
        </w:rPr>
        <w:t>han ordinary stainless steel [27-28</w:t>
      </w:r>
      <w:r w:rsidRPr="003B1E5A">
        <w:rPr>
          <w:rFonts w:ascii="Times New Roman" w:hAnsi="Times New Roman" w:cs="Times New Roman"/>
          <w:sz w:val="24"/>
          <w:szCs w:val="24"/>
        </w:rPr>
        <w:t xml:space="preserve">] and can only reach 45 MPa as a peak stress value beyond which the stress slowly decreases instead of </w:t>
      </w:r>
      <w:r w:rsidR="00185CE1">
        <w:rPr>
          <w:rFonts w:ascii="Times New Roman" w:hAnsi="Times New Roman" w:cs="Times New Roman"/>
          <w:sz w:val="24"/>
          <w:szCs w:val="24"/>
        </w:rPr>
        <w:t xml:space="preserve">suffering </w:t>
      </w:r>
      <w:r w:rsidRPr="003B1E5A">
        <w:rPr>
          <w:rFonts w:ascii="Times New Roman" w:hAnsi="Times New Roman" w:cs="Times New Roman"/>
          <w:sz w:val="24"/>
          <w:szCs w:val="24"/>
        </w:rPr>
        <w:t>a break after the maximum tensile strength. Fig</w:t>
      </w:r>
      <w:r w:rsidR="00185CE1">
        <w:rPr>
          <w:rFonts w:ascii="Times New Roman" w:hAnsi="Times New Roman" w:cs="Times New Roman"/>
          <w:sz w:val="24"/>
          <w:szCs w:val="24"/>
        </w:rPr>
        <w:t xml:space="preserve">ures </w:t>
      </w:r>
      <w:r w:rsidRPr="003B1E5A">
        <w:rPr>
          <w:rFonts w:ascii="Times New Roman" w:hAnsi="Times New Roman" w:cs="Times New Roman"/>
          <w:sz w:val="24"/>
          <w:szCs w:val="24"/>
        </w:rPr>
        <w:t xml:space="preserve">2(b)-(d) show time sequences of average energy (E, </w:t>
      </w:r>
      <w:r w:rsidR="00453C25">
        <w:rPr>
          <w:rFonts w:ascii="Times New Roman" w:hAnsi="Times New Roman" w:cs="Times New Roman"/>
          <w:sz w:val="24"/>
          <w:szCs w:val="24"/>
        </w:rPr>
        <w:t xml:space="preserve">time </w:t>
      </w:r>
      <w:r w:rsidRPr="003B1E5A">
        <w:rPr>
          <w:rFonts w:ascii="Times New Roman" w:hAnsi="Times New Roman" w:cs="Times New Roman"/>
          <w:sz w:val="24"/>
          <w:szCs w:val="24"/>
        </w:rPr>
        <w:t xml:space="preserve">integral of the squared AE-signal), duration (D, the time between the first and last threshold crossing one signal) and risetime (R, the time between the first threshold crossing and the first peak detected in one signal), respectively. All average values are obtained as summation of the AE parameters divided by the number of hits during intervals of 10s. From these results we find three different stages shown in Fig.2: stage 1 shows a high density of AE signals, stage 2 shows sparse signals with higher intensities, and stage 3 shows sparse and very intense AE signals. We then divide the data into these three groups for subsequent </w:t>
      </w:r>
      <w:r w:rsidRPr="003B1E5A">
        <w:rPr>
          <w:rFonts w:ascii="Times New Roman" w:hAnsi="Times New Roman" w:cs="Times New Roman"/>
          <w:sz w:val="24"/>
          <w:szCs w:val="24"/>
        </w:rPr>
        <w:lastRenderedPageBreak/>
        <w:t xml:space="preserve">analysis. </w:t>
      </w:r>
    </w:p>
    <w:p w14:paraId="1559CECB" w14:textId="2AA1E6CD" w:rsidR="00CD3B65" w:rsidRPr="00CD3B65" w:rsidRDefault="00117B78" w:rsidP="00CD3B65">
      <w:pPr>
        <w:widowControl/>
        <w:ind w:firstLineChars="200" w:firstLine="480"/>
        <w:rPr>
          <w:rFonts w:ascii="Times New Roman" w:hAnsi="Times New Roman" w:cs="Times New Roman"/>
          <w:sz w:val="24"/>
          <w:szCs w:val="24"/>
          <w:highlight w:val="yellow"/>
        </w:rPr>
      </w:pPr>
      <w:r w:rsidRPr="003B1E5A">
        <w:rPr>
          <w:rFonts w:ascii="Times New Roman" w:hAnsi="Times New Roman" w:cs="Times New Roman"/>
          <w:sz w:val="24"/>
          <w:szCs w:val="24"/>
        </w:rPr>
        <w:t xml:space="preserve">The probability distribution functions (PDF) of the AE energy (E), amplitude (A), and duration (D) after separation into three regimes are shown in Fig. 3. They follow power law behavior, </w:t>
      </w:r>
      <m:oMath>
        <m:r>
          <m:rPr>
            <m:sty m:val="p"/>
          </m:rPr>
          <w:rPr>
            <w:rFonts w:ascii="Cambria Math" w:hAnsi="Cambria Math" w:cs="Times New Roman"/>
            <w:sz w:val="24"/>
            <w:szCs w:val="24"/>
          </w:rPr>
          <m:t>P</m:t>
        </m:r>
        <m:r>
          <w:rPr>
            <w:rFonts w:ascii="Cambria Math" w:hAnsi="Cambria Math" w:cs="Times New Roman"/>
            <w:sz w:val="24"/>
            <w:szCs w:val="24"/>
          </w:rPr>
          <m:t>(x)=</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-a</m:t>
            </m:r>
          </m:sup>
        </m:sSup>
      </m:oMath>
      <w:r w:rsidRPr="003B1E5A">
        <w:rPr>
          <w:rFonts w:ascii="Times New Roman" w:hAnsi="Times New Roman" w:cs="Times New Roman"/>
          <w:sz w:val="24"/>
          <w:szCs w:val="24"/>
        </w:rPr>
        <w:t>, with exponents for E, A, D denoted by ε, τ’, α. The PDF (Fig.3a) of regime 1 shows an exponent ε=2.34±0.03, regime 3 shows an exponent ε=1.52±0.03, whereas regime 2 shows power low mixing between regime 1 and regime 3. Maximum likelihood (ML) curves [23] in Fig.3(b) reveal that both regime 1 and regime 3 show a plateau which corresponds to their PDF exponents, while the ML of regime 2 shows a</w:t>
      </w:r>
      <w:r w:rsidRPr="003B1E5A">
        <w:rPr>
          <w:rFonts w:ascii="Times New Roman" w:hAnsi="Times New Roman" w:cs="Times New Roman"/>
          <w:sz w:val="24"/>
          <w:szCs w:val="24"/>
          <w:lang w:eastAsia="en-US"/>
        </w:rPr>
        <w:t xml:space="preserve"> </w:t>
      </w:r>
      <w:r w:rsidRPr="003B1E5A">
        <w:rPr>
          <w:rFonts w:ascii="Times New Roman" w:hAnsi="Times New Roman" w:cs="Times New Roman"/>
          <w:sz w:val="24"/>
          <w:szCs w:val="24"/>
        </w:rPr>
        <w:t>sharp decrease</w:t>
      </w:r>
      <w:r w:rsidRPr="003B1E5A">
        <w:rPr>
          <w:rFonts w:ascii="Times New Roman" w:hAnsi="Times New Roman" w:cs="Times New Roman"/>
          <w:sz w:val="24"/>
          <w:szCs w:val="24"/>
          <w:lang w:eastAsia="en-US"/>
        </w:rPr>
        <w:t xml:space="preserve"> at low energies </w:t>
      </w:r>
      <w:r w:rsidRPr="003B1E5A">
        <w:rPr>
          <w:rFonts w:ascii="Times New Roman" w:hAnsi="Times New Roman" w:cs="Times New Roman"/>
          <w:sz w:val="24"/>
          <w:szCs w:val="24"/>
        </w:rPr>
        <w:t>which is</w:t>
      </w:r>
      <w:r w:rsidRPr="003B1E5A">
        <w:rPr>
          <w:rFonts w:ascii="Times New Roman" w:hAnsi="Times New Roman" w:cs="Times New Roman"/>
          <w:sz w:val="24"/>
          <w:szCs w:val="24"/>
          <w:lang w:eastAsia="en-US"/>
        </w:rPr>
        <w:t xml:space="preserve"> an indicator for </w:t>
      </w:r>
      <w:r>
        <w:rPr>
          <w:rFonts w:ascii="Times New Roman" w:hAnsi="Times New Roman" w:cs="Times New Roman"/>
          <w:sz w:val="24"/>
          <w:szCs w:val="24"/>
          <w:lang w:eastAsia="en-US"/>
        </w:rPr>
        <w:t>the predicted</w:t>
      </w:r>
      <w:r w:rsidRPr="003B1E5A">
        <w:rPr>
          <w:rFonts w:ascii="Times New Roman" w:hAnsi="Times New Roman" w:cs="Times New Roman"/>
          <w:sz w:val="24"/>
          <w:szCs w:val="24"/>
          <w:lang w:eastAsia="en-US"/>
        </w:rPr>
        <w:t xml:space="preserve"> mixing of </w:t>
      </w:r>
      <w:r>
        <w:rPr>
          <w:rFonts w:ascii="Times New Roman" w:hAnsi="Times New Roman" w:cs="Times New Roman"/>
          <w:sz w:val="24"/>
          <w:szCs w:val="24"/>
          <w:lang w:eastAsia="en-US"/>
        </w:rPr>
        <w:t xml:space="preserve">avalanche </w:t>
      </w:r>
      <w:r w:rsidRPr="003B1E5A">
        <w:rPr>
          <w:rFonts w:ascii="Times New Roman" w:hAnsi="Times New Roman" w:cs="Times New Roman"/>
          <w:sz w:val="24"/>
          <w:szCs w:val="24"/>
          <w:lang w:eastAsia="en-US"/>
        </w:rPr>
        <w:t>mechanisms [23]</w:t>
      </w:r>
      <w:r w:rsidRPr="003B1E5A">
        <w:rPr>
          <w:rFonts w:ascii="Times New Roman" w:hAnsi="Times New Roman" w:cs="Times New Roman"/>
          <w:sz w:val="24"/>
          <w:szCs w:val="24"/>
        </w:rPr>
        <w:t>. Fig</w:t>
      </w:r>
      <w:r>
        <w:rPr>
          <w:rFonts w:ascii="Times New Roman" w:hAnsi="Times New Roman" w:cs="Times New Roman"/>
          <w:sz w:val="24"/>
          <w:szCs w:val="24"/>
        </w:rPr>
        <w:t xml:space="preserve">ures </w:t>
      </w:r>
      <w:r w:rsidRPr="003B1E5A">
        <w:rPr>
          <w:rFonts w:ascii="Times New Roman" w:hAnsi="Times New Roman" w:cs="Times New Roman"/>
          <w:sz w:val="24"/>
          <w:szCs w:val="24"/>
        </w:rPr>
        <w:t xml:space="preserve">3(c-d) show PDFs of amplitude and duration, which </w:t>
      </w:r>
      <w:r>
        <w:rPr>
          <w:rFonts w:ascii="Times New Roman" w:hAnsi="Times New Roman" w:cs="Times New Roman"/>
          <w:sz w:val="24"/>
          <w:szCs w:val="24"/>
        </w:rPr>
        <w:t xml:space="preserve">also </w:t>
      </w:r>
      <w:r w:rsidRPr="003B1E5A">
        <w:rPr>
          <w:rFonts w:ascii="Times New Roman" w:hAnsi="Times New Roman" w:cs="Times New Roman"/>
          <w:sz w:val="24"/>
          <w:szCs w:val="24"/>
        </w:rPr>
        <w:t xml:space="preserve">show </w:t>
      </w:r>
      <w:r>
        <w:rPr>
          <w:rFonts w:ascii="Times New Roman" w:hAnsi="Times New Roman" w:cs="Times New Roman"/>
          <w:sz w:val="24"/>
          <w:szCs w:val="24"/>
        </w:rPr>
        <w:t>mixing behavior</w:t>
      </w:r>
      <w:r w:rsidRPr="003B1E5A">
        <w:rPr>
          <w:rFonts w:ascii="Times New Roman" w:hAnsi="Times New Roman" w:cs="Times New Roman"/>
          <w:sz w:val="24"/>
          <w:szCs w:val="24"/>
        </w:rPr>
        <w:t xml:space="preserve">. The power law exponent τ’ of amplitudes in regime 1 and regime 3 are 3.59 and 2.31 and mixing occurs in regime 2. The duration exponent </w:t>
      </w:r>
      <w:r w:rsidRPr="003B1E5A">
        <w:rPr>
          <w:rFonts w:ascii="Symbol" w:hAnsi="Symbol" w:cs="Times New Roman"/>
          <w:sz w:val="24"/>
          <w:szCs w:val="24"/>
        </w:rPr>
        <w:t></w:t>
      </w:r>
      <w:r w:rsidRPr="003B1E5A">
        <w:rPr>
          <w:rFonts w:ascii="Times New Roman" w:hAnsi="Times New Roman" w:cs="Times New Roman"/>
          <w:sz w:val="24"/>
          <w:szCs w:val="24"/>
        </w:rPr>
        <w:t xml:space="preserve"> is 4.53 and 2.91 for regimes 1 and 3.</w:t>
      </w:r>
      <w:r w:rsidRPr="00187080">
        <w:rPr>
          <w:rFonts w:ascii="Times New Roman" w:hAnsi="Times New Roman" w:cs="Times New Roman"/>
          <w:sz w:val="24"/>
          <w:szCs w:val="24"/>
        </w:rPr>
        <w:t xml:space="preserve"> </w:t>
      </w:r>
      <w:r w:rsidRPr="003B1E5A">
        <w:rPr>
          <w:rFonts w:ascii="Times New Roman" w:hAnsi="Times New Roman" w:cs="Times New Roman"/>
          <w:sz w:val="24"/>
          <w:szCs w:val="24"/>
        </w:rPr>
        <w:t xml:space="preserve">Exponent mixing of avalanche populations leads </w:t>
      </w:r>
      <w:r>
        <w:rPr>
          <w:rFonts w:ascii="Times New Roman" w:hAnsi="Times New Roman" w:cs="Times New Roman"/>
          <w:sz w:val="24"/>
          <w:szCs w:val="24"/>
        </w:rPr>
        <w:t xml:space="preserve">indeed </w:t>
      </w:r>
      <w:r w:rsidRPr="003B1E5A">
        <w:rPr>
          <w:rFonts w:ascii="Times New Roman" w:hAnsi="Times New Roman" w:cs="Times New Roman"/>
          <w:sz w:val="24"/>
          <w:szCs w:val="24"/>
        </w:rPr>
        <w:t xml:space="preserve">to non-universal power-law distributions while each primary avalanche in regimes 1 and 3 </w:t>
      </w:r>
      <w:r>
        <w:rPr>
          <w:rFonts w:ascii="Times New Roman" w:hAnsi="Times New Roman" w:cs="Times New Roman"/>
          <w:sz w:val="24"/>
          <w:szCs w:val="24"/>
        </w:rPr>
        <w:t>is</w:t>
      </w:r>
      <w:r w:rsidRPr="003B1E5A">
        <w:rPr>
          <w:rFonts w:ascii="Times New Roman" w:hAnsi="Times New Roman" w:cs="Times New Roman"/>
          <w:sz w:val="24"/>
          <w:szCs w:val="24"/>
        </w:rPr>
        <w:t xml:space="preserve"> scale invarian</w:t>
      </w:r>
      <w:r>
        <w:rPr>
          <w:rFonts w:ascii="Times New Roman" w:hAnsi="Times New Roman" w:cs="Times New Roman"/>
          <w:sz w:val="24"/>
          <w:szCs w:val="24"/>
        </w:rPr>
        <w:t>t</w:t>
      </w:r>
      <w:r w:rsidRPr="003B1E5A">
        <w:rPr>
          <w:rFonts w:ascii="Times New Roman" w:hAnsi="Times New Roman" w:cs="Times New Roman"/>
          <w:sz w:val="24"/>
          <w:szCs w:val="24"/>
        </w:rPr>
        <w:t xml:space="preserve">. The ML maxima and minima </w:t>
      </w:r>
      <w:r>
        <w:rPr>
          <w:rFonts w:ascii="Times New Roman" w:hAnsi="Times New Roman" w:cs="Times New Roman"/>
          <w:sz w:val="24"/>
          <w:szCs w:val="24"/>
        </w:rPr>
        <w:t xml:space="preserve">in the mixing regime </w:t>
      </w:r>
      <w:r w:rsidRPr="003B1E5A">
        <w:rPr>
          <w:rFonts w:ascii="Times New Roman" w:hAnsi="Times New Roman" w:cs="Times New Roman"/>
          <w:sz w:val="24"/>
          <w:szCs w:val="24"/>
        </w:rPr>
        <w:t>are upper and lower bounds close the true exponents</w:t>
      </w:r>
      <w:r>
        <w:rPr>
          <w:rFonts w:ascii="Times New Roman" w:hAnsi="Times New Roman" w:cs="Times New Roman"/>
          <w:sz w:val="24"/>
          <w:szCs w:val="24"/>
        </w:rPr>
        <w:t xml:space="preserve"> of the two pure mechanisms</w:t>
      </w:r>
      <w:r w:rsidRPr="003B1E5A">
        <w:rPr>
          <w:rFonts w:ascii="Times New Roman" w:hAnsi="Times New Roman" w:cs="Times New Roman"/>
          <w:sz w:val="24"/>
          <w:szCs w:val="24"/>
        </w:rPr>
        <w:t>. This is demonstrated in Fig.3(b) where regime 1 shows a plateau at ε=2.4, regime 3 shows a plateau at ε=1.5 and regime 2 combines both exponents</w:t>
      </w:r>
      <w:r>
        <w:rPr>
          <w:rFonts w:ascii="Times New Roman" w:hAnsi="Times New Roman" w:cs="Times New Roman"/>
          <w:sz w:val="24"/>
          <w:szCs w:val="24"/>
        </w:rPr>
        <w:t xml:space="preserve"> between these two extremes</w:t>
      </w:r>
      <w:r w:rsidRPr="003B1E5A">
        <w:rPr>
          <w:rFonts w:ascii="Times New Roman" w:hAnsi="Times New Roman" w:cs="Times New Roman"/>
          <w:sz w:val="24"/>
          <w:szCs w:val="24"/>
        </w:rPr>
        <w:t xml:space="preserve">. A direct analysis is possible by inspection of the PDF of the AE energy, amplitude and duration in Figs.3(a,c-d), where the upward bend of </w:t>
      </w:r>
      <w:r>
        <w:rPr>
          <w:rFonts w:ascii="Times New Roman" w:hAnsi="Times New Roman" w:cs="Times New Roman"/>
          <w:sz w:val="24"/>
          <w:szCs w:val="24"/>
        </w:rPr>
        <w:t>the</w:t>
      </w:r>
      <w:r w:rsidRPr="003B1E5A">
        <w:rPr>
          <w:rFonts w:ascii="Times New Roman" w:hAnsi="Times New Roman" w:cs="Times New Roman"/>
          <w:sz w:val="24"/>
          <w:szCs w:val="24"/>
        </w:rPr>
        <w:t xml:space="preserve"> power-law curve</w:t>
      </w:r>
      <w:r>
        <w:rPr>
          <w:rFonts w:ascii="Times New Roman" w:hAnsi="Times New Roman" w:cs="Times New Roman"/>
          <w:sz w:val="24"/>
          <w:szCs w:val="24"/>
        </w:rPr>
        <w:t>s</w:t>
      </w:r>
      <w:r w:rsidRPr="003B1E5A">
        <w:rPr>
          <w:rFonts w:ascii="Times New Roman" w:hAnsi="Times New Roman" w:cs="Times New Roman"/>
          <w:sz w:val="24"/>
          <w:szCs w:val="24"/>
        </w:rPr>
        <w:t xml:space="preserve"> indicates mixing.</w:t>
      </w:r>
      <w:r>
        <w:rPr>
          <w:rFonts w:ascii="Times New Roman" w:hAnsi="Times New Roman" w:cs="Times New Roman"/>
          <w:sz w:val="24"/>
          <w:szCs w:val="24"/>
        </w:rPr>
        <w:t xml:space="preserve"> </w:t>
      </w:r>
      <w:r w:rsidRPr="00F52EEF">
        <w:rPr>
          <w:rFonts w:ascii="Times New Roman" w:hAnsi="Times New Roman" w:cs="Times New Roman"/>
          <w:sz w:val="24"/>
          <w:szCs w:val="24"/>
        </w:rPr>
        <w:t xml:space="preserve">This result shows that the superposition of two power law distributed processes do not, in general, lead to an overall power law behavior. This superposition mimics a scale dependence, which, in fact does not exist. It is simply an artifact of the numerical superposition of two scale invariant distributions. </w:t>
      </w:r>
      <w:r w:rsidRPr="00915119">
        <w:rPr>
          <w:rFonts w:ascii="Times New Roman" w:hAnsi="Times New Roman" w:cs="Times New Roman"/>
          <w:sz w:val="24"/>
          <w:szCs w:val="24"/>
        </w:rPr>
        <w:t>To disentangle these two distributions from the experimental results is often difficult if the two competing processes cannot be identified, as we did in this work.</w:t>
      </w:r>
      <w:r>
        <w:rPr>
          <w:rFonts w:ascii="Times New Roman" w:hAnsi="Times New Roman" w:cs="Times New Roman"/>
          <w:sz w:val="24"/>
          <w:szCs w:val="24"/>
        </w:rPr>
        <w:t xml:space="preserve"> </w:t>
      </w:r>
      <w:r w:rsidR="00CD3B65" w:rsidRPr="00CD3B65">
        <w:rPr>
          <w:rFonts w:ascii="Times New Roman" w:hAnsi="Times New Roman" w:cs="Times New Roman"/>
          <w:sz w:val="24"/>
          <w:szCs w:val="24"/>
          <w:highlight w:val="yellow"/>
        </w:rPr>
        <w:t xml:space="preserve">The two sources of AE in our spectra are very easy to </w:t>
      </w:r>
      <w:r w:rsidR="0031329D" w:rsidRPr="0031329D">
        <w:rPr>
          <w:rFonts w:ascii="Times New Roman" w:hAnsi="Times New Roman" w:cs="Times New Roman"/>
          <w:sz w:val="24"/>
          <w:szCs w:val="24"/>
          <w:highlight w:val="yellow"/>
        </w:rPr>
        <w:t>separate</w:t>
      </w:r>
      <w:r w:rsidR="00CD3B65" w:rsidRPr="00CD3B65">
        <w:rPr>
          <w:rFonts w:ascii="Times New Roman" w:hAnsi="Times New Roman" w:cs="Times New Roman"/>
          <w:sz w:val="24"/>
          <w:szCs w:val="24"/>
          <w:highlight w:val="yellow"/>
        </w:rPr>
        <w:t xml:space="preserve"> as they are associated with two different power law exponents. For more complex AE spectr</w:t>
      </w:r>
      <w:r w:rsidR="0031329D">
        <w:rPr>
          <w:rFonts w:ascii="Times New Roman" w:hAnsi="Times New Roman" w:cs="Times New Roman"/>
          <w:sz w:val="24"/>
          <w:szCs w:val="24"/>
          <w:highlight w:val="yellow"/>
        </w:rPr>
        <w:t>a</w:t>
      </w:r>
      <w:r w:rsidR="00CD3B65" w:rsidRPr="00CD3B65">
        <w:rPr>
          <w:rFonts w:ascii="Times New Roman" w:hAnsi="Times New Roman" w:cs="Times New Roman"/>
          <w:sz w:val="24"/>
          <w:szCs w:val="24"/>
          <w:highlight w:val="yellow"/>
        </w:rPr>
        <w:t xml:space="preserve">, pattern recognition analyses, </w:t>
      </w:r>
      <w:r w:rsidR="00CD3B65">
        <w:rPr>
          <w:rFonts w:ascii="Times New Roman" w:hAnsi="Times New Roman" w:cs="Times New Roman"/>
          <w:sz w:val="24"/>
          <w:szCs w:val="24"/>
          <w:highlight w:val="yellow"/>
        </w:rPr>
        <w:t>e.g.</w:t>
      </w:r>
      <w:r w:rsidR="0031329D">
        <w:rPr>
          <w:rFonts w:ascii="Times New Roman" w:hAnsi="Times New Roman" w:cs="Times New Roman"/>
          <w:sz w:val="24"/>
          <w:szCs w:val="24"/>
          <w:highlight w:val="yellow"/>
        </w:rPr>
        <w:t xml:space="preserve"> </w:t>
      </w:r>
      <w:r w:rsidR="00CD3B65" w:rsidRPr="00CD3B65">
        <w:rPr>
          <w:rFonts w:ascii="Times New Roman" w:hAnsi="Times New Roman" w:cs="Times New Roman"/>
          <w:sz w:val="24"/>
          <w:szCs w:val="24"/>
          <w:highlight w:val="yellow"/>
        </w:rPr>
        <w:t>k-means algorithm has been successfully applied to AE monitoring to 304L stainless steel to distinguish between disloca</w:t>
      </w:r>
      <w:r w:rsidR="00CD3B65">
        <w:rPr>
          <w:rFonts w:ascii="Times New Roman" w:hAnsi="Times New Roman" w:cs="Times New Roman"/>
          <w:sz w:val="24"/>
          <w:szCs w:val="24"/>
          <w:highlight w:val="yellow"/>
        </w:rPr>
        <w:t xml:space="preserve">tion avalanches, microcracking </w:t>
      </w:r>
      <w:r w:rsidR="00CD3B65" w:rsidRPr="00CD3B65">
        <w:rPr>
          <w:rFonts w:ascii="Times New Roman" w:hAnsi="Times New Roman" w:cs="Times New Roman"/>
          <w:sz w:val="24"/>
          <w:szCs w:val="24"/>
          <w:highlight w:val="yellow"/>
        </w:rPr>
        <w:t>and martensitic transformations [</w:t>
      </w:r>
      <w:r w:rsidR="00D83C9E">
        <w:rPr>
          <w:rFonts w:ascii="Times New Roman" w:hAnsi="Times New Roman" w:cs="Times New Roman"/>
          <w:sz w:val="24"/>
          <w:szCs w:val="24"/>
          <w:highlight w:val="yellow"/>
        </w:rPr>
        <w:t>29</w:t>
      </w:r>
      <w:r w:rsidR="00CD3B65" w:rsidRPr="00CD3B65">
        <w:rPr>
          <w:rFonts w:ascii="Times New Roman" w:hAnsi="Times New Roman" w:cs="Times New Roman"/>
          <w:sz w:val="24"/>
          <w:szCs w:val="24"/>
          <w:highlight w:val="yellow"/>
        </w:rPr>
        <w:t>]</w:t>
      </w:r>
      <w:r w:rsidR="0031329D">
        <w:rPr>
          <w:rFonts w:ascii="Times New Roman" w:hAnsi="Times New Roman" w:cs="Times New Roman"/>
          <w:sz w:val="24"/>
          <w:szCs w:val="24"/>
          <w:highlight w:val="yellow"/>
        </w:rPr>
        <w:t>.</w:t>
      </w:r>
      <w:r w:rsidR="00CD3B65" w:rsidRPr="00CD3B65">
        <w:rPr>
          <w:rFonts w:ascii="Times New Roman" w:hAnsi="Times New Roman" w:cs="Times New Roman"/>
          <w:sz w:val="24"/>
          <w:szCs w:val="24"/>
          <w:highlight w:val="yellow"/>
        </w:rPr>
        <w:t xml:space="preserve"> </w:t>
      </w:r>
      <w:r w:rsidR="0031329D">
        <w:rPr>
          <w:rFonts w:ascii="Times New Roman" w:hAnsi="Times New Roman" w:cs="Times New Roman"/>
          <w:sz w:val="24"/>
          <w:szCs w:val="24"/>
          <w:highlight w:val="yellow"/>
        </w:rPr>
        <w:t xml:space="preserve">We </w:t>
      </w:r>
      <w:r w:rsidR="00CD3B65" w:rsidRPr="00CD3B65">
        <w:rPr>
          <w:rFonts w:ascii="Times New Roman" w:hAnsi="Times New Roman" w:cs="Times New Roman"/>
          <w:sz w:val="24"/>
          <w:szCs w:val="24"/>
          <w:highlight w:val="yellow"/>
        </w:rPr>
        <w:t xml:space="preserve">will </w:t>
      </w:r>
      <w:r w:rsidR="0031329D">
        <w:rPr>
          <w:rFonts w:ascii="Times New Roman" w:hAnsi="Times New Roman" w:cs="Times New Roman"/>
          <w:sz w:val="24"/>
          <w:szCs w:val="24"/>
          <w:highlight w:val="yellow"/>
        </w:rPr>
        <w:t xml:space="preserve">report a similar approach </w:t>
      </w:r>
      <w:r w:rsidR="00CD3B65" w:rsidRPr="00CD3B65">
        <w:rPr>
          <w:rFonts w:ascii="Times New Roman" w:hAnsi="Times New Roman" w:cs="Times New Roman"/>
          <w:sz w:val="24"/>
          <w:szCs w:val="24"/>
          <w:highlight w:val="yellow"/>
        </w:rPr>
        <w:t xml:space="preserve">in a forthcoming paper. </w:t>
      </w:r>
    </w:p>
    <w:p w14:paraId="64952398" w14:textId="315EFAFE" w:rsidR="008E2DCE" w:rsidRDefault="00B72ABC" w:rsidP="00CD3B65">
      <w:pPr>
        <w:widowControl/>
        <w:ind w:firstLineChars="200" w:firstLine="480"/>
        <w:rPr>
          <w:rFonts w:ascii="Times New Roman" w:hAnsi="Times New Roman" w:cs="Times New Roman"/>
          <w:szCs w:val="21"/>
        </w:rPr>
      </w:pPr>
      <w:r w:rsidRPr="003B1E5A">
        <w:rPr>
          <w:rFonts w:ascii="Times New Roman" w:hAnsi="Times New Roman" w:cs="Times New Roman"/>
          <w:sz w:val="24"/>
          <w:szCs w:val="24"/>
        </w:rPr>
        <w:t xml:space="preserve">The correlations functions of energy </w:t>
      </w:r>
      <w:r w:rsidRPr="003B1E5A">
        <w:rPr>
          <w:rFonts w:ascii="Times New Roman" w:hAnsi="Times New Roman" w:cs="Times New Roman"/>
          <w:i/>
          <w:iCs/>
          <w:sz w:val="24"/>
          <w:szCs w:val="24"/>
        </w:rPr>
        <w:t>versus</w:t>
      </w:r>
      <w:r w:rsidRPr="003B1E5A">
        <w:rPr>
          <w:rFonts w:ascii="Times New Roman" w:hAnsi="Times New Roman" w:cs="Times New Roman"/>
          <w:sz w:val="24"/>
          <w:szCs w:val="24"/>
        </w:rPr>
        <w:t xml:space="preserve"> amplitude E~A</w:t>
      </w:r>
      <w:r w:rsidRPr="003B1E5A">
        <w:rPr>
          <w:rFonts w:ascii="Times New Roman" w:hAnsi="Times New Roman" w:cs="Times New Roman"/>
          <w:i/>
          <w:iCs/>
          <w:sz w:val="24"/>
          <w:szCs w:val="24"/>
          <w:vertAlign w:val="superscript"/>
        </w:rPr>
        <w:t>x</w:t>
      </w:r>
      <w:r w:rsidRPr="003B1E5A">
        <w:rPr>
          <w:rFonts w:ascii="Times New Roman" w:hAnsi="Times New Roman" w:cs="Times New Roman"/>
          <w:sz w:val="24"/>
          <w:szCs w:val="24"/>
        </w:rPr>
        <w:t xml:space="preserve">, amplitude </w:t>
      </w:r>
      <w:r w:rsidRPr="003B1E5A">
        <w:rPr>
          <w:rFonts w:ascii="Times New Roman" w:hAnsi="Times New Roman" w:cs="Times New Roman"/>
          <w:i/>
          <w:iCs/>
          <w:sz w:val="24"/>
          <w:szCs w:val="24"/>
        </w:rPr>
        <w:t>versus</w:t>
      </w:r>
      <w:r w:rsidRPr="003B1E5A">
        <w:rPr>
          <w:rFonts w:ascii="Times New Roman" w:hAnsi="Times New Roman" w:cs="Times New Roman"/>
          <w:sz w:val="24"/>
          <w:szCs w:val="24"/>
        </w:rPr>
        <w:t xml:space="preserve"> duration A~D</w:t>
      </w:r>
      <w:r w:rsidRPr="003B1E5A">
        <w:rPr>
          <w:rFonts w:ascii="Times New Roman" w:hAnsi="Times New Roman" w:cs="Times New Roman"/>
          <w:sz w:val="24"/>
          <w:szCs w:val="24"/>
          <w:vertAlign w:val="superscript"/>
        </w:rPr>
        <w:t>χ</w:t>
      </w:r>
      <w:r w:rsidRPr="003B1E5A">
        <w:rPr>
          <w:rFonts w:ascii="Times New Roman" w:hAnsi="Times New Roman" w:cs="Times New Roman"/>
          <w:sz w:val="24"/>
          <w:szCs w:val="24"/>
        </w:rPr>
        <w:t xml:space="preserve">, and energy </w:t>
      </w:r>
      <w:r w:rsidRPr="003B1E5A">
        <w:rPr>
          <w:rFonts w:ascii="Times New Roman" w:hAnsi="Times New Roman" w:cs="Times New Roman"/>
          <w:i/>
          <w:iCs/>
          <w:sz w:val="24"/>
          <w:szCs w:val="24"/>
        </w:rPr>
        <w:t>versus</w:t>
      </w:r>
      <w:r w:rsidRPr="003B1E5A">
        <w:rPr>
          <w:rFonts w:ascii="Times New Roman" w:hAnsi="Times New Roman" w:cs="Times New Roman"/>
          <w:sz w:val="24"/>
          <w:szCs w:val="24"/>
        </w:rPr>
        <w:t xml:space="preserve"> duration E~D</w:t>
      </w:r>
      <w:r w:rsidRPr="003B1E5A">
        <w:rPr>
          <w:rFonts w:ascii="Times New Roman" w:hAnsi="Times New Roman" w:cs="Times New Roman"/>
          <w:sz w:val="24"/>
          <w:szCs w:val="24"/>
          <w:vertAlign w:val="superscript"/>
        </w:rPr>
        <w:t>γ</w:t>
      </w:r>
      <w:r w:rsidRPr="003B1E5A">
        <w:rPr>
          <w:rFonts w:ascii="Times New Roman" w:hAnsi="Times New Roman" w:cs="Times New Roman"/>
          <w:sz w:val="24"/>
          <w:szCs w:val="24"/>
        </w:rPr>
        <w:t xml:space="preserve"> equally follow power law distributions (Fig.4). </w:t>
      </w:r>
      <w:r w:rsidR="00187080">
        <w:rPr>
          <w:rFonts w:ascii="Times New Roman" w:hAnsi="Times New Roman" w:cs="Times New Roman"/>
          <w:sz w:val="24"/>
          <w:szCs w:val="24"/>
        </w:rPr>
        <w:t>The</w:t>
      </w:r>
      <w:r w:rsidRPr="00FD1119">
        <w:rPr>
          <w:rFonts w:ascii="Times New Roman" w:hAnsi="Times New Roman" w:cs="Times New Roman"/>
          <w:sz w:val="24"/>
          <w:szCs w:val="24"/>
        </w:rPr>
        <w:t xml:space="preserve"> three regimes show </w:t>
      </w:r>
      <w:r w:rsidR="003B1E5A" w:rsidRPr="00FD1119">
        <w:rPr>
          <w:rFonts w:ascii="Times New Roman" w:hAnsi="Times New Roman" w:cs="Times New Roman"/>
          <w:sz w:val="24"/>
          <w:szCs w:val="24"/>
        </w:rPr>
        <w:t>power laws with exponents</w:t>
      </w:r>
      <w:r w:rsidRPr="00FD1119">
        <w:rPr>
          <w:rFonts w:ascii="Times New Roman" w:hAnsi="Times New Roman" w:cs="Times New Roman"/>
          <w:sz w:val="24"/>
          <w:szCs w:val="24"/>
        </w:rPr>
        <w:t xml:space="preserve"> </w:t>
      </w:r>
      <w:r w:rsidRPr="00FD1119">
        <w:rPr>
          <w:rFonts w:ascii="Times New Roman" w:hAnsi="Times New Roman" w:cs="Times New Roman"/>
          <w:i/>
          <w:iCs/>
          <w:sz w:val="24"/>
          <w:szCs w:val="24"/>
        </w:rPr>
        <w:t>x</w:t>
      </w:r>
      <w:r w:rsidRPr="00FD1119">
        <w:rPr>
          <w:rFonts w:ascii="Times New Roman" w:hAnsi="Times New Roman" w:cs="Times New Roman"/>
          <w:sz w:val="24"/>
          <w:szCs w:val="24"/>
        </w:rPr>
        <w:t>=2.07±0.01, χ=1.53±0.01 and γ=2.94±0.02.</w:t>
      </w:r>
    </w:p>
    <w:p w14:paraId="28EF75C4" w14:textId="394ACE0A" w:rsidR="00832601" w:rsidRDefault="00B72ABC">
      <w:pPr>
        <w:ind w:firstLineChars="200" w:firstLine="480"/>
        <w:rPr>
          <w:rFonts w:ascii="Times New Roman" w:hAnsi="Times New Roman" w:cs="Times New Roman"/>
          <w:sz w:val="24"/>
          <w:szCs w:val="24"/>
        </w:rPr>
      </w:pPr>
      <w:r w:rsidRPr="00503506">
        <w:rPr>
          <w:rFonts w:ascii="Times New Roman" w:hAnsi="Times New Roman" w:cs="Times New Roman"/>
          <w:sz w:val="24"/>
          <w:szCs w:val="24"/>
        </w:rPr>
        <w:t>Fig</w:t>
      </w:r>
      <w:r w:rsidR="00503506">
        <w:rPr>
          <w:rFonts w:ascii="Times New Roman" w:hAnsi="Times New Roman" w:cs="Times New Roman"/>
          <w:sz w:val="24"/>
          <w:szCs w:val="24"/>
        </w:rPr>
        <w:t>.</w:t>
      </w:r>
      <w:r w:rsidR="00503506" w:rsidRPr="00503506">
        <w:rPr>
          <w:rFonts w:ascii="Times New Roman" w:hAnsi="Times New Roman" w:cs="Times New Roman"/>
          <w:sz w:val="24"/>
          <w:szCs w:val="24"/>
        </w:rPr>
        <w:t>S1</w:t>
      </w:r>
      <w:r w:rsidRPr="00503506">
        <w:rPr>
          <w:rFonts w:ascii="Times New Roman" w:hAnsi="Times New Roman" w:cs="Times New Roman"/>
          <w:sz w:val="24"/>
          <w:szCs w:val="24"/>
        </w:rPr>
        <w:t xml:space="preserve"> </w:t>
      </w:r>
      <w:r w:rsidR="00FD1119" w:rsidRPr="00503506">
        <w:rPr>
          <w:rFonts w:ascii="Times New Roman" w:hAnsi="Times New Roman" w:cs="Times New Roman"/>
          <w:sz w:val="24"/>
          <w:szCs w:val="24"/>
        </w:rPr>
        <w:t xml:space="preserve">in the supplementary material </w:t>
      </w:r>
      <w:r w:rsidRPr="00503506">
        <w:rPr>
          <w:rFonts w:ascii="Times New Roman" w:hAnsi="Times New Roman" w:cs="Times New Roman"/>
          <w:sz w:val="24"/>
          <w:szCs w:val="24"/>
        </w:rPr>
        <w:t>shows the distribution of waiting times</w:t>
      </w:r>
      <w:r>
        <w:rPr>
          <w:rFonts w:ascii="Times New Roman" w:hAnsi="Times New Roman" w:cs="Times New Roman"/>
          <w:sz w:val="24"/>
          <w:szCs w:val="24"/>
        </w:rPr>
        <w:t xml:space="preserve"> (inter-event times) </w:t>
      </w:r>
      <w:r>
        <w:rPr>
          <w:rFonts w:ascii="Times New Roman" w:hAnsi="Times New Roman" w:cs="Times New Roman" w:hint="eastAsia"/>
          <w:sz w:val="24"/>
          <w:szCs w:val="24"/>
        </w:rPr>
        <w:t xml:space="preserve">for three regimes. </w:t>
      </w:r>
      <w:r>
        <w:rPr>
          <w:rFonts w:ascii="Times New Roman" w:hAnsi="Times New Roman" w:cs="Times New Roman"/>
          <w:sz w:val="24"/>
          <w:szCs w:val="24"/>
        </w:rPr>
        <w:t xml:space="preserve">A Poisson distribution may be valid for small waiting times. For longer waiting times a power law distribution is found with an exponent near 2.3. The Poisson distribution for short waiting times may be caused by signal overlap and the spatial confinement of the avalanches </w:t>
      </w:r>
      <w:r w:rsidR="00AE3736" w:rsidRPr="00AE3736">
        <w:rPr>
          <w:rFonts w:ascii="Times New Roman" w:hAnsi="Times New Roman" w:cs="Times New Roman"/>
          <w:sz w:val="24"/>
          <w:szCs w:val="24"/>
        </w:rPr>
        <w:t>[</w:t>
      </w:r>
      <w:r w:rsidR="00D83C9E">
        <w:rPr>
          <w:rFonts w:ascii="Times New Roman" w:hAnsi="Times New Roman" w:cs="Times New Roman"/>
          <w:sz w:val="24"/>
          <w:szCs w:val="24"/>
        </w:rPr>
        <w:t>30</w:t>
      </w:r>
      <w:r w:rsidRPr="00AE3736">
        <w:rPr>
          <w:rFonts w:ascii="Times New Roman" w:hAnsi="Times New Roman" w:cs="Times New Roman"/>
          <w:sz w:val="24"/>
          <w:szCs w:val="24"/>
        </w:rPr>
        <w:t>].</w:t>
      </w:r>
      <w:r w:rsidR="00AC2C09">
        <w:rPr>
          <w:rFonts w:ascii="Times New Roman" w:hAnsi="Times New Roman" w:cs="Times New Roman"/>
          <w:sz w:val="24"/>
          <w:szCs w:val="24"/>
        </w:rPr>
        <w:t xml:space="preserve"> </w:t>
      </w:r>
      <w:r w:rsidR="0031329D">
        <w:rPr>
          <w:rFonts w:ascii="Times New Roman" w:hAnsi="Times New Roman" w:cs="Times New Roman"/>
          <w:sz w:val="24"/>
          <w:szCs w:val="24"/>
        </w:rPr>
        <w:t xml:space="preserve">The </w:t>
      </w:r>
      <w:r w:rsidR="00AC2C09" w:rsidRPr="00AC2C09">
        <w:rPr>
          <w:rFonts w:ascii="Times New Roman" w:hAnsi="Times New Roman" w:cs="Times New Roman"/>
          <w:sz w:val="24"/>
          <w:szCs w:val="24"/>
          <w:highlight w:val="yellow"/>
        </w:rPr>
        <w:t>Omori law of three regimes show</w:t>
      </w:r>
      <w:r w:rsidR="0031329D">
        <w:rPr>
          <w:rFonts w:ascii="Times New Roman" w:hAnsi="Times New Roman" w:cs="Times New Roman"/>
          <w:sz w:val="24"/>
          <w:szCs w:val="24"/>
          <w:highlight w:val="yellow"/>
        </w:rPr>
        <w:t>n</w:t>
      </w:r>
      <w:r w:rsidR="00AC2C09" w:rsidRPr="00AC2C09">
        <w:rPr>
          <w:rFonts w:ascii="Times New Roman" w:hAnsi="Times New Roman" w:cs="Times New Roman"/>
          <w:sz w:val="24"/>
          <w:szCs w:val="24"/>
          <w:highlight w:val="yellow"/>
        </w:rPr>
        <w:t xml:space="preserve"> in Fig.S2,</w:t>
      </w:r>
      <w:r w:rsidR="00AC2C09">
        <w:rPr>
          <w:rFonts w:ascii="Times New Roman" w:hAnsi="Times New Roman" w:cs="Times New Roman"/>
          <w:sz w:val="24"/>
          <w:szCs w:val="24"/>
        </w:rPr>
        <w:t xml:space="preserve"> </w:t>
      </w:r>
      <w:r w:rsidR="00420D95" w:rsidRPr="00EE6A07">
        <w:rPr>
          <w:rFonts w:ascii="Times New Roman" w:hAnsi="Times New Roman" w:cs="Times New Roman" w:hint="eastAsia"/>
          <w:sz w:val="24"/>
          <w:szCs w:val="24"/>
          <w:highlight w:val="yellow"/>
        </w:rPr>
        <w:t>f</w:t>
      </w:r>
      <w:r w:rsidR="00420D95" w:rsidRPr="00EE6A07">
        <w:rPr>
          <w:rFonts w:ascii="Times New Roman" w:hAnsi="Times New Roman" w:cs="Times New Roman"/>
          <w:sz w:val="24"/>
          <w:szCs w:val="24"/>
          <w:highlight w:val="yellow"/>
        </w:rPr>
        <w:t>rom which we can see that the correlation between mainshock and aftershocks in regime2 is close to regime3. The Bath law in Fig.S3 also shows that regime1 fluctuates sharply around 1.2 while regime2 and 3 are close</w:t>
      </w:r>
      <w:r w:rsidR="0031329D">
        <w:rPr>
          <w:rFonts w:ascii="Times New Roman" w:hAnsi="Times New Roman" w:cs="Times New Roman"/>
          <w:sz w:val="24"/>
          <w:szCs w:val="24"/>
          <w:highlight w:val="yellow"/>
        </w:rPr>
        <w:t xml:space="preserve"> </w:t>
      </w:r>
      <w:r w:rsidR="00420D95" w:rsidRPr="00EE6A07">
        <w:rPr>
          <w:rFonts w:ascii="Times New Roman" w:hAnsi="Times New Roman" w:cs="Times New Roman"/>
          <w:sz w:val="24"/>
          <w:szCs w:val="24"/>
          <w:highlight w:val="yellow"/>
        </w:rPr>
        <w:lastRenderedPageBreak/>
        <w:t>to the theoretical value 1.2</w:t>
      </w:r>
      <w:r w:rsidR="00EE6A07" w:rsidRPr="00EE6A07">
        <w:rPr>
          <w:rFonts w:ascii="Times New Roman" w:hAnsi="Times New Roman" w:cs="Times New Roman"/>
          <w:sz w:val="24"/>
          <w:szCs w:val="24"/>
          <w:highlight w:val="yellow"/>
        </w:rPr>
        <w:t>.</w:t>
      </w:r>
    </w:p>
    <w:p w14:paraId="73B28706" w14:textId="175A637A" w:rsidR="00832601" w:rsidRPr="003B1E5A" w:rsidRDefault="00B72ABC" w:rsidP="003B1E5A">
      <w:pPr>
        <w:autoSpaceDE w:val="0"/>
        <w:autoSpaceDN w:val="0"/>
        <w:adjustRightInd w:val="0"/>
        <w:ind w:firstLineChars="200" w:firstLine="480"/>
        <w:rPr>
          <w:rFonts w:ascii="Times New Roman" w:hAnsi="Times New Roman" w:cs="Times New Roman"/>
          <w:sz w:val="24"/>
          <w:szCs w:val="24"/>
        </w:rPr>
      </w:pPr>
      <w:r w:rsidRPr="003B1E5A">
        <w:rPr>
          <w:rFonts w:ascii="Times New Roman" w:hAnsi="Times New Roman" w:cs="Times New Roman"/>
          <w:sz w:val="24"/>
          <w:szCs w:val="24"/>
        </w:rPr>
        <w:t xml:space="preserve">In order to </w:t>
      </w:r>
      <w:r w:rsidR="0095328C">
        <w:rPr>
          <w:rFonts w:ascii="Times New Roman" w:hAnsi="Times New Roman" w:cs="Times New Roman"/>
          <w:sz w:val="24"/>
          <w:szCs w:val="24"/>
        </w:rPr>
        <w:t>confirm</w:t>
      </w:r>
      <w:r w:rsidRPr="003B1E5A">
        <w:rPr>
          <w:rFonts w:ascii="Times New Roman" w:hAnsi="Times New Roman" w:cs="Times New Roman"/>
          <w:sz w:val="24"/>
          <w:szCs w:val="24"/>
        </w:rPr>
        <w:t xml:space="preserve"> the </w:t>
      </w:r>
      <w:r w:rsidR="008E2DCE">
        <w:rPr>
          <w:rFonts w:ascii="Times New Roman" w:hAnsi="Times New Roman" w:cs="Times New Roman"/>
          <w:sz w:val="24"/>
          <w:szCs w:val="24"/>
        </w:rPr>
        <w:t xml:space="preserve">different </w:t>
      </w:r>
      <w:r w:rsidRPr="003B1E5A">
        <w:rPr>
          <w:rFonts w:ascii="Times New Roman" w:hAnsi="Times New Roman" w:cs="Times New Roman"/>
          <w:sz w:val="24"/>
          <w:szCs w:val="24"/>
        </w:rPr>
        <w:t>origin</w:t>
      </w:r>
      <w:r w:rsidR="008E2DCE">
        <w:rPr>
          <w:rFonts w:ascii="Times New Roman" w:hAnsi="Times New Roman" w:cs="Times New Roman"/>
          <w:sz w:val="24"/>
          <w:szCs w:val="24"/>
        </w:rPr>
        <w:t>s</w:t>
      </w:r>
      <w:r w:rsidRPr="003B1E5A">
        <w:rPr>
          <w:rFonts w:ascii="Times New Roman" w:hAnsi="Times New Roman" w:cs="Times New Roman"/>
          <w:sz w:val="24"/>
          <w:szCs w:val="24"/>
        </w:rPr>
        <w:t xml:space="preserve"> of the two avalanches processes, we observed the tensile fracture </w:t>
      </w:r>
      <w:r w:rsidRPr="003B1E5A">
        <w:rPr>
          <w:rFonts w:ascii="AdvGulliv-R" w:eastAsia="宋体" w:hAnsi="AdvGulliv-R" w:cs="AdvGulliv-R"/>
          <w:kern w:val="0"/>
          <w:sz w:val="24"/>
          <w:szCs w:val="24"/>
        </w:rPr>
        <w:t>morphology</w:t>
      </w:r>
      <w:r w:rsidRPr="003B1E5A">
        <w:rPr>
          <w:rFonts w:ascii="Times New Roman" w:hAnsi="Times New Roman" w:cs="Times New Roman"/>
          <w:sz w:val="24"/>
          <w:szCs w:val="24"/>
        </w:rPr>
        <w:t xml:space="preserve"> by comparison of the AE spectra with scanning electron micrograph (Fig.</w:t>
      </w:r>
      <w:r w:rsidR="00503506">
        <w:rPr>
          <w:rFonts w:ascii="Times New Roman" w:hAnsi="Times New Roman" w:cs="Times New Roman"/>
          <w:sz w:val="24"/>
          <w:szCs w:val="24"/>
        </w:rPr>
        <w:t>1(b-c)</w:t>
      </w:r>
      <w:r w:rsidRPr="003B1E5A">
        <w:rPr>
          <w:rFonts w:ascii="Times New Roman" w:hAnsi="Times New Roman" w:cs="Times New Roman"/>
          <w:sz w:val="24"/>
          <w:szCs w:val="24"/>
        </w:rPr>
        <w:t>). We observed a large number of dimples distributed at the joints of the powders at the fractures in</w:t>
      </w:r>
      <w:r w:rsidR="00503506">
        <w:rPr>
          <w:rFonts w:ascii="Times New Roman" w:hAnsi="Times New Roman" w:cs="Times New Roman"/>
          <w:sz w:val="24"/>
          <w:szCs w:val="24"/>
        </w:rPr>
        <w:t xml:space="preserve"> the vertical direction (Fig.</w:t>
      </w:r>
      <w:r w:rsidR="006C7269">
        <w:rPr>
          <w:rFonts w:ascii="Times New Roman" w:hAnsi="Times New Roman" w:cs="Times New Roman"/>
          <w:sz w:val="24"/>
          <w:szCs w:val="24"/>
        </w:rPr>
        <w:t>1</w:t>
      </w:r>
      <w:r w:rsidR="00503506">
        <w:rPr>
          <w:rFonts w:ascii="Times New Roman" w:hAnsi="Times New Roman" w:cs="Times New Roman"/>
          <w:sz w:val="24"/>
          <w:szCs w:val="24"/>
        </w:rPr>
        <w:t>(b</w:t>
      </w:r>
      <w:r w:rsidRPr="003B1E5A">
        <w:rPr>
          <w:rFonts w:ascii="Times New Roman" w:hAnsi="Times New Roman" w:cs="Times New Roman"/>
          <w:sz w:val="24"/>
          <w:szCs w:val="24"/>
        </w:rPr>
        <w:t>)). These dimples show typical plastic deformation characteristics of traditional 316L stainless steel. Meanwhile, they also have the unique morphology of powder metallurgy materials. The fracture surface in the horizontal direction shows a large n</w:t>
      </w:r>
      <w:r w:rsidR="00503506">
        <w:rPr>
          <w:rFonts w:ascii="Times New Roman" w:hAnsi="Times New Roman" w:cs="Times New Roman"/>
          <w:sz w:val="24"/>
          <w:szCs w:val="24"/>
        </w:rPr>
        <w:t>umber of macro-cracks in Fig.</w:t>
      </w:r>
      <w:r w:rsidR="006C7269">
        <w:rPr>
          <w:rFonts w:ascii="Times New Roman" w:hAnsi="Times New Roman" w:cs="Times New Roman"/>
          <w:sz w:val="24"/>
          <w:szCs w:val="24"/>
        </w:rPr>
        <w:t>1</w:t>
      </w:r>
      <w:r w:rsidR="00503506">
        <w:rPr>
          <w:rFonts w:ascii="Times New Roman" w:hAnsi="Times New Roman" w:cs="Times New Roman"/>
          <w:sz w:val="24"/>
          <w:szCs w:val="24"/>
        </w:rPr>
        <w:t>(c</w:t>
      </w:r>
      <w:r w:rsidRPr="003B1E5A">
        <w:rPr>
          <w:rFonts w:ascii="Times New Roman" w:hAnsi="Times New Roman" w:cs="Times New Roman"/>
          <w:sz w:val="24"/>
          <w:szCs w:val="24"/>
        </w:rPr>
        <w:t>). The density of the cracks increases when it is closer to the fracture surface. The different crack density is a good illustration of the uneven deformation of the sample due to the existence of a large number of holes and micro-cracks occurred in many places during the stretching process. As the tensile force increases, the micro-cracks gradually form macro-cracks and cause sample failure. This is also the reason why the stress-strain curve in Fig.2(a) reaches the maximum stress does not break immediately but slowly drops in regime 3.</w:t>
      </w:r>
    </w:p>
    <w:p w14:paraId="22F2D955" w14:textId="5F92F58D" w:rsidR="00832601" w:rsidRPr="00CD3B65" w:rsidRDefault="00B72ABC" w:rsidP="001A34AA">
      <w:pPr>
        <w:autoSpaceDE w:val="0"/>
        <w:autoSpaceDN w:val="0"/>
        <w:adjustRightInd w:val="0"/>
        <w:ind w:firstLineChars="200" w:firstLine="480"/>
        <w:rPr>
          <w:rFonts w:ascii="Times New Roman" w:hAnsi="Times New Roman" w:cs="Times New Roman"/>
          <w:sz w:val="24"/>
          <w:szCs w:val="24"/>
          <w:highlight w:val="yellow"/>
        </w:rPr>
      </w:pPr>
      <w:r w:rsidRPr="003B1E5A">
        <w:rPr>
          <w:rFonts w:ascii="Times New Roman" w:hAnsi="Times New Roman" w:cs="Times New Roman"/>
          <w:sz w:val="24"/>
          <w:szCs w:val="24"/>
        </w:rPr>
        <w:t>By comparing the microscopic images and mechanical properties, we find that the porous 316L stainless steel prepared by powder metallurgy retains dislocation motions of t</w:t>
      </w:r>
      <w:r w:rsidR="00DA1970">
        <w:rPr>
          <w:rFonts w:ascii="Times New Roman" w:hAnsi="Times New Roman" w:cs="Times New Roman"/>
          <w:sz w:val="24"/>
          <w:szCs w:val="24"/>
        </w:rPr>
        <w:t>raditional cold-rolled steel [3</w:t>
      </w:r>
      <w:r w:rsidR="00D83C9E">
        <w:rPr>
          <w:rFonts w:ascii="Times New Roman" w:hAnsi="Times New Roman" w:cs="Times New Roman"/>
          <w:sz w:val="24"/>
          <w:szCs w:val="24"/>
        </w:rPr>
        <w:t>1</w:t>
      </w:r>
      <w:r w:rsidR="00420FCC">
        <w:rPr>
          <w:rFonts w:ascii="Times New Roman" w:hAnsi="Times New Roman" w:cs="Times New Roman"/>
          <w:sz w:val="24"/>
          <w:szCs w:val="24"/>
        </w:rPr>
        <w:t>-3</w:t>
      </w:r>
      <w:r w:rsidR="00D83C9E">
        <w:rPr>
          <w:rFonts w:ascii="Times New Roman" w:hAnsi="Times New Roman" w:cs="Times New Roman"/>
          <w:sz w:val="24"/>
          <w:szCs w:val="24"/>
        </w:rPr>
        <w:t>2</w:t>
      </w:r>
      <w:r w:rsidRPr="003B1E5A">
        <w:rPr>
          <w:rFonts w:ascii="Times New Roman" w:hAnsi="Times New Roman" w:cs="Times New Roman"/>
          <w:sz w:val="24"/>
          <w:szCs w:val="24"/>
        </w:rPr>
        <w:t xml:space="preserve">] at the beginning of </w:t>
      </w:r>
      <w:r w:rsidR="00453C25">
        <w:rPr>
          <w:rFonts w:ascii="Times New Roman" w:hAnsi="Times New Roman" w:cs="Times New Roman"/>
          <w:sz w:val="24"/>
          <w:szCs w:val="24"/>
        </w:rPr>
        <w:t xml:space="preserve">the </w:t>
      </w:r>
      <w:r w:rsidRPr="003B1E5A">
        <w:rPr>
          <w:rFonts w:ascii="Times New Roman" w:hAnsi="Times New Roman" w:cs="Times New Roman"/>
          <w:sz w:val="24"/>
          <w:szCs w:val="24"/>
        </w:rPr>
        <w:t>tension</w:t>
      </w:r>
      <w:r w:rsidR="00453C25">
        <w:rPr>
          <w:rFonts w:ascii="Times New Roman" w:hAnsi="Times New Roman" w:cs="Times New Roman"/>
          <w:sz w:val="24"/>
          <w:szCs w:val="24"/>
        </w:rPr>
        <w:t xml:space="preserve"> experiment</w:t>
      </w:r>
      <w:r w:rsidRPr="003B1E5A">
        <w:rPr>
          <w:rFonts w:ascii="Times New Roman" w:hAnsi="Times New Roman" w:cs="Times New Roman"/>
          <w:sz w:val="24"/>
          <w:szCs w:val="24"/>
        </w:rPr>
        <w:t xml:space="preserve">. A new mechanism occurs at </w:t>
      </w:r>
      <w:r w:rsidR="00453C25">
        <w:rPr>
          <w:rFonts w:ascii="Times New Roman" w:hAnsi="Times New Roman" w:cs="Times New Roman"/>
          <w:sz w:val="24"/>
          <w:szCs w:val="24"/>
        </w:rPr>
        <w:t>a</w:t>
      </w:r>
      <w:r w:rsidRPr="003B1E5A">
        <w:rPr>
          <w:rFonts w:ascii="Times New Roman" w:hAnsi="Times New Roman" w:cs="Times New Roman"/>
          <w:sz w:val="24"/>
          <w:szCs w:val="24"/>
        </w:rPr>
        <w:t xml:space="preserve"> later stage of deformation, namely crack propagation initiated by the high porosity. The exponent ε=2.24 in regime 1 correlates with dislocation motions.</w:t>
      </w:r>
      <w:r w:rsidRPr="00CD3396">
        <w:rPr>
          <w:rFonts w:ascii="Times New Roman" w:hAnsi="Times New Roman" w:cs="Times New Roman"/>
          <w:sz w:val="24"/>
          <w:szCs w:val="24"/>
        </w:rPr>
        <w:t xml:space="preserve"> Crack propagation reveals typical exponents around ε=1.6 in regime 3,</w:t>
      </w:r>
      <w:r w:rsidRPr="003B1E5A">
        <w:rPr>
          <w:rFonts w:ascii="Times New Roman" w:hAnsi="Times New Roman" w:cs="Times New Roman"/>
          <w:sz w:val="24"/>
          <w:szCs w:val="24"/>
        </w:rPr>
        <w:t xml:space="preserve"> whereas in regime 2 both mechanisms coexist and show mixing behavio</w:t>
      </w:r>
      <w:r w:rsidR="00CD3396">
        <w:rPr>
          <w:rFonts w:ascii="Times New Roman" w:hAnsi="Times New Roman" w:cs="Times New Roman"/>
          <w:sz w:val="24"/>
          <w:szCs w:val="24"/>
        </w:rPr>
        <w:t>r. Previously, Ma°løy et al. [3</w:t>
      </w:r>
      <w:r w:rsidR="00D83C9E">
        <w:rPr>
          <w:rFonts w:ascii="Times New Roman" w:hAnsi="Times New Roman" w:cs="Times New Roman"/>
          <w:sz w:val="24"/>
          <w:szCs w:val="24"/>
        </w:rPr>
        <w:t>3</w:t>
      </w:r>
      <w:r w:rsidRPr="003B1E5A">
        <w:rPr>
          <w:rFonts w:ascii="Times New Roman" w:hAnsi="Times New Roman" w:cs="Times New Roman"/>
          <w:sz w:val="24"/>
          <w:szCs w:val="24"/>
        </w:rPr>
        <w:t xml:space="preserve">] studied the propagation of an interfacial crack along a heterogeneous transparent </w:t>
      </w:r>
      <w:r w:rsidR="002D279B" w:rsidRPr="003B1E5A">
        <w:rPr>
          <w:rFonts w:ascii="Times New Roman" w:hAnsi="Times New Roman" w:cs="Times New Roman"/>
          <w:sz w:val="24"/>
          <w:szCs w:val="24"/>
        </w:rPr>
        <w:t>Plexiglas</w:t>
      </w:r>
      <w:r w:rsidRPr="003B1E5A">
        <w:rPr>
          <w:rFonts w:ascii="Times New Roman" w:hAnsi="Times New Roman" w:cs="Times New Roman"/>
          <w:sz w:val="24"/>
          <w:szCs w:val="24"/>
        </w:rPr>
        <w:t xml:space="preserve"> block and obtained a similar exponent around 1.7.</w:t>
      </w:r>
      <w:r w:rsidR="002D279B" w:rsidRPr="002D279B">
        <w:rPr>
          <w:rFonts w:ascii="Times New Roman" w:hAnsi="Times New Roman" w:cs="Times New Roman"/>
          <w:sz w:val="24"/>
          <w:szCs w:val="24"/>
        </w:rPr>
        <w:t xml:space="preserve"> </w:t>
      </w:r>
      <w:r w:rsidR="0097210E">
        <w:rPr>
          <w:rFonts w:ascii="Times New Roman" w:hAnsi="Times New Roman" w:cs="Times New Roman"/>
          <w:sz w:val="24"/>
          <w:szCs w:val="24"/>
        </w:rPr>
        <w:t>Theory of crackling dynamics in m</w:t>
      </w:r>
      <w:r w:rsidR="002D279B" w:rsidRPr="002D279B">
        <w:rPr>
          <w:rFonts w:ascii="Times New Roman" w:hAnsi="Times New Roman" w:cs="Times New Roman"/>
          <w:sz w:val="24"/>
          <w:szCs w:val="24"/>
        </w:rPr>
        <w:t>a</w:t>
      </w:r>
      <w:r w:rsidR="0097210E">
        <w:rPr>
          <w:rFonts w:ascii="Times New Roman" w:hAnsi="Times New Roman" w:cs="Times New Roman"/>
          <w:sz w:val="24"/>
          <w:szCs w:val="24"/>
        </w:rPr>
        <w:t>terial f</w:t>
      </w:r>
      <w:r w:rsidR="002D279B" w:rsidRPr="002D279B">
        <w:rPr>
          <w:rFonts w:ascii="Times New Roman" w:hAnsi="Times New Roman" w:cs="Times New Roman"/>
          <w:sz w:val="24"/>
          <w:szCs w:val="24"/>
        </w:rPr>
        <w:t xml:space="preserve">ailure also shows </w:t>
      </w:r>
      <w:r w:rsidR="00453C25">
        <w:rPr>
          <w:rFonts w:ascii="Times New Roman" w:hAnsi="Times New Roman" w:cs="Times New Roman"/>
          <w:sz w:val="24"/>
          <w:szCs w:val="24"/>
        </w:rPr>
        <w:t xml:space="preserve">an </w:t>
      </w:r>
      <w:r w:rsidR="002D279B" w:rsidRPr="002D279B">
        <w:rPr>
          <w:rFonts w:ascii="Times New Roman" w:hAnsi="Times New Roman" w:cs="Times New Roman"/>
          <w:sz w:val="24"/>
          <w:szCs w:val="24"/>
        </w:rPr>
        <w:t>exponent of 1.65</w:t>
      </w:r>
      <w:r w:rsidR="00453C25">
        <w:rPr>
          <w:rFonts w:ascii="Times New Roman" w:hAnsi="Times New Roman" w:cs="Times New Roman"/>
          <w:sz w:val="24"/>
          <w:szCs w:val="24"/>
        </w:rPr>
        <w:t xml:space="preserve"> </w:t>
      </w:r>
      <w:r w:rsidR="002D279B" w:rsidRPr="002D279B">
        <w:rPr>
          <w:rFonts w:ascii="Times New Roman" w:hAnsi="Times New Roman" w:cs="Times New Roman"/>
          <w:sz w:val="24"/>
          <w:szCs w:val="24"/>
        </w:rPr>
        <w:t>[3</w:t>
      </w:r>
      <w:r w:rsidR="00D83C9E">
        <w:rPr>
          <w:rFonts w:ascii="Times New Roman" w:hAnsi="Times New Roman" w:cs="Times New Roman"/>
          <w:sz w:val="24"/>
          <w:szCs w:val="24"/>
        </w:rPr>
        <w:t>4</w:t>
      </w:r>
      <w:r w:rsidR="002D279B" w:rsidRPr="009D3DDE">
        <w:rPr>
          <w:rFonts w:ascii="Times New Roman" w:hAnsi="Times New Roman" w:cs="Times New Roman"/>
          <w:sz w:val="24"/>
          <w:szCs w:val="24"/>
        </w:rPr>
        <w:t>].</w:t>
      </w:r>
      <w:r w:rsidR="00CD3B65" w:rsidRPr="009D3DDE">
        <w:rPr>
          <w:rFonts w:ascii="Times New Roman" w:hAnsi="Times New Roman" w:cs="Times New Roman"/>
          <w:sz w:val="24"/>
          <w:szCs w:val="24"/>
        </w:rPr>
        <w:t xml:space="preserve"> </w:t>
      </w:r>
      <w:r w:rsidR="00CD3B65" w:rsidRPr="00CD3B65">
        <w:rPr>
          <w:rFonts w:ascii="Times New Roman" w:hAnsi="Times New Roman" w:cs="Times New Roman"/>
          <w:sz w:val="24"/>
          <w:szCs w:val="24"/>
          <w:highlight w:val="yellow"/>
        </w:rPr>
        <w:t>The mixed regime may contain trigger events [</w:t>
      </w:r>
      <w:r w:rsidR="00CD3B65">
        <w:rPr>
          <w:rFonts w:ascii="Times New Roman" w:hAnsi="Times New Roman" w:cs="Times New Roman"/>
          <w:sz w:val="24"/>
          <w:szCs w:val="24"/>
          <w:highlight w:val="yellow"/>
        </w:rPr>
        <w:t>3</w:t>
      </w:r>
      <w:r w:rsidR="00D83C9E">
        <w:rPr>
          <w:rFonts w:ascii="Times New Roman" w:hAnsi="Times New Roman" w:cs="Times New Roman"/>
          <w:sz w:val="24"/>
          <w:szCs w:val="24"/>
          <w:highlight w:val="yellow"/>
        </w:rPr>
        <w:t>5</w:t>
      </w:r>
      <w:r w:rsidR="000A3FD3">
        <w:rPr>
          <w:rFonts w:ascii="Times New Roman" w:hAnsi="Times New Roman" w:cs="Times New Roman"/>
          <w:sz w:val="24"/>
          <w:szCs w:val="24"/>
          <w:highlight w:val="yellow"/>
        </w:rPr>
        <w:t>]</w:t>
      </w:r>
      <w:r w:rsidR="0031329D">
        <w:rPr>
          <w:rFonts w:ascii="Times New Roman" w:hAnsi="Times New Roman" w:cs="Times New Roman"/>
          <w:sz w:val="24"/>
          <w:szCs w:val="24"/>
          <w:highlight w:val="yellow"/>
        </w:rPr>
        <w:t>.</w:t>
      </w:r>
      <w:r w:rsidR="00CD3B65" w:rsidRPr="00CD3B65">
        <w:rPr>
          <w:rFonts w:ascii="Times New Roman" w:hAnsi="Times New Roman" w:cs="Times New Roman"/>
          <w:sz w:val="24"/>
          <w:szCs w:val="24"/>
          <w:highlight w:val="yellow"/>
        </w:rPr>
        <w:t xml:space="preserve"> </w:t>
      </w:r>
      <w:r w:rsidR="0031329D">
        <w:rPr>
          <w:rFonts w:ascii="Times New Roman" w:hAnsi="Times New Roman" w:cs="Times New Roman"/>
          <w:sz w:val="24"/>
          <w:szCs w:val="24"/>
          <w:highlight w:val="yellow"/>
        </w:rPr>
        <w:t>I</w:t>
      </w:r>
      <w:r w:rsidR="004B2563">
        <w:rPr>
          <w:rFonts w:ascii="Times New Roman" w:hAnsi="Times New Roman" w:cs="Times New Roman"/>
          <w:sz w:val="24"/>
          <w:szCs w:val="24"/>
          <w:highlight w:val="yellow"/>
        </w:rPr>
        <w:t xml:space="preserve">n </w:t>
      </w:r>
      <w:r w:rsidR="00CD3B65" w:rsidRPr="00CD3B65">
        <w:rPr>
          <w:rFonts w:ascii="Times New Roman" w:hAnsi="Times New Roman" w:cs="Times New Roman"/>
          <w:sz w:val="24"/>
          <w:szCs w:val="24"/>
          <w:highlight w:val="yellow"/>
        </w:rPr>
        <w:t>[</w:t>
      </w:r>
      <w:r w:rsidR="00CD3B65">
        <w:rPr>
          <w:rFonts w:ascii="Times New Roman" w:hAnsi="Times New Roman" w:cs="Times New Roman"/>
          <w:sz w:val="24"/>
          <w:szCs w:val="24"/>
          <w:highlight w:val="yellow"/>
        </w:rPr>
        <w:t>3</w:t>
      </w:r>
      <w:r w:rsidR="00D83C9E">
        <w:rPr>
          <w:rFonts w:ascii="Times New Roman" w:hAnsi="Times New Roman" w:cs="Times New Roman"/>
          <w:sz w:val="24"/>
          <w:szCs w:val="24"/>
          <w:highlight w:val="yellow"/>
        </w:rPr>
        <w:t>6</w:t>
      </w:r>
      <w:r w:rsidR="00CD3B65" w:rsidRPr="00CD3B65">
        <w:rPr>
          <w:rFonts w:ascii="Times New Roman" w:hAnsi="Times New Roman" w:cs="Times New Roman"/>
          <w:sz w:val="24"/>
          <w:szCs w:val="24"/>
          <w:highlight w:val="yellow"/>
        </w:rPr>
        <w:t xml:space="preserve">] </w:t>
      </w:r>
      <w:r w:rsidR="0031329D">
        <w:rPr>
          <w:rFonts w:ascii="Times New Roman" w:hAnsi="Times New Roman" w:cs="Times New Roman"/>
          <w:sz w:val="24"/>
          <w:szCs w:val="24"/>
          <w:highlight w:val="yellow"/>
        </w:rPr>
        <w:t xml:space="preserve">it was reported that </w:t>
      </w:r>
      <w:r w:rsidR="00CD3B65" w:rsidRPr="00CD3B65">
        <w:rPr>
          <w:rFonts w:ascii="Times New Roman" w:hAnsi="Times New Roman" w:cs="Times New Roman"/>
          <w:sz w:val="24"/>
          <w:szCs w:val="24"/>
          <w:highlight w:val="yellow"/>
        </w:rPr>
        <w:t>dislocations induce crack propagation and the reverse</w:t>
      </w:r>
      <w:r w:rsidR="0031329D">
        <w:rPr>
          <w:rFonts w:ascii="Times New Roman" w:hAnsi="Times New Roman" w:cs="Times New Roman"/>
          <w:sz w:val="24"/>
          <w:szCs w:val="24"/>
          <w:highlight w:val="yellow"/>
        </w:rPr>
        <w:t xml:space="preserve"> mechanism</w:t>
      </w:r>
      <w:r w:rsidR="00CD3B65" w:rsidRPr="00CD3B65">
        <w:rPr>
          <w:rFonts w:ascii="Times New Roman" w:hAnsi="Times New Roman" w:cs="Times New Roman"/>
          <w:sz w:val="24"/>
          <w:szCs w:val="24"/>
          <w:highlight w:val="yellow"/>
        </w:rPr>
        <w:t>. The statistical analyses of interevent times and of the Bath law (</w:t>
      </w:r>
      <w:r w:rsidR="00915119" w:rsidRPr="00915119">
        <w:rPr>
          <w:rFonts w:ascii="Times New Roman" w:hAnsi="Times New Roman" w:cs="Times New Roman"/>
          <w:sz w:val="24"/>
          <w:szCs w:val="24"/>
          <w:highlight w:val="yellow"/>
        </w:rPr>
        <w:t>see supplementary Fig.S</w:t>
      </w:r>
      <w:r w:rsidR="00881B1A">
        <w:rPr>
          <w:rFonts w:ascii="Times New Roman" w:hAnsi="Times New Roman" w:cs="Times New Roman"/>
          <w:sz w:val="24"/>
          <w:szCs w:val="24"/>
          <w:highlight w:val="yellow"/>
        </w:rPr>
        <w:t>1-S3</w:t>
      </w:r>
      <w:r w:rsidR="00CD3B65" w:rsidRPr="00CD3B65">
        <w:rPr>
          <w:rFonts w:ascii="Times New Roman" w:hAnsi="Times New Roman" w:cs="Times New Roman"/>
          <w:sz w:val="24"/>
          <w:szCs w:val="24"/>
          <w:highlight w:val="yellow"/>
        </w:rPr>
        <w:t>) do not imply trigger events with only two significant time correlations, namely that of dislocations and crack propagation, but no obvious cross correlation</w:t>
      </w:r>
      <w:r w:rsidR="0031329D">
        <w:rPr>
          <w:rFonts w:ascii="Times New Roman" w:hAnsi="Times New Roman" w:cs="Times New Roman"/>
          <w:sz w:val="24"/>
          <w:szCs w:val="24"/>
          <w:highlight w:val="yellow"/>
        </w:rPr>
        <w:t>s</w:t>
      </w:r>
      <w:r w:rsidR="00CD3B65" w:rsidRPr="00CD3B65">
        <w:rPr>
          <w:rFonts w:ascii="Times New Roman" w:hAnsi="Times New Roman" w:cs="Times New Roman"/>
          <w:sz w:val="24"/>
          <w:szCs w:val="24"/>
          <w:highlight w:val="yellow"/>
        </w:rPr>
        <w:t>.</w:t>
      </w:r>
    </w:p>
    <w:p w14:paraId="5EA265A8" w14:textId="21E8E655" w:rsidR="00832601" w:rsidRDefault="00B72ABC" w:rsidP="00105636">
      <w:pPr>
        <w:autoSpaceDE w:val="0"/>
        <w:autoSpaceDN w:val="0"/>
        <w:adjustRightInd w:val="0"/>
        <w:ind w:firstLineChars="200" w:firstLine="480"/>
        <w:rPr>
          <w:rFonts w:ascii="Times New Roman" w:hAnsi="Times New Roman" w:cs="Times New Roman" w:hint="eastAsia"/>
          <w:sz w:val="24"/>
          <w:szCs w:val="24"/>
        </w:rPr>
      </w:pPr>
      <w:r w:rsidRPr="003B1E5A">
        <w:rPr>
          <w:rFonts w:ascii="Times New Roman" w:hAnsi="Times New Roman" w:cs="Times New Roman"/>
          <w:sz w:val="24"/>
          <w:szCs w:val="24"/>
        </w:rPr>
        <w:t>The values of experiment and the theoretical force integrated mean field (MF) model are compared in Table 2. The relationship between exponents of crack propagation and the theoretical values agree very well in regime 3. The values of the dislocation motion are much higher than the force integrated MF value. These results may be caused by the high porosity, which makes the sample easy to generate a large number of dislocations but makes it difficult to cause l</w:t>
      </w:r>
      <w:r>
        <w:rPr>
          <w:rFonts w:ascii="Times New Roman" w:hAnsi="Times New Roman" w:cs="Times New Roman"/>
          <w:sz w:val="24"/>
          <w:szCs w:val="24"/>
        </w:rPr>
        <w:t>ong-range dislocation movement.</w:t>
      </w:r>
    </w:p>
    <w:p w14:paraId="1722C536" w14:textId="77777777" w:rsidR="00832601" w:rsidRPr="00513763" w:rsidRDefault="00B72ABC" w:rsidP="00513763">
      <w:pPr>
        <w:spacing w:afterLines="50" w:after="156"/>
        <w:jc w:val="center"/>
        <w:rPr>
          <w:rFonts w:ascii="Times New Roman" w:hAnsi="Times New Roman" w:cs="Times New Roman"/>
          <w:b/>
          <w:szCs w:val="24"/>
        </w:rPr>
      </w:pPr>
      <w:r w:rsidRPr="00513763">
        <w:rPr>
          <w:rFonts w:ascii="Times New Roman" w:hAnsi="Times New Roman" w:cs="Times New Roman"/>
          <w:b/>
          <w:szCs w:val="24"/>
        </w:rPr>
        <w:t>Table2 Scaling consistency of three regimes.</w:t>
      </w:r>
    </w:p>
    <w:tbl>
      <w:tblPr>
        <w:tblStyle w:val="21"/>
        <w:tblW w:w="7484" w:type="dxa"/>
        <w:jc w:val="center"/>
        <w:tblLook w:val="04A0" w:firstRow="1" w:lastRow="0" w:firstColumn="1" w:lastColumn="0" w:noHBand="0" w:noVBand="1"/>
      </w:tblPr>
      <w:tblGrid>
        <w:gridCol w:w="1782"/>
        <w:gridCol w:w="557"/>
        <w:gridCol w:w="572"/>
        <w:gridCol w:w="633"/>
        <w:gridCol w:w="572"/>
        <w:gridCol w:w="572"/>
        <w:gridCol w:w="572"/>
        <w:gridCol w:w="572"/>
        <w:gridCol w:w="802"/>
        <w:gridCol w:w="850"/>
      </w:tblGrid>
      <w:tr w:rsidR="00513763" w14:paraId="0B5CAE8A" w14:textId="77777777" w:rsidTr="00105636">
        <w:trPr>
          <w:cnfStyle w:val="100000000000" w:firstRow="1" w:lastRow="0" w:firstColumn="0" w:lastColumn="0" w:oddVBand="0" w:evenVBand="0" w:oddHBand="0"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782" w:type="dxa"/>
            <w:vAlign w:val="center"/>
          </w:tcPr>
          <w:p w14:paraId="2BF460AA" w14:textId="77777777" w:rsidR="00832601" w:rsidRDefault="00832601">
            <w:pPr>
              <w:widowControl/>
              <w:spacing w:before="100" w:beforeAutospacing="1" w:after="100" w:afterAutospacing="1"/>
              <w:jc w:val="center"/>
              <w:rPr>
                <w:rFonts w:ascii="Times New Roman" w:eastAsia="宋体" w:hAnsi="Times New Roman" w:cs="Times New Roman"/>
                <w:b w:val="0"/>
                <w:bCs w:val="0"/>
                <w:kern w:val="0"/>
                <w:szCs w:val="21"/>
              </w:rPr>
            </w:pPr>
          </w:p>
        </w:tc>
        <w:tc>
          <w:tcPr>
            <w:tcW w:w="557" w:type="dxa"/>
            <w:vAlign w:val="center"/>
          </w:tcPr>
          <w:p w14:paraId="592D2E80"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ε</w:t>
            </w:r>
          </w:p>
        </w:tc>
        <w:tc>
          <w:tcPr>
            <w:tcW w:w="572" w:type="dxa"/>
            <w:vAlign w:val="center"/>
          </w:tcPr>
          <w:p w14:paraId="355DCF0D"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τ’</w:t>
            </w:r>
          </w:p>
        </w:tc>
        <w:tc>
          <w:tcPr>
            <w:tcW w:w="633" w:type="dxa"/>
            <w:vAlign w:val="center"/>
          </w:tcPr>
          <w:p w14:paraId="6ADCE46F"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α</w:t>
            </w:r>
          </w:p>
        </w:tc>
        <w:tc>
          <w:tcPr>
            <w:tcW w:w="572" w:type="dxa"/>
            <w:vAlign w:val="center"/>
          </w:tcPr>
          <w:p w14:paraId="373477CD"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Cs w:val="21"/>
              </w:rPr>
            </w:pPr>
            <w:r>
              <w:rPr>
                <w:rFonts w:ascii="Times New Roman" w:eastAsia="宋体" w:hAnsi="Times New Roman" w:cs="Times New Roman"/>
                <w:i/>
                <w:iCs/>
                <w:color w:val="000000"/>
                <w:kern w:val="0"/>
                <w:szCs w:val="21"/>
              </w:rPr>
              <w:t>x</w:t>
            </w:r>
          </w:p>
        </w:tc>
        <w:tc>
          <w:tcPr>
            <w:tcW w:w="572" w:type="dxa"/>
            <w:vAlign w:val="center"/>
          </w:tcPr>
          <w:p w14:paraId="72E4C883"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χ</w:t>
            </w:r>
          </w:p>
        </w:tc>
        <w:tc>
          <w:tcPr>
            <w:tcW w:w="572" w:type="dxa"/>
            <w:vAlign w:val="center"/>
          </w:tcPr>
          <w:p w14:paraId="4DED5003"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γ</w:t>
            </w:r>
          </w:p>
        </w:tc>
        <w:tc>
          <w:tcPr>
            <w:tcW w:w="572" w:type="dxa"/>
            <w:vAlign w:val="center"/>
          </w:tcPr>
          <w:p w14:paraId="242357D6"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Cs w:val="21"/>
              </w:rPr>
            </w:pPr>
            <w:r>
              <w:rPr>
                <w:rFonts w:ascii="Times New Roman" w:eastAsia="宋体" w:hAnsi="Times New Roman" w:cs="Times New Roman"/>
                <w:color w:val="000000"/>
                <w:kern w:val="0"/>
                <w:szCs w:val="21"/>
              </w:rPr>
              <w:t>τ’-1</w:t>
            </w:r>
          </w:p>
        </w:tc>
        <w:tc>
          <w:tcPr>
            <w:tcW w:w="802" w:type="dxa"/>
            <w:vAlign w:val="center"/>
          </w:tcPr>
          <w:p w14:paraId="7AED70EC" w14:textId="77777777" w:rsidR="00832601" w:rsidRDefault="00B72ABC">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Cs w:val="21"/>
              </w:rPr>
            </w:pPr>
            <w:r>
              <w:rPr>
                <w:rFonts w:ascii="Times New Roman" w:eastAsia="宋体" w:hAnsi="Times New Roman" w:cs="Times New Roman"/>
                <w:color w:val="000000"/>
                <w:kern w:val="0"/>
                <w:szCs w:val="21"/>
              </w:rPr>
              <w:t>(ε-1)</w:t>
            </w:r>
            <w:r>
              <w:rPr>
                <w:rFonts w:ascii="Times New Roman" w:eastAsia="宋体" w:hAnsi="Times New Roman" w:cs="Times New Roman"/>
                <w:i/>
                <w:iCs/>
                <w:color w:val="000000"/>
                <w:kern w:val="0"/>
                <w:szCs w:val="21"/>
              </w:rPr>
              <w:t>x</w:t>
            </w:r>
          </w:p>
        </w:tc>
        <w:tc>
          <w:tcPr>
            <w:tcW w:w="850" w:type="dxa"/>
            <w:vAlign w:val="center"/>
          </w:tcPr>
          <w:p w14:paraId="0212192E" w14:textId="3508F1C5" w:rsidR="00832601" w:rsidRDefault="00513763">
            <w:pPr>
              <w:widowControl/>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kern w:val="0"/>
                <w:szCs w:val="21"/>
              </w:rPr>
            </w:pPr>
            <w:r>
              <w:rPr>
                <w:rFonts w:ascii="Times New Roman" w:eastAsia="宋体" w:hAnsi="Times New Roman" w:cs="Times New Roman"/>
                <w:color w:val="000000"/>
                <w:kern w:val="0"/>
                <w:szCs w:val="21"/>
              </w:rPr>
              <w:t>(</w:t>
            </w:r>
            <w:r w:rsidR="00B72ABC">
              <w:rPr>
                <w:rFonts w:ascii="Times New Roman" w:eastAsia="宋体" w:hAnsi="Times New Roman" w:cs="Times New Roman"/>
                <w:color w:val="000000"/>
                <w:kern w:val="0"/>
                <w:szCs w:val="21"/>
              </w:rPr>
              <w:t>α-1)/χ</w:t>
            </w:r>
          </w:p>
        </w:tc>
      </w:tr>
      <w:tr w:rsidR="00513763" w14:paraId="208D54D0" w14:textId="77777777" w:rsidTr="00105636">
        <w:trPr>
          <w:trHeight w:val="265"/>
          <w:jc w:val="center"/>
        </w:trPr>
        <w:tc>
          <w:tcPr>
            <w:cnfStyle w:val="001000000000" w:firstRow="0" w:lastRow="0" w:firstColumn="1" w:lastColumn="0" w:oddVBand="0" w:evenVBand="0" w:oddHBand="0" w:evenHBand="0" w:firstRowFirstColumn="0" w:firstRowLastColumn="0" w:lastRowFirstColumn="0" w:lastRowLastColumn="0"/>
            <w:tcW w:w="1782" w:type="dxa"/>
            <w:tcBorders>
              <w:top w:val="single" w:sz="4" w:space="0" w:color="7F7F7F" w:themeColor="text1" w:themeTint="80"/>
              <w:bottom w:val="single" w:sz="4" w:space="0" w:color="7F7F7F" w:themeColor="text1" w:themeTint="80"/>
            </w:tcBorders>
            <w:vAlign w:val="center"/>
          </w:tcPr>
          <w:p w14:paraId="7DA099C8" w14:textId="77777777" w:rsidR="00832601" w:rsidRDefault="00B72ABC">
            <w:pPr>
              <w:widowControl/>
              <w:spacing w:before="100" w:beforeAutospacing="1" w:after="100" w:afterAutospacing="1"/>
              <w:jc w:val="center"/>
              <w:rPr>
                <w:rFonts w:ascii="Times New Roman" w:eastAsia="宋体" w:hAnsi="Times New Roman" w:cs="Times New Roman"/>
                <w:bCs w:val="0"/>
                <w:kern w:val="0"/>
                <w:szCs w:val="21"/>
              </w:rPr>
            </w:pPr>
            <w:r>
              <w:rPr>
                <w:rFonts w:ascii="Times New Roman" w:eastAsia="宋体" w:hAnsi="Times New Roman" w:cs="Times New Roman"/>
                <w:color w:val="000000"/>
                <w:kern w:val="0"/>
                <w:szCs w:val="21"/>
              </w:rPr>
              <w:t>regime1</w:t>
            </w:r>
          </w:p>
        </w:tc>
        <w:tc>
          <w:tcPr>
            <w:tcW w:w="557" w:type="dxa"/>
            <w:tcBorders>
              <w:top w:val="single" w:sz="4" w:space="0" w:color="7F7F7F" w:themeColor="text1" w:themeTint="80"/>
              <w:bottom w:val="single" w:sz="4" w:space="0" w:color="7F7F7F" w:themeColor="text1" w:themeTint="80"/>
            </w:tcBorders>
            <w:vAlign w:val="center"/>
          </w:tcPr>
          <w:p w14:paraId="15388097"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2.24</w:t>
            </w:r>
          </w:p>
        </w:tc>
        <w:tc>
          <w:tcPr>
            <w:tcW w:w="572" w:type="dxa"/>
            <w:tcBorders>
              <w:top w:val="single" w:sz="4" w:space="0" w:color="7F7F7F" w:themeColor="text1" w:themeTint="80"/>
              <w:bottom w:val="single" w:sz="4" w:space="0" w:color="7F7F7F" w:themeColor="text1" w:themeTint="80"/>
            </w:tcBorders>
            <w:vAlign w:val="center"/>
          </w:tcPr>
          <w:p w14:paraId="33A9DDA0"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3.59</w:t>
            </w:r>
          </w:p>
        </w:tc>
        <w:tc>
          <w:tcPr>
            <w:tcW w:w="633" w:type="dxa"/>
            <w:tcBorders>
              <w:top w:val="single" w:sz="4" w:space="0" w:color="7F7F7F" w:themeColor="text1" w:themeTint="80"/>
              <w:bottom w:val="single" w:sz="4" w:space="0" w:color="7F7F7F" w:themeColor="text1" w:themeTint="80"/>
            </w:tcBorders>
            <w:vAlign w:val="center"/>
          </w:tcPr>
          <w:p w14:paraId="16A80284"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4.53</w:t>
            </w:r>
          </w:p>
        </w:tc>
        <w:tc>
          <w:tcPr>
            <w:tcW w:w="572" w:type="dxa"/>
            <w:tcBorders>
              <w:top w:val="single" w:sz="4" w:space="0" w:color="7F7F7F" w:themeColor="text1" w:themeTint="80"/>
              <w:bottom w:val="single" w:sz="4" w:space="0" w:color="7F7F7F" w:themeColor="text1" w:themeTint="80"/>
            </w:tcBorders>
            <w:vAlign w:val="center"/>
          </w:tcPr>
          <w:p w14:paraId="46754F0E"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2.07</w:t>
            </w:r>
          </w:p>
        </w:tc>
        <w:tc>
          <w:tcPr>
            <w:tcW w:w="572" w:type="dxa"/>
            <w:tcBorders>
              <w:top w:val="single" w:sz="4" w:space="0" w:color="7F7F7F" w:themeColor="text1" w:themeTint="80"/>
              <w:bottom w:val="single" w:sz="4" w:space="0" w:color="7F7F7F" w:themeColor="text1" w:themeTint="80"/>
            </w:tcBorders>
            <w:vAlign w:val="center"/>
          </w:tcPr>
          <w:p w14:paraId="1D66A268"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1.53</w:t>
            </w:r>
          </w:p>
        </w:tc>
        <w:tc>
          <w:tcPr>
            <w:tcW w:w="572" w:type="dxa"/>
            <w:tcBorders>
              <w:top w:val="single" w:sz="4" w:space="0" w:color="7F7F7F" w:themeColor="text1" w:themeTint="80"/>
              <w:bottom w:val="single" w:sz="4" w:space="0" w:color="7F7F7F" w:themeColor="text1" w:themeTint="80"/>
            </w:tcBorders>
            <w:vAlign w:val="center"/>
          </w:tcPr>
          <w:p w14:paraId="05712CDA"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2.94</w:t>
            </w:r>
          </w:p>
        </w:tc>
        <w:tc>
          <w:tcPr>
            <w:tcW w:w="572" w:type="dxa"/>
            <w:tcBorders>
              <w:top w:val="single" w:sz="4" w:space="0" w:color="7F7F7F" w:themeColor="text1" w:themeTint="80"/>
              <w:bottom w:val="single" w:sz="4" w:space="0" w:color="7F7F7F" w:themeColor="text1" w:themeTint="80"/>
            </w:tcBorders>
            <w:vAlign w:val="center"/>
          </w:tcPr>
          <w:p w14:paraId="61D25C18"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2.59</w:t>
            </w:r>
          </w:p>
        </w:tc>
        <w:tc>
          <w:tcPr>
            <w:tcW w:w="802" w:type="dxa"/>
            <w:tcBorders>
              <w:top w:val="single" w:sz="4" w:space="0" w:color="7F7F7F" w:themeColor="text1" w:themeTint="80"/>
              <w:bottom w:val="single" w:sz="4" w:space="0" w:color="7F7F7F" w:themeColor="text1" w:themeTint="80"/>
            </w:tcBorders>
            <w:vAlign w:val="center"/>
          </w:tcPr>
          <w:p w14:paraId="5E23E7B3"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2.77</w:t>
            </w:r>
          </w:p>
        </w:tc>
        <w:tc>
          <w:tcPr>
            <w:tcW w:w="850" w:type="dxa"/>
            <w:tcBorders>
              <w:top w:val="single" w:sz="4" w:space="0" w:color="7F7F7F" w:themeColor="text1" w:themeTint="80"/>
              <w:bottom w:val="single" w:sz="4" w:space="0" w:color="7F7F7F" w:themeColor="text1" w:themeTint="80"/>
            </w:tcBorders>
            <w:vAlign w:val="center"/>
          </w:tcPr>
          <w:p w14:paraId="227C95D8"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2.31</w:t>
            </w:r>
          </w:p>
        </w:tc>
      </w:tr>
      <w:tr w:rsidR="00513763" w14:paraId="260959E4" w14:textId="77777777" w:rsidTr="00105636">
        <w:trPr>
          <w:trHeight w:val="271"/>
          <w:jc w:val="center"/>
        </w:trPr>
        <w:tc>
          <w:tcPr>
            <w:cnfStyle w:val="001000000000" w:firstRow="0" w:lastRow="0" w:firstColumn="1" w:lastColumn="0" w:oddVBand="0" w:evenVBand="0" w:oddHBand="0" w:evenHBand="0" w:firstRowFirstColumn="0" w:firstRowLastColumn="0" w:lastRowFirstColumn="0" w:lastRowLastColumn="0"/>
            <w:tcW w:w="1782" w:type="dxa"/>
            <w:vAlign w:val="center"/>
          </w:tcPr>
          <w:p w14:paraId="68FB8521" w14:textId="77777777" w:rsidR="00832601" w:rsidRDefault="00B72ABC">
            <w:pPr>
              <w:widowControl/>
              <w:spacing w:before="100" w:beforeAutospacing="1" w:after="100" w:afterAutospacing="1"/>
              <w:jc w:val="center"/>
              <w:rPr>
                <w:rFonts w:ascii="Times New Roman" w:eastAsia="宋体" w:hAnsi="Times New Roman" w:cs="Times New Roman"/>
                <w:bCs w:val="0"/>
                <w:kern w:val="0"/>
                <w:szCs w:val="21"/>
              </w:rPr>
            </w:pPr>
            <w:r>
              <w:rPr>
                <w:rFonts w:ascii="Times New Roman" w:eastAsia="宋体" w:hAnsi="Times New Roman" w:cs="Times New Roman"/>
                <w:color w:val="000000"/>
                <w:kern w:val="0"/>
                <w:szCs w:val="21"/>
              </w:rPr>
              <w:t>regime2</w:t>
            </w:r>
          </w:p>
        </w:tc>
        <w:tc>
          <w:tcPr>
            <w:tcW w:w="557" w:type="dxa"/>
            <w:vAlign w:val="center"/>
          </w:tcPr>
          <w:p w14:paraId="142F2D77"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mix</w:t>
            </w:r>
          </w:p>
        </w:tc>
        <w:tc>
          <w:tcPr>
            <w:tcW w:w="572" w:type="dxa"/>
            <w:vAlign w:val="center"/>
          </w:tcPr>
          <w:p w14:paraId="70EFE5F9"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mix</w:t>
            </w:r>
          </w:p>
        </w:tc>
        <w:tc>
          <w:tcPr>
            <w:tcW w:w="633" w:type="dxa"/>
            <w:vAlign w:val="center"/>
          </w:tcPr>
          <w:p w14:paraId="3E56870E"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mix</w:t>
            </w:r>
          </w:p>
        </w:tc>
        <w:tc>
          <w:tcPr>
            <w:tcW w:w="572" w:type="dxa"/>
            <w:vAlign w:val="center"/>
          </w:tcPr>
          <w:p w14:paraId="1887F8D5"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2.07</w:t>
            </w:r>
          </w:p>
        </w:tc>
        <w:tc>
          <w:tcPr>
            <w:tcW w:w="572" w:type="dxa"/>
            <w:vAlign w:val="center"/>
          </w:tcPr>
          <w:p w14:paraId="3361C791"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1.53</w:t>
            </w:r>
          </w:p>
        </w:tc>
        <w:tc>
          <w:tcPr>
            <w:tcW w:w="572" w:type="dxa"/>
            <w:vAlign w:val="center"/>
          </w:tcPr>
          <w:p w14:paraId="4931C464"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2.94</w:t>
            </w:r>
          </w:p>
        </w:tc>
        <w:tc>
          <w:tcPr>
            <w:tcW w:w="572" w:type="dxa"/>
            <w:vAlign w:val="center"/>
          </w:tcPr>
          <w:p w14:paraId="15480B72"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mix</w:t>
            </w:r>
          </w:p>
        </w:tc>
        <w:tc>
          <w:tcPr>
            <w:tcW w:w="802" w:type="dxa"/>
            <w:vAlign w:val="center"/>
          </w:tcPr>
          <w:p w14:paraId="07EBC319"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mix</w:t>
            </w:r>
          </w:p>
        </w:tc>
        <w:tc>
          <w:tcPr>
            <w:tcW w:w="850" w:type="dxa"/>
            <w:vAlign w:val="center"/>
          </w:tcPr>
          <w:p w14:paraId="7AA84FC6"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mix</w:t>
            </w:r>
          </w:p>
        </w:tc>
      </w:tr>
      <w:tr w:rsidR="00513763" w14:paraId="129FC51D" w14:textId="77777777" w:rsidTr="00105636">
        <w:trPr>
          <w:trHeight w:val="233"/>
          <w:jc w:val="center"/>
        </w:trPr>
        <w:tc>
          <w:tcPr>
            <w:cnfStyle w:val="001000000000" w:firstRow="0" w:lastRow="0" w:firstColumn="1" w:lastColumn="0" w:oddVBand="0" w:evenVBand="0" w:oddHBand="0" w:evenHBand="0" w:firstRowFirstColumn="0" w:firstRowLastColumn="0" w:lastRowFirstColumn="0" w:lastRowLastColumn="0"/>
            <w:tcW w:w="1782" w:type="dxa"/>
            <w:tcBorders>
              <w:top w:val="single" w:sz="4" w:space="0" w:color="7F7F7F" w:themeColor="text1" w:themeTint="80"/>
              <w:bottom w:val="single" w:sz="4" w:space="0" w:color="7F7F7F" w:themeColor="text1" w:themeTint="80"/>
            </w:tcBorders>
            <w:vAlign w:val="center"/>
          </w:tcPr>
          <w:p w14:paraId="4FCA3627" w14:textId="77777777" w:rsidR="00832601" w:rsidRDefault="00B72ABC">
            <w:pPr>
              <w:widowControl/>
              <w:spacing w:before="100" w:beforeAutospacing="1" w:after="100" w:afterAutospacing="1"/>
              <w:jc w:val="center"/>
              <w:rPr>
                <w:rFonts w:ascii="Times New Roman" w:eastAsia="宋体" w:hAnsi="Times New Roman" w:cs="Times New Roman"/>
                <w:bCs w:val="0"/>
                <w:kern w:val="0"/>
                <w:szCs w:val="21"/>
              </w:rPr>
            </w:pPr>
            <w:r>
              <w:rPr>
                <w:rFonts w:ascii="Times New Roman" w:eastAsia="宋体" w:hAnsi="Times New Roman" w:cs="Times New Roman"/>
                <w:color w:val="000000"/>
                <w:kern w:val="0"/>
                <w:szCs w:val="21"/>
              </w:rPr>
              <w:t>regime3</w:t>
            </w:r>
          </w:p>
        </w:tc>
        <w:tc>
          <w:tcPr>
            <w:tcW w:w="557" w:type="dxa"/>
            <w:tcBorders>
              <w:top w:val="single" w:sz="4" w:space="0" w:color="7F7F7F" w:themeColor="text1" w:themeTint="80"/>
              <w:bottom w:val="single" w:sz="4" w:space="0" w:color="7F7F7F" w:themeColor="text1" w:themeTint="80"/>
            </w:tcBorders>
            <w:vAlign w:val="center"/>
          </w:tcPr>
          <w:p w14:paraId="1B8C4419"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1.62</w:t>
            </w:r>
          </w:p>
        </w:tc>
        <w:tc>
          <w:tcPr>
            <w:tcW w:w="572" w:type="dxa"/>
            <w:tcBorders>
              <w:top w:val="single" w:sz="4" w:space="0" w:color="7F7F7F" w:themeColor="text1" w:themeTint="80"/>
              <w:bottom w:val="single" w:sz="4" w:space="0" w:color="7F7F7F" w:themeColor="text1" w:themeTint="80"/>
            </w:tcBorders>
            <w:vAlign w:val="center"/>
          </w:tcPr>
          <w:p w14:paraId="6F1D22F5"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2.31</w:t>
            </w:r>
          </w:p>
        </w:tc>
        <w:tc>
          <w:tcPr>
            <w:tcW w:w="633" w:type="dxa"/>
            <w:tcBorders>
              <w:top w:val="single" w:sz="4" w:space="0" w:color="7F7F7F" w:themeColor="text1" w:themeTint="80"/>
              <w:bottom w:val="single" w:sz="4" w:space="0" w:color="7F7F7F" w:themeColor="text1" w:themeTint="80"/>
            </w:tcBorders>
            <w:vAlign w:val="center"/>
          </w:tcPr>
          <w:p w14:paraId="4BD313D4"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2.91</w:t>
            </w:r>
          </w:p>
        </w:tc>
        <w:tc>
          <w:tcPr>
            <w:tcW w:w="572" w:type="dxa"/>
            <w:tcBorders>
              <w:top w:val="single" w:sz="4" w:space="0" w:color="7F7F7F" w:themeColor="text1" w:themeTint="80"/>
              <w:bottom w:val="single" w:sz="4" w:space="0" w:color="7F7F7F" w:themeColor="text1" w:themeTint="80"/>
            </w:tcBorders>
            <w:vAlign w:val="center"/>
          </w:tcPr>
          <w:p w14:paraId="7BAC8B8C"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2.07</w:t>
            </w:r>
          </w:p>
        </w:tc>
        <w:tc>
          <w:tcPr>
            <w:tcW w:w="572" w:type="dxa"/>
            <w:tcBorders>
              <w:top w:val="single" w:sz="4" w:space="0" w:color="7F7F7F" w:themeColor="text1" w:themeTint="80"/>
              <w:bottom w:val="single" w:sz="4" w:space="0" w:color="7F7F7F" w:themeColor="text1" w:themeTint="80"/>
            </w:tcBorders>
            <w:vAlign w:val="center"/>
          </w:tcPr>
          <w:p w14:paraId="25726A67"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1.53</w:t>
            </w:r>
          </w:p>
        </w:tc>
        <w:tc>
          <w:tcPr>
            <w:tcW w:w="572" w:type="dxa"/>
            <w:tcBorders>
              <w:top w:val="single" w:sz="4" w:space="0" w:color="7F7F7F" w:themeColor="text1" w:themeTint="80"/>
              <w:bottom w:val="single" w:sz="4" w:space="0" w:color="7F7F7F" w:themeColor="text1" w:themeTint="80"/>
            </w:tcBorders>
            <w:vAlign w:val="center"/>
          </w:tcPr>
          <w:p w14:paraId="3168C4AA"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2.94</w:t>
            </w:r>
          </w:p>
        </w:tc>
        <w:tc>
          <w:tcPr>
            <w:tcW w:w="572" w:type="dxa"/>
            <w:tcBorders>
              <w:top w:val="single" w:sz="4" w:space="0" w:color="7F7F7F" w:themeColor="text1" w:themeTint="80"/>
              <w:bottom w:val="single" w:sz="4" w:space="0" w:color="7F7F7F" w:themeColor="text1" w:themeTint="80"/>
            </w:tcBorders>
            <w:vAlign w:val="center"/>
          </w:tcPr>
          <w:p w14:paraId="1B4D8008"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1.31</w:t>
            </w:r>
          </w:p>
        </w:tc>
        <w:tc>
          <w:tcPr>
            <w:tcW w:w="802" w:type="dxa"/>
            <w:tcBorders>
              <w:top w:val="single" w:sz="4" w:space="0" w:color="7F7F7F" w:themeColor="text1" w:themeTint="80"/>
              <w:bottom w:val="single" w:sz="4" w:space="0" w:color="7F7F7F" w:themeColor="text1" w:themeTint="80"/>
            </w:tcBorders>
            <w:vAlign w:val="center"/>
          </w:tcPr>
          <w:p w14:paraId="07357752"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1.28</w:t>
            </w:r>
          </w:p>
        </w:tc>
        <w:tc>
          <w:tcPr>
            <w:tcW w:w="850" w:type="dxa"/>
            <w:tcBorders>
              <w:top w:val="single" w:sz="4" w:space="0" w:color="7F7F7F" w:themeColor="text1" w:themeTint="80"/>
              <w:bottom w:val="single" w:sz="4" w:space="0" w:color="7F7F7F" w:themeColor="text1" w:themeTint="80"/>
            </w:tcBorders>
            <w:vAlign w:val="center"/>
          </w:tcPr>
          <w:p w14:paraId="292F320C" w14:textId="77777777" w:rsidR="00832601" w:rsidRPr="00513763" w:rsidRDefault="00B72ABC">
            <w:pPr>
              <w:widowControl/>
              <w:spacing w:before="100" w:beforeAutospacing="1" w:after="100" w:afterAutospacing="1"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kern w:val="0"/>
                <w:sz w:val="16"/>
                <w:szCs w:val="21"/>
              </w:rPr>
            </w:pPr>
            <w:r w:rsidRPr="00513763">
              <w:rPr>
                <w:rFonts w:ascii="Times New Roman" w:eastAsia="宋体" w:hAnsi="Times New Roman" w:cs="Times New Roman"/>
                <w:color w:val="000000"/>
                <w:kern w:val="0"/>
                <w:sz w:val="16"/>
                <w:szCs w:val="21"/>
              </w:rPr>
              <w:t>1.25</w:t>
            </w:r>
          </w:p>
        </w:tc>
      </w:tr>
      <w:tr w:rsidR="00513763" w14:paraId="75684081" w14:textId="77777777" w:rsidTr="00105636">
        <w:trPr>
          <w:trHeight w:val="153"/>
          <w:jc w:val="center"/>
        </w:trPr>
        <w:tc>
          <w:tcPr>
            <w:cnfStyle w:val="001000000000" w:firstRow="0" w:lastRow="0" w:firstColumn="1" w:lastColumn="0" w:oddVBand="0" w:evenVBand="0" w:oddHBand="0" w:evenHBand="0" w:firstRowFirstColumn="0" w:firstRowLastColumn="0" w:lastRowFirstColumn="0" w:lastRowLastColumn="0"/>
            <w:tcW w:w="1782" w:type="dxa"/>
            <w:tcBorders>
              <w:top w:val="single" w:sz="4" w:space="0" w:color="auto"/>
            </w:tcBorders>
            <w:vAlign w:val="center"/>
          </w:tcPr>
          <w:p w14:paraId="16599958" w14:textId="5DCCBD22" w:rsidR="00832601" w:rsidRDefault="00513763">
            <w:pPr>
              <w:widowControl/>
              <w:spacing w:before="100" w:beforeAutospacing="1" w:after="100" w:afterAutospacing="1"/>
              <w:jc w:val="center"/>
              <w:rPr>
                <w:rFonts w:ascii="Times New Roman" w:eastAsia="宋体" w:hAnsi="Times New Roman" w:cs="Times New Roman"/>
                <w:b w:val="0"/>
                <w:bCs w:val="0"/>
                <w:kern w:val="0"/>
                <w:szCs w:val="21"/>
              </w:rPr>
            </w:pPr>
            <w:r>
              <w:rPr>
                <w:rFonts w:ascii="Times New Roman" w:eastAsia="宋体" w:hAnsi="Times New Roman" w:cs="Times New Roman"/>
                <w:kern w:val="0"/>
                <w:szCs w:val="21"/>
              </w:rPr>
              <w:t>Theoretical</w:t>
            </w:r>
            <w:r w:rsidR="00B72ABC">
              <w:rPr>
                <w:rFonts w:ascii="Times New Roman" w:eastAsia="宋体" w:hAnsi="Times New Roman" w:cs="Times New Roman"/>
                <w:kern w:val="0"/>
                <w:szCs w:val="21"/>
              </w:rPr>
              <w:t xml:space="preserve"> value</w:t>
            </w:r>
          </w:p>
        </w:tc>
        <w:tc>
          <w:tcPr>
            <w:tcW w:w="557" w:type="dxa"/>
            <w:tcBorders>
              <w:top w:val="single" w:sz="4" w:space="0" w:color="auto"/>
            </w:tcBorders>
            <w:vAlign w:val="center"/>
          </w:tcPr>
          <w:p w14:paraId="065C741A"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1.67</w:t>
            </w:r>
          </w:p>
        </w:tc>
        <w:tc>
          <w:tcPr>
            <w:tcW w:w="572" w:type="dxa"/>
            <w:tcBorders>
              <w:top w:val="single" w:sz="4" w:space="0" w:color="auto"/>
            </w:tcBorders>
            <w:vAlign w:val="center"/>
          </w:tcPr>
          <w:p w14:paraId="23DEC697"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2.33</w:t>
            </w:r>
          </w:p>
        </w:tc>
        <w:tc>
          <w:tcPr>
            <w:tcW w:w="633" w:type="dxa"/>
            <w:tcBorders>
              <w:top w:val="single" w:sz="4" w:space="0" w:color="auto"/>
            </w:tcBorders>
            <w:vAlign w:val="center"/>
          </w:tcPr>
          <w:p w14:paraId="34754AB9"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3.0</w:t>
            </w:r>
          </w:p>
        </w:tc>
        <w:tc>
          <w:tcPr>
            <w:tcW w:w="572" w:type="dxa"/>
            <w:tcBorders>
              <w:top w:val="single" w:sz="4" w:space="0" w:color="auto"/>
            </w:tcBorders>
            <w:vAlign w:val="center"/>
          </w:tcPr>
          <w:p w14:paraId="12C07A12"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2.0</w:t>
            </w:r>
          </w:p>
        </w:tc>
        <w:tc>
          <w:tcPr>
            <w:tcW w:w="572" w:type="dxa"/>
            <w:tcBorders>
              <w:top w:val="single" w:sz="4" w:space="0" w:color="auto"/>
            </w:tcBorders>
            <w:vAlign w:val="center"/>
          </w:tcPr>
          <w:p w14:paraId="7D17B65D"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1.5</w:t>
            </w:r>
          </w:p>
        </w:tc>
        <w:tc>
          <w:tcPr>
            <w:tcW w:w="572" w:type="dxa"/>
            <w:tcBorders>
              <w:top w:val="single" w:sz="4" w:space="0" w:color="auto"/>
            </w:tcBorders>
            <w:vAlign w:val="center"/>
          </w:tcPr>
          <w:p w14:paraId="11BC05F9"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3.0</w:t>
            </w:r>
          </w:p>
        </w:tc>
        <w:tc>
          <w:tcPr>
            <w:tcW w:w="572" w:type="dxa"/>
            <w:tcBorders>
              <w:top w:val="single" w:sz="4" w:space="0" w:color="auto"/>
            </w:tcBorders>
            <w:vAlign w:val="center"/>
          </w:tcPr>
          <w:p w14:paraId="753DE26B"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1.33</w:t>
            </w:r>
          </w:p>
        </w:tc>
        <w:tc>
          <w:tcPr>
            <w:tcW w:w="802" w:type="dxa"/>
            <w:tcBorders>
              <w:top w:val="single" w:sz="4" w:space="0" w:color="auto"/>
            </w:tcBorders>
            <w:vAlign w:val="center"/>
          </w:tcPr>
          <w:p w14:paraId="62240F37"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1.34</w:t>
            </w:r>
          </w:p>
        </w:tc>
        <w:tc>
          <w:tcPr>
            <w:tcW w:w="850" w:type="dxa"/>
            <w:tcBorders>
              <w:top w:val="single" w:sz="4" w:space="0" w:color="auto"/>
            </w:tcBorders>
            <w:vAlign w:val="center"/>
          </w:tcPr>
          <w:p w14:paraId="1C68A3FF" w14:textId="77777777" w:rsidR="00832601" w:rsidRPr="00513763" w:rsidRDefault="00B72ABC">
            <w:pPr>
              <w:widowControl/>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kern w:val="0"/>
                <w:sz w:val="16"/>
                <w:szCs w:val="21"/>
              </w:rPr>
            </w:pPr>
            <w:r w:rsidRPr="00513763">
              <w:rPr>
                <w:rFonts w:ascii="Times New Roman" w:eastAsia="宋体" w:hAnsi="Times New Roman" w:cs="Times New Roman"/>
                <w:color w:val="000000"/>
                <w:kern w:val="0"/>
                <w:sz w:val="16"/>
                <w:szCs w:val="21"/>
              </w:rPr>
              <w:t>1.33</w:t>
            </w:r>
          </w:p>
        </w:tc>
      </w:tr>
    </w:tbl>
    <w:p w14:paraId="6141018E" w14:textId="77777777" w:rsidR="008E2DCE" w:rsidRDefault="008E2DCE" w:rsidP="00CD3396">
      <w:pPr>
        <w:widowControl/>
        <w:rPr>
          <w:rFonts w:ascii="Times New Roman" w:hAnsi="Times New Roman" w:hint="eastAsia"/>
          <w:bCs/>
          <w:color w:val="0D0D0D" w:themeColor="text1" w:themeTint="F2"/>
          <w:sz w:val="24"/>
          <w:szCs w:val="24"/>
        </w:rPr>
      </w:pPr>
    </w:p>
    <w:p w14:paraId="35659689" w14:textId="10F02A8D" w:rsidR="0028287D" w:rsidRPr="0028287D" w:rsidRDefault="0028287D" w:rsidP="00D6222F">
      <w:pPr>
        <w:widowControl/>
        <w:ind w:firstLineChars="200" w:firstLine="480"/>
        <w:rPr>
          <w:rFonts w:ascii="Times New Roman" w:hAnsi="Times New Roman"/>
          <w:bCs/>
          <w:color w:val="0D0D0D" w:themeColor="text1" w:themeTint="F2"/>
          <w:sz w:val="24"/>
          <w:szCs w:val="24"/>
        </w:rPr>
      </w:pPr>
      <w:r w:rsidRPr="0028287D">
        <w:rPr>
          <w:rFonts w:ascii="Times New Roman" w:hAnsi="Times New Roman"/>
          <w:bCs/>
          <w:color w:val="0D0D0D" w:themeColor="text1" w:themeTint="F2"/>
          <w:sz w:val="24"/>
          <w:szCs w:val="24"/>
        </w:rPr>
        <w:t xml:space="preserve">In summary, </w:t>
      </w:r>
      <w:r>
        <w:rPr>
          <w:rFonts w:ascii="Times New Roman" w:hAnsi="Times New Roman"/>
          <w:bCs/>
          <w:color w:val="0D0D0D" w:themeColor="text1" w:themeTint="F2"/>
          <w:sz w:val="24"/>
          <w:szCs w:val="24"/>
        </w:rPr>
        <w:t xml:space="preserve">we </w:t>
      </w:r>
      <w:r w:rsidR="007D336E">
        <w:rPr>
          <w:rFonts w:ascii="Times New Roman" w:hAnsi="Times New Roman"/>
          <w:bCs/>
          <w:color w:val="0D0D0D" w:themeColor="text1" w:themeTint="F2"/>
          <w:sz w:val="24"/>
          <w:szCs w:val="24"/>
        </w:rPr>
        <w:t xml:space="preserve">showed </w:t>
      </w:r>
      <w:r>
        <w:rPr>
          <w:rFonts w:ascii="Times New Roman" w:hAnsi="Times New Roman"/>
          <w:bCs/>
          <w:color w:val="0D0D0D" w:themeColor="text1" w:themeTint="F2"/>
          <w:sz w:val="24"/>
          <w:szCs w:val="24"/>
        </w:rPr>
        <w:t>experimentally that ‘complex’ crackling noise in steel under tension stems from the superposition of two different structural events, namely the nucleation/movement of dislocations and crack propagation. The AE spectra are fully explained by th</w:t>
      </w:r>
      <w:r w:rsidR="007D336E">
        <w:rPr>
          <w:rFonts w:ascii="Times New Roman" w:hAnsi="Times New Roman"/>
          <w:bCs/>
          <w:color w:val="0D0D0D" w:themeColor="text1" w:themeTint="F2"/>
          <w:sz w:val="24"/>
          <w:szCs w:val="24"/>
        </w:rPr>
        <w:t>ese</w:t>
      </w:r>
      <w:r>
        <w:rPr>
          <w:rFonts w:ascii="Times New Roman" w:hAnsi="Times New Roman"/>
          <w:bCs/>
          <w:color w:val="0D0D0D" w:themeColor="text1" w:themeTint="F2"/>
          <w:sz w:val="24"/>
          <w:szCs w:val="24"/>
        </w:rPr>
        <w:t xml:space="preserve"> effect</w:t>
      </w:r>
      <w:r w:rsidR="007D336E">
        <w:rPr>
          <w:rFonts w:ascii="Times New Roman" w:hAnsi="Times New Roman"/>
          <w:bCs/>
          <w:color w:val="0D0D0D" w:themeColor="text1" w:themeTint="F2"/>
          <w:sz w:val="24"/>
          <w:szCs w:val="24"/>
        </w:rPr>
        <w:t>s</w:t>
      </w:r>
      <w:r>
        <w:rPr>
          <w:rFonts w:ascii="Times New Roman" w:hAnsi="Times New Roman"/>
          <w:bCs/>
          <w:color w:val="0D0D0D" w:themeColor="text1" w:themeTint="F2"/>
          <w:sz w:val="24"/>
          <w:szCs w:val="24"/>
        </w:rPr>
        <w:t xml:space="preserve">. </w:t>
      </w:r>
      <w:r w:rsidR="007D336E">
        <w:rPr>
          <w:rFonts w:ascii="Times New Roman" w:hAnsi="Times New Roman"/>
          <w:bCs/>
          <w:color w:val="0D0D0D" w:themeColor="text1" w:themeTint="F2"/>
          <w:sz w:val="24"/>
          <w:szCs w:val="24"/>
        </w:rPr>
        <w:t>E</w:t>
      </w:r>
      <w:r>
        <w:rPr>
          <w:rFonts w:ascii="Times New Roman" w:hAnsi="Times New Roman"/>
          <w:bCs/>
          <w:color w:val="0D0D0D" w:themeColor="text1" w:themeTint="F2"/>
          <w:sz w:val="24"/>
          <w:szCs w:val="24"/>
        </w:rPr>
        <w:t xml:space="preserve">ach type of event leads to </w:t>
      </w:r>
      <w:r w:rsidR="007D336E">
        <w:rPr>
          <w:rFonts w:ascii="Times New Roman" w:hAnsi="Times New Roman"/>
          <w:bCs/>
          <w:color w:val="0D0D0D" w:themeColor="text1" w:themeTint="F2"/>
          <w:sz w:val="24"/>
          <w:szCs w:val="24"/>
        </w:rPr>
        <w:t xml:space="preserve">a </w:t>
      </w:r>
      <w:r>
        <w:rPr>
          <w:rFonts w:ascii="Times New Roman" w:hAnsi="Times New Roman"/>
          <w:bCs/>
          <w:color w:val="0D0D0D" w:themeColor="text1" w:themeTint="F2"/>
          <w:sz w:val="24"/>
          <w:szCs w:val="24"/>
        </w:rPr>
        <w:t xml:space="preserve">power law distributions and, thus, scale invariance. The overall distributions are not scale invariant, however. Weak tension leads to a prominence of dislocation movements while stronger tension relates to </w:t>
      </w:r>
      <w:r w:rsidR="007D336E">
        <w:rPr>
          <w:rFonts w:ascii="Times New Roman" w:hAnsi="Times New Roman"/>
          <w:bCs/>
          <w:color w:val="0D0D0D" w:themeColor="text1" w:themeTint="F2"/>
          <w:sz w:val="24"/>
          <w:szCs w:val="24"/>
        </w:rPr>
        <w:t xml:space="preserve">crack propagation. The cross-over between the dislocation and crack propagation regime is characterized by the position of the upwards bend of the energy distribution.  </w:t>
      </w:r>
      <w:bookmarkStart w:id="3" w:name="_GoBack"/>
      <w:bookmarkEnd w:id="3"/>
    </w:p>
    <w:p w14:paraId="350D5EDD" w14:textId="77777777" w:rsidR="0028287D" w:rsidRDefault="0028287D" w:rsidP="00CD3396">
      <w:pPr>
        <w:widowControl/>
        <w:rPr>
          <w:rFonts w:ascii="Times New Roman" w:hAnsi="Times New Roman"/>
          <w:b/>
          <w:bCs/>
          <w:color w:val="0D0D0D" w:themeColor="text1" w:themeTint="F2"/>
          <w:sz w:val="24"/>
          <w:szCs w:val="24"/>
        </w:rPr>
      </w:pPr>
    </w:p>
    <w:p w14:paraId="268BCBE0" w14:textId="77777777" w:rsidR="008D18F9" w:rsidRDefault="008D18F9" w:rsidP="008D18F9">
      <w:pPr>
        <w:widowControl/>
        <w:rPr>
          <w:rFonts w:ascii="Times New Roman" w:hAnsi="Times New Roman"/>
          <w:b/>
          <w:bCs/>
          <w:color w:val="0D0D0D" w:themeColor="text1" w:themeTint="F2"/>
          <w:sz w:val="24"/>
          <w:szCs w:val="24"/>
        </w:rPr>
      </w:pPr>
      <w:r>
        <w:rPr>
          <w:rFonts w:ascii="Times New Roman" w:hAnsi="Times New Roman"/>
          <w:b/>
          <w:bCs/>
          <w:color w:val="0D0D0D" w:themeColor="text1" w:themeTint="F2"/>
          <w:sz w:val="24"/>
          <w:szCs w:val="24"/>
        </w:rPr>
        <w:t>Supplementary Material</w:t>
      </w:r>
    </w:p>
    <w:p w14:paraId="5C191ED3" w14:textId="77777777" w:rsidR="008D18F9" w:rsidRDefault="008D18F9" w:rsidP="008D18F9">
      <w:pPr>
        <w:widowControl/>
        <w:ind w:firstLineChars="200" w:firstLine="480"/>
        <w:rPr>
          <w:rFonts w:ascii="Times New Roman" w:hAnsi="Times New Roman"/>
          <w:bCs/>
          <w:color w:val="0D0D0D" w:themeColor="text1" w:themeTint="F2"/>
          <w:sz w:val="24"/>
          <w:szCs w:val="24"/>
        </w:rPr>
      </w:pPr>
      <w:r>
        <w:rPr>
          <w:rFonts w:ascii="Times New Roman" w:hAnsi="Times New Roman"/>
          <w:bCs/>
          <w:color w:val="0D0D0D" w:themeColor="text1" w:themeTint="F2"/>
          <w:sz w:val="24"/>
          <w:szCs w:val="24"/>
        </w:rPr>
        <w:t>See the supplementary material for waiting time distribution of the sample.</w:t>
      </w:r>
    </w:p>
    <w:p w14:paraId="6F3FEDA2" w14:textId="77777777" w:rsidR="008D18F9" w:rsidRPr="008D18F9" w:rsidRDefault="008D18F9" w:rsidP="00CD3396">
      <w:pPr>
        <w:widowControl/>
        <w:rPr>
          <w:rFonts w:ascii="Times New Roman" w:hAnsi="Times New Roman"/>
          <w:b/>
          <w:bCs/>
          <w:color w:val="0D0D0D" w:themeColor="text1" w:themeTint="F2"/>
          <w:sz w:val="24"/>
          <w:szCs w:val="24"/>
        </w:rPr>
      </w:pPr>
    </w:p>
    <w:p w14:paraId="6671478B" w14:textId="4DA1036E" w:rsidR="008E2DCE" w:rsidRPr="00CD3396" w:rsidRDefault="008E2DCE" w:rsidP="00CD3396">
      <w:pPr>
        <w:widowControl/>
        <w:rPr>
          <w:rFonts w:ascii="Times New Roman" w:hAnsi="Times New Roman"/>
          <w:b/>
          <w:bCs/>
          <w:color w:val="0D0D0D" w:themeColor="text1" w:themeTint="F2"/>
          <w:sz w:val="24"/>
          <w:szCs w:val="24"/>
        </w:rPr>
      </w:pPr>
      <w:r w:rsidRPr="00CD3396">
        <w:rPr>
          <w:rFonts w:ascii="Times New Roman" w:hAnsi="Times New Roman"/>
          <w:b/>
          <w:bCs/>
          <w:color w:val="0D0D0D" w:themeColor="text1" w:themeTint="F2"/>
          <w:sz w:val="24"/>
          <w:szCs w:val="24"/>
        </w:rPr>
        <w:t>Acknowledgements</w:t>
      </w:r>
    </w:p>
    <w:p w14:paraId="07E5AE00" w14:textId="46BF956A" w:rsidR="00832601" w:rsidRDefault="00E200A7" w:rsidP="00CD3396">
      <w:pPr>
        <w:widowControl/>
        <w:ind w:firstLineChars="200" w:firstLine="480"/>
        <w:rPr>
          <w:rFonts w:ascii="Times New Roman" w:hAnsi="Times New Roman" w:cs="Times New Roman"/>
          <w:sz w:val="24"/>
          <w:szCs w:val="24"/>
        </w:rPr>
      </w:pPr>
      <w:r>
        <w:rPr>
          <w:rFonts w:ascii="Times New Roman" w:hAnsi="Times New Roman"/>
          <w:bCs/>
          <w:color w:val="0D0D0D" w:themeColor="text1" w:themeTint="F2"/>
          <w:sz w:val="24"/>
          <w:szCs w:val="24"/>
        </w:rPr>
        <w:t>Financial support from the</w:t>
      </w:r>
      <w:r w:rsidR="00B72ABC">
        <w:rPr>
          <w:rFonts w:ascii="Times New Roman" w:hAnsi="Times New Roman"/>
          <w:bCs/>
          <w:color w:val="0D0D0D" w:themeColor="text1" w:themeTint="F2"/>
          <w:sz w:val="24"/>
          <w:szCs w:val="24"/>
        </w:rPr>
        <w:t xml:space="preserve"> Natural Science Foundation of China (</w:t>
      </w:r>
      <w:r w:rsidR="006C48AC">
        <w:rPr>
          <w:rFonts w:ascii="Times New Roman" w:hAnsi="Times New Roman"/>
          <w:bCs/>
          <w:color w:val="0D0D0D" w:themeColor="text1" w:themeTint="F2"/>
          <w:sz w:val="24"/>
          <w:szCs w:val="24"/>
        </w:rPr>
        <w:t>51931004</w:t>
      </w:r>
      <w:r w:rsidR="00B72ABC">
        <w:rPr>
          <w:rFonts w:ascii="Times New Roman" w:hAnsi="Times New Roman"/>
          <w:bCs/>
          <w:color w:val="0D0D0D" w:themeColor="text1" w:themeTint="F2"/>
          <w:sz w:val="24"/>
          <w:szCs w:val="24"/>
        </w:rPr>
        <w:t>, 51621063) and 111 project 2.0 (BP2018008) are gratefully acknowledged. E.K.H.Salje is grateful to EPSRC (EP/P024904/1). Y</w:t>
      </w:r>
      <w:r w:rsidR="00B72ABC">
        <w:rPr>
          <w:rFonts w:ascii="Times New Roman" w:hAnsi="Times New Roman" w:hint="eastAsia"/>
          <w:bCs/>
          <w:color w:val="0D0D0D" w:themeColor="text1" w:themeTint="F2"/>
          <w:sz w:val="24"/>
          <w:szCs w:val="24"/>
        </w:rPr>
        <w:t>.</w:t>
      </w:r>
      <w:r w:rsidR="00B72ABC">
        <w:rPr>
          <w:rFonts w:ascii="Times New Roman" w:hAnsi="Times New Roman"/>
          <w:bCs/>
          <w:color w:val="0D0D0D" w:themeColor="text1" w:themeTint="F2"/>
          <w:sz w:val="24"/>
          <w:szCs w:val="24"/>
        </w:rPr>
        <w:t xml:space="preserve"> Chen is</w:t>
      </w:r>
      <w:r w:rsidR="00B72ABC">
        <w:rPr>
          <w:rFonts w:ascii="Times New Roman" w:hAnsi="Times New Roman" w:hint="eastAsia"/>
          <w:bCs/>
          <w:color w:val="0D0D0D" w:themeColor="text1" w:themeTint="F2"/>
          <w:sz w:val="24"/>
          <w:szCs w:val="24"/>
        </w:rPr>
        <w:t xml:space="preserve"> </w:t>
      </w:r>
      <w:r w:rsidR="00B72ABC">
        <w:rPr>
          <w:rFonts w:ascii="Times New Roman" w:hAnsi="Times New Roman"/>
          <w:bCs/>
          <w:color w:val="0D0D0D" w:themeColor="text1" w:themeTint="F2"/>
          <w:sz w:val="24"/>
          <w:szCs w:val="24"/>
        </w:rPr>
        <w:t>supported by a scholarship from the China Scholarship Council to visit the University of Cambridge.</w:t>
      </w:r>
    </w:p>
    <w:p w14:paraId="7544A5B9" w14:textId="77777777" w:rsidR="00CD3396" w:rsidRPr="00CD3396" w:rsidRDefault="00CD3396" w:rsidP="00CD3396">
      <w:pPr>
        <w:widowControl/>
        <w:rPr>
          <w:rFonts w:ascii="Times New Roman" w:hAnsi="Times New Roman" w:cs="Times New Roman"/>
          <w:sz w:val="24"/>
          <w:szCs w:val="24"/>
        </w:rPr>
      </w:pPr>
    </w:p>
    <w:p w14:paraId="6875BADA" w14:textId="7E6D7721" w:rsidR="00832601" w:rsidRPr="00CD3396" w:rsidRDefault="00B72ABC" w:rsidP="00CD3396">
      <w:pPr>
        <w:widowControl/>
        <w:jc w:val="left"/>
        <w:rPr>
          <w:rFonts w:ascii="Times New Roman" w:hAnsi="Times New Roman" w:cs="Times New Roman"/>
          <w:kern w:val="0"/>
          <w:sz w:val="28"/>
          <w:szCs w:val="28"/>
        </w:rPr>
      </w:pPr>
      <w:r w:rsidRPr="00CD3396">
        <w:rPr>
          <w:rFonts w:ascii="Times New Roman" w:hAnsi="Times New Roman" w:cs="Times New Roman" w:hint="eastAsia"/>
          <w:b/>
          <w:kern w:val="0"/>
          <w:sz w:val="24"/>
          <w:szCs w:val="28"/>
        </w:rPr>
        <w:t>R</w:t>
      </w:r>
      <w:r w:rsidRPr="00CD3396">
        <w:rPr>
          <w:rFonts w:ascii="Times New Roman" w:hAnsi="Times New Roman" w:cs="Times New Roman"/>
          <w:b/>
          <w:kern w:val="0"/>
          <w:sz w:val="24"/>
          <w:szCs w:val="28"/>
        </w:rPr>
        <w:t>eference</w:t>
      </w:r>
    </w:p>
    <w:p w14:paraId="1045CC6D"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w:t>
      </w:r>
      <w:r w:rsidRPr="00CD3396">
        <w:rPr>
          <w:rFonts w:ascii="Times New Roman" w:hAnsi="Times New Roman" w:cs="Times New Roman"/>
          <w:kern w:val="0"/>
          <w:szCs w:val="21"/>
        </w:rPr>
        <w:tab/>
        <w:t>J. P. Sethna, K. A. Dahmen, and C. Myers, Nature 410, 242 (2001).</w:t>
      </w:r>
    </w:p>
    <w:p w14:paraId="60C03A93"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w:t>
      </w:r>
      <w:r w:rsidRPr="00CD3396">
        <w:rPr>
          <w:rFonts w:ascii="Times New Roman" w:hAnsi="Times New Roman" w:cs="Times New Roman"/>
          <w:kern w:val="0"/>
          <w:szCs w:val="21"/>
        </w:rPr>
        <w:tab/>
        <w:t>E. Vives, J. Ortín, L. Mañosa, I. Ràfols, R. Pérez-Magrané, and A. Planes, Physical Review Letters 72, 1694 (1994).</w:t>
      </w:r>
    </w:p>
    <w:p w14:paraId="49941675"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[3]</w:t>
      </w:r>
      <w:r w:rsidRPr="00CD3396">
        <w:rPr>
          <w:rFonts w:ascii="Times New Roman" w:hAnsi="Times New Roman" w:cs="Times New Roman"/>
          <w:kern w:val="0"/>
          <w:szCs w:val="21"/>
        </w:rPr>
        <w:tab/>
        <w:t>F. F. Csikor, C. Motz, D. Weygand, M. Zaiser, and S. Zapperi, Science 318, 251 (2007).</w:t>
      </w:r>
    </w:p>
    <w:p w14:paraId="512E6669"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[4]</w:t>
      </w:r>
      <w:r w:rsidRPr="00CD3396">
        <w:rPr>
          <w:rFonts w:ascii="Times New Roman" w:hAnsi="Times New Roman" w:cs="Times New Roman"/>
          <w:kern w:val="0"/>
          <w:szCs w:val="21"/>
        </w:rPr>
        <w:tab/>
        <w:t>J. Weiss, W. B. Rhouma, T. Richeton, S. Dechanel, F. Louchet, and L. Truskinovsky, Physical Review Letters 114, 105504 (2015).</w:t>
      </w:r>
    </w:p>
    <w:p w14:paraId="7C1BB729"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[5]</w:t>
      </w:r>
      <w:r w:rsidRPr="00CD3396">
        <w:rPr>
          <w:rFonts w:ascii="Times New Roman" w:hAnsi="Times New Roman" w:cs="Times New Roman"/>
          <w:kern w:val="0"/>
          <w:szCs w:val="21"/>
        </w:rPr>
        <w:tab/>
        <w:t>M. A. Sheikh, R. L. Weaver, and K. Dahmen, Physical Review Letters 117, 261101 (2016).</w:t>
      </w:r>
    </w:p>
    <w:p w14:paraId="4E4EAB1C"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[6]</w:t>
      </w:r>
      <w:r w:rsidRPr="00CD3396">
        <w:rPr>
          <w:rFonts w:ascii="Times New Roman" w:hAnsi="Times New Roman" w:cs="Times New Roman"/>
          <w:kern w:val="0"/>
          <w:szCs w:val="21"/>
        </w:rPr>
        <w:tab/>
        <w:t>E. Salje, D. Xue, X. Ding, K. A. Dahmen, and J. Scott, Physical Review Materials 3, 014415 (2019).</w:t>
      </w:r>
    </w:p>
    <w:p w14:paraId="3B073DE5"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[7]</w:t>
      </w:r>
      <w:r w:rsidRPr="00CD3396">
        <w:rPr>
          <w:rFonts w:ascii="Times New Roman" w:hAnsi="Times New Roman" w:cs="Times New Roman"/>
          <w:kern w:val="0"/>
          <w:szCs w:val="21"/>
        </w:rPr>
        <w:tab/>
        <w:t xml:space="preserve">E. K. Salje and K. A. Dahmen, </w:t>
      </w:r>
      <w:r w:rsidRPr="00CD3396">
        <w:rPr>
          <w:rFonts w:ascii="Times New Roman" w:hAnsi="Times New Roman" w:cs="Times New Roman"/>
          <w:bCs/>
          <w:kern w:val="0"/>
          <w:szCs w:val="21"/>
        </w:rPr>
        <w:t>Annual Review of Condensed Matter Physics</w:t>
      </w:r>
      <w:r w:rsidRPr="00CD3396">
        <w:rPr>
          <w:rFonts w:ascii="Times New Roman" w:hAnsi="Times New Roman" w:cs="Times New Roman"/>
          <w:kern w:val="0"/>
          <w:szCs w:val="21"/>
        </w:rPr>
        <w:t xml:space="preserve"> 5, 233 (2014).</w:t>
      </w:r>
    </w:p>
    <w:p w14:paraId="1FDE432D"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[8]</w:t>
      </w:r>
      <w:r w:rsidRPr="00CD3396">
        <w:rPr>
          <w:rFonts w:ascii="Times New Roman" w:hAnsi="Times New Roman" w:cs="Times New Roman"/>
          <w:kern w:val="0"/>
          <w:szCs w:val="21"/>
        </w:rPr>
        <w:tab/>
        <w:t>S. Zapperi, A. Vespignani, and H. Stanley, Nature 388, 658 (1997).</w:t>
      </w:r>
    </w:p>
    <w:p w14:paraId="2CC3C5AE"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[9]</w:t>
      </w:r>
      <w:r w:rsidRPr="00CD3396">
        <w:rPr>
          <w:rFonts w:ascii="Times New Roman" w:hAnsi="Times New Roman" w:cs="Times New Roman"/>
          <w:kern w:val="0"/>
          <w:szCs w:val="21"/>
        </w:rPr>
        <w:tab/>
        <w:t>H. Ribeiro, L. Costa, L. Alves, P. Santoro, S. Picoli, E. Lenzi, and R. Mendes, Physical Review Letters 115, 025503 (2015).</w:t>
      </w:r>
    </w:p>
    <w:p w14:paraId="6D835DC1"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[10] T. Mäkinen, A. Miksic, M. Ovaska, and M. Alava, Physical Review Letters 115, 055501 (2015).</w:t>
      </w:r>
    </w:p>
    <w:p w14:paraId="63B0A222"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[11] J. Baró, Á. Corral, X. Illa, A. Planes, E. K. Salje, W. Schranz, D. E. Soto-Parra, and E. Vives, Physical Review Letters 110, 088702 (2013).</w:t>
      </w:r>
    </w:p>
    <w:p w14:paraId="0A48D749"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[12] D. Soto-Parra, X. Zhang, S. Cao, E. Vives, E. K. Salje, and A. Planes, Physical Review E 91, 060401 (2015).</w:t>
      </w:r>
    </w:p>
    <w:p w14:paraId="2777B256"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[13] G. F. Nataf, P. O. Castillo-Villa, J. Baró, X. Illa, E. Vives, A. Planes, and E. K. Salje, Physical Review E 90, 022405 (2014).</w:t>
      </w:r>
    </w:p>
    <w:p w14:paraId="3601442A"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[14] G. F. Nataf, P. O. Castillo-Villa, P. Sellappan, W. M. Kriven, E. Vives, A. Planes, and E. K. Salje, Journal of Physics: Condensed Matter 26, 275401 (2014).</w:t>
      </w:r>
    </w:p>
    <w:p w14:paraId="69A0DE90"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lastRenderedPageBreak/>
        <w:t>[15] T. Beirau and E. K. Salje, Applied Physics Letters 115, 071902 (2019).</w:t>
      </w:r>
    </w:p>
    <w:p w14:paraId="5B873C50"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[16] J. Baró, K. A. Dahmen, J. Davidsen, A. Planes, P. O. Castillo, G. F. Nataf, E. K. Salje, and E. Vives, Physical Review Letters 120, 245501 (2018).</w:t>
      </w:r>
    </w:p>
    <w:p w14:paraId="6E21A885"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[17] J. Weiss and J. Grasso, The Journal of Physical Chemistry B 101, 6113 (1997).</w:t>
      </w:r>
    </w:p>
    <w:p w14:paraId="1C4ADFE5"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[18] V. Taupin, T. Richeton, J. Chevy, C. Fressengeas, J. Weiss, F. Louchet, and M. Miguel, Acta Materialia 56, 1555 (2008).</w:t>
      </w:r>
    </w:p>
    <w:p w14:paraId="7F7C051E"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[19] J. Weiss, Philosophical Transactions of the Royal Society A 377, 20180260 (2019).</w:t>
      </w:r>
    </w:p>
    <w:p w14:paraId="53DD4130"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[20] N. Friedman, A. T. Jennings, G. Tsekenis, J.-Y. Kim, M. Tao, J. T. Uhl, J. R. Greer, and K. Dahmen, Physical Review Letters 109, 095507 (2012).</w:t>
      </w:r>
    </w:p>
    <w:p w14:paraId="6A1AC0DA"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[21] G. Sparks and R. Maaß, Physical Review Materials 2, 120601 (2018).</w:t>
      </w:r>
    </w:p>
    <w:p w14:paraId="1F65530C"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[22] X. Ni, H. Zhang, D. B. Liarte, L. W. McFaul, K. A. Dahmen, J. P. Sethna, and J. Greer, Physical Review Letters 123, 035501 (2019).</w:t>
      </w:r>
    </w:p>
    <w:p w14:paraId="0D2FC3C3"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[23] E. K. Salje, A. Planes, and E. Vives, Physical Review E 96, 042122 (2017)</w:t>
      </w:r>
    </w:p>
    <w:p w14:paraId="7C75BF7E"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hint="eastAsia"/>
          <w:kern w:val="0"/>
          <w:szCs w:val="21"/>
        </w:rPr>
        <w:t>[</w:t>
      </w:r>
      <w:r w:rsidRPr="00CD3396">
        <w:rPr>
          <w:rFonts w:ascii="Times New Roman" w:hAnsi="Times New Roman" w:cs="Times New Roman"/>
          <w:kern w:val="0"/>
          <w:szCs w:val="21"/>
        </w:rPr>
        <w:t>24] Y. Chen, X. Ding, D. Fang, J. Sun, and E. K. Salje,</w:t>
      </w:r>
      <w:r w:rsidRPr="00CD3396">
        <w:rPr>
          <w:rFonts w:ascii="Times New Roman" w:hAnsi="Times New Roman" w:cs="Times New Roman" w:hint="eastAsia"/>
          <w:kern w:val="0"/>
          <w:szCs w:val="21"/>
        </w:rPr>
        <w:t xml:space="preserve"> </w:t>
      </w:r>
      <w:r w:rsidRPr="00CD3396">
        <w:rPr>
          <w:rFonts w:ascii="Times New Roman" w:hAnsi="Times New Roman" w:cs="Times New Roman"/>
          <w:kern w:val="0"/>
          <w:szCs w:val="21"/>
        </w:rPr>
        <w:t>Scientific Reports 9, 1330 (2019)</w:t>
      </w:r>
    </w:p>
    <w:p w14:paraId="4C4032B1"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[25] E. Faran, E. K. Salje, and D. Shilo, Applied Physics Letters 107, 071902 (2015)</w:t>
      </w:r>
    </w:p>
    <w:p w14:paraId="55E59C1F" w14:textId="77777777" w:rsidR="00CD3396" w:rsidRPr="00CD3396" w:rsidRDefault="00CD3396" w:rsidP="00CD3396">
      <w:pPr>
        <w:autoSpaceDE w:val="0"/>
        <w:autoSpaceDN w:val="0"/>
        <w:adjustRightInd w:val="0"/>
        <w:jc w:val="left"/>
        <w:rPr>
          <w:rFonts w:ascii="Times New Roman" w:hAnsi="Times New Roman" w:cs="Times New Roman"/>
          <w:kern w:val="0"/>
          <w:szCs w:val="21"/>
        </w:rPr>
      </w:pPr>
      <w:r w:rsidRPr="00CD3396">
        <w:rPr>
          <w:rFonts w:ascii="Times New Roman" w:hAnsi="Times New Roman" w:cs="Times New Roman"/>
          <w:kern w:val="0"/>
          <w:szCs w:val="21"/>
        </w:rPr>
        <w:t>[26]J. Baro ́ and E. Vives, Physical Review E 85, 066121, (2012)</w:t>
      </w:r>
    </w:p>
    <w:p w14:paraId="64A339B6" w14:textId="77777777" w:rsidR="00CD3396" w:rsidRPr="00CD3396" w:rsidRDefault="00CD3396" w:rsidP="00CD3396">
      <w:pPr>
        <w:pStyle w:val="EndNoteBibliography"/>
        <w:widowControl/>
        <w:rPr>
          <w:rFonts w:ascii="Times New Roman" w:hAnsi="Times New Roman"/>
          <w:kern w:val="0"/>
          <w:sz w:val="21"/>
          <w:szCs w:val="21"/>
        </w:rPr>
      </w:pPr>
      <w:r w:rsidRPr="00CD3396">
        <w:rPr>
          <w:rFonts w:ascii="Times New Roman" w:hAnsi="Times New Roman"/>
          <w:kern w:val="0"/>
          <w:sz w:val="21"/>
          <w:szCs w:val="21"/>
        </w:rPr>
        <w:t>[27]</w:t>
      </w:r>
      <w:r w:rsidRPr="00CD3396">
        <w:rPr>
          <w:rFonts w:ascii="Times New Roman" w:hAnsi="Times New Roman"/>
          <w:kern w:val="0"/>
          <w:sz w:val="21"/>
          <w:szCs w:val="21"/>
        </w:rPr>
        <w:tab/>
        <w:t>S. Kheiri, H. Mirzadeh, M. Naghizadeh, Materials Science and Engineering: A 759, 90 (2019).</w:t>
      </w:r>
    </w:p>
    <w:p w14:paraId="64E9DCE6" w14:textId="77777777" w:rsidR="00CD3396" w:rsidRDefault="00CD3396" w:rsidP="00CD3396">
      <w:pPr>
        <w:pStyle w:val="EndNoteBibliography"/>
        <w:widowControl/>
        <w:rPr>
          <w:rFonts w:ascii="Times New Roman" w:hAnsi="Times New Roman"/>
          <w:kern w:val="0"/>
          <w:sz w:val="21"/>
          <w:szCs w:val="21"/>
        </w:rPr>
      </w:pPr>
      <w:r w:rsidRPr="00CD3396">
        <w:rPr>
          <w:rFonts w:ascii="Times New Roman" w:hAnsi="Times New Roman"/>
          <w:kern w:val="0"/>
          <w:sz w:val="21"/>
          <w:szCs w:val="21"/>
        </w:rPr>
        <w:t>[28]</w:t>
      </w:r>
      <w:r w:rsidRPr="00CD3396">
        <w:rPr>
          <w:rFonts w:ascii="Times New Roman" w:hAnsi="Times New Roman"/>
          <w:kern w:val="0"/>
          <w:sz w:val="21"/>
          <w:szCs w:val="21"/>
        </w:rPr>
        <w:tab/>
        <w:t>W. Qin, J.Li, Y. Liu, J. Kang, L. Zhu, D. Shu, P. Peng, D. She, D. Meng, and Y. Li, Materials Letters 254, 116 (2019).</w:t>
      </w:r>
    </w:p>
    <w:p w14:paraId="5F25C604" w14:textId="5C48C6D4" w:rsidR="00D83C9E" w:rsidRPr="00CD3396" w:rsidRDefault="00D83C9E" w:rsidP="00CD3396">
      <w:pPr>
        <w:pStyle w:val="EndNoteBibliography"/>
        <w:widowControl/>
        <w:rPr>
          <w:rFonts w:ascii="Times New Roman" w:hAnsi="Times New Roman"/>
          <w:kern w:val="0"/>
          <w:sz w:val="21"/>
          <w:szCs w:val="21"/>
        </w:rPr>
      </w:pPr>
      <w:r>
        <w:rPr>
          <w:rFonts w:ascii="Times New Roman" w:hAnsi="Times New Roman"/>
          <w:kern w:val="0"/>
          <w:sz w:val="21"/>
          <w:szCs w:val="21"/>
        </w:rPr>
        <w:t>[29]</w:t>
      </w:r>
      <w:r w:rsidR="000A3FD3">
        <w:rPr>
          <w:rFonts w:ascii="Times New Roman" w:hAnsi="Times New Roman"/>
          <w:kern w:val="0"/>
          <w:sz w:val="21"/>
          <w:szCs w:val="21"/>
        </w:rPr>
        <w:t xml:space="preserve"> </w:t>
      </w:r>
      <w:r w:rsidR="000A3FD3" w:rsidRPr="000A3FD3">
        <w:rPr>
          <w:rFonts w:ascii="Times New Roman" w:hAnsi="Times New Roman"/>
          <w:kern w:val="0"/>
          <w:sz w:val="21"/>
          <w:szCs w:val="21"/>
        </w:rPr>
        <w:t>M</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Shaira, N</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Godin, P</w:t>
      </w:r>
      <w:r w:rsidR="000A3FD3">
        <w:rPr>
          <w:rFonts w:ascii="Times New Roman" w:hAnsi="Times New Roman"/>
          <w:kern w:val="0"/>
          <w:sz w:val="21"/>
          <w:szCs w:val="21"/>
        </w:rPr>
        <w:t>. Guy, L Vanel and</w:t>
      </w:r>
      <w:r w:rsidR="000A3FD3" w:rsidRPr="000A3FD3">
        <w:rPr>
          <w:rFonts w:ascii="Times New Roman" w:hAnsi="Times New Roman"/>
          <w:kern w:val="0"/>
          <w:sz w:val="21"/>
          <w:szCs w:val="21"/>
        </w:rPr>
        <w:t xml:space="preserve"> J</w:t>
      </w:r>
      <w:r w:rsidR="000A3FD3">
        <w:rPr>
          <w:rFonts w:ascii="Times New Roman" w:hAnsi="Times New Roman"/>
          <w:kern w:val="0"/>
          <w:sz w:val="21"/>
          <w:szCs w:val="21"/>
        </w:rPr>
        <w:t xml:space="preserve">. </w:t>
      </w:r>
      <w:r w:rsidR="000A3FD3" w:rsidRPr="000A3FD3">
        <w:rPr>
          <w:rFonts w:ascii="Times New Roman" w:hAnsi="Times New Roman"/>
          <w:kern w:val="0"/>
          <w:sz w:val="21"/>
          <w:szCs w:val="21"/>
        </w:rPr>
        <w:t>Courbon</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Materials Science and Enginee</w:t>
      </w:r>
      <w:r w:rsidR="000A3FD3">
        <w:rPr>
          <w:rFonts w:ascii="Times New Roman" w:hAnsi="Times New Roman"/>
          <w:kern w:val="0"/>
          <w:sz w:val="21"/>
          <w:szCs w:val="21"/>
        </w:rPr>
        <w:t>ring: A,   492</w:t>
      </w:r>
      <w:r w:rsidR="000A3FD3" w:rsidRPr="000A3FD3">
        <w:rPr>
          <w:rFonts w:ascii="Times New Roman" w:hAnsi="Times New Roman"/>
          <w:kern w:val="0"/>
          <w:sz w:val="21"/>
          <w:szCs w:val="21"/>
        </w:rPr>
        <w:t>, 392 (2008)</w:t>
      </w:r>
    </w:p>
    <w:p w14:paraId="7ACC3EF7" w14:textId="2928EA89" w:rsidR="00CD3396" w:rsidRPr="00CD3396" w:rsidRDefault="00CD3396" w:rsidP="00CD3396">
      <w:pPr>
        <w:pStyle w:val="EndNoteBibliography"/>
        <w:widowControl/>
        <w:rPr>
          <w:rFonts w:ascii="Times New Roman" w:hAnsi="Times New Roman"/>
          <w:kern w:val="0"/>
          <w:sz w:val="21"/>
          <w:szCs w:val="21"/>
        </w:rPr>
      </w:pPr>
      <w:r w:rsidRPr="00CD3396">
        <w:rPr>
          <w:rFonts w:ascii="Times New Roman" w:hAnsi="Times New Roman"/>
          <w:kern w:val="0"/>
          <w:sz w:val="21"/>
          <w:szCs w:val="21"/>
        </w:rPr>
        <w:t>[</w:t>
      </w:r>
      <w:r w:rsidR="00D83C9E">
        <w:rPr>
          <w:rFonts w:ascii="Times New Roman" w:hAnsi="Times New Roman"/>
          <w:kern w:val="0"/>
          <w:sz w:val="21"/>
          <w:szCs w:val="21"/>
        </w:rPr>
        <w:t>30</w:t>
      </w:r>
      <w:r w:rsidRPr="00CD3396">
        <w:rPr>
          <w:rFonts w:ascii="Times New Roman" w:hAnsi="Times New Roman"/>
          <w:kern w:val="0"/>
          <w:sz w:val="21"/>
          <w:szCs w:val="21"/>
        </w:rPr>
        <w:t>]</w:t>
      </w:r>
      <w:r w:rsidRPr="00CD3396">
        <w:rPr>
          <w:rFonts w:ascii="Times New Roman" w:hAnsi="Times New Roman"/>
          <w:kern w:val="0"/>
          <w:sz w:val="21"/>
          <w:szCs w:val="21"/>
        </w:rPr>
        <w:tab/>
        <w:t>P. Zhang, O. U. Salman, J.-Y. Zhang, G. Liu, J. Weiss, L. Truskinovsky, and J. Sun, Acta Materialia 128, 351 (2017).</w:t>
      </w:r>
    </w:p>
    <w:p w14:paraId="08987AA7" w14:textId="0558972F" w:rsidR="00CD3396" w:rsidRPr="00CD3396" w:rsidRDefault="00CD3396" w:rsidP="00CD3396">
      <w:pPr>
        <w:pStyle w:val="EndNoteBibliography"/>
        <w:widowControl/>
        <w:rPr>
          <w:rFonts w:ascii="Times New Roman" w:hAnsi="Times New Roman"/>
          <w:kern w:val="0"/>
          <w:sz w:val="21"/>
          <w:szCs w:val="21"/>
        </w:rPr>
      </w:pPr>
      <w:r w:rsidRPr="00CD3396">
        <w:rPr>
          <w:rFonts w:ascii="Times New Roman" w:hAnsi="Times New Roman"/>
          <w:kern w:val="0"/>
          <w:sz w:val="21"/>
          <w:szCs w:val="21"/>
        </w:rPr>
        <w:t>[3</w:t>
      </w:r>
      <w:r w:rsidR="00D83C9E">
        <w:rPr>
          <w:rFonts w:ascii="Times New Roman" w:hAnsi="Times New Roman"/>
          <w:kern w:val="0"/>
          <w:sz w:val="21"/>
          <w:szCs w:val="21"/>
        </w:rPr>
        <w:t>1</w:t>
      </w:r>
      <w:r w:rsidRPr="00CD3396">
        <w:rPr>
          <w:rFonts w:ascii="Times New Roman" w:hAnsi="Times New Roman"/>
          <w:kern w:val="0"/>
          <w:sz w:val="21"/>
          <w:szCs w:val="21"/>
        </w:rPr>
        <w:t>]</w:t>
      </w:r>
      <w:r w:rsidRPr="00CD3396">
        <w:rPr>
          <w:rFonts w:ascii="Times New Roman" w:hAnsi="Times New Roman"/>
          <w:kern w:val="0"/>
          <w:sz w:val="21"/>
          <w:szCs w:val="21"/>
        </w:rPr>
        <w:tab/>
        <w:t>T. Mayama, K. Sasaki, and M. Kuroda, Acta Materialia 56, 2735 (2008).</w:t>
      </w:r>
    </w:p>
    <w:p w14:paraId="5CA601F4" w14:textId="255187F4" w:rsidR="00CD3396" w:rsidRPr="00CD3396" w:rsidRDefault="00CD3396" w:rsidP="00CD3396">
      <w:pPr>
        <w:pStyle w:val="EndNoteBibliography"/>
        <w:widowControl/>
        <w:rPr>
          <w:rFonts w:ascii="Times New Roman" w:hAnsi="Times New Roman"/>
          <w:kern w:val="0"/>
          <w:sz w:val="21"/>
          <w:szCs w:val="21"/>
        </w:rPr>
      </w:pPr>
      <w:r w:rsidRPr="00CD3396">
        <w:rPr>
          <w:rFonts w:ascii="Times New Roman" w:hAnsi="Times New Roman"/>
          <w:kern w:val="0"/>
          <w:sz w:val="21"/>
          <w:szCs w:val="21"/>
        </w:rPr>
        <w:t>[3</w:t>
      </w:r>
      <w:r w:rsidR="00D83C9E">
        <w:rPr>
          <w:rFonts w:ascii="Times New Roman" w:hAnsi="Times New Roman"/>
          <w:kern w:val="0"/>
          <w:sz w:val="21"/>
          <w:szCs w:val="21"/>
        </w:rPr>
        <w:t>2</w:t>
      </w:r>
      <w:r w:rsidRPr="00CD3396">
        <w:rPr>
          <w:rFonts w:ascii="Times New Roman" w:hAnsi="Times New Roman"/>
          <w:kern w:val="0"/>
          <w:sz w:val="21"/>
          <w:szCs w:val="21"/>
        </w:rPr>
        <w:t>]</w:t>
      </w:r>
      <w:r w:rsidRPr="00CD3396">
        <w:rPr>
          <w:rFonts w:ascii="Times New Roman" w:hAnsi="Times New Roman"/>
          <w:kern w:val="0"/>
          <w:sz w:val="21"/>
          <w:szCs w:val="21"/>
        </w:rPr>
        <w:tab/>
        <w:t>M. Pham, C. Solenthaler, K. Janssens and S. Holdsworth, Materials Science and Engineering: A 528, 3261 (2011).</w:t>
      </w:r>
    </w:p>
    <w:p w14:paraId="382596AB" w14:textId="63DBDC68" w:rsidR="0097210E" w:rsidRPr="00D83C9E" w:rsidRDefault="00CD3396" w:rsidP="00CD3396">
      <w:pPr>
        <w:pStyle w:val="EndNoteBibliography"/>
        <w:widowControl/>
        <w:rPr>
          <w:rFonts w:ascii="Times New Roman" w:hAnsi="Times New Roman"/>
          <w:kern w:val="0"/>
          <w:sz w:val="21"/>
          <w:szCs w:val="21"/>
        </w:rPr>
      </w:pPr>
      <w:r w:rsidRPr="00CD3396">
        <w:rPr>
          <w:rFonts w:ascii="Times New Roman" w:hAnsi="Times New Roman"/>
          <w:kern w:val="0"/>
          <w:sz w:val="21"/>
          <w:szCs w:val="21"/>
        </w:rPr>
        <w:t>[33]</w:t>
      </w:r>
      <w:r w:rsidRPr="00CD3396">
        <w:rPr>
          <w:rFonts w:ascii="Times New Roman" w:hAnsi="Times New Roman"/>
          <w:kern w:val="0"/>
          <w:sz w:val="21"/>
          <w:szCs w:val="21"/>
        </w:rPr>
        <w:tab/>
        <w:t>K. J. Måløy, S. Santucci, J. Schmittbuhl, and R. Toussaint, Physical Review Letters 96, 045501 (2006).</w:t>
      </w:r>
      <w:r w:rsidRPr="001D5C99">
        <w:rPr>
          <w:rFonts w:ascii="Times New Roman" w:hAnsi="Times New Roman"/>
          <w:kern w:val="0"/>
          <w:szCs w:val="21"/>
        </w:rPr>
        <w:t xml:space="preserve"> </w:t>
      </w:r>
    </w:p>
    <w:p w14:paraId="285006B4" w14:textId="77777777" w:rsidR="00D83C9E" w:rsidRDefault="0097210E" w:rsidP="00CD3396">
      <w:pPr>
        <w:pStyle w:val="EndNoteBibliography"/>
        <w:widowControl/>
        <w:rPr>
          <w:rFonts w:ascii="Times New Roman" w:eastAsiaTheme="minorEastAsia" w:hAnsi="Times New Roman"/>
          <w:kern w:val="0"/>
          <w:sz w:val="21"/>
          <w:szCs w:val="21"/>
        </w:rPr>
      </w:pPr>
      <w:r>
        <w:rPr>
          <w:rFonts w:ascii="Times New Roman" w:eastAsiaTheme="minorEastAsia" w:hAnsi="Times New Roman"/>
          <w:kern w:val="0"/>
          <w:sz w:val="21"/>
          <w:szCs w:val="21"/>
        </w:rPr>
        <w:t xml:space="preserve">[34] </w:t>
      </w:r>
      <w:r w:rsidRPr="0097210E">
        <w:rPr>
          <w:rFonts w:ascii="Times New Roman" w:eastAsiaTheme="minorEastAsia" w:hAnsi="Times New Roman"/>
          <w:kern w:val="0"/>
          <w:sz w:val="21"/>
          <w:szCs w:val="21"/>
        </w:rPr>
        <w:t>D. Bonamy</w:t>
      </w:r>
      <w:r>
        <w:rPr>
          <w:rFonts w:ascii="Times New Roman" w:eastAsiaTheme="minorEastAsia" w:hAnsi="Times New Roman"/>
          <w:kern w:val="0"/>
          <w:sz w:val="21"/>
          <w:szCs w:val="21"/>
        </w:rPr>
        <w:t>, S. Santucci, and L</w:t>
      </w:r>
      <w:r w:rsidRPr="0097210E">
        <w:rPr>
          <w:rFonts w:ascii="Times New Roman" w:eastAsiaTheme="minorEastAsia" w:hAnsi="Times New Roman"/>
          <w:kern w:val="0"/>
          <w:sz w:val="21"/>
          <w:szCs w:val="21"/>
        </w:rPr>
        <w:t xml:space="preserve">. Ponson, </w:t>
      </w:r>
      <w:r w:rsidRPr="00CD3396">
        <w:rPr>
          <w:rFonts w:ascii="Times New Roman" w:hAnsi="Times New Roman"/>
          <w:kern w:val="0"/>
          <w:sz w:val="21"/>
          <w:szCs w:val="21"/>
        </w:rPr>
        <w:t>Physical Review Letters</w:t>
      </w:r>
      <w:r w:rsidRPr="0097210E">
        <w:rPr>
          <w:rFonts w:ascii="Times New Roman" w:eastAsiaTheme="minorEastAsia" w:hAnsi="Times New Roman"/>
          <w:kern w:val="0"/>
          <w:sz w:val="21"/>
          <w:szCs w:val="21"/>
        </w:rPr>
        <w:t xml:space="preserve"> 101, 045501 (2008)</w:t>
      </w:r>
    </w:p>
    <w:p w14:paraId="6B750488" w14:textId="3781415B" w:rsidR="00D83C9E" w:rsidRDefault="00D83C9E" w:rsidP="00CD3396">
      <w:pPr>
        <w:pStyle w:val="EndNoteBibliography"/>
        <w:widowControl/>
        <w:rPr>
          <w:rFonts w:ascii="Times New Roman" w:eastAsiaTheme="minorEastAsia" w:hAnsi="Times New Roman"/>
          <w:kern w:val="0"/>
          <w:sz w:val="21"/>
          <w:szCs w:val="21"/>
        </w:rPr>
      </w:pPr>
      <w:r>
        <w:rPr>
          <w:rFonts w:ascii="Times New Roman" w:eastAsiaTheme="minorEastAsia" w:hAnsi="Times New Roman"/>
          <w:kern w:val="0"/>
          <w:sz w:val="21"/>
          <w:szCs w:val="21"/>
        </w:rPr>
        <w:t>[3</w:t>
      </w:r>
      <w:r w:rsidRPr="000A3FD3">
        <w:rPr>
          <w:rFonts w:ascii="Times New Roman" w:hAnsi="Times New Roman"/>
          <w:kern w:val="0"/>
          <w:sz w:val="21"/>
          <w:szCs w:val="21"/>
        </w:rPr>
        <w:t>5]</w:t>
      </w:r>
      <w:r w:rsidR="000A3FD3" w:rsidRPr="000A3FD3">
        <w:rPr>
          <w:rFonts w:ascii="Times New Roman" w:hAnsi="Times New Roman"/>
          <w:kern w:val="0"/>
          <w:sz w:val="21"/>
          <w:szCs w:val="21"/>
        </w:rPr>
        <w:t xml:space="preserve"> T</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Richeton, P</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Dobron, F</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Chmelik, J</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Weiss, F</w:t>
      </w:r>
      <w:r w:rsidR="000A3FD3">
        <w:rPr>
          <w:rFonts w:ascii="Times New Roman" w:hAnsi="Times New Roman"/>
          <w:kern w:val="0"/>
          <w:sz w:val="21"/>
          <w:szCs w:val="21"/>
        </w:rPr>
        <w:t>.</w:t>
      </w:r>
      <w:r w:rsidR="000A3FD3" w:rsidRPr="000A3FD3">
        <w:rPr>
          <w:rFonts w:ascii="Times New Roman" w:hAnsi="Times New Roman"/>
          <w:kern w:val="0"/>
          <w:sz w:val="21"/>
          <w:szCs w:val="21"/>
        </w:rPr>
        <w:t xml:space="preserve"> Louchet, Materials Science </w:t>
      </w:r>
      <w:r w:rsidR="000A3FD3">
        <w:rPr>
          <w:rFonts w:ascii="Times New Roman" w:hAnsi="Times New Roman"/>
          <w:kern w:val="0"/>
          <w:sz w:val="21"/>
          <w:szCs w:val="21"/>
        </w:rPr>
        <w:t xml:space="preserve">and Engineering: A,  </w:t>
      </w:r>
      <w:r w:rsidR="000A3FD3" w:rsidRPr="000A3FD3">
        <w:rPr>
          <w:rFonts w:ascii="Times New Roman" w:hAnsi="Times New Roman"/>
          <w:kern w:val="0"/>
          <w:sz w:val="21"/>
          <w:szCs w:val="21"/>
        </w:rPr>
        <w:t>424, 190 (2006).</w:t>
      </w:r>
    </w:p>
    <w:p w14:paraId="0967B03F" w14:textId="63CEAFDF" w:rsidR="00832601" w:rsidRDefault="00D83C9E" w:rsidP="00CD3396">
      <w:pPr>
        <w:pStyle w:val="EndNoteBibliography"/>
        <w:widowControl/>
        <w:rPr>
          <w:rFonts w:ascii="Times New Roman" w:eastAsiaTheme="minorEastAsia" w:hAnsi="Times New Roman"/>
          <w:kern w:val="0"/>
          <w:sz w:val="24"/>
          <w:szCs w:val="28"/>
        </w:rPr>
      </w:pPr>
      <w:r>
        <w:rPr>
          <w:rFonts w:ascii="Times New Roman" w:eastAsiaTheme="minorEastAsia" w:hAnsi="Times New Roman"/>
          <w:kern w:val="0"/>
          <w:sz w:val="21"/>
          <w:szCs w:val="21"/>
        </w:rPr>
        <w:t>[36]</w:t>
      </w:r>
      <w:r w:rsidR="00FA4BD3">
        <w:rPr>
          <w:rFonts w:ascii="Times New Roman" w:eastAsiaTheme="minorEastAsia" w:hAnsi="Times New Roman"/>
          <w:kern w:val="0"/>
          <w:sz w:val="21"/>
          <w:szCs w:val="21"/>
        </w:rPr>
        <w:t xml:space="preserve"> </w:t>
      </w:r>
      <w:r w:rsidR="00FA4BD3" w:rsidRPr="00FA4BD3">
        <w:rPr>
          <w:rFonts w:ascii="Times New Roman" w:hAnsi="Times New Roman"/>
          <w:kern w:val="0"/>
          <w:sz w:val="21"/>
          <w:szCs w:val="21"/>
        </w:rPr>
        <w:t>E</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K</w:t>
      </w:r>
      <w:r w:rsidR="00FA4BD3">
        <w:rPr>
          <w:rFonts w:ascii="Times New Roman" w:hAnsi="Times New Roman"/>
          <w:kern w:val="0"/>
          <w:sz w:val="21"/>
          <w:szCs w:val="21"/>
        </w:rPr>
        <w:t xml:space="preserve">. </w:t>
      </w:r>
      <w:r w:rsidR="00FA4BD3" w:rsidRPr="00FA4BD3">
        <w:rPr>
          <w:rFonts w:ascii="Times New Roman" w:hAnsi="Times New Roman"/>
          <w:kern w:val="0"/>
          <w:sz w:val="21"/>
          <w:szCs w:val="21"/>
        </w:rPr>
        <w:t>Salje, H</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Liu, Y</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Xiao, L</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Jin, A</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Planes, E</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Vives, K</w:t>
      </w:r>
      <w:r w:rsidR="00FA4BD3">
        <w:rPr>
          <w:rFonts w:ascii="Times New Roman" w:hAnsi="Times New Roman"/>
          <w:kern w:val="0"/>
          <w:sz w:val="21"/>
          <w:szCs w:val="21"/>
        </w:rPr>
        <w:t>.</w:t>
      </w:r>
      <w:r w:rsidR="00FA4BD3" w:rsidRPr="00FA4BD3">
        <w:rPr>
          <w:rFonts w:ascii="Times New Roman" w:hAnsi="Times New Roman"/>
          <w:kern w:val="0"/>
          <w:sz w:val="21"/>
          <w:szCs w:val="21"/>
        </w:rPr>
        <w:t xml:space="preserve"> Xie, and X</w:t>
      </w:r>
      <w:r w:rsidR="00FA4BD3">
        <w:rPr>
          <w:rFonts w:ascii="Times New Roman" w:hAnsi="Times New Roman"/>
          <w:kern w:val="0"/>
          <w:sz w:val="21"/>
          <w:szCs w:val="21"/>
        </w:rPr>
        <w:t>. Jiang,</w:t>
      </w:r>
      <w:r w:rsidR="00FA4BD3" w:rsidRPr="00FA4BD3">
        <w:rPr>
          <w:rFonts w:ascii="Times New Roman" w:hAnsi="Times New Roman"/>
          <w:kern w:val="0"/>
          <w:sz w:val="21"/>
          <w:szCs w:val="21"/>
        </w:rPr>
        <w:t xml:space="preserve"> Physical Review E</w:t>
      </w:r>
      <w:r w:rsidR="00FA4BD3">
        <w:rPr>
          <w:rFonts w:ascii="Times New Roman" w:hAnsi="Times New Roman"/>
          <w:kern w:val="0"/>
          <w:sz w:val="21"/>
          <w:szCs w:val="21"/>
        </w:rPr>
        <w:t xml:space="preserve">, </w:t>
      </w:r>
      <w:r w:rsidR="00FA4BD3" w:rsidRPr="00FA4BD3">
        <w:rPr>
          <w:rFonts w:ascii="Times New Roman" w:hAnsi="Times New Roman"/>
          <w:kern w:val="0"/>
          <w:sz w:val="21"/>
          <w:szCs w:val="21"/>
        </w:rPr>
        <w:t>99, 023002 (2019)</w:t>
      </w:r>
      <w:r w:rsidR="00FA4BD3">
        <w:rPr>
          <w:rFonts w:ascii="Times New Roman" w:hAnsi="Times New Roman"/>
          <w:kern w:val="0"/>
          <w:sz w:val="21"/>
          <w:szCs w:val="21"/>
        </w:rPr>
        <w:t>.</w:t>
      </w:r>
      <w:r w:rsidR="00B72ABC">
        <w:rPr>
          <w:rFonts w:ascii="Times New Roman" w:hAnsi="Times New Roman"/>
          <w:kern w:val="0"/>
          <w:sz w:val="28"/>
          <w:szCs w:val="28"/>
        </w:rPr>
        <w:t xml:space="preserve">                                                                                                                                                                                                                                                                                                                                                                                                                                                                                                                                                                                                                                                                                                                                                                                                                                                                                                                                                                                                                                                                                                                                                                                                                                                                                                                                                                                                                                                                                                                                                                                                                                                                                                                                                                                                                                                                                                                                                                                                                                                                                                                                                                                                                                                                                                                                                                                                                                                                                                                                                                                                                                                                                                                                                                                                                                                                                                                                                                                                                                                                                                                                                    </w:t>
      </w:r>
    </w:p>
    <w:p w14:paraId="1B6FEA29" w14:textId="659692F4" w:rsidR="00832601" w:rsidRDefault="00CD3396" w:rsidP="00CD3396">
      <w:pPr>
        <w:widowControl/>
        <w:jc w:val="left"/>
        <w:rPr>
          <w:rFonts w:ascii="Times New Roman" w:hAnsi="Times New Roman" w:cs="Times New Roman"/>
          <w:kern w:val="0"/>
          <w:sz w:val="28"/>
          <w:szCs w:val="28"/>
        </w:rPr>
      </w:pPr>
      <w:r>
        <w:rPr>
          <w:rFonts w:ascii="Times New Roman" w:hAnsi="Times New Roman" w:cs="Times New Roman"/>
          <w:kern w:val="0"/>
          <w:sz w:val="28"/>
          <w:szCs w:val="28"/>
        </w:rPr>
        <w:br w:type="page"/>
      </w:r>
    </w:p>
    <w:p w14:paraId="2EC4D0F3" w14:textId="3D9A9B10" w:rsidR="00093671" w:rsidRPr="000860D4" w:rsidRDefault="008D18F9" w:rsidP="000860D4">
      <w:pPr>
        <w:spacing w:after="240"/>
        <w:rPr>
          <w:rFonts w:ascii="Times New Roman" w:hAnsi="Times New Roman"/>
          <w:b/>
          <w:bCs/>
          <w:color w:val="0D0D0D" w:themeColor="text1" w:themeTint="F2"/>
          <w:sz w:val="28"/>
          <w:szCs w:val="24"/>
        </w:rPr>
      </w:pPr>
      <w:r w:rsidRPr="003531B1">
        <w:rPr>
          <w:rFonts w:ascii="Times New Roman" w:hAnsi="Times New Roman"/>
          <w:b/>
          <w:bCs/>
          <w:color w:val="0D0D0D" w:themeColor="text1" w:themeTint="F2"/>
          <w:sz w:val="28"/>
          <w:szCs w:val="24"/>
        </w:rPr>
        <w:lastRenderedPageBreak/>
        <w:t>Figure Captions</w:t>
      </w:r>
    </w:p>
    <w:p w14:paraId="46DADCDA" w14:textId="564203DA" w:rsidR="00093671" w:rsidRPr="000860D4" w:rsidRDefault="008D18F9" w:rsidP="000860D4">
      <w:pPr>
        <w:spacing w:afterLines="100" w:after="312"/>
        <w:rPr>
          <w:rFonts w:ascii="Times New Roman" w:hAnsi="Times New Roman"/>
          <w:bCs/>
          <w:color w:val="0D0D0D" w:themeColor="text1" w:themeTint="F2"/>
          <w:sz w:val="24"/>
          <w:szCs w:val="24"/>
        </w:rPr>
      </w:pPr>
      <w:r w:rsidRPr="003531B1">
        <w:rPr>
          <w:rFonts w:ascii="Times New Roman" w:hAnsi="Times New Roman"/>
          <w:bCs/>
          <w:color w:val="0D0D0D" w:themeColor="text1" w:themeTint="F2"/>
          <w:sz w:val="24"/>
          <w:szCs w:val="24"/>
        </w:rPr>
        <w:t>Fig.1 (a) Microstructure of initial porous 316L sample with porosity of 35%. (b)Dimples in the vertical direction of fracture zone. (c) Macro-cracks in the horizontal direction of fracture zone.</w:t>
      </w:r>
    </w:p>
    <w:p w14:paraId="3AC92F18" w14:textId="5A216363" w:rsidR="00093671" w:rsidRDefault="008D18F9" w:rsidP="000860D4">
      <w:pPr>
        <w:widowControl/>
        <w:spacing w:afterLines="100" w:after="312"/>
        <w:jc w:val="left"/>
        <w:rPr>
          <w:rFonts w:ascii="Times New Roman" w:hAnsi="Times New Roman"/>
          <w:bCs/>
          <w:color w:val="0D0D0D" w:themeColor="text1" w:themeTint="F2"/>
          <w:sz w:val="24"/>
          <w:szCs w:val="24"/>
        </w:rPr>
      </w:pPr>
      <w:r w:rsidRPr="003531B1">
        <w:rPr>
          <w:rFonts w:ascii="Times New Roman" w:hAnsi="Times New Roman"/>
          <w:bCs/>
          <w:color w:val="0D0D0D" w:themeColor="text1" w:themeTint="F2"/>
          <w:sz w:val="24"/>
          <w:szCs w:val="24"/>
        </w:rPr>
        <w:t>Fig.2 Strain stress curve and time sequence of AE (~jerk) spectra (a), average energy (b), duration (c), and risetime (d) of AE signals in porous 316L SS steel.</w:t>
      </w:r>
    </w:p>
    <w:p w14:paraId="3C1AAC84" w14:textId="518799BA" w:rsidR="00093671" w:rsidRDefault="008D18F9" w:rsidP="008D18F9">
      <w:pPr>
        <w:autoSpaceDE w:val="0"/>
        <w:autoSpaceDN w:val="0"/>
        <w:adjustRightInd w:val="0"/>
        <w:spacing w:afterLines="100" w:after="312"/>
        <w:jc w:val="left"/>
        <w:rPr>
          <w:rFonts w:ascii="Times New Roman" w:hAnsi="Times New Roman"/>
          <w:bCs/>
          <w:color w:val="0D0D0D" w:themeColor="text1" w:themeTint="F2"/>
          <w:sz w:val="24"/>
          <w:szCs w:val="24"/>
        </w:rPr>
      </w:pPr>
      <w:r w:rsidRPr="003531B1">
        <w:rPr>
          <w:rFonts w:ascii="Times New Roman" w:hAnsi="Times New Roman"/>
          <w:bCs/>
          <w:color w:val="0D0D0D" w:themeColor="text1" w:themeTint="F2"/>
          <w:sz w:val="24"/>
          <w:szCs w:val="24"/>
        </w:rPr>
        <w:t xml:space="preserve">Fig.3 (a) Probability distribution function (PDF) of AE energy (E) for three regimes. Regime 1 shows an exponent 2.34±0.03, regime 3 shows an exponent 1.52±0.03 whereas regime 2 shows mixing of two exponents. (b) Maximum likelihood curves of three regimes confirm these results. (c) PDF of AE amplitude (A) for three regimes. Regime 1 shows an exponent </w:t>
      </w:r>
      <w:bookmarkStart w:id="4" w:name="OLE_LINK5"/>
      <w:bookmarkStart w:id="5" w:name="OLE_LINK4"/>
      <w:r w:rsidRPr="003531B1">
        <w:rPr>
          <w:rFonts w:ascii="Times New Roman" w:hAnsi="Times New Roman"/>
          <w:bCs/>
          <w:color w:val="0D0D0D" w:themeColor="text1" w:themeTint="F2"/>
          <w:sz w:val="24"/>
          <w:szCs w:val="24"/>
        </w:rPr>
        <w:t>3.59±0.07</w:t>
      </w:r>
      <w:bookmarkEnd w:id="4"/>
      <w:bookmarkEnd w:id="5"/>
      <w:r w:rsidRPr="003531B1">
        <w:rPr>
          <w:rFonts w:ascii="Times New Roman" w:hAnsi="Times New Roman"/>
          <w:bCs/>
          <w:color w:val="0D0D0D" w:themeColor="text1" w:themeTint="F2"/>
          <w:sz w:val="24"/>
          <w:szCs w:val="24"/>
        </w:rPr>
        <w:t>, regime 3 shows an exponent 2.31±0.05 whereas regime 2 shows mixing of two exponents. (d) PDF of AE duration (D) for three regimes. Regime1 shows an exponent 4.53±0.03, regime 3 shows an exponent 2.91</w:t>
      </w:r>
      <w:r w:rsidRPr="003531B1">
        <w:rPr>
          <w:rFonts w:ascii="Times New Roman" w:hAnsi="Times New Roman" w:hint="eastAsia"/>
          <w:bCs/>
          <w:color w:val="0D0D0D" w:themeColor="text1" w:themeTint="F2"/>
          <w:sz w:val="24"/>
          <w:szCs w:val="24"/>
        </w:rPr>
        <w:t>±</w:t>
      </w:r>
      <w:r w:rsidRPr="003531B1">
        <w:rPr>
          <w:rFonts w:ascii="Times New Roman" w:hAnsi="Times New Roman"/>
          <w:bCs/>
          <w:color w:val="0D0D0D" w:themeColor="text1" w:themeTint="F2"/>
          <w:sz w:val="24"/>
          <w:szCs w:val="24"/>
        </w:rPr>
        <w:t>0.24 whereas regime 2 shows mixing of two exponents.</w:t>
      </w:r>
    </w:p>
    <w:p w14:paraId="5BC9FEC7" w14:textId="77777777" w:rsidR="008D18F9" w:rsidRPr="003531B1" w:rsidRDefault="008D18F9" w:rsidP="008D18F9">
      <w:pPr>
        <w:autoSpaceDE w:val="0"/>
        <w:autoSpaceDN w:val="0"/>
        <w:adjustRightInd w:val="0"/>
        <w:spacing w:afterLines="100" w:after="312"/>
        <w:jc w:val="left"/>
        <w:rPr>
          <w:rFonts w:ascii="Times New Roman" w:hAnsi="Times New Roman"/>
          <w:bCs/>
          <w:color w:val="0D0D0D" w:themeColor="text1" w:themeTint="F2"/>
          <w:sz w:val="24"/>
          <w:szCs w:val="24"/>
        </w:rPr>
      </w:pPr>
      <w:r w:rsidRPr="003531B1">
        <w:rPr>
          <w:rFonts w:ascii="Times New Roman" w:hAnsi="Times New Roman"/>
          <w:bCs/>
          <w:color w:val="0D0D0D" w:themeColor="text1" w:themeTint="F2"/>
          <w:sz w:val="24"/>
          <w:szCs w:val="24"/>
        </w:rPr>
        <w:t xml:space="preserve">Fig.4 (a) Energy versus amplitude correlations for three regimes follow a power law with an exponent x=2.07±0.01. (b) Amplitude versus duration power laws for three regimes with exponent χ=1.53±0.01. (c) Energy versus duration power laws for three regimes with exponent </w:t>
      </w:r>
      <w:bookmarkStart w:id="6" w:name="OLE_LINK6"/>
      <w:r w:rsidRPr="003531B1">
        <w:rPr>
          <w:rFonts w:ascii="Times New Roman" w:hAnsi="Times New Roman"/>
          <w:bCs/>
          <w:color w:val="0D0D0D" w:themeColor="text1" w:themeTint="F2"/>
          <w:sz w:val="24"/>
          <w:szCs w:val="24"/>
        </w:rPr>
        <w:t>γ=2.94±0.02</w:t>
      </w:r>
      <w:bookmarkEnd w:id="6"/>
      <w:r w:rsidRPr="003531B1">
        <w:rPr>
          <w:rFonts w:ascii="Times New Roman" w:hAnsi="Times New Roman"/>
          <w:bCs/>
          <w:color w:val="0D0D0D" w:themeColor="text1" w:themeTint="F2"/>
          <w:sz w:val="24"/>
          <w:szCs w:val="24"/>
        </w:rPr>
        <w:t xml:space="preserve">. </w:t>
      </w:r>
    </w:p>
    <w:p w14:paraId="713FE539" w14:textId="77777777" w:rsidR="00832601" w:rsidRPr="008D18F9" w:rsidRDefault="00832601">
      <w:pPr>
        <w:autoSpaceDE w:val="0"/>
        <w:autoSpaceDN w:val="0"/>
        <w:adjustRightInd w:val="0"/>
        <w:jc w:val="left"/>
        <w:rPr>
          <w:rFonts w:ascii="Times New Roman" w:hAnsi="Times New Roman" w:cs="Times New Roman"/>
          <w:kern w:val="0"/>
          <w:sz w:val="28"/>
          <w:szCs w:val="28"/>
        </w:rPr>
      </w:pPr>
    </w:p>
    <w:sectPr w:rsidR="00832601" w:rsidRPr="008D18F9">
      <w:footerReference w:type="default" r:id="rId8"/>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D511AF" w14:textId="77777777" w:rsidR="00FE4336" w:rsidRDefault="00FE4336">
      <w:r>
        <w:separator/>
      </w:r>
    </w:p>
  </w:endnote>
  <w:endnote w:type="continuationSeparator" w:id="0">
    <w:p w14:paraId="068244FF" w14:textId="77777777" w:rsidR="00FE4336" w:rsidRDefault="00FE43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MR9">
    <w:altName w:val="Times New Roman"/>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AdvGulliv-R">
    <w:altName w:val="Times New Roman"/>
    <w:charset w:val="00"/>
    <w:family w:val="roman"/>
    <w:pitch w:val="default"/>
    <w:sig w:usb0="00000000"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234133" w14:textId="77777777" w:rsidR="00187080" w:rsidRDefault="00187080">
    <w:pPr>
      <w:pStyle w:val="a5"/>
    </w:pPr>
    <w:r>
      <w:rPr>
        <w:noProof/>
      </w:rPr>
      <mc:AlternateContent>
        <mc:Choice Requires="wps">
          <w:drawing>
            <wp:anchor distT="0" distB="0" distL="114300" distR="114300" simplePos="0" relativeHeight="251658240" behindDoc="0" locked="0" layoutInCell="1" allowOverlap="1" wp14:anchorId="1AD3115B" wp14:editId="2E4D9BBD">
              <wp:simplePos x="0" y="0"/>
              <wp:positionH relativeFrom="margin">
                <wp:align>right</wp:align>
              </wp:positionH>
              <wp:positionV relativeFrom="paragraph">
                <wp:posOffset>0</wp:posOffset>
              </wp:positionV>
              <wp:extent cx="64770" cy="146050"/>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70" cy="1460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5C722B" w14:textId="3EA70431" w:rsidR="00187080" w:rsidRDefault="00187080">
                          <w:pPr>
                            <w:pStyle w:val="a5"/>
                          </w:pPr>
                          <w:r>
                            <w:rPr>
                              <w:rFonts w:hint="eastAsia"/>
                            </w:rPr>
                            <w:fldChar w:fldCharType="begin"/>
                          </w:r>
                          <w:r>
                            <w:rPr>
                              <w:rFonts w:hint="eastAsia"/>
                            </w:rPr>
                            <w:instrText xml:space="preserve"> PAGE  \* MERGEFORMAT </w:instrText>
                          </w:r>
                          <w:r>
                            <w:rPr>
                              <w:rFonts w:hint="eastAsia"/>
                            </w:rPr>
                            <w:fldChar w:fldCharType="separate"/>
                          </w:r>
                          <w:r w:rsidR="00105636">
                            <w:rPr>
                              <w:noProof/>
                            </w:rPr>
                            <w:t>6</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D3115B" id="_x0000_t202" coordsize="21600,21600" o:spt="202" path="m,l,21600r21600,l21600,xe">
              <v:stroke joinstyle="miter"/>
              <v:path gradientshapeok="t" o:connecttype="rect"/>
            </v:shapetype>
            <v:shape id="文本框 1" o:spid="_x0000_s1026" type="#_x0000_t202" style="position:absolute;margin-left:-46.1pt;margin-top:0;width:5.1pt;height:11.5pt;z-index:25165824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" filled="f" stroked="f" strokeweight=".5pt">
              <v:textbox style="mso-fit-shape-to-text:t" inset="0,0,0,0">
                <w:txbxContent>
                  <w:p w14:paraId="725C722B" w14:textId="3EA70431" w:rsidR="00187080" w:rsidRDefault="00187080">
                    <w:pPr>
                      <w:pStyle w:val="a5"/>
                    </w:pPr>
                    <w:r>
                      <w:rPr>
                        <w:rFonts w:hint="eastAsia"/>
                      </w:rPr>
                      <w:fldChar w:fldCharType="begin"/>
                    </w:r>
                    <w:r>
                      <w:rPr>
                        <w:rFonts w:hint="eastAsia"/>
                      </w:rPr>
                      <w:instrText xml:space="preserve"> PAGE  \* MERGEFORMAT </w:instrText>
                    </w:r>
                    <w:r>
                      <w:rPr>
                        <w:rFonts w:hint="eastAsia"/>
                      </w:rPr>
                      <w:fldChar w:fldCharType="separate"/>
                    </w:r>
                    <w:r w:rsidR="00105636">
                      <w:rPr>
                        <w:noProof/>
                      </w:rPr>
                      <w:t>6</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E6E975" w14:textId="77777777" w:rsidR="00FE4336" w:rsidRDefault="00FE4336">
      <w:r>
        <w:separator/>
      </w:r>
    </w:p>
  </w:footnote>
  <w:footnote w:type="continuationSeparator" w:id="0">
    <w:p w14:paraId="046C6A64" w14:textId="77777777" w:rsidR="00FE4336" w:rsidRDefault="00FE43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3C6F"/>
    <w:rsid w:val="00014B52"/>
    <w:rsid w:val="000231CD"/>
    <w:rsid w:val="000237D1"/>
    <w:rsid w:val="00024CD9"/>
    <w:rsid w:val="0002506C"/>
    <w:rsid w:val="0002516C"/>
    <w:rsid w:val="000321B4"/>
    <w:rsid w:val="00043348"/>
    <w:rsid w:val="0005203F"/>
    <w:rsid w:val="00057408"/>
    <w:rsid w:val="00064107"/>
    <w:rsid w:val="00066669"/>
    <w:rsid w:val="00074720"/>
    <w:rsid w:val="00076F73"/>
    <w:rsid w:val="000860D4"/>
    <w:rsid w:val="00092D94"/>
    <w:rsid w:val="00093671"/>
    <w:rsid w:val="00093B82"/>
    <w:rsid w:val="000A1C87"/>
    <w:rsid w:val="000A3FD3"/>
    <w:rsid w:val="000A5922"/>
    <w:rsid w:val="000A59AF"/>
    <w:rsid w:val="000D36EB"/>
    <w:rsid w:val="000E10F1"/>
    <w:rsid w:val="000E6905"/>
    <w:rsid w:val="000E7CAD"/>
    <w:rsid w:val="000F2F58"/>
    <w:rsid w:val="000F44B7"/>
    <w:rsid w:val="00105636"/>
    <w:rsid w:val="001118D9"/>
    <w:rsid w:val="0011275E"/>
    <w:rsid w:val="00117B78"/>
    <w:rsid w:val="00117FEF"/>
    <w:rsid w:val="00124A08"/>
    <w:rsid w:val="00126C8F"/>
    <w:rsid w:val="00135AA5"/>
    <w:rsid w:val="00137B97"/>
    <w:rsid w:val="001654A7"/>
    <w:rsid w:val="001744B8"/>
    <w:rsid w:val="00177FCF"/>
    <w:rsid w:val="00185CE1"/>
    <w:rsid w:val="00187080"/>
    <w:rsid w:val="001A34AA"/>
    <w:rsid w:val="001B1368"/>
    <w:rsid w:val="001B4510"/>
    <w:rsid w:val="001C5EEB"/>
    <w:rsid w:val="001D27F8"/>
    <w:rsid w:val="001D5C99"/>
    <w:rsid w:val="001E033F"/>
    <w:rsid w:val="001E150F"/>
    <w:rsid w:val="001E2912"/>
    <w:rsid w:val="001E524B"/>
    <w:rsid w:val="002263A7"/>
    <w:rsid w:val="0022641F"/>
    <w:rsid w:val="002314AE"/>
    <w:rsid w:val="00234520"/>
    <w:rsid w:val="00236536"/>
    <w:rsid w:val="0025655F"/>
    <w:rsid w:val="00271B65"/>
    <w:rsid w:val="00275193"/>
    <w:rsid w:val="0028287D"/>
    <w:rsid w:val="00283BA2"/>
    <w:rsid w:val="00283ED2"/>
    <w:rsid w:val="0028639A"/>
    <w:rsid w:val="002866DF"/>
    <w:rsid w:val="00286856"/>
    <w:rsid w:val="002A1C8B"/>
    <w:rsid w:val="002A6009"/>
    <w:rsid w:val="002B7C36"/>
    <w:rsid w:val="002C136A"/>
    <w:rsid w:val="002D279B"/>
    <w:rsid w:val="002E06CD"/>
    <w:rsid w:val="002E35BC"/>
    <w:rsid w:val="002E7637"/>
    <w:rsid w:val="002F4D99"/>
    <w:rsid w:val="002F6E52"/>
    <w:rsid w:val="00312F32"/>
    <w:rsid w:val="0031329D"/>
    <w:rsid w:val="00341B81"/>
    <w:rsid w:val="003438C4"/>
    <w:rsid w:val="00346B3D"/>
    <w:rsid w:val="003531B1"/>
    <w:rsid w:val="00354F71"/>
    <w:rsid w:val="003609F9"/>
    <w:rsid w:val="00361E1E"/>
    <w:rsid w:val="0036552D"/>
    <w:rsid w:val="00365573"/>
    <w:rsid w:val="0036584F"/>
    <w:rsid w:val="00382875"/>
    <w:rsid w:val="00383970"/>
    <w:rsid w:val="00387384"/>
    <w:rsid w:val="003A34F0"/>
    <w:rsid w:val="003B1E5A"/>
    <w:rsid w:val="003D1238"/>
    <w:rsid w:val="003E0ADC"/>
    <w:rsid w:val="003E66F3"/>
    <w:rsid w:val="003F2B02"/>
    <w:rsid w:val="003F6E3E"/>
    <w:rsid w:val="004153B5"/>
    <w:rsid w:val="00420D95"/>
    <w:rsid w:val="00420FCC"/>
    <w:rsid w:val="0042114E"/>
    <w:rsid w:val="004215A1"/>
    <w:rsid w:val="0043643E"/>
    <w:rsid w:val="004375A2"/>
    <w:rsid w:val="00440FA0"/>
    <w:rsid w:val="00445DB1"/>
    <w:rsid w:val="00453838"/>
    <w:rsid w:val="00453C25"/>
    <w:rsid w:val="00455E78"/>
    <w:rsid w:val="00457034"/>
    <w:rsid w:val="00460621"/>
    <w:rsid w:val="00461DB1"/>
    <w:rsid w:val="004742A2"/>
    <w:rsid w:val="0049379F"/>
    <w:rsid w:val="004A1411"/>
    <w:rsid w:val="004A3ACF"/>
    <w:rsid w:val="004B2563"/>
    <w:rsid w:val="004B53CB"/>
    <w:rsid w:val="004C080A"/>
    <w:rsid w:val="004D2108"/>
    <w:rsid w:val="004E5B2B"/>
    <w:rsid w:val="004F4E0C"/>
    <w:rsid w:val="00503506"/>
    <w:rsid w:val="00506C44"/>
    <w:rsid w:val="00513763"/>
    <w:rsid w:val="00521E3C"/>
    <w:rsid w:val="005261C8"/>
    <w:rsid w:val="00531606"/>
    <w:rsid w:val="005335D5"/>
    <w:rsid w:val="00537F9C"/>
    <w:rsid w:val="00540BCC"/>
    <w:rsid w:val="005436DB"/>
    <w:rsid w:val="005519C7"/>
    <w:rsid w:val="005532B9"/>
    <w:rsid w:val="005533F9"/>
    <w:rsid w:val="005676C6"/>
    <w:rsid w:val="00585C64"/>
    <w:rsid w:val="00592978"/>
    <w:rsid w:val="00596876"/>
    <w:rsid w:val="005A3F58"/>
    <w:rsid w:val="005B3E04"/>
    <w:rsid w:val="005B54A2"/>
    <w:rsid w:val="005B57C2"/>
    <w:rsid w:val="005B57E4"/>
    <w:rsid w:val="005B6FA0"/>
    <w:rsid w:val="005E5C2E"/>
    <w:rsid w:val="006050DF"/>
    <w:rsid w:val="006069ED"/>
    <w:rsid w:val="006070A0"/>
    <w:rsid w:val="006169A8"/>
    <w:rsid w:val="00624C47"/>
    <w:rsid w:val="0063054B"/>
    <w:rsid w:val="00640D7C"/>
    <w:rsid w:val="006552B8"/>
    <w:rsid w:val="006842E0"/>
    <w:rsid w:val="00685C2E"/>
    <w:rsid w:val="006B0237"/>
    <w:rsid w:val="006C48AC"/>
    <w:rsid w:val="006C7269"/>
    <w:rsid w:val="006D047E"/>
    <w:rsid w:val="006D07BF"/>
    <w:rsid w:val="006D5356"/>
    <w:rsid w:val="006E36FA"/>
    <w:rsid w:val="006F6300"/>
    <w:rsid w:val="0070255B"/>
    <w:rsid w:val="00711A02"/>
    <w:rsid w:val="007144E3"/>
    <w:rsid w:val="00715C57"/>
    <w:rsid w:val="00720D56"/>
    <w:rsid w:val="007474E3"/>
    <w:rsid w:val="007547BF"/>
    <w:rsid w:val="00757C2F"/>
    <w:rsid w:val="00765455"/>
    <w:rsid w:val="007709E9"/>
    <w:rsid w:val="00774490"/>
    <w:rsid w:val="00780FDE"/>
    <w:rsid w:val="00790B35"/>
    <w:rsid w:val="00792DEB"/>
    <w:rsid w:val="00797977"/>
    <w:rsid w:val="007B419B"/>
    <w:rsid w:val="007B435E"/>
    <w:rsid w:val="007D13BC"/>
    <w:rsid w:val="007D336E"/>
    <w:rsid w:val="007D4BEA"/>
    <w:rsid w:val="007D6A9A"/>
    <w:rsid w:val="007F60B6"/>
    <w:rsid w:val="0080357C"/>
    <w:rsid w:val="008073BB"/>
    <w:rsid w:val="00815980"/>
    <w:rsid w:val="0082175E"/>
    <w:rsid w:val="00832601"/>
    <w:rsid w:val="0083540B"/>
    <w:rsid w:val="008404B0"/>
    <w:rsid w:val="00841594"/>
    <w:rsid w:val="00867C63"/>
    <w:rsid w:val="00871D7A"/>
    <w:rsid w:val="00881B1A"/>
    <w:rsid w:val="008861E1"/>
    <w:rsid w:val="008900AC"/>
    <w:rsid w:val="00891711"/>
    <w:rsid w:val="00897733"/>
    <w:rsid w:val="008A277C"/>
    <w:rsid w:val="008A393B"/>
    <w:rsid w:val="008A5B92"/>
    <w:rsid w:val="008B1346"/>
    <w:rsid w:val="008B679C"/>
    <w:rsid w:val="008B7FBD"/>
    <w:rsid w:val="008C0265"/>
    <w:rsid w:val="008D0631"/>
    <w:rsid w:val="008D18F9"/>
    <w:rsid w:val="008E2DCE"/>
    <w:rsid w:val="008E3C64"/>
    <w:rsid w:val="008E7E1A"/>
    <w:rsid w:val="008E7F8B"/>
    <w:rsid w:val="00901259"/>
    <w:rsid w:val="009029E7"/>
    <w:rsid w:val="009106BB"/>
    <w:rsid w:val="00915119"/>
    <w:rsid w:val="009304CD"/>
    <w:rsid w:val="00930BA1"/>
    <w:rsid w:val="0093697F"/>
    <w:rsid w:val="00941C4D"/>
    <w:rsid w:val="00941F5F"/>
    <w:rsid w:val="0095006C"/>
    <w:rsid w:val="0095328C"/>
    <w:rsid w:val="00953C6F"/>
    <w:rsid w:val="00954321"/>
    <w:rsid w:val="00967684"/>
    <w:rsid w:val="0097210E"/>
    <w:rsid w:val="00973689"/>
    <w:rsid w:val="009852C8"/>
    <w:rsid w:val="00992768"/>
    <w:rsid w:val="009936E5"/>
    <w:rsid w:val="00995B5E"/>
    <w:rsid w:val="009A34CC"/>
    <w:rsid w:val="009A40B4"/>
    <w:rsid w:val="009A701D"/>
    <w:rsid w:val="009B431E"/>
    <w:rsid w:val="009C00C6"/>
    <w:rsid w:val="009C15C4"/>
    <w:rsid w:val="009D0545"/>
    <w:rsid w:val="009D283F"/>
    <w:rsid w:val="009D3DDE"/>
    <w:rsid w:val="009E15EC"/>
    <w:rsid w:val="009F0B30"/>
    <w:rsid w:val="00A00ED5"/>
    <w:rsid w:val="00A10658"/>
    <w:rsid w:val="00A219E5"/>
    <w:rsid w:val="00A21E69"/>
    <w:rsid w:val="00A2243B"/>
    <w:rsid w:val="00A30C5A"/>
    <w:rsid w:val="00A348FE"/>
    <w:rsid w:val="00A42F2E"/>
    <w:rsid w:val="00A513A5"/>
    <w:rsid w:val="00A55183"/>
    <w:rsid w:val="00A55337"/>
    <w:rsid w:val="00A56935"/>
    <w:rsid w:val="00A57E12"/>
    <w:rsid w:val="00A74BB6"/>
    <w:rsid w:val="00AC2C09"/>
    <w:rsid w:val="00AD08CC"/>
    <w:rsid w:val="00AD79AF"/>
    <w:rsid w:val="00AE3736"/>
    <w:rsid w:val="00AF4B03"/>
    <w:rsid w:val="00B128C1"/>
    <w:rsid w:val="00B2243C"/>
    <w:rsid w:val="00B46F10"/>
    <w:rsid w:val="00B53E6F"/>
    <w:rsid w:val="00B630F1"/>
    <w:rsid w:val="00B65C44"/>
    <w:rsid w:val="00B72ABC"/>
    <w:rsid w:val="00B8367B"/>
    <w:rsid w:val="00B96A4D"/>
    <w:rsid w:val="00BA6BEC"/>
    <w:rsid w:val="00BB77BB"/>
    <w:rsid w:val="00BC5354"/>
    <w:rsid w:val="00BD17DB"/>
    <w:rsid w:val="00BD1EAE"/>
    <w:rsid w:val="00BE25C7"/>
    <w:rsid w:val="00BE60E6"/>
    <w:rsid w:val="00BF5E69"/>
    <w:rsid w:val="00BF7B25"/>
    <w:rsid w:val="00C02825"/>
    <w:rsid w:val="00C0399F"/>
    <w:rsid w:val="00C15588"/>
    <w:rsid w:val="00C32786"/>
    <w:rsid w:val="00C36D47"/>
    <w:rsid w:val="00C4585A"/>
    <w:rsid w:val="00C525AC"/>
    <w:rsid w:val="00C525E5"/>
    <w:rsid w:val="00C709D0"/>
    <w:rsid w:val="00C70CFD"/>
    <w:rsid w:val="00C73EAF"/>
    <w:rsid w:val="00C778DA"/>
    <w:rsid w:val="00C96733"/>
    <w:rsid w:val="00C97F00"/>
    <w:rsid w:val="00CB0485"/>
    <w:rsid w:val="00CB3FC8"/>
    <w:rsid w:val="00CB631A"/>
    <w:rsid w:val="00CB6408"/>
    <w:rsid w:val="00CC4476"/>
    <w:rsid w:val="00CC4DFC"/>
    <w:rsid w:val="00CC59E0"/>
    <w:rsid w:val="00CD06BA"/>
    <w:rsid w:val="00CD3396"/>
    <w:rsid w:val="00CD3B65"/>
    <w:rsid w:val="00CE0B31"/>
    <w:rsid w:val="00D036D2"/>
    <w:rsid w:val="00D03CC7"/>
    <w:rsid w:val="00D26B5D"/>
    <w:rsid w:val="00D41C79"/>
    <w:rsid w:val="00D43F60"/>
    <w:rsid w:val="00D5066E"/>
    <w:rsid w:val="00D512CD"/>
    <w:rsid w:val="00D60EA7"/>
    <w:rsid w:val="00D6222F"/>
    <w:rsid w:val="00D62F1C"/>
    <w:rsid w:val="00D722BB"/>
    <w:rsid w:val="00D7308D"/>
    <w:rsid w:val="00D737BF"/>
    <w:rsid w:val="00D76DB3"/>
    <w:rsid w:val="00D83C9E"/>
    <w:rsid w:val="00DA1970"/>
    <w:rsid w:val="00DA46F3"/>
    <w:rsid w:val="00DB1F27"/>
    <w:rsid w:val="00DB66B5"/>
    <w:rsid w:val="00DC1B5B"/>
    <w:rsid w:val="00DE58DB"/>
    <w:rsid w:val="00DE6BCB"/>
    <w:rsid w:val="00E02AE9"/>
    <w:rsid w:val="00E02E9F"/>
    <w:rsid w:val="00E03236"/>
    <w:rsid w:val="00E07CBA"/>
    <w:rsid w:val="00E200A7"/>
    <w:rsid w:val="00E44ACD"/>
    <w:rsid w:val="00E45534"/>
    <w:rsid w:val="00E621F3"/>
    <w:rsid w:val="00E64C3D"/>
    <w:rsid w:val="00E7455E"/>
    <w:rsid w:val="00E766A5"/>
    <w:rsid w:val="00E84C96"/>
    <w:rsid w:val="00E872C3"/>
    <w:rsid w:val="00E92097"/>
    <w:rsid w:val="00E9218F"/>
    <w:rsid w:val="00EA0E6E"/>
    <w:rsid w:val="00EA2026"/>
    <w:rsid w:val="00EA2C57"/>
    <w:rsid w:val="00EA3925"/>
    <w:rsid w:val="00EA5EE8"/>
    <w:rsid w:val="00EB1E0E"/>
    <w:rsid w:val="00ED4EAE"/>
    <w:rsid w:val="00EE3418"/>
    <w:rsid w:val="00EE6A07"/>
    <w:rsid w:val="00F1271B"/>
    <w:rsid w:val="00F13A32"/>
    <w:rsid w:val="00F1723A"/>
    <w:rsid w:val="00F24330"/>
    <w:rsid w:val="00F322DC"/>
    <w:rsid w:val="00F406F8"/>
    <w:rsid w:val="00F52EEF"/>
    <w:rsid w:val="00F6249D"/>
    <w:rsid w:val="00F63514"/>
    <w:rsid w:val="00F65627"/>
    <w:rsid w:val="00F67940"/>
    <w:rsid w:val="00F874C3"/>
    <w:rsid w:val="00F9434D"/>
    <w:rsid w:val="00FA3093"/>
    <w:rsid w:val="00FA4BD3"/>
    <w:rsid w:val="00FB5FA4"/>
    <w:rsid w:val="00FB7610"/>
    <w:rsid w:val="00FC1CCC"/>
    <w:rsid w:val="00FC5101"/>
    <w:rsid w:val="00FC6E24"/>
    <w:rsid w:val="00FD1119"/>
    <w:rsid w:val="00FD29A7"/>
    <w:rsid w:val="00FE40EA"/>
    <w:rsid w:val="00FE4336"/>
    <w:rsid w:val="00FE4734"/>
    <w:rsid w:val="00FF7063"/>
    <w:rsid w:val="05D96C26"/>
    <w:rsid w:val="08B227AB"/>
    <w:rsid w:val="0CDE4294"/>
    <w:rsid w:val="12611A50"/>
    <w:rsid w:val="135779AF"/>
    <w:rsid w:val="15002735"/>
    <w:rsid w:val="20AD6A21"/>
    <w:rsid w:val="22931A18"/>
    <w:rsid w:val="23207B6B"/>
    <w:rsid w:val="2CBD0004"/>
    <w:rsid w:val="3B797CE3"/>
    <w:rsid w:val="3BD252C8"/>
    <w:rsid w:val="3C6C505D"/>
    <w:rsid w:val="462B4F3C"/>
    <w:rsid w:val="575511B9"/>
    <w:rsid w:val="5B8153DB"/>
    <w:rsid w:val="66326FE0"/>
    <w:rsid w:val="664E18F5"/>
    <w:rsid w:val="678E68DE"/>
    <w:rsid w:val="6C2F0305"/>
    <w:rsid w:val="704951DB"/>
    <w:rsid w:val="79827E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17019B4"/>
  <w15:docId w15:val="{FC209C5B-A015-4289-809D-366EDB113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Calibri"/>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alloon Text"/>
    <w:basedOn w:val="a"/>
    <w:link w:val="Char0"/>
    <w:uiPriority w:val="99"/>
    <w:semiHidden/>
    <w:unhideWhenUsed/>
    <w:rPr>
      <w:rFonts w:ascii="Lucida Grande" w:hAnsi="Lucida Grande" w:cs="Lucida Grande"/>
      <w:sz w:val="18"/>
      <w:szCs w:val="18"/>
    </w:rPr>
  </w:style>
  <w:style w:type="paragraph" w:styleId="a5">
    <w:name w:val="footer"/>
    <w:basedOn w:val="a"/>
    <w:link w:val="Char1"/>
    <w:uiPriority w:val="99"/>
    <w:unhideWhenUsed/>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annotation subject"/>
    <w:basedOn w:val="a3"/>
    <w:next w:val="a3"/>
    <w:link w:val="Char3"/>
    <w:uiPriority w:val="99"/>
    <w:semiHidden/>
    <w:unhideWhenUsed/>
    <w:rPr>
      <w:b/>
      <w:bCs/>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semiHidden/>
    <w:unhideWhenUsed/>
    <w:rPr>
      <w:color w:val="0000FF"/>
      <w:u w:val="single"/>
    </w:rPr>
  </w:style>
  <w:style w:type="character" w:styleId="aa">
    <w:name w:val="annotation reference"/>
    <w:basedOn w:val="a0"/>
    <w:uiPriority w:val="99"/>
    <w:semiHidden/>
    <w:unhideWhenUsed/>
    <w:rPr>
      <w:sz w:val="21"/>
      <w:szCs w:val="21"/>
    </w:rPr>
  </w:style>
  <w:style w:type="table" w:customStyle="1" w:styleId="21">
    <w:name w:val="无格式表格 21"/>
    <w:basedOn w:val="a1"/>
    <w:uiPriority w:val="42"/>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b">
    <w:name w:val="List Paragraph"/>
    <w:basedOn w:val="a"/>
    <w:uiPriority w:val="34"/>
    <w:qFormat/>
    <w:pPr>
      <w:ind w:firstLineChars="200" w:firstLine="420"/>
    </w:pPr>
  </w:style>
  <w:style w:type="character" w:styleId="ac">
    <w:name w:val="Placeholder Text"/>
    <w:basedOn w:val="a0"/>
    <w:uiPriority w:val="99"/>
    <w:semiHidden/>
    <w:qFormat/>
    <w:rPr>
      <w:color w:val="808080"/>
    </w:rPr>
  </w:style>
  <w:style w:type="character" w:customStyle="1" w:styleId="Char2">
    <w:name w:val="页眉 Char"/>
    <w:basedOn w:val="a0"/>
    <w:link w:val="a6"/>
    <w:uiPriority w:val="99"/>
    <w:rPr>
      <w:sz w:val="18"/>
      <w:szCs w:val="18"/>
    </w:rPr>
  </w:style>
  <w:style w:type="character" w:customStyle="1" w:styleId="Char1">
    <w:name w:val="页脚 Char"/>
    <w:basedOn w:val="a0"/>
    <w:link w:val="a5"/>
    <w:uiPriority w:val="99"/>
    <w:rPr>
      <w:sz w:val="18"/>
      <w:szCs w:val="18"/>
    </w:rPr>
  </w:style>
  <w:style w:type="character" w:customStyle="1" w:styleId="EndNoteBibliographyChar">
    <w:name w:val="EndNote Bibliography Char"/>
    <w:basedOn w:val="a0"/>
    <w:link w:val="EndNoteBibliography"/>
    <w:rPr>
      <w:rFonts w:ascii="Calibri" w:hAnsi="Calibri" w:cs="Calibri" w:hint="default"/>
      <w:sz w:val="20"/>
    </w:rPr>
  </w:style>
  <w:style w:type="paragraph" w:customStyle="1" w:styleId="EndNoteBibliography">
    <w:name w:val="EndNote Bibliography"/>
    <w:basedOn w:val="a"/>
    <w:link w:val="EndNoteBibliographyChar"/>
    <w:rPr>
      <w:rFonts w:ascii="Calibri" w:eastAsia="宋体" w:hAnsi="Calibri" w:cs="Times New Roman"/>
      <w:sz w:val="20"/>
    </w:rPr>
  </w:style>
  <w:style w:type="character" w:customStyle="1" w:styleId="skip">
    <w:name w:val="skip"/>
    <w:basedOn w:val="a0"/>
  </w:style>
  <w:style w:type="character" w:customStyle="1" w:styleId="apple-converted-space">
    <w:name w:val="apple-converted-space"/>
    <w:basedOn w:val="a0"/>
  </w:style>
  <w:style w:type="character" w:customStyle="1" w:styleId="Char0">
    <w:name w:val="批注框文本 Char"/>
    <w:basedOn w:val="a0"/>
    <w:link w:val="a4"/>
    <w:uiPriority w:val="99"/>
    <w:semiHidden/>
    <w:rPr>
      <w:rFonts w:ascii="Lucida Grande" w:eastAsiaTheme="minorEastAsia" w:hAnsi="Lucida Grande" w:cs="Lucida Grande"/>
      <w:kern w:val="2"/>
      <w:sz w:val="18"/>
      <w:szCs w:val="18"/>
    </w:rPr>
  </w:style>
  <w:style w:type="character" w:customStyle="1" w:styleId="Char">
    <w:name w:val="批注文字 Char"/>
    <w:basedOn w:val="a0"/>
    <w:link w:val="a3"/>
    <w:uiPriority w:val="99"/>
    <w:semiHidden/>
    <w:rPr>
      <w:rFonts w:asciiTheme="minorHAnsi" w:eastAsiaTheme="minorEastAsia" w:hAnsiTheme="minorHAnsi" w:cstheme="minorBidi"/>
      <w:kern w:val="2"/>
      <w:sz w:val="21"/>
      <w:szCs w:val="22"/>
    </w:rPr>
  </w:style>
  <w:style w:type="character" w:customStyle="1" w:styleId="Char3">
    <w:name w:val="批注主题 Char"/>
    <w:basedOn w:val="Char"/>
    <w:link w:val="a7"/>
    <w:uiPriority w:val="99"/>
    <w:semiHidden/>
    <w:rPr>
      <w:rFonts w:asciiTheme="minorHAnsi" w:eastAsiaTheme="minorEastAsia" w:hAnsiTheme="minorHAnsi" w:cstheme="minorBidi"/>
      <w:b/>
      <w:bCs/>
      <w:kern w:val="2"/>
      <w:sz w:val="21"/>
      <w:szCs w:val="22"/>
    </w:rPr>
  </w:style>
  <w:style w:type="character" w:customStyle="1" w:styleId="label">
    <w:name w:val="label"/>
    <w:basedOn w:val="a0"/>
    <w:rsid w:val="00867C63"/>
  </w:style>
  <w:style w:type="character" w:customStyle="1" w:styleId="databold">
    <w:name w:val="data_bold"/>
    <w:basedOn w:val="a0"/>
    <w:rsid w:val="00867C63"/>
  </w:style>
  <w:style w:type="character" w:customStyle="1" w:styleId="hithilite">
    <w:name w:val="hithilite"/>
    <w:basedOn w:val="a0"/>
    <w:rsid w:val="00066669"/>
  </w:style>
  <w:style w:type="paragraph" w:styleId="ad">
    <w:name w:val="Normal (Web)"/>
    <w:basedOn w:val="a"/>
    <w:uiPriority w:val="99"/>
    <w:unhideWhenUsed/>
    <w:rsid w:val="00066669"/>
    <w:pPr>
      <w:widowControl/>
      <w:spacing w:before="100" w:beforeAutospacing="1" w:after="100" w:afterAutospacing="1"/>
      <w:jc w:val="left"/>
    </w:pPr>
    <w:rPr>
      <w:rFonts w:ascii="Times" w:eastAsia="宋体" w:hAnsi="Times" w:cs="Times New Roman"/>
      <w:kern w:val="0"/>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8781257">
      <w:bodyDiv w:val="1"/>
      <w:marLeft w:val="0"/>
      <w:marRight w:val="0"/>
      <w:marTop w:val="0"/>
      <w:marBottom w:val="0"/>
      <w:divBdr>
        <w:top w:val="none" w:sz="0" w:space="0" w:color="auto"/>
        <w:left w:val="none" w:sz="0" w:space="0" w:color="auto"/>
        <w:bottom w:val="none" w:sz="0" w:space="0" w:color="auto"/>
        <w:right w:val="none" w:sz="0" w:space="0" w:color="auto"/>
      </w:divBdr>
      <w:divsChild>
        <w:div w:id="585653040">
          <w:marLeft w:val="0"/>
          <w:marRight w:val="0"/>
          <w:marTop w:val="0"/>
          <w:marBottom w:val="0"/>
          <w:divBdr>
            <w:top w:val="none" w:sz="0" w:space="0" w:color="auto"/>
            <w:left w:val="none" w:sz="0" w:space="0" w:color="auto"/>
            <w:bottom w:val="none" w:sz="0" w:space="0" w:color="auto"/>
            <w:right w:val="none" w:sz="0" w:space="0" w:color="auto"/>
          </w:divBdr>
          <w:divsChild>
            <w:div w:id="807624104">
              <w:marLeft w:val="0"/>
              <w:marRight w:val="0"/>
              <w:marTop w:val="0"/>
              <w:marBottom w:val="0"/>
              <w:divBdr>
                <w:top w:val="none" w:sz="0" w:space="0" w:color="auto"/>
                <w:left w:val="none" w:sz="0" w:space="0" w:color="auto"/>
                <w:bottom w:val="none" w:sz="0" w:space="0" w:color="auto"/>
                <w:right w:val="none" w:sz="0" w:space="0" w:color="auto"/>
              </w:divBdr>
            </w:div>
          </w:divsChild>
        </w:div>
        <w:div w:id="1774936377">
          <w:marLeft w:val="0"/>
          <w:marRight w:val="0"/>
          <w:marTop w:val="0"/>
          <w:marBottom w:val="0"/>
          <w:divBdr>
            <w:top w:val="none" w:sz="0" w:space="0" w:color="auto"/>
            <w:left w:val="none" w:sz="0" w:space="0" w:color="auto"/>
            <w:bottom w:val="none" w:sz="0" w:space="0" w:color="auto"/>
            <w:right w:val="none" w:sz="0" w:space="0" w:color="auto"/>
          </w:divBdr>
        </w:div>
        <w:div w:id="1891333202">
          <w:marLeft w:val="0"/>
          <w:marRight w:val="0"/>
          <w:marTop w:val="0"/>
          <w:marBottom w:val="0"/>
          <w:divBdr>
            <w:top w:val="none" w:sz="0" w:space="0" w:color="auto"/>
            <w:left w:val="none" w:sz="0" w:space="0" w:color="auto"/>
            <w:bottom w:val="none" w:sz="0" w:space="0" w:color="auto"/>
            <w:right w:val="none" w:sz="0" w:space="0" w:color="auto"/>
          </w:divBdr>
        </w:div>
      </w:divsChild>
    </w:div>
    <w:div w:id="697698358">
      <w:bodyDiv w:val="1"/>
      <w:marLeft w:val="0"/>
      <w:marRight w:val="0"/>
      <w:marTop w:val="0"/>
      <w:marBottom w:val="0"/>
      <w:divBdr>
        <w:top w:val="none" w:sz="0" w:space="0" w:color="auto"/>
        <w:left w:val="none" w:sz="0" w:space="0" w:color="auto"/>
        <w:bottom w:val="none" w:sz="0" w:space="0" w:color="auto"/>
        <w:right w:val="none" w:sz="0" w:space="0" w:color="auto"/>
      </w:divBdr>
      <w:divsChild>
        <w:div w:id="667291383">
          <w:marLeft w:val="0"/>
          <w:marRight w:val="0"/>
          <w:marTop w:val="0"/>
          <w:marBottom w:val="0"/>
          <w:divBdr>
            <w:top w:val="none" w:sz="0" w:space="0" w:color="auto"/>
            <w:left w:val="none" w:sz="0" w:space="0" w:color="auto"/>
            <w:bottom w:val="none" w:sz="0" w:space="0" w:color="auto"/>
            <w:right w:val="none" w:sz="0" w:space="0" w:color="auto"/>
          </w:divBdr>
          <w:divsChild>
            <w:div w:id="1845314325">
              <w:marLeft w:val="0"/>
              <w:marRight w:val="0"/>
              <w:marTop w:val="0"/>
              <w:marBottom w:val="0"/>
              <w:divBdr>
                <w:top w:val="none" w:sz="0" w:space="0" w:color="auto"/>
                <w:left w:val="none" w:sz="0" w:space="0" w:color="auto"/>
                <w:bottom w:val="none" w:sz="0" w:space="0" w:color="auto"/>
                <w:right w:val="none" w:sz="0" w:space="0" w:color="auto"/>
              </w:divBdr>
              <w:divsChild>
                <w:div w:id="107088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612366">
      <w:bodyDiv w:val="1"/>
      <w:marLeft w:val="0"/>
      <w:marRight w:val="0"/>
      <w:marTop w:val="0"/>
      <w:marBottom w:val="0"/>
      <w:divBdr>
        <w:top w:val="none" w:sz="0" w:space="0" w:color="auto"/>
        <w:left w:val="none" w:sz="0" w:space="0" w:color="auto"/>
        <w:bottom w:val="none" w:sz="0" w:space="0" w:color="auto"/>
        <w:right w:val="none" w:sz="0" w:space="0" w:color="auto"/>
      </w:divBdr>
    </w:div>
    <w:div w:id="1539244560">
      <w:bodyDiv w:val="1"/>
      <w:marLeft w:val="0"/>
      <w:marRight w:val="0"/>
      <w:marTop w:val="0"/>
      <w:marBottom w:val="0"/>
      <w:divBdr>
        <w:top w:val="none" w:sz="0" w:space="0" w:color="auto"/>
        <w:left w:val="none" w:sz="0" w:space="0" w:color="auto"/>
        <w:bottom w:val="none" w:sz="0" w:space="0" w:color="auto"/>
        <w:right w:val="none" w:sz="0" w:space="0" w:color="auto"/>
      </w:divBdr>
    </w:div>
    <w:div w:id="1915044695">
      <w:bodyDiv w:val="1"/>
      <w:marLeft w:val="0"/>
      <w:marRight w:val="0"/>
      <w:marTop w:val="0"/>
      <w:marBottom w:val="0"/>
      <w:divBdr>
        <w:top w:val="none" w:sz="0" w:space="0" w:color="auto"/>
        <w:left w:val="none" w:sz="0" w:space="0" w:color="auto"/>
        <w:bottom w:val="none" w:sz="0" w:space="0" w:color="auto"/>
        <w:right w:val="none" w:sz="0" w:space="0" w:color="auto"/>
      </w:divBdr>
      <w:divsChild>
        <w:div w:id="1160580576">
          <w:marLeft w:val="0"/>
          <w:marRight w:val="0"/>
          <w:marTop w:val="0"/>
          <w:marBottom w:val="0"/>
          <w:divBdr>
            <w:top w:val="none" w:sz="0" w:space="0" w:color="auto"/>
            <w:left w:val="none" w:sz="0" w:space="0" w:color="auto"/>
            <w:bottom w:val="none" w:sz="0" w:space="0" w:color="auto"/>
            <w:right w:val="none" w:sz="0" w:space="0" w:color="auto"/>
          </w:divBdr>
          <w:divsChild>
            <w:div w:id="658971031">
              <w:marLeft w:val="0"/>
              <w:marRight w:val="0"/>
              <w:marTop w:val="0"/>
              <w:marBottom w:val="0"/>
              <w:divBdr>
                <w:top w:val="none" w:sz="0" w:space="0" w:color="auto"/>
                <w:left w:val="none" w:sz="0" w:space="0" w:color="auto"/>
                <w:bottom w:val="none" w:sz="0" w:space="0" w:color="auto"/>
                <w:right w:val="none" w:sz="0" w:space="0" w:color="auto"/>
              </w:divBdr>
            </w:div>
          </w:divsChild>
        </w:div>
        <w:div w:id="1656957943">
          <w:marLeft w:val="0"/>
          <w:marRight w:val="0"/>
          <w:marTop w:val="0"/>
          <w:marBottom w:val="0"/>
          <w:divBdr>
            <w:top w:val="none" w:sz="0" w:space="0" w:color="auto"/>
            <w:left w:val="none" w:sz="0" w:space="0" w:color="auto"/>
            <w:bottom w:val="none" w:sz="0" w:space="0" w:color="auto"/>
            <w:right w:val="none" w:sz="0" w:space="0" w:color="auto"/>
          </w:divBdr>
        </w:div>
        <w:div w:id="681859341">
          <w:marLeft w:val="0"/>
          <w:marRight w:val="0"/>
          <w:marTop w:val="0"/>
          <w:marBottom w:val="0"/>
          <w:divBdr>
            <w:top w:val="none" w:sz="0" w:space="0" w:color="auto"/>
            <w:left w:val="none" w:sz="0" w:space="0" w:color="auto"/>
            <w:bottom w:val="none" w:sz="0" w:space="0" w:color="auto"/>
            <w:right w:val="none" w:sz="0" w:space="0" w:color="auto"/>
          </w:divBdr>
        </w:div>
      </w:divsChild>
    </w:div>
    <w:div w:id="1989362363">
      <w:bodyDiv w:val="1"/>
      <w:marLeft w:val="0"/>
      <w:marRight w:val="0"/>
      <w:marTop w:val="0"/>
      <w:marBottom w:val="0"/>
      <w:divBdr>
        <w:top w:val="none" w:sz="0" w:space="0" w:color="auto"/>
        <w:left w:val="none" w:sz="0" w:space="0" w:color="auto"/>
        <w:bottom w:val="none" w:sz="0" w:space="0" w:color="auto"/>
        <w:right w:val="none" w:sz="0" w:space="0" w:color="auto"/>
      </w:divBdr>
    </w:div>
    <w:div w:id="2037660711">
      <w:bodyDiv w:val="1"/>
      <w:marLeft w:val="0"/>
      <w:marRight w:val="0"/>
      <w:marTop w:val="0"/>
      <w:marBottom w:val="0"/>
      <w:divBdr>
        <w:top w:val="none" w:sz="0" w:space="0" w:color="auto"/>
        <w:left w:val="none" w:sz="0" w:space="0" w:color="auto"/>
        <w:bottom w:val="none" w:sz="0" w:space="0" w:color="auto"/>
        <w:right w:val="none" w:sz="0" w:space="0" w:color="auto"/>
      </w:divBdr>
      <w:divsChild>
        <w:div w:id="779299366">
          <w:marLeft w:val="0"/>
          <w:marRight w:val="0"/>
          <w:marTop w:val="0"/>
          <w:marBottom w:val="0"/>
          <w:divBdr>
            <w:top w:val="none" w:sz="0" w:space="0" w:color="auto"/>
            <w:left w:val="none" w:sz="0" w:space="0" w:color="auto"/>
            <w:bottom w:val="none" w:sz="0" w:space="0" w:color="auto"/>
            <w:right w:val="none" w:sz="0" w:space="0" w:color="auto"/>
          </w:divBdr>
        </w:div>
        <w:div w:id="27174269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DBC90B-5672-4DE8-A228-84856F885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8</Pages>
  <Words>3649</Words>
  <Characters>20805</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Yan Chen</dc:creator>
  <cp:lastModifiedBy>Yan Chen</cp:lastModifiedBy>
  <cp:revision>7</cp:revision>
  <dcterms:created xsi:type="dcterms:W3CDTF">2020-02-11T10:44:00Z</dcterms:created>
  <dcterms:modified xsi:type="dcterms:W3CDTF">2020-02-11T16:57:00Z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