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083C30" w14:textId="1B46112C" w:rsidR="00346E00" w:rsidRPr="006C4037" w:rsidRDefault="006C4037" w:rsidP="006C4037">
      <w:pPr>
        <w:spacing w:line="360" w:lineRule="auto"/>
        <w:rPr>
          <w:rFonts w:ascii="Arial" w:hAnsi="Arial" w:cs="Arial"/>
          <w:b/>
          <w:u w:val="single"/>
        </w:rPr>
      </w:pPr>
      <w:bookmarkStart w:id="0" w:name="_GoBack"/>
      <w:bookmarkEnd w:id="0"/>
      <w:r>
        <w:rPr>
          <w:rFonts w:ascii="Arial" w:hAnsi="Arial" w:cs="Arial"/>
          <w:b/>
          <w:u w:val="single"/>
        </w:rPr>
        <w:t>C</w:t>
      </w:r>
      <w:r w:rsidR="00346E00" w:rsidRPr="006C4037">
        <w:rPr>
          <w:rFonts w:ascii="Arial" w:hAnsi="Arial" w:cs="Arial"/>
          <w:b/>
          <w:u w:val="single"/>
        </w:rPr>
        <w:t>onti</w:t>
      </w:r>
      <w:r w:rsidR="005D29A5">
        <w:rPr>
          <w:rFonts w:ascii="Arial" w:hAnsi="Arial" w:cs="Arial"/>
          <w:b/>
          <w:u w:val="single"/>
        </w:rPr>
        <w:t>nuous subcutaneous infusion in palliative c</w:t>
      </w:r>
      <w:r w:rsidR="00346E00" w:rsidRPr="006C4037">
        <w:rPr>
          <w:rFonts w:ascii="Arial" w:hAnsi="Arial" w:cs="Arial"/>
          <w:b/>
          <w:u w:val="single"/>
        </w:rPr>
        <w:t>are: a review of current practice</w:t>
      </w:r>
      <w:r w:rsidR="00114C17" w:rsidRPr="006C4037">
        <w:rPr>
          <w:rFonts w:ascii="Arial" w:hAnsi="Arial" w:cs="Arial"/>
          <w:b/>
          <w:u w:val="single"/>
        </w:rPr>
        <w:t>.</w:t>
      </w:r>
    </w:p>
    <w:p w14:paraId="24A33BD1" w14:textId="77777777" w:rsidR="00114C17" w:rsidRPr="006C4037" w:rsidRDefault="00114C17" w:rsidP="006C4037">
      <w:pPr>
        <w:spacing w:line="360" w:lineRule="auto"/>
        <w:rPr>
          <w:rFonts w:ascii="Arial" w:hAnsi="Arial" w:cs="Arial"/>
        </w:rPr>
      </w:pPr>
    </w:p>
    <w:p w14:paraId="51F269D6" w14:textId="77777777" w:rsidR="0012110F" w:rsidRPr="006C4037" w:rsidRDefault="007A6493" w:rsidP="006C4037">
      <w:pPr>
        <w:spacing w:line="360" w:lineRule="auto"/>
        <w:rPr>
          <w:rFonts w:ascii="Arial" w:hAnsi="Arial" w:cs="Arial"/>
          <w:b/>
        </w:rPr>
      </w:pPr>
      <w:r w:rsidRPr="006C4037">
        <w:rPr>
          <w:rFonts w:ascii="Arial" w:hAnsi="Arial" w:cs="Arial"/>
          <w:b/>
        </w:rPr>
        <w:t xml:space="preserve">Introduction </w:t>
      </w:r>
    </w:p>
    <w:p w14:paraId="19777A6B" w14:textId="32F0E46E" w:rsidR="00D5351F" w:rsidRPr="006C4037" w:rsidRDefault="0044604A" w:rsidP="006C4037">
      <w:pPr>
        <w:spacing w:line="360" w:lineRule="auto"/>
        <w:rPr>
          <w:rFonts w:ascii="Arial" w:hAnsi="Arial" w:cs="Arial"/>
        </w:rPr>
      </w:pPr>
      <w:r w:rsidRPr="006C4037">
        <w:rPr>
          <w:rFonts w:ascii="Arial" w:hAnsi="Arial" w:cs="Arial"/>
        </w:rPr>
        <w:t>A</w:t>
      </w:r>
      <w:r w:rsidR="00114C17" w:rsidRPr="006C4037">
        <w:rPr>
          <w:rFonts w:ascii="Arial" w:hAnsi="Arial" w:cs="Arial"/>
        </w:rPr>
        <w:t>mbulatory syr</w:t>
      </w:r>
      <w:r w:rsidRPr="006C4037">
        <w:rPr>
          <w:rFonts w:ascii="Arial" w:hAnsi="Arial" w:cs="Arial"/>
        </w:rPr>
        <w:t>inge drivers are widely use</w:t>
      </w:r>
      <w:r w:rsidR="00EA3E2B" w:rsidRPr="006C4037">
        <w:rPr>
          <w:rFonts w:ascii="Arial" w:hAnsi="Arial" w:cs="Arial"/>
        </w:rPr>
        <w:t xml:space="preserve">d in palliative </w:t>
      </w:r>
      <w:r w:rsidRPr="006C4037">
        <w:rPr>
          <w:rFonts w:ascii="Arial" w:hAnsi="Arial" w:cs="Arial"/>
        </w:rPr>
        <w:t>care and have revolutionised our ability to care for patients</w:t>
      </w:r>
      <w:r w:rsidR="00FD529B">
        <w:rPr>
          <w:rFonts w:ascii="Arial" w:hAnsi="Arial" w:cs="Arial"/>
        </w:rPr>
        <w:t xml:space="preserve"> at </w:t>
      </w:r>
      <w:r w:rsidR="00972940">
        <w:rPr>
          <w:rFonts w:ascii="Arial" w:hAnsi="Arial" w:cs="Arial"/>
        </w:rPr>
        <w:t>home</w:t>
      </w:r>
      <w:r w:rsidR="00FD529B">
        <w:rPr>
          <w:rFonts w:ascii="Arial" w:hAnsi="Arial" w:cs="Arial"/>
        </w:rPr>
        <w:t xml:space="preserve"> and in non acute settings</w:t>
      </w:r>
      <w:r w:rsidRPr="006C4037">
        <w:rPr>
          <w:rFonts w:ascii="Arial" w:hAnsi="Arial" w:cs="Arial"/>
        </w:rPr>
        <w:t xml:space="preserve">. </w:t>
      </w:r>
      <w:r w:rsidR="00FD529B" w:rsidRPr="006C4037">
        <w:rPr>
          <w:rFonts w:ascii="Arial" w:hAnsi="Arial" w:cs="Arial"/>
        </w:rPr>
        <w:t>The use of a syringe driver has many advantages for symptom control</w:t>
      </w:r>
      <w:r w:rsidR="00FD529B">
        <w:rPr>
          <w:rFonts w:ascii="Arial" w:hAnsi="Arial" w:cs="Arial"/>
        </w:rPr>
        <w:t>. I</w:t>
      </w:r>
      <w:r w:rsidR="00FD529B" w:rsidRPr="006C4037">
        <w:rPr>
          <w:rFonts w:ascii="Arial" w:hAnsi="Arial" w:cs="Arial"/>
        </w:rPr>
        <w:t xml:space="preserve">t </w:t>
      </w:r>
      <w:r w:rsidR="00FD529B">
        <w:rPr>
          <w:rFonts w:ascii="Arial" w:hAnsi="Arial" w:cs="Arial"/>
        </w:rPr>
        <w:t xml:space="preserve">ensures a steady infusion of drugs, with reliable absorption, and </w:t>
      </w:r>
      <w:r w:rsidR="00FD529B" w:rsidRPr="006C4037">
        <w:rPr>
          <w:rFonts w:ascii="Arial" w:hAnsi="Arial" w:cs="Arial"/>
        </w:rPr>
        <w:t>allows combination</w:t>
      </w:r>
      <w:r w:rsidR="00FD529B">
        <w:rPr>
          <w:rFonts w:ascii="Arial" w:hAnsi="Arial" w:cs="Arial"/>
        </w:rPr>
        <w:t>s</w:t>
      </w:r>
      <w:r w:rsidR="00FD529B" w:rsidRPr="006C4037">
        <w:rPr>
          <w:rFonts w:ascii="Arial" w:hAnsi="Arial" w:cs="Arial"/>
        </w:rPr>
        <w:t xml:space="preserve"> of drugs to be </w:t>
      </w:r>
      <w:r w:rsidR="00FD529B">
        <w:rPr>
          <w:rFonts w:ascii="Arial" w:hAnsi="Arial" w:cs="Arial"/>
        </w:rPr>
        <w:t>administered p</w:t>
      </w:r>
      <w:r w:rsidR="00FD529B" w:rsidRPr="006C4037">
        <w:rPr>
          <w:rFonts w:ascii="Arial" w:hAnsi="Arial" w:cs="Arial"/>
        </w:rPr>
        <w:t>arenterally in a manner that is more convenient, portable and less invasive than the intravenous route</w:t>
      </w:r>
      <w:r w:rsidR="00FD529B">
        <w:rPr>
          <w:rFonts w:ascii="Arial" w:hAnsi="Arial" w:cs="Arial"/>
        </w:rPr>
        <w:t xml:space="preserve">, whilst avoiding the need for repeated and painful intramuscular or subcutaneous injections. </w:t>
      </w:r>
      <w:r w:rsidRPr="006C4037">
        <w:rPr>
          <w:rFonts w:ascii="Arial" w:hAnsi="Arial" w:cs="Arial"/>
        </w:rPr>
        <w:t>This article reviews the safety of continuous subcutaneous infusions in clinical practice</w:t>
      </w:r>
      <w:r w:rsidR="00937EB9" w:rsidRPr="006C4037">
        <w:rPr>
          <w:rFonts w:ascii="Arial" w:hAnsi="Arial" w:cs="Arial"/>
        </w:rPr>
        <w:t>, and considers the persistent gaps in knowledge</w:t>
      </w:r>
      <w:r w:rsidR="003124EE" w:rsidRPr="006C4037">
        <w:rPr>
          <w:rFonts w:ascii="Arial" w:hAnsi="Arial" w:cs="Arial"/>
        </w:rPr>
        <w:t>, both among healthcare professionals and the public,</w:t>
      </w:r>
      <w:r w:rsidR="00937EB9" w:rsidRPr="006C4037">
        <w:rPr>
          <w:rFonts w:ascii="Arial" w:hAnsi="Arial" w:cs="Arial"/>
        </w:rPr>
        <w:t xml:space="preserve"> </w:t>
      </w:r>
      <w:r w:rsidRPr="006C4037">
        <w:rPr>
          <w:rFonts w:ascii="Arial" w:hAnsi="Arial" w:cs="Arial"/>
        </w:rPr>
        <w:t>around the</w:t>
      </w:r>
      <w:r w:rsidR="00972940">
        <w:rPr>
          <w:rFonts w:ascii="Arial" w:hAnsi="Arial" w:cs="Arial"/>
        </w:rPr>
        <w:t>ir</w:t>
      </w:r>
      <w:r w:rsidRPr="006C4037">
        <w:rPr>
          <w:rFonts w:ascii="Arial" w:hAnsi="Arial" w:cs="Arial"/>
        </w:rPr>
        <w:t xml:space="preserve"> use </w:t>
      </w:r>
      <w:r w:rsidR="00937EB9" w:rsidRPr="006C4037">
        <w:rPr>
          <w:rFonts w:ascii="Arial" w:hAnsi="Arial" w:cs="Arial"/>
        </w:rPr>
        <w:t>in end of life care</w:t>
      </w:r>
      <w:r w:rsidRPr="006C4037">
        <w:rPr>
          <w:rFonts w:ascii="Arial" w:hAnsi="Arial" w:cs="Arial"/>
        </w:rPr>
        <w:t xml:space="preserve">. </w:t>
      </w:r>
    </w:p>
    <w:p w14:paraId="282D7E7B" w14:textId="77777777" w:rsidR="00937EB9" w:rsidRPr="006C4037" w:rsidRDefault="00937EB9" w:rsidP="006C4037">
      <w:pPr>
        <w:spacing w:line="360" w:lineRule="auto"/>
        <w:rPr>
          <w:rFonts w:ascii="Arial" w:hAnsi="Arial" w:cs="Arial"/>
        </w:rPr>
      </w:pPr>
    </w:p>
    <w:p w14:paraId="64ED7F88" w14:textId="7BEA9C6F" w:rsidR="003124EE" w:rsidRPr="006C4037" w:rsidRDefault="00B81BCF" w:rsidP="006C4037">
      <w:pPr>
        <w:spacing w:line="360" w:lineRule="auto"/>
        <w:rPr>
          <w:rFonts w:ascii="Arial" w:hAnsi="Arial" w:cs="Arial"/>
          <w:b/>
        </w:rPr>
      </w:pPr>
      <w:r w:rsidRPr="006C4037">
        <w:rPr>
          <w:rFonts w:ascii="Arial" w:hAnsi="Arial" w:cs="Arial"/>
          <w:b/>
        </w:rPr>
        <w:t xml:space="preserve">The use </w:t>
      </w:r>
      <w:r w:rsidR="00AD5AE2" w:rsidRPr="006C4037">
        <w:rPr>
          <w:rFonts w:ascii="Arial" w:hAnsi="Arial" w:cs="Arial"/>
          <w:b/>
        </w:rPr>
        <w:t>and misuse of syringe drivers</w:t>
      </w:r>
    </w:p>
    <w:p w14:paraId="74073D26" w14:textId="7B05AB80" w:rsidR="005D29A5" w:rsidRDefault="00937EB9" w:rsidP="006C4037">
      <w:pPr>
        <w:spacing w:line="360" w:lineRule="auto"/>
        <w:rPr>
          <w:rFonts w:ascii="Arial" w:hAnsi="Arial" w:cs="Arial"/>
        </w:rPr>
      </w:pPr>
      <w:r w:rsidRPr="006C4037">
        <w:rPr>
          <w:rFonts w:ascii="Arial" w:hAnsi="Arial" w:cs="Arial"/>
        </w:rPr>
        <w:t xml:space="preserve">Ambulatory syringe drivers </w:t>
      </w:r>
      <w:r w:rsidR="00AD5AE2" w:rsidRPr="006C4037">
        <w:rPr>
          <w:rFonts w:ascii="Arial" w:hAnsi="Arial" w:cs="Arial"/>
        </w:rPr>
        <w:t xml:space="preserve">are generally indicated when </w:t>
      </w:r>
      <w:r w:rsidRPr="006C4037">
        <w:rPr>
          <w:rFonts w:ascii="Arial" w:hAnsi="Arial" w:cs="Arial"/>
        </w:rPr>
        <w:t xml:space="preserve">administration of medicine via </w:t>
      </w:r>
      <w:r w:rsidR="00AD5AE2" w:rsidRPr="006C4037">
        <w:rPr>
          <w:rFonts w:ascii="Arial" w:hAnsi="Arial" w:cs="Arial"/>
        </w:rPr>
        <w:t>the or</w:t>
      </w:r>
      <w:r w:rsidRPr="006C4037">
        <w:rPr>
          <w:rFonts w:ascii="Arial" w:hAnsi="Arial" w:cs="Arial"/>
        </w:rPr>
        <w:t>al route is not possible</w:t>
      </w:r>
      <w:r w:rsidR="00972940">
        <w:rPr>
          <w:rFonts w:ascii="Arial" w:hAnsi="Arial" w:cs="Arial"/>
        </w:rPr>
        <w:t xml:space="preserve">; </w:t>
      </w:r>
      <w:r w:rsidR="00AD5AE2" w:rsidRPr="006C4037">
        <w:rPr>
          <w:rFonts w:ascii="Arial" w:hAnsi="Arial" w:cs="Arial"/>
        </w:rPr>
        <w:t>because of vomiting, poor swallow, or poor enteral absorption. Their use may be temporary, for example to control nausea and vomiting</w:t>
      </w:r>
      <w:r w:rsidR="00972940">
        <w:rPr>
          <w:rFonts w:ascii="Arial" w:hAnsi="Arial" w:cs="Arial"/>
        </w:rPr>
        <w:t xml:space="preserve">; </w:t>
      </w:r>
      <w:r w:rsidR="00AD5AE2" w:rsidRPr="006C4037">
        <w:rPr>
          <w:rFonts w:ascii="Arial" w:hAnsi="Arial" w:cs="Arial"/>
        </w:rPr>
        <w:t>they are also commonly used at the end of life when the ability to take oral medication dete</w:t>
      </w:r>
      <w:r w:rsidR="00EA3E2B" w:rsidRPr="006C4037">
        <w:rPr>
          <w:rFonts w:ascii="Arial" w:hAnsi="Arial" w:cs="Arial"/>
        </w:rPr>
        <w:t>riorates</w:t>
      </w:r>
      <w:r w:rsidR="00972940">
        <w:rPr>
          <w:rFonts w:ascii="Arial" w:hAnsi="Arial" w:cs="Arial"/>
        </w:rPr>
        <w:t xml:space="preserve"> or patients become unconscious</w:t>
      </w:r>
      <w:r w:rsidR="00EA3E2B" w:rsidRPr="006C4037">
        <w:rPr>
          <w:rFonts w:ascii="Arial" w:hAnsi="Arial" w:cs="Arial"/>
        </w:rPr>
        <w:t>. This association of syringe drivers with terminal care</w:t>
      </w:r>
      <w:r w:rsidR="00AD5AE2" w:rsidRPr="006C4037">
        <w:rPr>
          <w:rFonts w:ascii="Arial" w:hAnsi="Arial" w:cs="Arial"/>
        </w:rPr>
        <w:t xml:space="preserve"> has led to misperceptions among </w:t>
      </w:r>
      <w:r w:rsidR="002D6485" w:rsidRPr="006C4037">
        <w:rPr>
          <w:rFonts w:ascii="Arial" w:hAnsi="Arial" w:cs="Arial"/>
        </w:rPr>
        <w:t xml:space="preserve">some </w:t>
      </w:r>
      <w:r w:rsidR="00AD5AE2" w:rsidRPr="006C4037">
        <w:rPr>
          <w:rFonts w:ascii="Arial" w:hAnsi="Arial" w:cs="Arial"/>
        </w:rPr>
        <w:t>healthcare professionals</w:t>
      </w:r>
      <w:r w:rsidRPr="006C4037">
        <w:rPr>
          <w:rFonts w:ascii="Arial" w:hAnsi="Arial" w:cs="Arial"/>
        </w:rPr>
        <w:t xml:space="preserve"> </w:t>
      </w:r>
      <w:r w:rsidR="00AD5AE2" w:rsidRPr="006C4037">
        <w:rPr>
          <w:rFonts w:ascii="Arial" w:hAnsi="Arial" w:cs="Arial"/>
        </w:rPr>
        <w:t>that the use of a syringe driver, containing</w:t>
      </w:r>
      <w:r w:rsidR="00D801FF" w:rsidRPr="006C4037">
        <w:rPr>
          <w:rFonts w:ascii="Arial" w:hAnsi="Arial" w:cs="Arial"/>
        </w:rPr>
        <w:t xml:space="preserve"> opioid and</w:t>
      </w:r>
      <w:r w:rsidR="006C4037">
        <w:rPr>
          <w:rFonts w:ascii="Arial" w:hAnsi="Arial" w:cs="Arial"/>
        </w:rPr>
        <w:t xml:space="preserve"> </w:t>
      </w:r>
      <w:r w:rsidR="00D801FF" w:rsidRPr="006C4037">
        <w:rPr>
          <w:rFonts w:ascii="Arial" w:hAnsi="Arial" w:cs="Arial"/>
        </w:rPr>
        <w:t>/</w:t>
      </w:r>
      <w:r w:rsidR="006C4037">
        <w:rPr>
          <w:rFonts w:ascii="Arial" w:hAnsi="Arial" w:cs="Arial"/>
        </w:rPr>
        <w:t xml:space="preserve"> </w:t>
      </w:r>
      <w:r w:rsidR="00D801FF" w:rsidRPr="006C4037">
        <w:rPr>
          <w:rFonts w:ascii="Arial" w:hAnsi="Arial" w:cs="Arial"/>
        </w:rPr>
        <w:t>or sedative drugs</w:t>
      </w:r>
      <w:r w:rsidR="00B81BCF" w:rsidRPr="006C4037">
        <w:rPr>
          <w:rFonts w:ascii="Arial" w:hAnsi="Arial" w:cs="Arial"/>
        </w:rPr>
        <w:t>,</w:t>
      </w:r>
      <w:r w:rsidR="00AD5AE2" w:rsidRPr="006C4037">
        <w:rPr>
          <w:rFonts w:ascii="Arial" w:hAnsi="Arial" w:cs="Arial"/>
        </w:rPr>
        <w:t xml:space="preserve"> is inevitable</w:t>
      </w:r>
      <w:r w:rsidR="00B81BCF" w:rsidRPr="006C4037">
        <w:rPr>
          <w:rFonts w:ascii="Arial" w:hAnsi="Arial" w:cs="Arial"/>
        </w:rPr>
        <w:t xml:space="preserve"> or expected in the last few days</w:t>
      </w:r>
      <w:r w:rsidR="00EA3E2B" w:rsidRPr="006C4037">
        <w:rPr>
          <w:rFonts w:ascii="Arial" w:hAnsi="Arial" w:cs="Arial"/>
        </w:rPr>
        <w:t xml:space="preserve"> of life</w:t>
      </w:r>
      <w:r w:rsidR="006C4037">
        <w:rPr>
          <w:rFonts w:ascii="Arial" w:hAnsi="Arial" w:cs="Arial"/>
        </w:rPr>
        <w:t>: a</w:t>
      </w:r>
      <w:r w:rsidR="00972940">
        <w:rPr>
          <w:rFonts w:ascii="Arial" w:hAnsi="Arial" w:cs="Arial"/>
        </w:rPr>
        <w:t xml:space="preserve"> clinical </w:t>
      </w:r>
      <w:r w:rsidR="006C4037">
        <w:rPr>
          <w:rFonts w:ascii="Arial" w:hAnsi="Arial" w:cs="Arial"/>
        </w:rPr>
        <w:t>“last-rite”</w:t>
      </w:r>
      <w:r w:rsidR="008E223F">
        <w:rPr>
          <w:rStyle w:val="EndnoteReference"/>
          <w:rFonts w:ascii="Arial" w:hAnsi="Arial" w:cs="Arial"/>
        </w:rPr>
        <w:endnoteReference w:id="1"/>
      </w:r>
      <w:r w:rsidR="006C4037">
        <w:rPr>
          <w:rFonts w:ascii="Arial" w:hAnsi="Arial" w:cs="Arial"/>
        </w:rPr>
        <w:t xml:space="preserve">. </w:t>
      </w:r>
    </w:p>
    <w:p w14:paraId="29104F1A" w14:textId="77777777" w:rsidR="005D29A5" w:rsidRDefault="005D29A5" w:rsidP="006C4037">
      <w:pPr>
        <w:spacing w:line="360" w:lineRule="auto"/>
        <w:rPr>
          <w:rFonts w:ascii="Arial" w:hAnsi="Arial" w:cs="Arial"/>
        </w:rPr>
      </w:pPr>
    </w:p>
    <w:p w14:paraId="581BE81F" w14:textId="2C353AB9" w:rsidR="002D6485" w:rsidRPr="006C4037" w:rsidRDefault="00D801FF" w:rsidP="00E41485">
      <w:pPr>
        <w:spacing w:line="360" w:lineRule="auto"/>
        <w:rPr>
          <w:rFonts w:ascii="Arial" w:hAnsi="Arial" w:cs="Arial"/>
        </w:rPr>
      </w:pPr>
      <w:r w:rsidRPr="006C4037">
        <w:rPr>
          <w:rFonts w:ascii="Arial" w:hAnsi="Arial" w:cs="Arial"/>
        </w:rPr>
        <w:t xml:space="preserve">Concerns around the routine use of sedation and lack of hydration at the end of life were </w:t>
      </w:r>
      <w:r w:rsidR="005D29A5">
        <w:rPr>
          <w:rFonts w:ascii="Arial" w:hAnsi="Arial" w:cs="Arial"/>
        </w:rPr>
        <w:t>recently</w:t>
      </w:r>
      <w:r w:rsidRPr="006C4037">
        <w:rPr>
          <w:rFonts w:ascii="Arial" w:hAnsi="Arial" w:cs="Arial"/>
        </w:rPr>
        <w:t xml:space="preserve"> highlighted in the UK national press</w:t>
      </w:r>
      <w:r w:rsidR="002D6485" w:rsidRPr="006C4037">
        <w:rPr>
          <w:rStyle w:val="EndnoteReference"/>
          <w:rFonts w:ascii="Arial" w:hAnsi="Arial" w:cs="Arial"/>
        </w:rPr>
        <w:endnoteReference w:id="2"/>
      </w:r>
      <w:r w:rsidRPr="006C4037">
        <w:rPr>
          <w:rFonts w:ascii="Arial" w:hAnsi="Arial" w:cs="Arial"/>
        </w:rPr>
        <w:t xml:space="preserve">. </w:t>
      </w:r>
      <w:r w:rsidR="00B81BCF" w:rsidRPr="006C4037">
        <w:rPr>
          <w:rFonts w:ascii="Arial" w:hAnsi="Arial" w:cs="Arial"/>
        </w:rPr>
        <w:t xml:space="preserve"> The Liverpool Care Pathway</w:t>
      </w:r>
      <w:r w:rsidR="00DD0E0D" w:rsidRPr="006C4037">
        <w:rPr>
          <w:rFonts w:ascii="Arial" w:hAnsi="Arial" w:cs="Arial"/>
        </w:rPr>
        <w:t xml:space="preserve"> (LCP)</w:t>
      </w:r>
      <w:r w:rsidR="00B81BCF" w:rsidRPr="006C4037">
        <w:rPr>
          <w:rFonts w:ascii="Arial" w:hAnsi="Arial" w:cs="Arial"/>
        </w:rPr>
        <w:t xml:space="preserve"> was blamed and misinterpreted as a </w:t>
      </w:r>
      <w:r w:rsidR="00291FA7" w:rsidRPr="006C4037">
        <w:rPr>
          <w:rFonts w:ascii="Arial" w:hAnsi="Arial" w:cs="Arial"/>
        </w:rPr>
        <w:t>tool that</w:t>
      </w:r>
      <w:r w:rsidR="00B81BCF" w:rsidRPr="006C4037">
        <w:rPr>
          <w:rFonts w:ascii="Arial" w:hAnsi="Arial" w:cs="Arial"/>
        </w:rPr>
        <w:t xml:space="preserve"> promoted the use of sedative dr</w:t>
      </w:r>
      <w:r w:rsidR="002D6485" w:rsidRPr="006C4037">
        <w:rPr>
          <w:rFonts w:ascii="Arial" w:hAnsi="Arial" w:cs="Arial"/>
        </w:rPr>
        <w:t xml:space="preserve">ugs and </w:t>
      </w:r>
      <w:r w:rsidR="00EA3E2B" w:rsidRPr="006C4037">
        <w:rPr>
          <w:rFonts w:ascii="Arial" w:hAnsi="Arial" w:cs="Arial"/>
        </w:rPr>
        <w:t xml:space="preserve">syringe drivers to hasten death. </w:t>
      </w:r>
      <w:r w:rsidR="000D0CA1">
        <w:rPr>
          <w:rFonts w:ascii="Arial" w:hAnsi="Arial" w:cs="Arial"/>
        </w:rPr>
        <w:t xml:space="preserve">Reports </w:t>
      </w:r>
      <w:r w:rsidR="00EA3E2B" w:rsidRPr="006C4037">
        <w:rPr>
          <w:rFonts w:ascii="Arial" w:hAnsi="Arial" w:cs="Arial"/>
        </w:rPr>
        <w:t>such as</w:t>
      </w:r>
      <w:r w:rsidR="006C4037">
        <w:rPr>
          <w:rFonts w:ascii="Arial" w:hAnsi="Arial" w:cs="Arial"/>
        </w:rPr>
        <w:t xml:space="preserve"> “</w:t>
      </w:r>
      <w:r w:rsidR="002D6485" w:rsidRPr="006C4037">
        <w:rPr>
          <w:rFonts w:ascii="Arial" w:hAnsi="Arial" w:cs="Arial"/>
        </w:rPr>
        <w:t>Commonly, a syringe driver would pump them with sedatives, while tubes giving food and water were detached</w:t>
      </w:r>
      <w:r w:rsidR="005D29A5">
        <w:rPr>
          <w:rFonts w:ascii="Arial" w:hAnsi="Arial" w:cs="Arial"/>
        </w:rPr>
        <w:t>: d</w:t>
      </w:r>
      <w:r w:rsidR="002D6485" w:rsidRPr="006C4037">
        <w:rPr>
          <w:rFonts w:ascii="Arial" w:hAnsi="Arial" w:cs="Arial"/>
        </w:rPr>
        <w:t>eath would follow, typically within 36 hours</w:t>
      </w:r>
      <w:r w:rsidR="006C4037">
        <w:rPr>
          <w:rFonts w:ascii="Arial" w:hAnsi="Arial" w:cs="Arial"/>
        </w:rPr>
        <w:t>”</w:t>
      </w:r>
      <w:r w:rsidR="00DD0E0D" w:rsidRPr="006C4037">
        <w:rPr>
          <w:rStyle w:val="EndnoteReference"/>
          <w:rFonts w:ascii="Arial" w:hAnsi="Arial" w:cs="Arial"/>
        </w:rPr>
        <w:endnoteReference w:id="3"/>
      </w:r>
      <w:r w:rsidR="00AC0C43">
        <w:rPr>
          <w:rFonts w:ascii="Arial" w:hAnsi="Arial" w:cs="Arial"/>
        </w:rPr>
        <w:t xml:space="preserve"> were prevalent, and</w:t>
      </w:r>
      <w:r w:rsidR="002D6485" w:rsidRPr="006C4037">
        <w:rPr>
          <w:rFonts w:ascii="Arial" w:hAnsi="Arial" w:cs="Arial"/>
        </w:rPr>
        <w:t xml:space="preserve"> </w:t>
      </w:r>
      <w:r w:rsidR="000D0CA1">
        <w:rPr>
          <w:rFonts w:ascii="Arial" w:hAnsi="Arial" w:cs="Arial"/>
        </w:rPr>
        <w:t>indicate</w:t>
      </w:r>
      <w:r w:rsidR="00AC0C43">
        <w:rPr>
          <w:rFonts w:ascii="Arial" w:hAnsi="Arial" w:cs="Arial"/>
        </w:rPr>
        <w:t>d</w:t>
      </w:r>
      <w:r w:rsidR="000D0CA1">
        <w:rPr>
          <w:rFonts w:ascii="Arial" w:hAnsi="Arial" w:cs="Arial"/>
        </w:rPr>
        <w:t xml:space="preserve"> that there was an erroneous perception among lay people that syringe drivers hasten death and are at times used to deliberately hasten death</w:t>
      </w:r>
      <w:r w:rsidR="000D0CA1" w:rsidRPr="006C4037">
        <w:rPr>
          <w:rFonts w:ascii="Arial" w:hAnsi="Arial" w:cs="Arial"/>
        </w:rPr>
        <w:t>.</w:t>
      </w:r>
    </w:p>
    <w:p w14:paraId="41A4E06D" w14:textId="77777777" w:rsidR="002D6485" w:rsidRPr="006C4037" w:rsidRDefault="002D6485" w:rsidP="006C4037">
      <w:pPr>
        <w:widowControl w:val="0"/>
        <w:autoSpaceDE w:val="0"/>
        <w:autoSpaceDN w:val="0"/>
        <w:adjustRightInd w:val="0"/>
        <w:spacing w:line="360" w:lineRule="auto"/>
        <w:rPr>
          <w:rFonts w:ascii="Arial" w:hAnsi="Arial" w:cs="Arial"/>
        </w:rPr>
      </w:pPr>
    </w:p>
    <w:p w14:paraId="7A73D2A1" w14:textId="111A941E" w:rsidR="00D801FF" w:rsidRPr="006C4037" w:rsidRDefault="00700DB7" w:rsidP="006C4037">
      <w:pPr>
        <w:spacing w:line="360" w:lineRule="auto"/>
        <w:rPr>
          <w:rFonts w:ascii="Arial" w:hAnsi="Arial" w:cs="Arial"/>
        </w:rPr>
      </w:pPr>
      <w:r w:rsidRPr="006C4037">
        <w:rPr>
          <w:rFonts w:ascii="Arial" w:hAnsi="Arial" w:cs="Arial"/>
        </w:rPr>
        <w:t xml:space="preserve">Despite </w:t>
      </w:r>
      <w:r w:rsidR="00DD0E0D" w:rsidRPr="006C4037">
        <w:rPr>
          <w:rFonts w:ascii="Arial" w:hAnsi="Arial" w:cs="Arial"/>
        </w:rPr>
        <w:t>this manifestly not being the intention of the LCP</w:t>
      </w:r>
      <w:r w:rsidRPr="006C4037">
        <w:rPr>
          <w:rFonts w:ascii="Arial" w:hAnsi="Arial" w:cs="Arial"/>
        </w:rPr>
        <w:t xml:space="preserve">, </w:t>
      </w:r>
      <w:r w:rsidR="00B81BCF" w:rsidRPr="006C4037">
        <w:rPr>
          <w:rFonts w:ascii="Arial" w:hAnsi="Arial" w:cs="Arial"/>
        </w:rPr>
        <w:t xml:space="preserve">the </w:t>
      </w:r>
      <w:r w:rsidR="00E41485">
        <w:rPr>
          <w:rFonts w:ascii="Arial" w:hAnsi="Arial" w:cs="Arial"/>
        </w:rPr>
        <w:t>ind</w:t>
      </w:r>
      <w:r w:rsidR="00B81BCF" w:rsidRPr="006C4037">
        <w:rPr>
          <w:rFonts w:ascii="Arial" w:hAnsi="Arial" w:cs="Arial"/>
        </w:rPr>
        <w:t>ependent review</w:t>
      </w:r>
      <w:r w:rsidR="006C4037">
        <w:rPr>
          <w:rFonts w:ascii="Arial" w:hAnsi="Arial" w:cs="Arial"/>
        </w:rPr>
        <w:t xml:space="preserve"> </w:t>
      </w:r>
      <w:r w:rsidR="00B72F97" w:rsidRPr="006C4037">
        <w:rPr>
          <w:rStyle w:val="EndnoteReference"/>
          <w:rFonts w:ascii="Arial" w:hAnsi="Arial" w:cs="Arial"/>
        </w:rPr>
        <w:endnoteReference w:id="4"/>
      </w:r>
      <w:r w:rsidR="00B81BCF" w:rsidRPr="006C4037">
        <w:rPr>
          <w:rFonts w:ascii="Arial" w:hAnsi="Arial" w:cs="Arial"/>
        </w:rPr>
        <w:t xml:space="preserve"> </w:t>
      </w:r>
      <w:r w:rsidR="00D801FF" w:rsidRPr="006C4037">
        <w:rPr>
          <w:rFonts w:ascii="Arial" w:hAnsi="Arial" w:cs="Arial"/>
        </w:rPr>
        <w:t>found that</w:t>
      </w:r>
      <w:r w:rsidR="00B81BCF" w:rsidRPr="006C4037">
        <w:rPr>
          <w:rFonts w:ascii="Arial" w:hAnsi="Arial" w:cs="Arial"/>
        </w:rPr>
        <w:t xml:space="preserve"> in too </w:t>
      </w:r>
      <w:r w:rsidRPr="006C4037">
        <w:rPr>
          <w:rFonts w:ascii="Arial" w:hAnsi="Arial" w:cs="Arial"/>
        </w:rPr>
        <w:t>many instances</w:t>
      </w:r>
      <w:r w:rsidR="00D801FF" w:rsidRPr="006C4037">
        <w:rPr>
          <w:rFonts w:ascii="Arial" w:hAnsi="Arial" w:cs="Arial"/>
        </w:rPr>
        <w:t xml:space="preserve"> syringe drivers with opioids and sedatives were </w:t>
      </w:r>
      <w:r w:rsidR="005D29A5">
        <w:rPr>
          <w:rFonts w:ascii="Arial" w:hAnsi="Arial" w:cs="Arial"/>
        </w:rPr>
        <w:t>regarded (erroneously) as the “</w:t>
      </w:r>
      <w:r w:rsidR="00D801FF" w:rsidRPr="006C4037">
        <w:rPr>
          <w:rFonts w:ascii="Arial" w:hAnsi="Arial" w:cs="Arial"/>
        </w:rPr>
        <w:t>next step</w:t>
      </w:r>
      <w:r w:rsidR="005D29A5">
        <w:rPr>
          <w:rFonts w:ascii="Arial" w:hAnsi="Arial" w:cs="Arial"/>
        </w:rPr>
        <w:t>”</w:t>
      </w:r>
      <w:r w:rsidR="00D801FF" w:rsidRPr="006C4037">
        <w:rPr>
          <w:rFonts w:ascii="Arial" w:hAnsi="Arial" w:cs="Arial"/>
        </w:rPr>
        <w:t xml:space="preserve"> on the LCP, regardless of whether </w:t>
      </w:r>
      <w:r w:rsidR="005D29A5">
        <w:rPr>
          <w:rFonts w:ascii="Arial" w:hAnsi="Arial" w:cs="Arial"/>
        </w:rPr>
        <w:t xml:space="preserve">or not </w:t>
      </w:r>
      <w:r w:rsidR="00D801FF" w:rsidRPr="006C4037">
        <w:rPr>
          <w:rFonts w:ascii="Arial" w:hAnsi="Arial" w:cs="Arial"/>
        </w:rPr>
        <w:t>a dying patient required suc</w:t>
      </w:r>
      <w:r w:rsidR="003124EE" w:rsidRPr="006C4037">
        <w:rPr>
          <w:rFonts w:ascii="Arial" w:hAnsi="Arial" w:cs="Arial"/>
        </w:rPr>
        <w:t>h continuous medication</w:t>
      </w:r>
      <w:r w:rsidR="006C4037">
        <w:rPr>
          <w:rFonts w:ascii="Arial" w:hAnsi="Arial" w:cs="Arial"/>
        </w:rPr>
        <w:t xml:space="preserve">. </w:t>
      </w:r>
      <w:r w:rsidR="00E41485">
        <w:rPr>
          <w:rFonts w:ascii="Arial" w:hAnsi="Arial" w:cs="Arial"/>
        </w:rPr>
        <w:t>The review panel found</w:t>
      </w:r>
      <w:r w:rsidR="008C6030">
        <w:rPr>
          <w:rFonts w:ascii="Arial" w:hAnsi="Arial" w:cs="Arial"/>
        </w:rPr>
        <w:t xml:space="preserve"> that</w:t>
      </w:r>
      <w:r w:rsidR="00E41485">
        <w:rPr>
          <w:rFonts w:ascii="Arial" w:hAnsi="Arial" w:cs="Arial"/>
        </w:rPr>
        <w:t xml:space="preserve"> </w:t>
      </w:r>
      <w:r w:rsidR="006C4037">
        <w:rPr>
          <w:rFonts w:ascii="Arial" w:hAnsi="Arial" w:cs="Arial"/>
        </w:rPr>
        <w:t>“</w:t>
      </w:r>
      <w:r w:rsidR="00B81BCF" w:rsidRPr="006C4037">
        <w:rPr>
          <w:rFonts w:ascii="Arial" w:hAnsi="Arial" w:cs="Arial"/>
        </w:rPr>
        <w:t>Many patients in the hospital setting were put on morphine in a syringe driver, even if morphine was not the right drug</w:t>
      </w:r>
      <w:r w:rsidR="006C4037">
        <w:rPr>
          <w:rFonts w:ascii="Arial" w:hAnsi="Arial" w:cs="Arial"/>
        </w:rPr>
        <w:t>”</w:t>
      </w:r>
      <w:r w:rsidR="00E41485">
        <w:rPr>
          <w:rFonts w:ascii="Arial" w:hAnsi="Arial" w:cs="Arial"/>
        </w:rPr>
        <w:t>:</w:t>
      </w:r>
      <w:r w:rsidR="00B81BCF" w:rsidRPr="006C4037">
        <w:rPr>
          <w:rFonts w:ascii="Arial" w:hAnsi="Arial" w:cs="Arial"/>
        </w:rPr>
        <w:t xml:space="preserve"> </w:t>
      </w:r>
      <w:r w:rsidR="006C4037">
        <w:rPr>
          <w:rFonts w:ascii="Arial" w:hAnsi="Arial" w:cs="Arial"/>
        </w:rPr>
        <w:t>“</w:t>
      </w:r>
      <w:r w:rsidR="00B81BCF" w:rsidRPr="006C4037">
        <w:rPr>
          <w:rFonts w:ascii="Arial" w:hAnsi="Arial" w:cs="Arial"/>
        </w:rPr>
        <w:t>Relatives reported leaving their loved one calm and peaceful, only to return later following a medical review to find a syringe driver had been set up and their relative was never able to communicate again</w:t>
      </w:r>
      <w:r w:rsidR="006C4037">
        <w:rPr>
          <w:rFonts w:ascii="Arial" w:hAnsi="Arial" w:cs="Arial"/>
        </w:rPr>
        <w:t>”</w:t>
      </w:r>
      <w:r w:rsidR="00B81BCF" w:rsidRPr="006C4037">
        <w:rPr>
          <w:rFonts w:ascii="Arial" w:hAnsi="Arial" w:cs="Arial"/>
        </w:rPr>
        <w:t>.</w:t>
      </w:r>
      <w:r w:rsidR="00A76FE4" w:rsidRPr="006C4037">
        <w:rPr>
          <w:rFonts w:ascii="Arial" w:hAnsi="Arial" w:cs="Arial"/>
        </w:rPr>
        <w:t xml:space="preserve"> Clearly these </w:t>
      </w:r>
      <w:r w:rsidR="00A76FE4" w:rsidRPr="006C4037">
        <w:rPr>
          <w:rFonts w:ascii="Arial" w:hAnsi="Arial" w:cs="Arial"/>
        </w:rPr>
        <w:lastRenderedPageBreak/>
        <w:t xml:space="preserve">were worrying instances where </w:t>
      </w:r>
      <w:r w:rsidR="003124EE" w:rsidRPr="006C4037">
        <w:rPr>
          <w:rFonts w:ascii="Arial" w:hAnsi="Arial" w:cs="Arial"/>
        </w:rPr>
        <w:t xml:space="preserve">either </w:t>
      </w:r>
      <w:r w:rsidR="00A76FE4" w:rsidRPr="006C4037">
        <w:rPr>
          <w:rFonts w:ascii="Arial" w:hAnsi="Arial" w:cs="Arial"/>
        </w:rPr>
        <w:t>continuous subcutaneous infusions were being misused, or there was poor communication with relatives as to why they were being used.</w:t>
      </w:r>
      <w:r w:rsidR="000D0CA1">
        <w:rPr>
          <w:rFonts w:ascii="Arial" w:hAnsi="Arial" w:cs="Arial"/>
        </w:rPr>
        <w:t xml:space="preserve"> </w:t>
      </w:r>
      <w:r w:rsidR="008C6030">
        <w:rPr>
          <w:rFonts w:ascii="Arial" w:hAnsi="Arial" w:cs="Arial"/>
        </w:rPr>
        <w:t>Whilst t</w:t>
      </w:r>
      <w:r w:rsidR="000D0CA1">
        <w:rPr>
          <w:rFonts w:ascii="Arial" w:hAnsi="Arial" w:cs="Arial"/>
        </w:rPr>
        <w:t xml:space="preserve">he </w:t>
      </w:r>
      <w:r w:rsidR="00AC0C43">
        <w:rPr>
          <w:rFonts w:ascii="Arial" w:hAnsi="Arial" w:cs="Arial"/>
        </w:rPr>
        <w:t>LCP document was not the issue</w:t>
      </w:r>
      <w:r w:rsidR="008C6030">
        <w:rPr>
          <w:rFonts w:ascii="Arial" w:hAnsi="Arial" w:cs="Arial"/>
        </w:rPr>
        <w:t xml:space="preserve">, </w:t>
      </w:r>
      <w:r w:rsidR="000D0CA1">
        <w:rPr>
          <w:rFonts w:ascii="Arial" w:hAnsi="Arial" w:cs="Arial"/>
        </w:rPr>
        <w:t>the</w:t>
      </w:r>
      <w:r w:rsidR="00AC0C43">
        <w:rPr>
          <w:rFonts w:ascii="Arial" w:hAnsi="Arial" w:cs="Arial"/>
        </w:rPr>
        <w:t>re</w:t>
      </w:r>
      <w:r w:rsidR="008C6030">
        <w:rPr>
          <w:rFonts w:ascii="Arial" w:hAnsi="Arial" w:cs="Arial"/>
        </w:rPr>
        <w:t xml:space="preserve"> appeared to be </w:t>
      </w:r>
      <w:r w:rsidR="00AC0C43">
        <w:rPr>
          <w:rFonts w:ascii="Arial" w:hAnsi="Arial" w:cs="Arial"/>
        </w:rPr>
        <w:t>a lack of</w:t>
      </w:r>
      <w:r w:rsidR="000D0CA1">
        <w:rPr>
          <w:rFonts w:ascii="Arial" w:hAnsi="Arial" w:cs="Arial"/>
        </w:rPr>
        <w:t xml:space="preserve"> education and training around good end of life care.</w:t>
      </w:r>
    </w:p>
    <w:p w14:paraId="7FD38321" w14:textId="77777777" w:rsidR="00A76FE4" w:rsidRPr="006C4037" w:rsidRDefault="00A76FE4" w:rsidP="006C4037">
      <w:pPr>
        <w:spacing w:line="360" w:lineRule="auto"/>
        <w:rPr>
          <w:rFonts w:ascii="Arial" w:hAnsi="Arial" w:cs="Arial"/>
        </w:rPr>
      </w:pPr>
    </w:p>
    <w:p w14:paraId="295F2862" w14:textId="3CFEC041" w:rsidR="00BE20FC" w:rsidRDefault="00E41485" w:rsidP="006C4037">
      <w:pPr>
        <w:spacing w:line="360" w:lineRule="auto"/>
        <w:rPr>
          <w:rFonts w:ascii="Arial" w:hAnsi="Arial" w:cs="Arial"/>
        </w:rPr>
      </w:pPr>
      <w:r>
        <w:rPr>
          <w:rFonts w:ascii="Arial" w:hAnsi="Arial" w:cs="Arial"/>
        </w:rPr>
        <w:t>C</w:t>
      </w:r>
      <w:r w:rsidR="00700DB7" w:rsidRPr="006C4037">
        <w:rPr>
          <w:rFonts w:ascii="Arial" w:hAnsi="Arial" w:cs="Arial"/>
        </w:rPr>
        <w:t xml:space="preserve">ontinuous subcutaneous infusions of opioids at the end of life </w:t>
      </w:r>
      <w:r>
        <w:rPr>
          <w:rFonts w:ascii="Arial" w:hAnsi="Arial" w:cs="Arial"/>
        </w:rPr>
        <w:t xml:space="preserve">are most commonly </w:t>
      </w:r>
      <w:r w:rsidR="00291FA7" w:rsidRPr="006C4037">
        <w:rPr>
          <w:rFonts w:ascii="Arial" w:hAnsi="Arial" w:cs="Arial"/>
        </w:rPr>
        <w:t>appropriate when a pati</w:t>
      </w:r>
      <w:r w:rsidR="00700DB7" w:rsidRPr="006C4037">
        <w:rPr>
          <w:rFonts w:ascii="Arial" w:hAnsi="Arial" w:cs="Arial"/>
        </w:rPr>
        <w:t>e</w:t>
      </w:r>
      <w:r w:rsidR="00291FA7" w:rsidRPr="006C4037">
        <w:rPr>
          <w:rFonts w:ascii="Arial" w:hAnsi="Arial" w:cs="Arial"/>
        </w:rPr>
        <w:t>n</w:t>
      </w:r>
      <w:r w:rsidR="00700DB7" w:rsidRPr="006C4037">
        <w:rPr>
          <w:rFonts w:ascii="Arial" w:hAnsi="Arial" w:cs="Arial"/>
        </w:rPr>
        <w:t>t has be</w:t>
      </w:r>
      <w:r w:rsidR="00291FA7" w:rsidRPr="006C4037">
        <w:rPr>
          <w:rFonts w:ascii="Arial" w:hAnsi="Arial" w:cs="Arial"/>
        </w:rPr>
        <w:t xml:space="preserve">en taking regular oral </w:t>
      </w:r>
      <w:r w:rsidR="00937EB9" w:rsidRPr="006C4037">
        <w:rPr>
          <w:rFonts w:ascii="Arial" w:hAnsi="Arial" w:cs="Arial"/>
        </w:rPr>
        <w:t xml:space="preserve">opioid </w:t>
      </w:r>
      <w:r w:rsidR="00291FA7" w:rsidRPr="006C4037">
        <w:rPr>
          <w:rFonts w:ascii="Arial" w:hAnsi="Arial" w:cs="Arial"/>
        </w:rPr>
        <w:t>analgesia</w:t>
      </w:r>
      <w:r w:rsidR="00700DB7" w:rsidRPr="006C4037">
        <w:rPr>
          <w:rFonts w:ascii="Arial" w:hAnsi="Arial" w:cs="Arial"/>
        </w:rPr>
        <w:t>, but is now unable to swallow</w:t>
      </w:r>
      <w:r w:rsidR="006C4037">
        <w:rPr>
          <w:rFonts w:ascii="Arial" w:hAnsi="Arial" w:cs="Arial"/>
        </w:rPr>
        <w:t xml:space="preserve">: opioids </w:t>
      </w:r>
      <w:r>
        <w:rPr>
          <w:rFonts w:ascii="Arial" w:hAnsi="Arial" w:cs="Arial"/>
        </w:rPr>
        <w:t xml:space="preserve">need to </w:t>
      </w:r>
      <w:r w:rsidR="006C4037">
        <w:rPr>
          <w:rFonts w:ascii="Arial" w:hAnsi="Arial" w:cs="Arial"/>
        </w:rPr>
        <w:t>be given by an alternative route to avoid a return of previously controlled pain and</w:t>
      </w:r>
      <w:r>
        <w:rPr>
          <w:rFonts w:ascii="Arial" w:hAnsi="Arial" w:cs="Arial"/>
        </w:rPr>
        <w:t xml:space="preserve"> to avoid the development of</w:t>
      </w:r>
      <w:r w:rsidR="006C4037">
        <w:rPr>
          <w:rFonts w:ascii="Arial" w:hAnsi="Arial" w:cs="Arial"/>
        </w:rPr>
        <w:t xml:space="preserve"> the distressing symptoms of opioid withdrawal</w:t>
      </w:r>
      <w:r w:rsidR="00D447C9">
        <w:rPr>
          <w:rFonts w:ascii="Arial" w:hAnsi="Arial" w:cs="Arial"/>
        </w:rPr>
        <w:t xml:space="preserve"> </w:t>
      </w:r>
      <w:r w:rsidR="00283411">
        <w:rPr>
          <w:rStyle w:val="EndnoteReference"/>
          <w:rFonts w:ascii="Arial" w:hAnsi="Arial" w:cs="Arial"/>
        </w:rPr>
        <w:endnoteReference w:id="5"/>
      </w:r>
      <w:r w:rsidR="00700DB7" w:rsidRPr="006C4037">
        <w:rPr>
          <w:rFonts w:ascii="Arial" w:hAnsi="Arial" w:cs="Arial"/>
        </w:rPr>
        <w:t xml:space="preserve">. Dying is not </w:t>
      </w:r>
      <w:r w:rsidR="00D447C9">
        <w:rPr>
          <w:rFonts w:ascii="Arial" w:hAnsi="Arial" w:cs="Arial"/>
        </w:rPr>
        <w:t xml:space="preserve">an </w:t>
      </w:r>
      <w:r w:rsidR="00700DB7" w:rsidRPr="006C4037">
        <w:rPr>
          <w:rFonts w:ascii="Arial" w:hAnsi="Arial" w:cs="Arial"/>
        </w:rPr>
        <w:t>inherently a painful process</w:t>
      </w:r>
      <w:r w:rsidR="005D29A5">
        <w:rPr>
          <w:rFonts w:ascii="Arial" w:hAnsi="Arial" w:cs="Arial"/>
        </w:rPr>
        <w:t xml:space="preserve">: </w:t>
      </w:r>
      <w:r w:rsidR="00700DB7" w:rsidRPr="006C4037">
        <w:rPr>
          <w:rFonts w:ascii="Arial" w:hAnsi="Arial" w:cs="Arial"/>
        </w:rPr>
        <w:t xml:space="preserve">unless there has previously been a requirement for </w:t>
      </w:r>
      <w:r w:rsidR="002D6485" w:rsidRPr="006C4037">
        <w:rPr>
          <w:rFonts w:ascii="Arial" w:hAnsi="Arial" w:cs="Arial"/>
        </w:rPr>
        <w:t xml:space="preserve">opioid </w:t>
      </w:r>
      <w:r w:rsidR="00700DB7" w:rsidRPr="006C4037">
        <w:rPr>
          <w:rFonts w:ascii="Arial" w:hAnsi="Arial" w:cs="Arial"/>
        </w:rPr>
        <w:t xml:space="preserve">analgesia, </w:t>
      </w:r>
      <w:r w:rsidR="00496257" w:rsidRPr="006C4037">
        <w:rPr>
          <w:rFonts w:ascii="Arial" w:hAnsi="Arial" w:cs="Arial"/>
        </w:rPr>
        <w:t>opioids may not be required</w:t>
      </w:r>
      <w:r>
        <w:rPr>
          <w:rFonts w:ascii="Arial" w:hAnsi="Arial" w:cs="Arial"/>
        </w:rPr>
        <w:t>. If a dying patient is deemed to need to start an opioid for the control of pain</w:t>
      </w:r>
      <w:r w:rsidR="00473DE7">
        <w:rPr>
          <w:rFonts w:ascii="Arial" w:hAnsi="Arial" w:cs="Arial"/>
        </w:rPr>
        <w:t xml:space="preserve"> or breathlessness</w:t>
      </w:r>
      <w:r w:rsidR="00E85B78">
        <w:rPr>
          <w:rFonts w:ascii="Arial" w:hAnsi="Arial" w:cs="Arial"/>
        </w:rPr>
        <w:t>,</w:t>
      </w:r>
      <w:r>
        <w:rPr>
          <w:rFonts w:ascii="Arial" w:hAnsi="Arial" w:cs="Arial"/>
        </w:rPr>
        <w:t xml:space="preserve"> </w:t>
      </w:r>
      <w:r w:rsidR="005D29A5">
        <w:rPr>
          <w:rFonts w:ascii="Arial" w:hAnsi="Arial" w:cs="Arial"/>
        </w:rPr>
        <w:t xml:space="preserve">this will be </w:t>
      </w:r>
      <w:r w:rsidR="00291FA7" w:rsidRPr="006C4037">
        <w:rPr>
          <w:rFonts w:ascii="Arial" w:hAnsi="Arial" w:cs="Arial"/>
        </w:rPr>
        <w:t xml:space="preserve">only in low doses. </w:t>
      </w:r>
      <w:r w:rsidR="005D29A5">
        <w:rPr>
          <w:rFonts w:ascii="Arial" w:hAnsi="Arial" w:cs="Arial"/>
        </w:rPr>
        <w:t>I</w:t>
      </w:r>
      <w:r w:rsidR="00A76FE4" w:rsidRPr="006C4037">
        <w:rPr>
          <w:rFonts w:ascii="Arial" w:hAnsi="Arial" w:cs="Arial"/>
        </w:rPr>
        <w:t xml:space="preserve">f a </w:t>
      </w:r>
      <w:r>
        <w:rPr>
          <w:rFonts w:ascii="Arial" w:hAnsi="Arial" w:cs="Arial"/>
        </w:rPr>
        <w:t xml:space="preserve">dying </w:t>
      </w:r>
      <w:r w:rsidR="00A76FE4" w:rsidRPr="006C4037">
        <w:rPr>
          <w:rFonts w:ascii="Arial" w:hAnsi="Arial" w:cs="Arial"/>
        </w:rPr>
        <w:t xml:space="preserve">patient </w:t>
      </w:r>
      <w:r>
        <w:rPr>
          <w:rFonts w:ascii="Arial" w:hAnsi="Arial" w:cs="Arial"/>
        </w:rPr>
        <w:t>becomes</w:t>
      </w:r>
      <w:r w:rsidR="00A76FE4" w:rsidRPr="006C4037">
        <w:rPr>
          <w:rFonts w:ascii="Arial" w:hAnsi="Arial" w:cs="Arial"/>
        </w:rPr>
        <w:t xml:space="preserve"> agitated, judicious use of sedatives at the minimum dose to relieve distress may be necessary</w:t>
      </w:r>
      <w:r w:rsidR="00E85B78">
        <w:rPr>
          <w:rFonts w:ascii="Arial" w:hAnsi="Arial" w:cs="Arial"/>
        </w:rPr>
        <w:t>. T</w:t>
      </w:r>
      <w:r w:rsidR="00A76FE4" w:rsidRPr="006C4037">
        <w:rPr>
          <w:rFonts w:ascii="Arial" w:hAnsi="Arial" w:cs="Arial"/>
        </w:rPr>
        <w:t xml:space="preserve">he intention </w:t>
      </w:r>
      <w:r w:rsidR="00473DE7">
        <w:rPr>
          <w:rFonts w:ascii="Arial" w:hAnsi="Arial" w:cs="Arial"/>
        </w:rPr>
        <w:t xml:space="preserve">needs to be clearly communicated as one of symptom control, </w:t>
      </w:r>
      <w:r>
        <w:rPr>
          <w:rFonts w:ascii="Arial" w:hAnsi="Arial" w:cs="Arial"/>
        </w:rPr>
        <w:t>not t</w:t>
      </w:r>
      <w:r w:rsidR="00A76FE4" w:rsidRPr="006C4037">
        <w:rPr>
          <w:rFonts w:ascii="Arial" w:hAnsi="Arial" w:cs="Arial"/>
        </w:rPr>
        <w:t>o reduce the patient’s ability to eat and drink</w:t>
      </w:r>
      <w:r>
        <w:rPr>
          <w:rFonts w:ascii="Arial" w:hAnsi="Arial" w:cs="Arial"/>
        </w:rPr>
        <w:t>, or to hasten death</w:t>
      </w:r>
      <w:r w:rsidR="00306E99" w:rsidRPr="006C4037">
        <w:rPr>
          <w:rFonts w:ascii="Arial" w:hAnsi="Arial" w:cs="Arial"/>
        </w:rPr>
        <w:t xml:space="preserve">. </w:t>
      </w:r>
    </w:p>
    <w:p w14:paraId="19DC0577" w14:textId="77777777" w:rsidR="00BE20FC" w:rsidRDefault="00BE20FC" w:rsidP="006C4037">
      <w:pPr>
        <w:spacing w:line="360" w:lineRule="auto"/>
        <w:rPr>
          <w:rFonts w:ascii="Arial" w:hAnsi="Arial" w:cs="Arial"/>
        </w:rPr>
      </w:pPr>
    </w:p>
    <w:p w14:paraId="2E824F6D" w14:textId="2D9FABC6" w:rsidR="003B7F5D" w:rsidRPr="003068F6" w:rsidRDefault="00306E99" w:rsidP="006C4037">
      <w:pPr>
        <w:spacing w:line="360" w:lineRule="auto"/>
        <w:rPr>
          <w:rFonts w:ascii="Arial" w:hAnsi="Arial" w:cs="Arial"/>
        </w:rPr>
      </w:pPr>
      <w:r w:rsidRPr="006C4037">
        <w:rPr>
          <w:rFonts w:ascii="Arial" w:hAnsi="Arial" w:cs="Arial"/>
        </w:rPr>
        <w:t>T</w:t>
      </w:r>
      <w:r w:rsidR="00A76FE4" w:rsidRPr="006C4037">
        <w:rPr>
          <w:rFonts w:ascii="Arial" w:hAnsi="Arial" w:cs="Arial"/>
        </w:rPr>
        <w:t>he</w:t>
      </w:r>
      <w:r w:rsidRPr="006C4037">
        <w:rPr>
          <w:rFonts w:ascii="Arial" w:hAnsi="Arial" w:cs="Arial"/>
        </w:rPr>
        <w:t xml:space="preserve"> diagnosis of dying requires skill and experience. If the </w:t>
      </w:r>
      <w:r w:rsidR="00E41485">
        <w:rPr>
          <w:rFonts w:ascii="Arial" w:hAnsi="Arial" w:cs="Arial"/>
        </w:rPr>
        <w:t xml:space="preserve">patient’s </w:t>
      </w:r>
      <w:r w:rsidRPr="006C4037">
        <w:rPr>
          <w:rFonts w:ascii="Arial" w:hAnsi="Arial" w:cs="Arial"/>
        </w:rPr>
        <w:t>dying trajectory is clear and the</w:t>
      </w:r>
      <w:r w:rsidR="00E41485">
        <w:rPr>
          <w:rFonts w:ascii="Arial" w:hAnsi="Arial" w:cs="Arial"/>
        </w:rPr>
        <w:t xml:space="preserve">y are assessed by a senior clinician to have </w:t>
      </w:r>
      <w:r w:rsidRPr="006C4037">
        <w:rPr>
          <w:rFonts w:ascii="Arial" w:hAnsi="Arial" w:cs="Arial"/>
        </w:rPr>
        <w:t xml:space="preserve">no chance of reversibility or recovery, sedation via a continuous infusion may be </w:t>
      </w:r>
      <w:r w:rsidR="00BE20FC">
        <w:rPr>
          <w:rFonts w:ascii="Arial" w:hAnsi="Arial" w:cs="Arial"/>
        </w:rPr>
        <w:t xml:space="preserve">appropriate and </w:t>
      </w:r>
      <w:r w:rsidRPr="006C4037">
        <w:rPr>
          <w:rFonts w:ascii="Arial" w:hAnsi="Arial" w:cs="Arial"/>
        </w:rPr>
        <w:t>necessary to reduce the distress from an irreversible agitated delirium.</w:t>
      </w:r>
      <w:r w:rsidR="003068F6">
        <w:rPr>
          <w:rFonts w:ascii="Arial" w:hAnsi="Arial" w:cs="Arial"/>
        </w:rPr>
        <w:t xml:space="preserve"> Studies have shown that within a hospice setting, s</w:t>
      </w:r>
      <w:r w:rsidR="003068F6" w:rsidRPr="00D5754E">
        <w:rPr>
          <w:rFonts w:ascii="Arial" w:hAnsi="Arial" w:cs="Arial"/>
        </w:rPr>
        <w:t xml:space="preserve">tarting opioids, or </w:t>
      </w:r>
      <w:r w:rsidR="003068F6">
        <w:rPr>
          <w:rFonts w:ascii="Arial" w:hAnsi="Arial" w:cs="Arial"/>
        </w:rPr>
        <w:t xml:space="preserve">appropriate </w:t>
      </w:r>
      <w:r w:rsidR="003068F6" w:rsidRPr="00D5754E">
        <w:rPr>
          <w:rFonts w:ascii="Arial" w:hAnsi="Arial" w:cs="Arial"/>
        </w:rPr>
        <w:t>titrati</w:t>
      </w:r>
      <w:r w:rsidR="003068F6">
        <w:rPr>
          <w:rFonts w:ascii="Arial" w:hAnsi="Arial" w:cs="Arial"/>
        </w:rPr>
        <w:t xml:space="preserve">on of </w:t>
      </w:r>
      <w:r w:rsidR="003068F6" w:rsidRPr="00D5754E">
        <w:rPr>
          <w:rFonts w:ascii="Arial" w:hAnsi="Arial" w:cs="Arial"/>
        </w:rPr>
        <w:t>opioid dose</w:t>
      </w:r>
      <w:r w:rsidR="003068F6">
        <w:rPr>
          <w:rFonts w:ascii="Arial" w:hAnsi="Arial" w:cs="Arial"/>
        </w:rPr>
        <w:t xml:space="preserve"> against the patient’s pain</w:t>
      </w:r>
      <w:r w:rsidR="003068F6" w:rsidRPr="00D5754E">
        <w:rPr>
          <w:rFonts w:ascii="Arial" w:hAnsi="Arial" w:cs="Arial"/>
        </w:rPr>
        <w:t xml:space="preserve"> </w:t>
      </w:r>
      <w:r w:rsidR="003068F6">
        <w:rPr>
          <w:rFonts w:ascii="Arial" w:hAnsi="Arial" w:cs="Arial"/>
        </w:rPr>
        <w:t>(</w:t>
      </w:r>
      <w:r w:rsidR="003068F6" w:rsidRPr="00D5754E">
        <w:rPr>
          <w:rFonts w:ascii="Arial" w:hAnsi="Arial" w:cs="Arial"/>
        </w:rPr>
        <w:t xml:space="preserve">increases </w:t>
      </w:r>
      <w:r w:rsidR="003068F6">
        <w:rPr>
          <w:rFonts w:ascii="Arial" w:hAnsi="Arial" w:cs="Arial"/>
        </w:rPr>
        <w:t xml:space="preserve">of </w:t>
      </w:r>
      <w:r w:rsidR="003068F6" w:rsidRPr="00D5754E">
        <w:rPr>
          <w:rFonts w:ascii="Arial" w:hAnsi="Arial" w:cs="Arial"/>
        </w:rPr>
        <w:t>33% - 50% / day)</w:t>
      </w:r>
      <w:r w:rsidR="003068F6">
        <w:rPr>
          <w:rFonts w:ascii="Arial" w:hAnsi="Arial" w:cs="Arial"/>
        </w:rPr>
        <w:t>, does not shorten life</w:t>
      </w:r>
      <w:r w:rsidR="003068F6">
        <w:rPr>
          <w:rStyle w:val="EndnoteReference"/>
          <w:rFonts w:ascii="Arial" w:hAnsi="Arial" w:cs="Arial"/>
        </w:rPr>
        <w:endnoteReference w:id="6"/>
      </w:r>
      <w:r w:rsidR="003068F6">
        <w:rPr>
          <w:rFonts w:ascii="Arial" w:hAnsi="Arial" w:cs="Arial"/>
        </w:rPr>
        <w:t xml:space="preserve">. The same is true of titration of </w:t>
      </w:r>
      <w:r w:rsidR="003068F6" w:rsidRPr="00D5754E">
        <w:rPr>
          <w:rFonts w:ascii="Arial" w:hAnsi="Arial" w:cs="Arial"/>
        </w:rPr>
        <w:t xml:space="preserve">sedative drugs against </w:t>
      </w:r>
      <w:r w:rsidR="003068F6">
        <w:rPr>
          <w:rFonts w:ascii="Arial" w:hAnsi="Arial" w:cs="Arial"/>
        </w:rPr>
        <w:t xml:space="preserve">the </w:t>
      </w:r>
      <w:r w:rsidR="003068F6" w:rsidRPr="00D5754E">
        <w:rPr>
          <w:rFonts w:ascii="Arial" w:hAnsi="Arial" w:cs="Arial"/>
        </w:rPr>
        <w:t>patient’s distress or agitation</w:t>
      </w:r>
      <w:r w:rsidR="003068F6">
        <w:rPr>
          <w:rStyle w:val="EndnoteReference"/>
          <w:rFonts w:ascii="Arial" w:hAnsi="Arial" w:cs="Arial"/>
        </w:rPr>
        <w:endnoteReference w:id="7"/>
      </w:r>
      <w:r w:rsidR="003068F6">
        <w:rPr>
          <w:rFonts w:ascii="Arial" w:hAnsi="Arial" w:cs="Arial"/>
        </w:rPr>
        <w:t>.</w:t>
      </w:r>
      <w:r w:rsidR="00AC0C43">
        <w:rPr>
          <w:rFonts w:ascii="Arial" w:hAnsi="Arial" w:cs="Arial"/>
        </w:rPr>
        <w:t xml:space="preserve"> </w:t>
      </w:r>
      <w:r w:rsidR="00A12793">
        <w:rPr>
          <w:rFonts w:ascii="Arial" w:hAnsi="Arial" w:cs="Arial"/>
        </w:rPr>
        <w:t>T</w:t>
      </w:r>
      <w:r w:rsidR="00AC0C43">
        <w:rPr>
          <w:rFonts w:ascii="Arial" w:hAnsi="Arial" w:cs="Arial"/>
        </w:rPr>
        <w:t>he majority of patients in these studies had advanced cancer.</w:t>
      </w:r>
      <w:r w:rsidR="00D447C9">
        <w:rPr>
          <w:rFonts w:ascii="Arial" w:hAnsi="Arial" w:cs="Arial"/>
        </w:rPr>
        <w:t xml:space="preserve"> </w:t>
      </w:r>
      <w:r w:rsidR="00A12793">
        <w:rPr>
          <w:rFonts w:ascii="Arial" w:hAnsi="Arial" w:cs="Arial"/>
        </w:rPr>
        <w:t xml:space="preserve"> Perhaps because many of the problems reported to the </w:t>
      </w:r>
      <w:r w:rsidR="00F02E7E">
        <w:rPr>
          <w:rFonts w:ascii="Arial" w:hAnsi="Arial" w:cs="Arial"/>
        </w:rPr>
        <w:t>LCP re</w:t>
      </w:r>
      <w:r w:rsidR="0028303F">
        <w:rPr>
          <w:rFonts w:ascii="Arial" w:hAnsi="Arial" w:cs="Arial"/>
        </w:rPr>
        <w:t xml:space="preserve">view panel </w:t>
      </w:r>
      <w:r w:rsidR="00A12793">
        <w:rPr>
          <w:rFonts w:ascii="Arial" w:hAnsi="Arial" w:cs="Arial"/>
        </w:rPr>
        <w:t xml:space="preserve">were found to be on general wards in hospitals, it was </w:t>
      </w:r>
      <w:r w:rsidR="0028303F">
        <w:rPr>
          <w:rFonts w:ascii="Arial" w:hAnsi="Arial" w:cs="Arial"/>
        </w:rPr>
        <w:t xml:space="preserve">recommended that there should be more research into the </w:t>
      </w:r>
      <w:r w:rsidR="00F02E7E">
        <w:rPr>
          <w:rFonts w:ascii="Arial" w:hAnsi="Arial" w:cs="Arial"/>
        </w:rPr>
        <w:t>use of o</w:t>
      </w:r>
      <w:r w:rsidR="0028303F">
        <w:rPr>
          <w:rFonts w:ascii="Arial" w:hAnsi="Arial" w:cs="Arial"/>
        </w:rPr>
        <w:t>pioid and sedative drugs in</w:t>
      </w:r>
      <w:r w:rsidR="005717DA">
        <w:rPr>
          <w:rFonts w:ascii="Arial" w:hAnsi="Arial" w:cs="Arial"/>
        </w:rPr>
        <w:t xml:space="preserve"> non-</w:t>
      </w:r>
      <w:r w:rsidR="00F02E7E">
        <w:rPr>
          <w:rFonts w:ascii="Arial" w:hAnsi="Arial" w:cs="Arial"/>
        </w:rPr>
        <w:t>canc</w:t>
      </w:r>
      <w:r w:rsidR="005717DA">
        <w:rPr>
          <w:rFonts w:ascii="Arial" w:hAnsi="Arial" w:cs="Arial"/>
        </w:rPr>
        <w:t>er e</w:t>
      </w:r>
      <w:r w:rsidR="00F02E7E">
        <w:rPr>
          <w:rFonts w:ascii="Arial" w:hAnsi="Arial" w:cs="Arial"/>
        </w:rPr>
        <w:t>nd of life care. However</w:t>
      </w:r>
      <w:r w:rsidR="003068F6">
        <w:rPr>
          <w:rFonts w:ascii="Arial" w:hAnsi="Arial" w:cs="Arial"/>
        </w:rPr>
        <w:t>, in a detailed response from the</w:t>
      </w:r>
      <w:r w:rsidR="00F02E7E">
        <w:rPr>
          <w:rFonts w:ascii="Arial" w:hAnsi="Arial" w:cs="Arial"/>
        </w:rPr>
        <w:t xml:space="preserve"> alliance of leading organisations and statutory bodies involved in end</w:t>
      </w:r>
      <w:r w:rsidR="003068F6">
        <w:rPr>
          <w:rFonts w:ascii="Arial" w:hAnsi="Arial" w:cs="Arial"/>
        </w:rPr>
        <w:t xml:space="preserve"> of life care (the Leadership Alliance)</w:t>
      </w:r>
      <w:r w:rsidR="005717DA">
        <w:rPr>
          <w:rStyle w:val="EndnoteReference"/>
          <w:rFonts w:ascii="Arial" w:hAnsi="Arial" w:cs="Arial"/>
        </w:rPr>
        <w:endnoteReference w:id="8"/>
      </w:r>
      <w:r w:rsidR="003068F6">
        <w:rPr>
          <w:rFonts w:ascii="Arial" w:hAnsi="Arial" w:cs="Arial"/>
        </w:rPr>
        <w:t xml:space="preserve">, </w:t>
      </w:r>
      <w:r w:rsidR="00D447C9">
        <w:rPr>
          <w:rFonts w:ascii="Arial" w:hAnsi="Arial" w:cs="Arial"/>
        </w:rPr>
        <w:t>it was felt that the inherent problem was</w:t>
      </w:r>
      <w:r w:rsidR="003068F6">
        <w:rPr>
          <w:rFonts w:ascii="Arial" w:hAnsi="Arial" w:cs="Arial"/>
        </w:rPr>
        <w:t xml:space="preserve"> inappropriate prescribing</w:t>
      </w:r>
      <w:r w:rsidR="00D447C9">
        <w:rPr>
          <w:rFonts w:ascii="Arial" w:hAnsi="Arial" w:cs="Arial"/>
        </w:rPr>
        <w:t xml:space="preserve"> and it should be reinforced that ‘</w:t>
      </w:r>
      <w:r w:rsidR="000245ED" w:rsidRPr="00E42965">
        <w:rPr>
          <w:rFonts w:ascii="Arial" w:hAnsi="Arial" w:cs="Arial"/>
          <w:iCs/>
          <w:color w:val="000000"/>
        </w:rPr>
        <w:t>medications must be targeted at specific symptoms, have a clinical rationale for the starting dose</w:t>
      </w:r>
      <w:r w:rsidR="00F02E7E" w:rsidRPr="00E42965">
        <w:rPr>
          <w:rFonts w:ascii="Arial" w:hAnsi="Arial" w:cs="Arial"/>
          <w:iCs/>
          <w:color w:val="000000"/>
        </w:rPr>
        <w:t>, be regularly reviewed and adjusted as needed for effect</w:t>
      </w:r>
      <w:r w:rsidR="00D447C9">
        <w:rPr>
          <w:rFonts w:ascii="Arial" w:hAnsi="Arial" w:cs="Arial"/>
          <w:iCs/>
          <w:color w:val="000000"/>
        </w:rPr>
        <w:t>’</w:t>
      </w:r>
      <w:r w:rsidR="00D447C9">
        <w:rPr>
          <w:rFonts w:ascii="Arial" w:hAnsi="Arial" w:cs="Arial"/>
          <w:iCs/>
          <w:color w:val="000000"/>
          <w:vertAlign w:val="superscript"/>
        </w:rPr>
        <w:t>8</w:t>
      </w:r>
      <w:r w:rsidR="003068F6" w:rsidRPr="003068F6">
        <w:rPr>
          <w:rFonts w:ascii="Arial" w:hAnsi="Arial" w:cs="Arial"/>
          <w:iCs/>
          <w:color w:val="000000"/>
        </w:rPr>
        <w:t>.</w:t>
      </w:r>
    </w:p>
    <w:p w14:paraId="4CD57288" w14:textId="77777777" w:rsidR="003068F6" w:rsidRDefault="003068F6" w:rsidP="006C4037">
      <w:pPr>
        <w:spacing w:line="360" w:lineRule="auto"/>
        <w:rPr>
          <w:rFonts w:ascii="Arial" w:hAnsi="Arial" w:cs="Arial"/>
        </w:rPr>
      </w:pPr>
    </w:p>
    <w:p w14:paraId="10EC56DF" w14:textId="77777777" w:rsidR="004919EC" w:rsidRPr="006C4037" w:rsidRDefault="004919EC" w:rsidP="006C4037">
      <w:pPr>
        <w:spacing w:line="360" w:lineRule="auto"/>
        <w:rPr>
          <w:rFonts w:ascii="Arial" w:hAnsi="Arial" w:cs="Arial"/>
        </w:rPr>
      </w:pPr>
    </w:p>
    <w:p w14:paraId="5E604D7A" w14:textId="5CB03CF5" w:rsidR="00B81BCF" w:rsidRPr="006C4037" w:rsidRDefault="003068F6" w:rsidP="00D5754E">
      <w:pPr>
        <w:spacing w:line="360" w:lineRule="auto"/>
        <w:rPr>
          <w:rFonts w:ascii="Arial" w:hAnsi="Arial" w:cs="Arial"/>
        </w:rPr>
      </w:pPr>
      <w:r>
        <w:rPr>
          <w:rFonts w:ascii="Arial" w:hAnsi="Arial" w:cs="Arial"/>
        </w:rPr>
        <w:t>Thus</w:t>
      </w:r>
      <w:r w:rsidR="00E85B78">
        <w:rPr>
          <w:rFonts w:ascii="Arial" w:hAnsi="Arial" w:cs="Arial"/>
        </w:rPr>
        <w:t xml:space="preserve"> </w:t>
      </w:r>
      <w:r>
        <w:rPr>
          <w:rFonts w:ascii="Arial" w:hAnsi="Arial" w:cs="Arial"/>
        </w:rPr>
        <w:t>t</w:t>
      </w:r>
      <w:r w:rsidR="00B81BCF" w:rsidRPr="006C4037">
        <w:rPr>
          <w:rFonts w:ascii="Arial" w:hAnsi="Arial" w:cs="Arial"/>
        </w:rPr>
        <w:t xml:space="preserve">he use of a syringe driver containing </w:t>
      </w:r>
      <w:r w:rsidR="00E510CB" w:rsidRPr="006C4037">
        <w:rPr>
          <w:rFonts w:ascii="Arial" w:hAnsi="Arial" w:cs="Arial"/>
        </w:rPr>
        <w:t>opioids for pain</w:t>
      </w:r>
      <w:r w:rsidR="00BE20FC">
        <w:rPr>
          <w:rFonts w:ascii="Arial" w:hAnsi="Arial" w:cs="Arial"/>
        </w:rPr>
        <w:t xml:space="preserve"> </w:t>
      </w:r>
      <w:r w:rsidR="00D5754E">
        <w:rPr>
          <w:rFonts w:ascii="Arial" w:hAnsi="Arial" w:cs="Arial"/>
        </w:rPr>
        <w:t>or</w:t>
      </w:r>
      <w:r w:rsidR="00BE20FC">
        <w:rPr>
          <w:rFonts w:ascii="Arial" w:hAnsi="Arial" w:cs="Arial"/>
        </w:rPr>
        <w:t xml:space="preserve"> </w:t>
      </w:r>
      <w:r w:rsidR="00E510CB" w:rsidRPr="006C4037">
        <w:rPr>
          <w:rFonts w:ascii="Arial" w:hAnsi="Arial" w:cs="Arial"/>
        </w:rPr>
        <w:t>breathlessness</w:t>
      </w:r>
      <w:r w:rsidR="00496257" w:rsidRPr="006C4037">
        <w:rPr>
          <w:rFonts w:ascii="Arial" w:hAnsi="Arial" w:cs="Arial"/>
        </w:rPr>
        <w:t>,</w:t>
      </w:r>
      <w:r w:rsidR="00E510CB" w:rsidRPr="006C4037">
        <w:rPr>
          <w:rFonts w:ascii="Arial" w:hAnsi="Arial" w:cs="Arial"/>
        </w:rPr>
        <w:t xml:space="preserve"> or drugs for sedation</w:t>
      </w:r>
      <w:r w:rsidR="00496257" w:rsidRPr="006C4037">
        <w:rPr>
          <w:rFonts w:ascii="Arial" w:hAnsi="Arial" w:cs="Arial"/>
        </w:rPr>
        <w:t>,</w:t>
      </w:r>
      <w:r w:rsidR="00B81BCF" w:rsidRPr="006C4037">
        <w:rPr>
          <w:rFonts w:ascii="Arial" w:hAnsi="Arial" w:cs="Arial"/>
        </w:rPr>
        <w:t xml:space="preserve"> requires</w:t>
      </w:r>
      <w:r w:rsidR="00291FA7" w:rsidRPr="006C4037">
        <w:rPr>
          <w:rFonts w:ascii="Arial" w:hAnsi="Arial" w:cs="Arial"/>
        </w:rPr>
        <w:t xml:space="preserve"> open</w:t>
      </w:r>
      <w:r w:rsidR="00E510CB" w:rsidRPr="006C4037">
        <w:rPr>
          <w:rFonts w:ascii="Arial" w:hAnsi="Arial" w:cs="Arial"/>
        </w:rPr>
        <w:t xml:space="preserve"> and sensitive communication </w:t>
      </w:r>
      <w:r w:rsidR="00F558C8">
        <w:rPr>
          <w:rFonts w:ascii="Arial" w:hAnsi="Arial" w:cs="Arial"/>
        </w:rPr>
        <w:t xml:space="preserve">and explanation </w:t>
      </w:r>
      <w:r w:rsidR="00E510CB" w:rsidRPr="006C4037">
        <w:rPr>
          <w:rFonts w:ascii="Arial" w:hAnsi="Arial" w:cs="Arial"/>
        </w:rPr>
        <w:t>with patients and their families</w:t>
      </w:r>
      <w:r w:rsidR="00D5754E">
        <w:rPr>
          <w:rFonts w:ascii="Arial" w:hAnsi="Arial" w:cs="Arial"/>
        </w:rPr>
        <w:t xml:space="preserve"> by the clinical team</w:t>
      </w:r>
      <w:r w:rsidR="00F558C8">
        <w:rPr>
          <w:rFonts w:ascii="Arial" w:hAnsi="Arial" w:cs="Arial"/>
        </w:rPr>
        <w:t>: n</w:t>
      </w:r>
      <w:r w:rsidR="00D5754E">
        <w:rPr>
          <w:rFonts w:ascii="Arial" w:hAnsi="Arial" w:cs="Arial"/>
        </w:rPr>
        <w:t>urses have a particularly important role</w:t>
      </w:r>
      <w:r w:rsidR="001C65C3" w:rsidRPr="006C4037">
        <w:rPr>
          <w:rFonts w:ascii="Arial" w:hAnsi="Arial" w:cs="Arial"/>
        </w:rPr>
        <w:t xml:space="preserve">. </w:t>
      </w:r>
      <w:r w:rsidR="00E510CB" w:rsidRPr="006C4037">
        <w:rPr>
          <w:rFonts w:ascii="Arial" w:hAnsi="Arial" w:cs="Arial"/>
        </w:rPr>
        <w:t xml:space="preserve">When the indications are </w:t>
      </w:r>
      <w:r w:rsidR="00291FA7" w:rsidRPr="006C4037">
        <w:rPr>
          <w:rFonts w:ascii="Arial" w:hAnsi="Arial" w:cs="Arial"/>
        </w:rPr>
        <w:t>clear, with preparation and</w:t>
      </w:r>
      <w:r w:rsidR="00E510CB" w:rsidRPr="006C4037">
        <w:rPr>
          <w:rFonts w:ascii="Arial" w:hAnsi="Arial" w:cs="Arial"/>
        </w:rPr>
        <w:t xml:space="preserve"> discussion, patients and relatives often find the use of a syringe driver reassuring and associate it with an improvement in symptom control</w:t>
      </w:r>
      <w:r w:rsidR="00BE20FC">
        <w:rPr>
          <w:rFonts w:ascii="Arial" w:hAnsi="Arial" w:cs="Arial"/>
        </w:rPr>
        <w:t xml:space="preserve"> </w:t>
      </w:r>
      <w:r w:rsidR="00E510CB" w:rsidRPr="006C4037">
        <w:rPr>
          <w:rStyle w:val="EndnoteReference"/>
          <w:rFonts w:ascii="Arial" w:hAnsi="Arial" w:cs="Arial"/>
        </w:rPr>
        <w:endnoteReference w:id="9"/>
      </w:r>
      <w:r w:rsidR="001C65C3" w:rsidRPr="006C4037">
        <w:rPr>
          <w:rFonts w:ascii="Arial" w:hAnsi="Arial" w:cs="Arial"/>
        </w:rPr>
        <w:t xml:space="preserve">. </w:t>
      </w:r>
      <w:r w:rsidR="005717DA">
        <w:rPr>
          <w:rFonts w:ascii="Arial" w:hAnsi="Arial" w:cs="Arial"/>
        </w:rPr>
        <w:t>Indeed a</w:t>
      </w:r>
      <w:r>
        <w:rPr>
          <w:rFonts w:ascii="Arial" w:hAnsi="Arial" w:cs="Arial"/>
        </w:rPr>
        <w:t xml:space="preserve"> further </w:t>
      </w:r>
      <w:r>
        <w:rPr>
          <w:rFonts w:ascii="Arial" w:hAnsi="Arial" w:cs="Arial"/>
        </w:rPr>
        <w:lastRenderedPageBreak/>
        <w:t>recommendation</w:t>
      </w:r>
      <w:r w:rsidR="00CC43E2">
        <w:rPr>
          <w:rFonts w:ascii="Arial" w:hAnsi="Arial" w:cs="Arial"/>
        </w:rPr>
        <w:t xml:space="preserve"> from the Leadership Alliance was </w:t>
      </w:r>
      <w:r w:rsidR="00E510CB" w:rsidRPr="006C4037">
        <w:rPr>
          <w:rFonts w:ascii="Arial" w:hAnsi="Arial" w:cs="Arial"/>
        </w:rPr>
        <w:t xml:space="preserve">that every effort </w:t>
      </w:r>
      <w:r w:rsidR="00CC43E2">
        <w:rPr>
          <w:rFonts w:ascii="Arial" w:hAnsi="Arial" w:cs="Arial"/>
        </w:rPr>
        <w:t xml:space="preserve">must be </w:t>
      </w:r>
      <w:r w:rsidR="00E510CB" w:rsidRPr="006C4037">
        <w:rPr>
          <w:rFonts w:ascii="Arial" w:hAnsi="Arial" w:cs="Arial"/>
        </w:rPr>
        <w:t xml:space="preserve">made to discuss the use of a syringe driver with patients and carers prior to implementation, and that the rationale for </w:t>
      </w:r>
      <w:r w:rsidR="001C65C3" w:rsidRPr="006C4037">
        <w:rPr>
          <w:rFonts w:ascii="Arial" w:hAnsi="Arial" w:cs="Arial"/>
        </w:rPr>
        <w:t xml:space="preserve">its </w:t>
      </w:r>
      <w:r w:rsidR="00E510CB" w:rsidRPr="006C4037">
        <w:rPr>
          <w:rFonts w:ascii="Arial" w:hAnsi="Arial" w:cs="Arial"/>
        </w:rPr>
        <w:t>use is documented.</w:t>
      </w:r>
    </w:p>
    <w:p w14:paraId="39E0403E" w14:textId="77777777" w:rsidR="00114C17" w:rsidRPr="006C4037" w:rsidRDefault="00114C17" w:rsidP="006C4037">
      <w:pPr>
        <w:spacing w:line="360" w:lineRule="auto"/>
        <w:rPr>
          <w:rFonts w:ascii="Arial" w:hAnsi="Arial" w:cs="Arial"/>
        </w:rPr>
      </w:pPr>
    </w:p>
    <w:p w14:paraId="27228429" w14:textId="77777777" w:rsidR="00D5754E" w:rsidRDefault="00D5754E" w:rsidP="006C4037">
      <w:pPr>
        <w:spacing w:line="360" w:lineRule="auto"/>
        <w:rPr>
          <w:rFonts w:ascii="Arial" w:hAnsi="Arial" w:cs="Arial"/>
          <w:b/>
        </w:rPr>
      </w:pPr>
    </w:p>
    <w:p w14:paraId="1A28FC9F" w14:textId="4D7DEB0F" w:rsidR="00F558C8" w:rsidRPr="00E84B0B" w:rsidRDefault="006F6688" w:rsidP="006C4037">
      <w:pPr>
        <w:spacing w:line="360" w:lineRule="auto"/>
        <w:rPr>
          <w:rFonts w:ascii="Arial" w:hAnsi="Arial" w:cs="Arial"/>
          <w:b/>
          <w:color w:val="FF0000"/>
        </w:rPr>
      </w:pPr>
      <w:r w:rsidRPr="00F558C8">
        <w:rPr>
          <w:rFonts w:ascii="Arial" w:hAnsi="Arial" w:cs="Arial"/>
          <w:b/>
        </w:rPr>
        <w:t>Knowledge and training</w:t>
      </w:r>
    </w:p>
    <w:p w14:paraId="77760D32" w14:textId="07A637E3" w:rsidR="00D5754E" w:rsidRPr="009F18F4" w:rsidRDefault="00F558C8" w:rsidP="006C4037">
      <w:pPr>
        <w:spacing w:line="360" w:lineRule="auto"/>
        <w:rPr>
          <w:rFonts w:ascii="Arial" w:hAnsi="Arial" w:cs="Arial"/>
        </w:rPr>
      </w:pPr>
      <w:r w:rsidRPr="009F18F4">
        <w:rPr>
          <w:rFonts w:ascii="Arial" w:hAnsi="Arial" w:cs="Arial"/>
        </w:rPr>
        <w:t xml:space="preserve">General Practitioners </w:t>
      </w:r>
      <w:r>
        <w:rPr>
          <w:rFonts w:ascii="Arial" w:hAnsi="Arial" w:cs="Arial"/>
        </w:rPr>
        <w:t>(GPs)</w:t>
      </w:r>
      <w:r w:rsidRPr="00F558C8">
        <w:rPr>
          <w:rStyle w:val="FootnoteReference"/>
          <w:rFonts w:ascii="Arial" w:hAnsi="Arial" w:cs="Arial"/>
        </w:rPr>
        <w:t xml:space="preserve"> </w:t>
      </w:r>
      <w:r>
        <w:rPr>
          <w:rFonts w:ascii="Arial" w:hAnsi="Arial" w:cs="Arial"/>
        </w:rPr>
        <w:t xml:space="preserve">, </w:t>
      </w:r>
      <w:r w:rsidRPr="009F18F4">
        <w:rPr>
          <w:rFonts w:ascii="Arial" w:hAnsi="Arial" w:cs="Arial"/>
        </w:rPr>
        <w:t>Community Nurses</w:t>
      </w:r>
      <w:r>
        <w:rPr>
          <w:rFonts w:ascii="Arial" w:hAnsi="Arial" w:cs="Arial"/>
        </w:rPr>
        <w:t xml:space="preserve"> (CNs)</w:t>
      </w:r>
      <w:r w:rsidR="00AC0C43">
        <w:rPr>
          <w:rStyle w:val="EndnoteReference"/>
          <w:rFonts w:ascii="Arial" w:hAnsi="Arial" w:cs="Arial"/>
        </w:rPr>
        <w:endnoteReference w:id="10"/>
      </w:r>
      <w:r w:rsidRPr="009F18F4">
        <w:rPr>
          <w:rFonts w:ascii="Arial" w:hAnsi="Arial" w:cs="Arial"/>
        </w:rPr>
        <w:t xml:space="preserve"> </w:t>
      </w:r>
      <w:r>
        <w:rPr>
          <w:rFonts w:ascii="Arial" w:hAnsi="Arial" w:cs="Arial"/>
        </w:rPr>
        <w:t>and n</w:t>
      </w:r>
      <w:r w:rsidR="00E84B0B">
        <w:rPr>
          <w:rFonts w:ascii="Arial" w:hAnsi="Arial" w:cs="Arial"/>
        </w:rPr>
        <w:t xml:space="preserve">ursing home staff </w:t>
      </w:r>
      <w:r w:rsidR="006F6688" w:rsidRPr="009F18F4">
        <w:rPr>
          <w:rStyle w:val="EndnoteReference"/>
          <w:rFonts w:ascii="Arial" w:hAnsi="Arial" w:cs="Arial"/>
        </w:rPr>
        <w:endnoteReference w:id="11"/>
      </w:r>
      <w:r w:rsidR="00B514C2">
        <w:rPr>
          <w:rFonts w:ascii="Arial" w:hAnsi="Arial" w:cs="Arial"/>
          <w:vertAlign w:val="superscript"/>
        </w:rPr>
        <w:t>,</w:t>
      </w:r>
      <w:r w:rsidR="004B233C">
        <w:rPr>
          <w:rStyle w:val="EndnoteReference"/>
          <w:rFonts w:ascii="Arial" w:hAnsi="Arial" w:cs="Arial"/>
        </w:rPr>
        <w:endnoteReference w:id="12"/>
      </w:r>
      <w:r w:rsidR="00E84B0B">
        <w:rPr>
          <w:rFonts w:ascii="Arial" w:hAnsi="Arial" w:cs="Arial"/>
        </w:rPr>
        <w:t xml:space="preserve"> report </w:t>
      </w:r>
      <w:r w:rsidR="009F18F4" w:rsidRPr="009F18F4">
        <w:rPr>
          <w:rFonts w:ascii="Arial" w:hAnsi="Arial" w:cs="Arial"/>
        </w:rPr>
        <w:t>hav</w:t>
      </w:r>
      <w:r w:rsidR="00E84B0B">
        <w:rPr>
          <w:rFonts w:ascii="Arial" w:hAnsi="Arial" w:cs="Arial"/>
        </w:rPr>
        <w:t>ing</w:t>
      </w:r>
      <w:r w:rsidR="009F18F4" w:rsidRPr="009F18F4">
        <w:rPr>
          <w:rFonts w:ascii="Arial" w:hAnsi="Arial" w:cs="Arial"/>
        </w:rPr>
        <w:t xml:space="preserve"> </w:t>
      </w:r>
      <w:r>
        <w:rPr>
          <w:rFonts w:ascii="Arial" w:hAnsi="Arial" w:cs="Arial"/>
        </w:rPr>
        <w:t xml:space="preserve">had little formal education </w:t>
      </w:r>
      <w:r w:rsidR="00D5754E" w:rsidRPr="009F18F4">
        <w:rPr>
          <w:rFonts w:ascii="Arial" w:hAnsi="Arial" w:cs="Arial"/>
        </w:rPr>
        <w:t xml:space="preserve">in </w:t>
      </w:r>
      <w:r w:rsidR="009F18F4" w:rsidRPr="009F18F4">
        <w:rPr>
          <w:rFonts w:ascii="Arial" w:hAnsi="Arial" w:cs="Arial"/>
        </w:rPr>
        <w:t xml:space="preserve">the use of </w:t>
      </w:r>
      <w:r w:rsidR="00D5754E" w:rsidRPr="009F18F4">
        <w:rPr>
          <w:rFonts w:ascii="Arial" w:hAnsi="Arial" w:cs="Arial"/>
        </w:rPr>
        <w:t>syringe driver</w:t>
      </w:r>
      <w:r w:rsidR="009F18F4" w:rsidRPr="009F18F4">
        <w:rPr>
          <w:rFonts w:ascii="Arial" w:hAnsi="Arial" w:cs="Arial"/>
        </w:rPr>
        <w:t>s</w:t>
      </w:r>
      <w:r w:rsidR="00E85B78">
        <w:rPr>
          <w:rFonts w:ascii="Arial" w:hAnsi="Arial" w:cs="Arial"/>
        </w:rPr>
        <w:t>: t</w:t>
      </w:r>
      <w:r>
        <w:rPr>
          <w:rFonts w:ascii="Arial" w:hAnsi="Arial" w:cs="Arial"/>
        </w:rPr>
        <w:t>hey appear to learn about their use largely from clinical practice</w:t>
      </w:r>
      <w:r w:rsidR="00E85B78">
        <w:rPr>
          <w:rFonts w:ascii="Arial" w:hAnsi="Arial" w:cs="Arial"/>
        </w:rPr>
        <w:t>. T</w:t>
      </w:r>
      <w:r>
        <w:rPr>
          <w:rFonts w:ascii="Arial" w:hAnsi="Arial" w:cs="Arial"/>
        </w:rPr>
        <w:t>he majority of both GPs and CNs</w:t>
      </w:r>
      <w:r w:rsidR="00E84B0B">
        <w:rPr>
          <w:rFonts w:ascii="Arial" w:hAnsi="Arial" w:cs="Arial"/>
        </w:rPr>
        <w:t xml:space="preserve"> have g</w:t>
      </w:r>
      <w:r w:rsidR="009F18F4" w:rsidRPr="009F18F4">
        <w:rPr>
          <w:rFonts w:ascii="Arial" w:hAnsi="Arial" w:cs="Arial"/>
        </w:rPr>
        <w:t xml:space="preserve">ood </w:t>
      </w:r>
      <w:r w:rsidR="00E84B0B">
        <w:rPr>
          <w:rFonts w:ascii="Arial" w:hAnsi="Arial" w:cs="Arial"/>
        </w:rPr>
        <w:t>level</w:t>
      </w:r>
      <w:r>
        <w:rPr>
          <w:rFonts w:ascii="Arial" w:hAnsi="Arial" w:cs="Arial"/>
        </w:rPr>
        <w:t>s</w:t>
      </w:r>
      <w:r w:rsidR="00E84B0B">
        <w:rPr>
          <w:rFonts w:ascii="Arial" w:hAnsi="Arial" w:cs="Arial"/>
        </w:rPr>
        <w:t xml:space="preserve"> of </w:t>
      </w:r>
      <w:r w:rsidR="009F18F4" w:rsidRPr="009F18F4">
        <w:rPr>
          <w:rFonts w:ascii="Arial" w:hAnsi="Arial" w:cs="Arial"/>
        </w:rPr>
        <w:t xml:space="preserve">awareness of the drugs that can be used subcutaneously </w:t>
      </w:r>
      <w:r w:rsidR="00E84B0B">
        <w:rPr>
          <w:rFonts w:ascii="Arial" w:hAnsi="Arial" w:cs="Arial"/>
        </w:rPr>
        <w:t xml:space="preserve">in syringe drivers, and to be able to accurately convert </w:t>
      </w:r>
      <w:r w:rsidR="009F18F4" w:rsidRPr="009F18F4">
        <w:rPr>
          <w:rFonts w:ascii="Arial" w:hAnsi="Arial" w:cs="Arial"/>
        </w:rPr>
        <w:t xml:space="preserve">oral to subcutaneous opioid doses </w:t>
      </w:r>
      <w:r w:rsidR="00B514C2">
        <w:rPr>
          <w:rFonts w:ascii="Arial" w:hAnsi="Arial" w:cs="Arial"/>
          <w:vertAlign w:val="superscript"/>
        </w:rPr>
        <w:t>10</w:t>
      </w:r>
      <w:r w:rsidR="00D5754E" w:rsidRPr="009F18F4">
        <w:rPr>
          <w:rFonts w:ascii="Arial" w:hAnsi="Arial" w:cs="Arial"/>
        </w:rPr>
        <w:t>.</w:t>
      </w:r>
      <w:r w:rsidR="009F18F4" w:rsidRPr="009F18F4">
        <w:rPr>
          <w:rFonts w:ascii="Arial" w:hAnsi="Arial" w:cs="Arial"/>
        </w:rPr>
        <w:t xml:space="preserve"> </w:t>
      </w:r>
      <w:r w:rsidR="00D5754E" w:rsidRPr="009F18F4">
        <w:rPr>
          <w:rFonts w:ascii="Arial" w:hAnsi="Arial" w:cs="Arial"/>
        </w:rPr>
        <w:t xml:space="preserve">GPs use </w:t>
      </w:r>
      <w:r w:rsidR="009F18F4" w:rsidRPr="009F18F4">
        <w:rPr>
          <w:rFonts w:ascii="Arial" w:hAnsi="Arial" w:cs="Arial"/>
        </w:rPr>
        <w:t xml:space="preserve">syringe drivers </w:t>
      </w:r>
      <w:r w:rsidR="00D5754E" w:rsidRPr="009F18F4">
        <w:rPr>
          <w:rFonts w:ascii="Arial" w:hAnsi="Arial" w:cs="Arial"/>
        </w:rPr>
        <w:t xml:space="preserve">less frequently than </w:t>
      </w:r>
      <w:r>
        <w:rPr>
          <w:rFonts w:ascii="Arial" w:hAnsi="Arial" w:cs="Arial"/>
        </w:rPr>
        <w:t>CN</w:t>
      </w:r>
      <w:r w:rsidR="009F18F4" w:rsidRPr="009F18F4">
        <w:rPr>
          <w:rFonts w:ascii="Arial" w:hAnsi="Arial" w:cs="Arial"/>
        </w:rPr>
        <w:t xml:space="preserve">s: </w:t>
      </w:r>
      <w:r w:rsidR="00E84B0B">
        <w:rPr>
          <w:rFonts w:ascii="Arial" w:hAnsi="Arial" w:cs="Arial"/>
        </w:rPr>
        <w:t xml:space="preserve">one study found that </w:t>
      </w:r>
      <w:r w:rsidR="009F18F4" w:rsidRPr="009F18F4">
        <w:rPr>
          <w:rFonts w:ascii="Arial" w:hAnsi="Arial" w:cs="Arial"/>
        </w:rPr>
        <w:t>in the previous year 84% of GPs reported managing five or fewer patients with a SD, whereas 76% of CNs had managed six or more patients</w:t>
      </w:r>
      <w:r w:rsidR="00B514C2">
        <w:rPr>
          <w:rFonts w:ascii="Arial" w:hAnsi="Arial" w:cs="Arial"/>
          <w:vertAlign w:val="superscript"/>
        </w:rPr>
        <w:t>10</w:t>
      </w:r>
      <w:r w:rsidR="009F18F4" w:rsidRPr="009F18F4">
        <w:rPr>
          <w:rFonts w:ascii="Arial" w:hAnsi="Arial" w:cs="Arial"/>
        </w:rPr>
        <w:t>.</w:t>
      </w:r>
      <w:r w:rsidR="00D5754E" w:rsidRPr="009F18F4">
        <w:rPr>
          <w:rFonts w:ascii="Arial" w:hAnsi="Arial" w:cs="Arial"/>
        </w:rPr>
        <w:t xml:space="preserve"> </w:t>
      </w:r>
      <w:r w:rsidR="00B37302">
        <w:rPr>
          <w:rFonts w:ascii="Arial" w:hAnsi="Arial" w:cs="Arial"/>
        </w:rPr>
        <w:t>There are ongoing issues with competency and syringe driver management in care homes</w:t>
      </w:r>
      <w:r w:rsidR="00312139">
        <w:rPr>
          <w:rFonts w:ascii="Arial" w:hAnsi="Arial" w:cs="Arial"/>
        </w:rPr>
        <w:t>.</w:t>
      </w:r>
      <w:r w:rsidR="00B37302">
        <w:rPr>
          <w:rFonts w:ascii="Arial" w:hAnsi="Arial" w:cs="Arial"/>
        </w:rPr>
        <w:t xml:space="preserve"> The level of training amongst care home staff and the frequency of syringe driver use is very variable</w:t>
      </w:r>
      <w:r w:rsidR="00B37302">
        <w:rPr>
          <w:rFonts w:ascii="Arial" w:hAnsi="Arial" w:cs="Arial"/>
          <w:vertAlign w:val="superscript"/>
        </w:rPr>
        <w:t>12</w:t>
      </w:r>
      <w:r w:rsidR="00B37302">
        <w:rPr>
          <w:rFonts w:ascii="Arial" w:hAnsi="Arial" w:cs="Arial"/>
        </w:rPr>
        <w:t>.</w:t>
      </w:r>
      <w:r w:rsidR="00312139">
        <w:rPr>
          <w:rFonts w:ascii="Arial" w:hAnsi="Arial" w:cs="Arial"/>
        </w:rPr>
        <w:t xml:space="preserve"> One study found that</w:t>
      </w:r>
      <w:r w:rsidR="00B37302">
        <w:rPr>
          <w:rFonts w:ascii="Arial" w:hAnsi="Arial" w:cs="Arial"/>
        </w:rPr>
        <w:t xml:space="preserve"> although 73% of care home RGNs stated they were fairly to very confident in setting up a syringe driver, only 38% were able to correctly calculate the delivery rate</w:t>
      </w:r>
      <w:r w:rsidR="00B37302">
        <w:rPr>
          <w:rFonts w:ascii="Arial" w:hAnsi="Arial" w:cs="Arial"/>
          <w:vertAlign w:val="superscript"/>
        </w:rPr>
        <w:t>12</w:t>
      </w:r>
      <w:r w:rsidR="00B37302">
        <w:rPr>
          <w:rFonts w:ascii="Arial" w:hAnsi="Arial" w:cs="Arial"/>
        </w:rPr>
        <w:t>.</w:t>
      </w:r>
    </w:p>
    <w:p w14:paraId="3B2162EB" w14:textId="77777777" w:rsidR="00D5754E" w:rsidRPr="009F18F4" w:rsidRDefault="00D5754E" w:rsidP="006C4037">
      <w:pPr>
        <w:spacing w:line="360" w:lineRule="auto"/>
        <w:rPr>
          <w:rFonts w:ascii="Arial" w:hAnsi="Arial" w:cs="Arial"/>
        </w:rPr>
      </w:pPr>
    </w:p>
    <w:p w14:paraId="093968BD" w14:textId="6B51EAA5" w:rsidR="00D801FF" w:rsidRPr="00BE20FC" w:rsidRDefault="006F6688" w:rsidP="006C4037">
      <w:pPr>
        <w:spacing w:line="360" w:lineRule="auto"/>
        <w:rPr>
          <w:rFonts w:ascii="Arial" w:hAnsi="Arial" w:cs="Arial"/>
          <w:b/>
        </w:rPr>
      </w:pPr>
      <w:r w:rsidRPr="00BE20FC">
        <w:rPr>
          <w:rFonts w:ascii="Arial" w:hAnsi="Arial" w:cs="Arial"/>
          <w:b/>
        </w:rPr>
        <w:t>Infusion devices</w:t>
      </w:r>
      <w:r w:rsidR="00B37302">
        <w:rPr>
          <w:rFonts w:ascii="Arial" w:hAnsi="Arial" w:cs="Arial"/>
          <w:b/>
        </w:rPr>
        <w:t xml:space="preserve"> and safety</w:t>
      </w:r>
    </w:p>
    <w:p w14:paraId="461323C6" w14:textId="63E3BB7C" w:rsidR="00F20CD3" w:rsidRPr="006C4037" w:rsidRDefault="00B37302" w:rsidP="006C4037">
      <w:pPr>
        <w:spacing w:line="360" w:lineRule="auto"/>
        <w:rPr>
          <w:rFonts w:ascii="Arial" w:hAnsi="Arial" w:cs="Arial"/>
        </w:rPr>
      </w:pPr>
      <w:r>
        <w:rPr>
          <w:rFonts w:ascii="Arial" w:hAnsi="Arial" w:cs="Arial"/>
        </w:rPr>
        <w:t>Sy</w:t>
      </w:r>
      <w:r w:rsidR="00A12793">
        <w:rPr>
          <w:rFonts w:ascii="Arial" w:hAnsi="Arial" w:cs="Arial"/>
        </w:rPr>
        <w:t>ringe drivers are often used to infuse opioid medication</w:t>
      </w:r>
      <w:r>
        <w:rPr>
          <w:rFonts w:ascii="Arial" w:hAnsi="Arial" w:cs="Arial"/>
        </w:rPr>
        <w:t>, which if given in overdose can be lethal. T</w:t>
      </w:r>
      <w:r w:rsidR="006F6688" w:rsidRPr="006C4037">
        <w:rPr>
          <w:rFonts w:ascii="Arial" w:hAnsi="Arial" w:cs="Arial"/>
        </w:rPr>
        <w:t xml:space="preserve">here is </w:t>
      </w:r>
      <w:r>
        <w:rPr>
          <w:rFonts w:ascii="Arial" w:hAnsi="Arial" w:cs="Arial"/>
        </w:rPr>
        <w:t xml:space="preserve">therefore </w:t>
      </w:r>
      <w:r w:rsidR="006F6688" w:rsidRPr="006C4037">
        <w:rPr>
          <w:rFonts w:ascii="Arial" w:hAnsi="Arial" w:cs="Arial"/>
        </w:rPr>
        <w:t>the potential for serious harm if not used correctly or if the device malfunctions. The potential for errors with calibration and rate setting have been reduced by the phasing out of older devices such as the Gras</w:t>
      </w:r>
      <w:r w:rsidR="00F20CD3" w:rsidRPr="006C4037">
        <w:rPr>
          <w:rFonts w:ascii="Arial" w:hAnsi="Arial" w:cs="Arial"/>
        </w:rPr>
        <w:t>e</w:t>
      </w:r>
      <w:r w:rsidR="006F6688" w:rsidRPr="006C4037">
        <w:rPr>
          <w:rFonts w:ascii="Arial" w:hAnsi="Arial" w:cs="Arial"/>
        </w:rPr>
        <w:t>by</w:t>
      </w:r>
      <w:r w:rsidR="00F20CD3" w:rsidRPr="006C4037">
        <w:rPr>
          <w:rFonts w:ascii="Arial" w:hAnsi="Arial" w:cs="Arial"/>
        </w:rPr>
        <w:t xml:space="preserve"> MS16A and MS26</w:t>
      </w:r>
      <w:r w:rsidR="00937EB9" w:rsidRPr="006C4037">
        <w:rPr>
          <w:rFonts w:ascii="Arial" w:hAnsi="Arial" w:cs="Arial"/>
        </w:rPr>
        <w:t>,</w:t>
      </w:r>
      <w:r w:rsidR="00F20CD3" w:rsidRPr="006C4037">
        <w:rPr>
          <w:rFonts w:ascii="Arial" w:hAnsi="Arial" w:cs="Arial"/>
        </w:rPr>
        <w:t xml:space="preserve"> where the need to calculate infusion rates in mm/hour or mm/24 hours was inherently confusing and led to serious incidents</w:t>
      </w:r>
      <w:r w:rsidR="00BE20FC">
        <w:rPr>
          <w:rFonts w:ascii="Arial" w:hAnsi="Arial" w:cs="Arial"/>
        </w:rPr>
        <w:t xml:space="preserve"> </w:t>
      </w:r>
      <w:r w:rsidR="003124EE" w:rsidRPr="006C4037">
        <w:rPr>
          <w:rStyle w:val="EndnoteReference"/>
          <w:rFonts w:ascii="Arial" w:hAnsi="Arial" w:cs="Arial"/>
        </w:rPr>
        <w:endnoteReference w:id="13"/>
      </w:r>
      <w:r w:rsidR="00F20CD3" w:rsidRPr="006C4037">
        <w:rPr>
          <w:rFonts w:ascii="Arial" w:hAnsi="Arial" w:cs="Arial"/>
        </w:rPr>
        <w:t xml:space="preserve">. More modern pumps such as the </w:t>
      </w:r>
      <w:r w:rsidR="006E0207">
        <w:rPr>
          <w:rFonts w:ascii="Arial" w:hAnsi="Arial" w:cs="Arial"/>
        </w:rPr>
        <w:t xml:space="preserve">CME Medical </w:t>
      </w:r>
      <w:r w:rsidR="00F20CD3" w:rsidRPr="006C4037">
        <w:rPr>
          <w:rFonts w:ascii="Arial" w:hAnsi="Arial" w:cs="Arial"/>
        </w:rPr>
        <w:t>T34</w:t>
      </w:r>
      <w:r w:rsidR="006E0207">
        <w:rPr>
          <w:rFonts w:ascii="Arial" w:hAnsi="Arial" w:cs="Arial"/>
        </w:rPr>
        <w:t xml:space="preserve"> ambulatory syringe pump</w:t>
      </w:r>
      <w:r w:rsidR="00E85B78">
        <w:rPr>
          <w:rFonts w:ascii="Arial" w:hAnsi="Arial" w:cs="Arial"/>
        </w:rPr>
        <w:t xml:space="preserve"> (</w:t>
      </w:r>
      <w:r w:rsidR="006E0207">
        <w:rPr>
          <w:rFonts w:ascii="Arial" w:hAnsi="Arial" w:cs="Arial"/>
        </w:rPr>
        <w:t>previously known as the T34 Mc</w:t>
      </w:r>
      <w:r w:rsidR="00E85B78">
        <w:rPr>
          <w:rFonts w:ascii="Arial" w:hAnsi="Arial" w:cs="Arial"/>
        </w:rPr>
        <w:t>K</w:t>
      </w:r>
      <w:r w:rsidR="006E0207">
        <w:rPr>
          <w:rFonts w:ascii="Arial" w:hAnsi="Arial" w:cs="Arial"/>
        </w:rPr>
        <w:t>inley</w:t>
      </w:r>
      <w:r w:rsidR="00E85B78">
        <w:rPr>
          <w:rFonts w:ascii="Arial" w:hAnsi="Arial" w:cs="Arial"/>
        </w:rPr>
        <w:t xml:space="preserve"> in the </w:t>
      </w:r>
      <w:r w:rsidR="006E0207">
        <w:rPr>
          <w:rFonts w:ascii="Arial" w:hAnsi="Arial" w:cs="Arial"/>
        </w:rPr>
        <w:t>UK</w:t>
      </w:r>
      <w:r w:rsidR="00E85B78">
        <w:rPr>
          <w:rFonts w:ascii="Arial" w:hAnsi="Arial" w:cs="Arial"/>
        </w:rPr>
        <w:t xml:space="preserve"> and </w:t>
      </w:r>
      <w:r w:rsidR="00A12793">
        <w:rPr>
          <w:rFonts w:ascii="Arial" w:hAnsi="Arial" w:cs="Arial"/>
        </w:rPr>
        <w:t>the NIKKI T34 in Australia and New Zealand</w:t>
      </w:r>
      <w:r w:rsidR="00E85B78">
        <w:rPr>
          <w:rFonts w:ascii="Arial" w:hAnsi="Arial" w:cs="Arial"/>
        </w:rPr>
        <w:t>)</w:t>
      </w:r>
      <w:r w:rsidR="00F20CD3" w:rsidRPr="006C4037">
        <w:rPr>
          <w:rFonts w:ascii="Arial" w:hAnsi="Arial" w:cs="Arial"/>
        </w:rPr>
        <w:t xml:space="preserve"> are now routinely used</w:t>
      </w:r>
      <w:r w:rsidR="00F558C8">
        <w:rPr>
          <w:rFonts w:ascii="Arial" w:hAnsi="Arial" w:cs="Arial"/>
        </w:rPr>
        <w:t xml:space="preserve">, with </w:t>
      </w:r>
      <w:r w:rsidR="00F20CD3" w:rsidRPr="006C4037">
        <w:rPr>
          <w:rFonts w:ascii="Arial" w:hAnsi="Arial" w:cs="Arial"/>
        </w:rPr>
        <w:t xml:space="preserve">safety features </w:t>
      </w:r>
      <w:r w:rsidR="00F558C8">
        <w:rPr>
          <w:rFonts w:ascii="Arial" w:hAnsi="Arial" w:cs="Arial"/>
        </w:rPr>
        <w:t>that include:</w:t>
      </w:r>
      <w:r w:rsidR="00F20CD3" w:rsidRPr="006C4037">
        <w:rPr>
          <w:rFonts w:ascii="Arial" w:hAnsi="Arial" w:cs="Arial"/>
        </w:rPr>
        <w:t xml:space="preserve"> </w:t>
      </w:r>
    </w:p>
    <w:p w14:paraId="0CDEF2BE" w14:textId="53E94A4A" w:rsidR="00F20CD3" w:rsidRPr="006C4037" w:rsidRDefault="00F20CD3" w:rsidP="006C4037">
      <w:pPr>
        <w:pStyle w:val="ListParagraph"/>
        <w:numPr>
          <w:ilvl w:val="0"/>
          <w:numId w:val="1"/>
        </w:numPr>
        <w:spacing w:line="360" w:lineRule="auto"/>
        <w:rPr>
          <w:rFonts w:ascii="Arial" w:hAnsi="Arial" w:cs="Arial"/>
        </w:rPr>
      </w:pPr>
      <w:r w:rsidRPr="006C4037">
        <w:rPr>
          <w:rFonts w:ascii="Arial" w:hAnsi="Arial" w:cs="Arial"/>
        </w:rPr>
        <w:t>rate settings in</w:t>
      </w:r>
      <w:r w:rsidRPr="006C4037">
        <w:rPr>
          <w:rFonts w:ascii="Arial" w:hAnsi="Arial" w:cs="Arial"/>
          <w:i/>
        </w:rPr>
        <w:t xml:space="preserve"> millilitres</w:t>
      </w:r>
      <w:r w:rsidRPr="006C4037">
        <w:rPr>
          <w:rFonts w:ascii="Arial" w:hAnsi="Arial" w:cs="Arial"/>
        </w:rPr>
        <w:t xml:space="preserve"> per hour, in</w:t>
      </w:r>
      <w:r w:rsidR="00BE20FC">
        <w:rPr>
          <w:rFonts w:ascii="Arial" w:hAnsi="Arial" w:cs="Arial"/>
        </w:rPr>
        <w:t xml:space="preserve"> line with other infusion pumps</w:t>
      </w:r>
      <w:r w:rsidRPr="006C4037">
        <w:rPr>
          <w:rFonts w:ascii="Arial" w:hAnsi="Arial" w:cs="Arial"/>
        </w:rPr>
        <w:t xml:space="preserve"> </w:t>
      </w:r>
    </w:p>
    <w:p w14:paraId="5A527BA4" w14:textId="318F064E" w:rsidR="00F20CD3" w:rsidRPr="006C4037" w:rsidRDefault="00F20CD3" w:rsidP="006C4037">
      <w:pPr>
        <w:pStyle w:val="ListParagraph"/>
        <w:numPr>
          <w:ilvl w:val="0"/>
          <w:numId w:val="1"/>
        </w:numPr>
        <w:spacing w:line="360" w:lineRule="auto"/>
        <w:rPr>
          <w:rFonts w:ascii="Arial" w:hAnsi="Arial" w:cs="Arial"/>
        </w:rPr>
      </w:pPr>
      <w:r w:rsidRPr="006C4037">
        <w:rPr>
          <w:rFonts w:ascii="Arial" w:hAnsi="Arial" w:cs="Arial"/>
        </w:rPr>
        <w:t>lock-box covers</w:t>
      </w:r>
      <w:r w:rsidR="00BE20FC">
        <w:rPr>
          <w:rFonts w:ascii="Arial" w:hAnsi="Arial" w:cs="Arial"/>
        </w:rPr>
        <w:t xml:space="preserve"> with</w:t>
      </w:r>
      <w:r w:rsidR="00B70141" w:rsidRPr="006C4037">
        <w:rPr>
          <w:rFonts w:ascii="Arial" w:hAnsi="Arial" w:cs="Arial"/>
        </w:rPr>
        <w:t xml:space="preserve"> key pad lock</w:t>
      </w:r>
      <w:r w:rsidR="00496257" w:rsidRPr="006C4037">
        <w:rPr>
          <w:rFonts w:ascii="Arial" w:hAnsi="Arial" w:cs="Arial"/>
        </w:rPr>
        <w:t>s</w:t>
      </w:r>
    </w:p>
    <w:p w14:paraId="1C38523E" w14:textId="102B1F6E" w:rsidR="00F20CD3" w:rsidRPr="006C4037" w:rsidRDefault="00F20CD3" w:rsidP="006C4037">
      <w:pPr>
        <w:pStyle w:val="ListParagraph"/>
        <w:numPr>
          <w:ilvl w:val="0"/>
          <w:numId w:val="1"/>
        </w:numPr>
        <w:spacing w:line="360" w:lineRule="auto"/>
        <w:rPr>
          <w:rFonts w:ascii="Arial" w:hAnsi="Arial" w:cs="Arial"/>
        </w:rPr>
      </w:pPr>
      <w:r w:rsidRPr="006C4037">
        <w:rPr>
          <w:rFonts w:ascii="Arial" w:hAnsi="Arial" w:cs="Arial"/>
        </w:rPr>
        <w:t>an alarm if the syringe is</w:t>
      </w:r>
      <w:r w:rsidR="00BE20FC">
        <w:rPr>
          <w:rFonts w:ascii="Arial" w:hAnsi="Arial" w:cs="Arial"/>
        </w:rPr>
        <w:t xml:space="preserve"> removed or not fitted properly</w:t>
      </w:r>
      <w:r w:rsidRPr="006C4037">
        <w:rPr>
          <w:rFonts w:ascii="Arial" w:hAnsi="Arial" w:cs="Arial"/>
        </w:rPr>
        <w:t xml:space="preserve"> </w:t>
      </w:r>
    </w:p>
    <w:p w14:paraId="1F1CA3FD" w14:textId="49AD3499" w:rsidR="00F20CD3" w:rsidRPr="006C4037" w:rsidRDefault="00F20CD3" w:rsidP="006C4037">
      <w:pPr>
        <w:pStyle w:val="ListParagraph"/>
        <w:numPr>
          <w:ilvl w:val="0"/>
          <w:numId w:val="1"/>
        </w:numPr>
        <w:spacing w:line="360" w:lineRule="auto"/>
        <w:rPr>
          <w:rFonts w:ascii="Arial" w:hAnsi="Arial" w:cs="Arial"/>
        </w:rPr>
      </w:pPr>
      <w:r w:rsidRPr="006C4037">
        <w:rPr>
          <w:rFonts w:ascii="Arial" w:hAnsi="Arial" w:cs="Arial"/>
        </w:rPr>
        <w:t>the ability to detect the size of syringe and ca</w:t>
      </w:r>
      <w:r w:rsidR="00BE20FC">
        <w:rPr>
          <w:rFonts w:ascii="Arial" w:hAnsi="Arial" w:cs="Arial"/>
        </w:rPr>
        <w:t>librate the rate automatically</w:t>
      </w:r>
    </w:p>
    <w:p w14:paraId="16A600A2" w14:textId="28CBE060" w:rsidR="006F6688" w:rsidRPr="006C4037" w:rsidRDefault="00F20CD3" w:rsidP="006C4037">
      <w:pPr>
        <w:pStyle w:val="ListParagraph"/>
        <w:numPr>
          <w:ilvl w:val="0"/>
          <w:numId w:val="1"/>
        </w:numPr>
        <w:spacing w:line="360" w:lineRule="auto"/>
        <w:rPr>
          <w:rFonts w:ascii="Arial" w:hAnsi="Arial" w:cs="Arial"/>
        </w:rPr>
      </w:pPr>
      <w:r w:rsidRPr="006C4037">
        <w:rPr>
          <w:rFonts w:ascii="Arial" w:hAnsi="Arial" w:cs="Arial"/>
        </w:rPr>
        <w:t xml:space="preserve">an internal memory log to record infusion device events. </w:t>
      </w:r>
    </w:p>
    <w:p w14:paraId="071D1E3C" w14:textId="77777777" w:rsidR="00E85B78" w:rsidRDefault="00833C09" w:rsidP="006C4037">
      <w:pPr>
        <w:spacing w:line="360" w:lineRule="auto"/>
        <w:rPr>
          <w:rFonts w:ascii="Arial" w:hAnsi="Arial" w:cs="Arial"/>
        </w:rPr>
      </w:pPr>
      <w:r w:rsidRPr="006C4037">
        <w:rPr>
          <w:rFonts w:ascii="Arial" w:hAnsi="Arial" w:cs="Arial"/>
        </w:rPr>
        <w:t xml:space="preserve">These safety features address </w:t>
      </w:r>
      <w:r w:rsidR="00F558C8">
        <w:rPr>
          <w:rFonts w:ascii="Arial" w:hAnsi="Arial" w:cs="Arial"/>
        </w:rPr>
        <w:t xml:space="preserve">most of the causes </w:t>
      </w:r>
      <w:r w:rsidRPr="006C4037">
        <w:rPr>
          <w:rFonts w:ascii="Arial" w:hAnsi="Arial" w:cs="Arial"/>
        </w:rPr>
        <w:t>of the serious incidents identified by the UK National Patient Safety Agency</w:t>
      </w:r>
      <w:r w:rsidR="00FD1602" w:rsidRPr="006C4037">
        <w:rPr>
          <w:rFonts w:ascii="Arial" w:hAnsi="Arial" w:cs="Arial"/>
        </w:rPr>
        <w:t xml:space="preserve"> (NPSA)</w:t>
      </w:r>
      <w:r w:rsidR="00BE20FC">
        <w:rPr>
          <w:rFonts w:ascii="Arial" w:hAnsi="Arial" w:cs="Arial"/>
        </w:rPr>
        <w:t xml:space="preserve">: </w:t>
      </w:r>
      <w:r w:rsidRPr="006C4037">
        <w:rPr>
          <w:rFonts w:ascii="Arial" w:hAnsi="Arial" w:cs="Arial"/>
        </w:rPr>
        <w:t xml:space="preserve">incorrect rate settings, confusion between mm/hour and mm/24hours, </w:t>
      </w:r>
      <w:r w:rsidR="00B70141" w:rsidRPr="006C4037">
        <w:rPr>
          <w:rFonts w:ascii="Arial" w:hAnsi="Arial" w:cs="Arial"/>
        </w:rPr>
        <w:t>syringe</w:t>
      </w:r>
      <w:r w:rsidR="00496257" w:rsidRPr="006C4037">
        <w:rPr>
          <w:rFonts w:ascii="Arial" w:hAnsi="Arial" w:cs="Arial"/>
        </w:rPr>
        <w:t>s</w:t>
      </w:r>
      <w:r w:rsidR="00B70141" w:rsidRPr="006C4037">
        <w:rPr>
          <w:rFonts w:ascii="Arial" w:hAnsi="Arial" w:cs="Arial"/>
        </w:rPr>
        <w:t xml:space="preserve"> incorrectly inserted or dislodged, confusion between mm and mls, incorrect setup and tampering by patient</w:t>
      </w:r>
      <w:r w:rsidR="00496257" w:rsidRPr="006C4037">
        <w:rPr>
          <w:rFonts w:ascii="Arial" w:hAnsi="Arial" w:cs="Arial"/>
        </w:rPr>
        <w:t>s</w:t>
      </w:r>
      <w:r w:rsidR="00B70141" w:rsidRPr="006C4037">
        <w:rPr>
          <w:rFonts w:ascii="Arial" w:hAnsi="Arial" w:cs="Arial"/>
        </w:rPr>
        <w:t>.</w:t>
      </w:r>
    </w:p>
    <w:p w14:paraId="2D8FF878" w14:textId="031D92DB" w:rsidR="00A12793" w:rsidRDefault="0011467E" w:rsidP="006C4037">
      <w:pPr>
        <w:spacing w:line="360" w:lineRule="auto"/>
        <w:rPr>
          <w:rFonts w:ascii="Arial" w:hAnsi="Arial" w:cs="Arial"/>
        </w:rPr>
      </w:pPr>
      <w:r>
        <w:rPr>
          <w:rFonts w:ascii="Arial" w:hAnsi="Arial" w:cs="Arial"/>
        </w:rPr>
        <w:t xml:space="preserve"> </w:t>
      </w:r>
    </w:p>
    <w:p w14:paraId="411A44E0" w14:textId="329C7E1B" w:rsidR="00BB7464" w:rsidRPr="006C4037" w:rsidRDefault="00A12793" w:rsidP="006C4037">
      <w:pPr>
        <w:spacing w:line="360" w:lineRule="auto"/>
        <w:rPr>
          <w:rFonts w:ascii="Arial" w:hAnsi="Arial" w:cs="Arial"/>
        </w:rPr>
      </w:pPr>
      <w:r>
        <w:rPr>
          <w:rFonts w:ascii="Arial" w:hAnsi="Arial" w:cs="Arial"/>
        </w:rPr>
        <w:lastRenderedPageBreak/>
        <w:t>T</w:t>
      </w:r>
      <w:r w:rsidR="00C1315C">
        <w:rPr>
          <w:rFonts w:ascii="Arial" w:hAnsi="Arial" w:cs="Arial"/>
        </w:rPr>
        <w:t xml:space="preserve">he consequence of a wholesale switch to new pumps should also be considered: the </w:t>
      </w:r>
      <w:r w:rsidR="006E0207">
        <w:rPr>
          <w:rFonts w:ascii="Arial" w:hAnsi="Arial" w:cs="Arial"/>
        </w:rPr>
        <w:t>additional training</w:t>
      </w:r>
      <w:r w:rsidR="002751AD">
        <w:rPr>
          <w:rStyle w:val="EndnoteReference"/>
          <w:rFonts w:ascii="Arial" w:hAnsi="Arial" w:cs="Arial"/>
        </w:rPr>
        <w:endnoteReference w:id="14"/>
      </w:r>
      <w:r w:rsidR="00C1315C">
        <w:rPr>
          <w:rFonts w:ascii="Arial" w:hAnsi="Arial" w:cs="Arial"/>
        </w:rPr>
        <w:t xml:space="preserve">, </w:t>
      </w:r>
      <w:r w:rsidR="006E0207">
        <w:rPr>
          <w:rFonts w:ascii="Arial" w:hAnsi="Arial" w:cs="Arial"/>
        </w:rPr>
        <w:t>the cost of purchasing new pumps</w:t>
      </w:r>
      <w:r w:rsidR="00C1315C">
        <w:rPr>
          <w:rFonts w:ascii="Arial" w:hAnsi="Arial" w:cs="Arial"/>
        </w:rPr>
        <w:t xml:space="preserve"> and unforeseen consequences such as increased frequency of occlusion alarms related to kinking of plastic cannulae which was reported by one service</w:t>
      </w:r>
      <w:r w:rsidR="00C1315C">
        <w:rPr>
          <w:rStyle w:val="EndnoteReference"/>
          <w:rFonts w:ascii="Arial" w:hAnsi="Arial" w:cs="Arial"/>
        </w:rPr>
        <w:endnoteReference w:id="15"/>
      </w:r>
      <w:r w:rsidR="00403B7A">
        <w:rPr>
          <w:rFonts w:ascii="Arial" w:hAnsi="Arial" w:cs="Arial"/>
        </w:rPr>
        <w:t>. Ther</w:t>
      </w:r>
      <w:r w:rsidR="004D0557">
        <w:rPr>
          <w:rFonts w:ascii="Arial" w:hAnsi="Arial" w:cs="Arial"/>
        </w:rPr>
        <w:t>e are options for configuration which should be consistent across acute and community settings, for example using the</w:t>
      </w:r>
      <w:r w:rsidR="00403B7A">
        <w:rPr>
          <w:rFonts w:ascii="Arial" w:hAnsi="Arial" w:cs="Arial"/>
        </w:rPr>
        <w:t xml:space="preserve"> ‘lock on’ </w:t>
      </w:r>
      <w:r w:rsidR="004D0557">
        <w:rPr>
          <w:rFonts w:ascii="Arial" w:hAnsi="Arial" w:cs="Arial"/>
        </w:rPr>
        <w:t xml:space="preserve">mode </w:t>
      </w:r>
      <w:r w:rsidR="00403B7A">
        <w:rPr>
          <w:rFonts w:ascii="Arial" w:hAnsi="Arial" w:cs="Arial"/>
        </w:rPr>
        <w:t>to ensure a fixed delivery rate</w:t>
      </w:r>
      <w:r w:rsidR="004D0557">
        <w:rPr>
          <w:rFonts w:ascii="Arial" w:hAnsi="Arial" w:cs="Arial"/>
        </w:rPr>
        <w:t xml:space="preserve">. This requires coordination between services, and does not necessarily cover organisations such as private nursing homes. </w:t>
      </w:r>
      <w:r w:rsidR="00B266C5" w:rsidRPr="006C4037">
        <w:rPr>
          <w:rFonts w:ascii="Arial" w:hAnsi="Arial" w:cs="Arial"/>
        </w:rPr>
        <w:t xml:space="preserve">Whether the switch to these more modern pumps has led to a national reduction in serious incidents in the UK </w:t>
      </w:r>
      <w:r w:rsidR="00E85B78">
        <w:rPr>
          <w:rFonts w:ascii="Arial" w:hAnsi="Arial" w:cs="Arial"/>
        </w:rPr>
        <w:t>is as yet unknown</w:t>
      </w:r>
      <w:r w:rsidR="00B266C5" w:rsidRPr="006C4037">
        <w:rPr>
          <w:rFonts w:ascii="Arial" w:hAnsi="Arial" w:cs="Arial"/>
        </w:rPr>
        <w:t xml:space="preserve">. </w:t>
      </w:r>
    </w:p>
    <w:p w14:paraId="3CDEE441" w14:textId="77777777" w:rsidR="007A555D" w:rsidRPr="006C4037" w:rsidRDefault="007A555D" w:rsidP="006C4037">
      <w:pPr>
        <w:spacing w:line="360" w:lineRule="auto"/>
        <w:rPr>
          <w:rFonts w:ascii="Arial" w:hAnsi="Arial" w:cs="Arial"/>
        </w:rPr>
      </w:pPr>
    </w:p>
    <w:p w14:paraId="06EB9B8C" w14:textId="17BAFCAA" w:rsidR="00B2128E" w:rsidRPr="00BE20FC" w:rsidRDefault="00B2128E" w:rsidP="006C4037">
      <w:pPr>
        <w:spacing w:line="360" w:lineRule="auto"/>
        <w:rPr>
          <w:rFonts w:ascii="Arial" w:hAnsi="Arial" w:cs="Arial"/>
          <w:b/>
        </w:rPr>
      </w:pPr>
      <w:r w:rsidRPr="00BE20FC">
        <w:rPr>
          <w:rFonts w:ascii="Arial" w:hAnsi="Arial" w:cs="Arial"/>
          <w:b/>
        </w:rPr>
        <w:t>Efficacy of drug combinations in subcutaneous infusions</w:t>
      </w:r>
    </w:p>
    <w:p w14:paraId="6C78FD19" w14:textId="05BF1513" w:rsidR="00496257" w:rsidRPr="006C4037" w:rsidRDefault="000E093C" w:rsidP="006C4037">
      <w:pPr>
        <w:spacing w:line="360" w:lineRule="auto"/>
        <w:rPr>
          <w:rFonts w:ascii="Arial" w:hAnsi="Arial" w:cs="Arial"/>
        </w:rPr>
      </w:pPr>
      <w:r w:rsidRPr="006C4037">
        <w:rPr>
          <w:rFonts w:ascii="Arial" w:hAnsi="Arial" w:cs="Arial"/>
        </w:rPr>
        <w:t>It is standard practice</w:t>
      </w:r>
      <w:r w:rsidR="00496257" w:rsidRPr="006C4037">
        <w:rPr>
          <w:rFonts w:ascii="Arial" w:hAnsi="Arial" w:cs="Arial"/>
        </w:rPr>
        <w:t>,</w:t>
      </w:r>
      <w:r w:rsidRPr="006C4037">
        <w:rPr>
          <w:rFonts w:ascii="Arial" w:hAnsi="Arial" w:cs="Arial"/>
        </w:rPr>
        <w:t xml:space="preserve"> and one of th</w:t>
      </w:r>
      <w:r w:rsidR="00F969AB" w:rsidRPr="006C4037">
        <w:rPr>
          <w:rFonts w:ascii="Arial" w:hAnsi="Arial" w:cs="Arial"/>
        </w:rPr>
        <w:t>e</w:t>
      </w:r>
      <w:r w:rsidRPr="006C4037">
        <w:rPr>
          <w:rFonts w:ascii="Arial" w:hAnsi="Arial" w:cs="Arial"/>
        </w:rPr>
        <w:t xml:space="preserve"> advantages of syringe drivers</w:t>
      </w:r>
      <w:r w:rsidR="00496257" w:rsidRPr="006C4037">
        <w:rPr>
          <w:rFonts w:ascii="Arial" w:hAnsi="Arial" w:cs="Arial"/>
        </w:rPr>
        <w:t>,</w:t>
      </w:r>
      <w:r w:rsidRPr="006C4037">
        <w:rPr>
          <w:rFonts w:ascii="Arial" w:hAnsi="Arial" w:cs="Arial"/>
        </w:rPr>
        <w:t xml:space="preserve"> that two or more drugs (occasionally up to 4 drugs) can be mixed t</w:t>
      </w:r>
      <w:r w:rsidR="00F969AB" w:rsidRPr="006C4037">
        <w:rPr>
          <w:rFonts w:ascii="Arial" w:hAnsi="Arial" w:cs="Arial"/>
        </w:rPr>
        <w:t xml:space="preserve">ogether and infused. </w:t>
      </w:r>
      <w:r w:rsidR="00BE20FC">
        <w:rPr>
          <w:rFonts w:ascii="Arial" w:hAnsi="Arial" w:cs="Arial"/>
        </w:rPr>
        <w:t>O</w:t>
      </w:r>
      <w:r w:rsidR="00F969AB" w:rsidRPr="006C4037">
        <w:rPr>
          <w:rFonts w:ascii="Arial" w:hAnsi="Arial" w:cs="Arial"/>
        </w:rPr>
        <w:t xml:space="preserve">ur </w:t>
      </w:r>
      <w:r w:rsidRPr="006C4037">
        <w:rPr>
          <w:rFonts w:ascii="Arial" w:hAnsi="Arial" w:cs="Arial"/>
        </w:rPr>
        <w:t xml:space="preserve">knowledge of </w:t>
      </w:r>
      <w:r w:rsidR="00F969AB" w:rsidRPr="006C4037">
        <w:rPr>
          <w:rFonts w:ascii="Arial" w:hAnsi="Arial" w:cs="Arial"/>
        </w:rPr>
        <w:t>the compatibility of different drug combinations is increasing</w:t>
      </w:r>
      <w:r w:rsidR="00E20415">
        <w:rPr>
          <w:rFonts w:ascii="Arial" w:hAnsi="Arial" w:cs="Arial"/>
        </w:rPr>
        <w:t xml:space="preserve">, with </w:t>
      </w:r>
      <w:r w:rsidR="00496257" w:rsidRPr="006C4037">
        <w:rPr>
          <w:rFonts w:ascii="Arial" w:hAnsi="Arial" w:cs="Arial"/>
        </w:rPr>
        <w:t>online tools such as</w:t>
      </w:r>
      <w:r w:rsidR="00FD1602" w:rsidRPr="006C4037">
        <w:rPr>
          <w:rFonts w:ascii="Arial" w:hAnsi="Arial" w:cs="Arial"/>
        </w:rPr>
        <w:t xml:space="preserve"> the Syringe Driver Survey D</w:t>
      </w:r>
      <w:r w:rsidR="00F969AB" w:rsidRPr="006C4037">
        <w:rPr>
          <w:rFonts w:ascii="Arial" w:hAnsi="Arial" w:cs="Arial"/>
        </w:rPr>
        <w:t>atabase</w:t>
      </w:r>
      <w:r w:rsidR="00E20415">
        <w:rPr>
          <w:rFonts w:ascii="Arial" w:hAnsi="Arial" w:cs="Arial"/>
        </w:rPr>
        <w:t xml:space="preserve"> </w:t>
      </w:r>
      <w:r w:rsidR="007062E8" w:rsidRPr="006C4037">
        <w:rPr>
          <w:rStyle w:val="EndnoteReference"/>
          <w:rFonts w:ascii="Arial" w:hAnsi="Arial" w:cs="Arial"/>
        </w:rPr>
        <w:endnoteReference w:id="16"/>
      </w:r>
      <w:r w:rsidR="0011467E">
        <w:rPr>
          <w:rFonts w:ascii="Arial" w:hAnsi="Arial" w:cs="Arial"/>
        </w:rPr>
        <w:t xml:space="preserve"> supplying prescribers with up-to-date information</w:t>
      </w:r>
      <w:r w:rsidR="00E20415">
        <w:rPr>
          <w:rFonts w:ascii="Arial" w:hAnsi="Arial" w:cs="Arial"/>
        </w:rPr>
        <w:t xml:space="preserve">. However, </w:t>
      </w:r>
      <w:r w:rsidR="00F969AB" w:rsidRPr="006C4037">
        <w:rPr>
          <w:rFonts w:ascii="Arial" w:hAnsi="Arial" w:cs="Arial"/>
        </w:rPr>
        <w:t>most information is based on observational data</w:t>
      </w:r>
      <w:r w:rsidR="00F81649" w:rsidRPr="006C4037">
        <w:rPr>
          <w:rFonts w:ascii="Arial" w:hAnsi="Arial" w:cs="Arial"/>
        </w:rPr>
        <w:t xml:space="preserve"> of physical compatibility</w:t>
      </w:r>
      <w:r w:rsidR="00F969AB" w:rsidRPr="006C4037">
        <w:rPr>
          <w:rFonts w:ascii="Arial" w:hAnsi="Arial" w:cs="Arial"/>
        </w:rPr>
        <w:t>,</w:t>
      </w:r>
      <w:r w:rsidR="00F81649" w:rsidRPr="006C4037">
        <w:rPr>
          <w:rFonts w:ascii="Arial" w:hAnsi="Arial" w:cs="Arial"/>
        </w:rPr>
        <w:t xml:space="preserve"> looking for precipitation, discolouration or cloudiness of the infusion mixture</w:t>
      </w:r>
      <w:r w:rsidR="00E20415">
        <w:rPr>
          <w:rFonts w:ascii="Arial" w:hAnsi="Arial" w:cs="Arial"/>
        </w:rPr>
        <w:t>: f</w:t>
      </w:r>
      <w:r w:rsidR="00F969AB" w:rsidRPr="006C4037">
        <w:rPr>
          <w:rFonts w:ascii="Arial" w:hAnsi="Arial" w:cs="Arial"/>
        </w:rPr>
        <w:t>ar less is known about the chemical compatibility of drug combinations</w:t>
      </w:r>
      <w:r w:rsidR="00E20415">
        <w:rPr>
          <w:rFonts w:ascii="Arial" w:hAnsi="Arial" w:cs="Arial"/>
        </w:rPr>
        <w:t xml:space="preserve"> </w:t>
      </w:r>
      <w:r w:rsidR="00690F60" w:rsidRPr="006C4037">
        <w:rPr>
          <w:rStyle w:val="EndnoteReference"/>
          <w:rFonts w:ascii="Arial" w:hAnsi="Arial" w:cs="Arial"/>
        </w:rPr>
        <w:endnoteReference w:id="17"/>
      </w:r>
      <w:r w:rsidR="00F969AB" w:rsidRPr="006C4037">
        <w:rPr>
          <w:rFonts w:ascii="Arial" w:hAnsi="Arial" w:cs="Arial"/>
        </w:rPr>
        <w:t>.</w:t>
      </w:r>
      <w:r w:rsidR="00F81649" w:rsidRPr="006C4037">
        <w:rPr>
          <w:rFonts w:ascii="Arial" w:hAnsi="Arial" w:cs="Arial"/>
        </w:rPr>
        <w:t xml:space="preserve"> A </w:t>
      </w:r>
      <w:r w:rsidR="00E20415">
        <w:rPr>
          <w:rFonts w:ascii="Arial" w:hAnsi="Arial" w:cs="Arial"/>
        </w:rPr>
        <w:t xml:space="preserve">drug </w:t>
      </w:r>
      <w:r w:rsidR="00F81649" w:rsidRPr="006C4037">
        <w:rPr>
          <w:rFonts w:ascii="Arial" w:hAnsi="Arial" w:cs="Arial"/>
        </w:rPr>
        <w:t xml:space="preserve">combination </w:t>
      </w:r>
      <w:r w:rsidR="0011467E">
        <w:rPr>
          <w:rFonts w:ascii="Arial" w:hAnsi="Arial" w:cs="Arial"/>
        </w:rPr>
        <w:t>solution may appear physically clear in the presence of c</w:t>
      </w:r>
      <w:r w:rsidR="00F81649" w:rsidRPr="006C4037">
        <w:rPr>
          <w:rFonts w:ascii="Arial" w:hAnsi="Arial" w:cs="Arial"/>
        </w:rPr>
        <w:t xml:space="preserve">hemical </w:t>
      </w:r>
      <w:r w:rsidR="0011467E">
        <w:rPr>
          <w:rFonts w:ascii="Arial" w:hAnsi="Arial" w:cs="Arial"/>
        </w:rPr>
        <w:t>incompatibility (</w:t>
      </w:r>
      <w:r w:rsidR="00F81649" w:rsidRPr="006C4037">
        <w:rPr>
          <w:rFonts w:ascii="Arial" w:hAnsi="Arial" w:cs="Arial"/>
        </w:rPr>
        <w:t xml:space="preserve">a chemical change or degradation of one </w:t>
      </w:r>
      <w:r w:rsidR="00E20415">
        <w:rPr>
          <w:rFonts w:ascii="Arial" w:hAnsi="Arial" w:cs="Arial"/>
        </w:rPr>
        <w:t xml:space="preserve">or more </w:t>
      </w:r>
      <w:r w:rsidR="00F81649" w:rsidRPr="006C4037">
        <w:rPr>
          <w:rFonts w:ascii="Arial" w:hAnsi="Arial" w:cs="Arial"/>
        </w:rPr>
        <w:t>of the drugs</w:t>
      </w:r>
      <w:r w:rsidR="0011467E">
        <w:rPr>
          <w:rFonts w:ascii="Arial" w:hAnsi="Arial" w:cs="Arial"/>
        </w:rPr>
        <w:t xml:space="preserve">). </w:t>
      </w:r>
      <w:r w:rsidR="00496257" w:rsidRPr="006C4037">
        <w:rPr>
          <w:rFonts w:ascii="Arial" w:hAnsi="Arial" w:cs="Arial"/>
        </w:rPr>
        <w:t xml:space="preserve">In </w:t>
      </w:r>
      <w:r w:rsidR="00E20415">
        <w:rPr>
          <w:rFonts w:ascii="Arial" w:hAnsi="Arial" w:cs="Arial"/>
        </w:rPr>
        <w:t xml:space="preserve">UK law, </w:t>
      </w:r>
      <w:r w:rsidR="00496257" w:rsidRPr="006C4037">
        <w:rPr>
          <w:rFonts w:ascii="Arial" w:hAnsi="Arial" w:cs="Arial"/>
        </w:rPr>
        <w:t xml:space="preserve">the combining of two </w:t>
      </w:r>
      <w:r w:rsidR="00F969AB" w:rsidRPr="006C4037">
        <w:rPr>
          <w:rFonts w:ascii="Arial" w:hAnsi="Arial" w:cs="Arial"/>
        </w:rPr>
        <w:t>or more licensed drugs fo</w:t>
      </w:r>
      <w:r w:rsidR="00937EB9" w:rsidRPr="006C4037">
        <w:rPr>
          <w:rFonts w:ascii="Arial" w:hAnsi="Arial" w:cs="Arial"/>
        </w:rPr>
        <w:t xml:space="preserve">r a syringe driver officially </w:t>
      </w:r>
      <w:r w:rsidR="00945DBC" w:rsidRPr="006C4037">
        <w:rPr>
          <w:rFonts w:ascii="Arial" w:hAnsi="Arial" w:cs="Arial"/>
        </w:rPr>
        <w:t>results in a new</w:t>
      </w:r>
      <w:r w:rsidR="00F969AB" w:rsidRPr="006C4037">
        <w:rPr>
          <w:rFonts w:ascii="Arial" w:hAnsi="Arial" w:cs="Arial"/>
        </w:rPr>
        <w:t xml:space="preserve"> product</w:t>
      </w:r>
      <w:r w:rsidR="0011467E">
        <w:rPr>
          <w:rFonts w:ascii="Arial" w:hAnsi="Arial" w:cs="Arial"/>
        </w:rPr>
        <w:t xml:space="preserve"> that requires a license</w:t>
      </w:r>
      <w:r w:rsidR="00F43BBD">
        <w:rPr>
          <w:rStyle w:val="EndnoteReference"/>
          <w:rFonts w:ascii="Arial" w:hAnsi="Arial" w:cs="Arial"/>
        </w:rPr>
        <w:endnoteReference w:id="18"/>
      </w:r>
      <w:r w:rsidR="007A081F" w:rsidRPr="006C4037">
        <w:rPr>
          <w:rFonts w:ascii="Arial" w:hAnsi="Arial" w:cs="Arial"/>
        </w:rPr>
        <w:t xml:space="preserve">. </w:t>
      </w:r>
      <w:r w:rsidR="003F30E5">
        <w:rPr>
          <w:rFonts w:ascii="Arial" w:hAnsi="Arial" w:cs="Arial"/>
        </w:rPr>
        <w:t>This caused problems for independent prescribers</w:t>
      </w:r>
      <w:r w:rsidR="00045292">
        <w:rPr>
          <w:rFonts w:ascii="Arial" w:hAnsi="Arial" w:cs="Arial"/>
        </w:rPr>
        <w:t xml:space="preserve"> wishing to prescribe drug combinations in a syringe driver, as they were </w:t>
      </w:r>
      <w:r w:rsidR="003F30E5">
        <w:rPr>
          <w:rFonts w:ascii="Arial" w:hAnsi="Arial" w:cs="Arial"/>
        </w:rPr>
        <w:t xml:space="preserve">not permitted to prescribe unlicensed medication. </w:t>
      </w:r>
      <w:r w:rsidR="00045292">
        <w:rPr>
          <w:rFonts w:ascii="Arial" w:hAnsi="Arial" w:cs="Arial"/>
        </w:rPr>
        <w:t>Partly b</w:t>
      </w:r>
      <w:r w:rsidR="003F30E5">
        <w:rPr>
          <w:rFonts w:ascii="Arial" w:hAnsi="Arial" w:cs="Arial"/>
        </w:rPr>
        <w:t xml:space="preserve">ecause of the issues this raised in palliative care, </w:t>
      </w:r>
      <w:r w:rsidR="00045292">
        <w:rPr>
          <w:rFonts w:ascii="Arial" w:hAnsi="Arial" w:cs="Arial"/>
        </w:rPr>
        <w:t>t</w:t>
      </w:r>
      <w:r w:rsidR="003F30E5">
        <w:rPr>
          <w:rFonts w:ascii="Arial" w:hAnsi="Arial" w:cs="Arial"/>
        </w:rPr>
        <w:t xml:space="preserve">he Commission on Human Medicines </w:t>
      </w:r>
      <w:r w:rsidR="00A12793">
        <w:rPr>
          <w:rFonts w:ascii="Arial" w:hAnsi="Arial" w:cs="Arial"/>
        </w:rPr>
        <w:t xml:space="preserve">recommended and achieved </w:t>
      </w:r>
      <w:r w:rsidR="003F30E5">
        <w:rPr>
          <w:rFonts w:ascii="Arial" w:hAnsi="Arial" w:cs="Arial"/>
        </w:rPr>
        <w:t>a change in legislation</w:t>
      </w:r>
      <w:r w:rsidR="00045292">
        <w:rPr>
          <w:rFonts w:ascii="Arial" w:hAnsi="Arial" w:cs="Arial"/>
        </w:rPr>
        <w:t xml:space="preserve"> in 2010</w:t>
      </w:r>
      <w:r w:rsidR="00434BD5">
        <w:rPr>
          <w:rStyle w:val="EndnoteReference"/>
          <w:rFonts w:ascii="Arial" w:hAnsi="Arial" w:cs="Arial"/>
        </w:rPr>
        <w:endnoteReference w:id="19"/>
      </w:r>
      <w:r w:rsidR="00045292">
        <w:rPr>
          <w:rFonts w:ascii="Arial" w:hAnsi="Arial" w:cs="Arial"/>
        </w:rPr>
        <w:t>.</w:t>
      </w:r>
      <w:r w:rsidR="003F30E5">
        <w:rPr>
          <w:rFonts w:ascii="Arial" w:hAnsi="Arial" w:cs="Arial"/>
        </w:rPr>
        <w:t xml:space="preserve"> </w:t>
      </w:r>
      <w:r w:rsidR="00E20415" w:rsidRPr="006C4037">
        <w:rPr>
          <w:rFonts w:ascii="Arial" w:hAnsi="Arial" w:cs="Arial"/>
        </w:rPr>
        <w:t>In practice</w:t>
      </w:r>
      <w:r w:rsidR="0011467E">
        <w:rPr>
          <w:rFonts w:ascii="Arial" w:hAnsi="Arial" w:cs="Arial"/>
        </w:rPr>
        <w:t>,</w:t>
      </w:r>
      <w:r w:rsidR="00E20415" w:rsidRPr="006C4037">
        <w:rPr>
          <w:rFonts w:ascii="Arial" w:hAnsi="Arial" w:cs="Arial"/>
        </w:rPr>
        <w:t xml:space="preserve"> the wealth of experience with common drug combinations would suggest that most drugs do not lose their</w:t>
      </w:r>
      <w:r w:rsidR="0011467E">
        <w:rPr>
          <w:rFonts w:ascii="Arial" w:hAnsi="Arial" w:cs="Arial"/>
        </w:rPr>
        <w:t xml:space="preserve"> efficacy when combined. It is important to be vigilant</w:t>
      </w:r>
      <w:r w:rsidR="00E20415">
        <w:rPr>
          <w:rFonts w:ascii="Arial" w:hAnsi="Arial" w:cs="Arial"/>
        </w:rPr>
        <w:t>,</w:t>
      </w:r>
      <w:r w:rsidR="00E20415" w:rsidRPr="006C4037">
        <w:rPr>
          <w:rFonts w:ascii="Arial" w:hAnsi="Arial" w:cs="Arial"/>
        </w:rPr>
        <w:t xml:space="preserve"> as compatibility is dependent on many different factors such as pH, concentrations used, </w:t>
      </w:r>
      <w:r w:rsidR="0011467E">
        <w:rPr>
          <w:rFonts w:ascii="Arial" w:hAnsi="Arial" w:cs="Arial"/>
        </w:rPr>
        <w:t xml:space="preserve">diluent and </w:t>
      </w:r>
      <w:r w:rsidR="00E20415" w:rsidRPr="006C4037">
        <w:rPr>
          <w:rFonts w:ascii="Arial" w:hAnsi="Arial" w:cs="Arial"/>
        </w:rPr>
        <w:t>brand of drug.</w:t>
      </w:r>
    </w:p>
    <w:p w14:paraId="220AD814" w14:textId="77777777" w:rsidR="00E20415" w:rsidRDefault="00E20415" w:rsidP="006C4037">
      <w:pPr>
        <w:spacing w:line="360" w:lineRule="auto"/>
        <w:rPr>
          <w:rFonts w:ascii="Arial" w:hAnsi="Arial" w:cs="Arial"/>
        </w:rPr>
      </w:pPr>
    </w:p>
    <w:p w14:paraId="04513D1D" w14:textId="71C00BF6" w:rsidR="000E093C" w:rsidRPr="006C4037" w:rsidRDefault="00947C30" w:rsidP="006C4037">
      <w:pPr>
        <w:spacing w:line="360" w:lineRule="auto"/>
        <w:rPr>
          <w:rFonts w:ascii="Arial" w:hAnsi="Arial" w:cs="Arial"/>
        </w:rPr>
      </w:pPr>
      <w:r w:rsidRPr="006C4037">
        <w:rPr>
          <w:rFonts w:ascii="Arial" w:hAnsi="Arial" w:cs="Arial"/>
        </w:rPr>
        <w:t>The nature of the materials used in a giving set can also affect the stability and concentration of drug</w:t>
      </w:r>
      <w:r w:rsidR="00E20415">
        <w:rPr>
          <w:rFonts w:ascii="Arial" w:hAnsi="Arial" w:cs="Arial"/>
        </w:rPr>
        <w:t>s</w:t>
      </w:r>
      <w:r w:rsidRPr="006C4037">
        <w:rPr>
          <w:rFonts w:ascii="Arial" w:hAnsi="Arial" w:cs="Arial"/>
        </w:rPr>
        <w:t>.</w:t>
      </w:r>
      <w:r w:rsidR="00114C17" w:rsidRPr="006C4037">
        <w:rPr>
          <w:rFonts w:ascii="Arial" w:hAnsi="Arial" w:cs="Arial"/>
        </w:rPr>
        <w:t xml:space="preserve"> </w:t>
      </w:r>
      <w:r w:rsidR="00E20415">
        <w:rPr>
          <w:rFonts w:ascii="Arial" w:hAnsi="Arial" w:cs="Arial"/>
        </w:rPr>
        <w:t>T</w:t>
      </w:r>
      <w:r w:rsidRPr="006C4037">
        <w:rPr>
          <w:rFonts w:ascii="Arial" w:hAnsi="Arial" w:cs="Arial"/>
        </w:rPr>
        <w:t>he use of PVC tubing in a giving set reduces the amount of clonazepam in the solution by 50%</w:t>
      </w:r>
      <w:r w:rsidR="0011467E">
        <w:rPr>
          <w:rFonts w:ascii="Arial" w:hAnsi="Arial" w:cs="Arial"/>
        </w:rPr>
        <w:t>: n</w:t>
      </w:r>
      <w:r w:rsidRPr="006C4037">
        <w:rPr>
          <w:rFonts w:ascii="Arial" w:hAnsi="Arial" w:cs="Arial"/>
        </w:rPr>
        <w:t>on</w:t>
      </w:r>
      <w:r w:rsidR="0011467E">
        <w:rPr>
          <w:rFonts w:ascii="Arial" w:hAnsi="Arial" w:cs="Arial"/>
        </w:rPr>
        <w:t>-</w:t>
      </w:r>
      <w:r w:rsidRPr="006C4037">
        <w:rPr>
          <w:rFonts w:ascii="Arial" w:hAnsi="Arial" w:cs="Arial"/>
        </w:rPr>
        <w:t>PVC tubing does not have this effect</w:t>
      </w:r>
      <w:r w:rsidR="00E20415">
        <w:rPr>
          <w:rFonts w:ascii="Arial" w:hAnsi="Arial" w:cs="Arial"/>
        </w:rPr>
        <w:t xml:space="preserve"> </w:t>
      </w:r>
      <w:r w:rsidRPr="006C4037">
        <w:rPr>
          <w:rStyle w:val="EndnoteReference"/>
          <w:rFonts w:ascii="Arial" w:hAnsi="Arial" w:cs="Arial"/>
        </w:rPr>
        <w:endnoteReference w:id="20"/>
      </w:r>
      <w:r w:rsidRPr="006C4037">
        <w:rPr>
          <w:rFonts w:ascii="Arial" w:hAnsi="Arial" w:cs="Arial"/>
        </w:rPr>
        <w:t xml:space="preserve">. </w:t>
      </w:r>
    </w:p>
    <w:p w14:paraId="225F4B77" w14:textId="77777777" w:rsidR="007A555D" w:rsidRDefault="007A555D" w:rsidP="006C4037">
      <w:pPr>
        <w:spacing w:line="360" w:lineRule="auto"/>
        <w:rPr>
          <w:rFonts w:ascii="Arial" w:hAnsi="Arial" w:cs="Arial"/>
        </w:rPr>
      </w:pPr>
    </w:p>
    <w:p w14:paraId="4F7D8B2B" w14:textId="1E50CC69" w:rsidR="00045292" w:rsidRPr="00E42965" w:rsidRDefault="00045292" w:rsidP="006C4037">
      <w:pPr>
        <w:spacing w:line="360" w:lineRule="auto"/>
        <w:rPr>
          <w:rFonts w:ascii="Arial" w:hAnsi="Arial" w:cs="Arial"/>
          <w:b/>
        </w:rPr>
      </w:pPr>
      <w:r w:rsidRPr="00E42965">
        <w:rPr>
          <w:rFonts w:ascii="Arial" w:hAnsi="Arial" w:cs="Arial"/>
          <w:b/>
        </w:rPr>
        <w:t>Diluent selection</w:t>
      </w:r>
    </w:p>
    <w:p w14:paraId="0276427B" w14:textId="3093375E" w:rsidR="00045292" w:rsidRPr="006C4037" w:rsidRDefault="00045292" w:rsidP="00045292">
      <w:pPr>
        <w:spacing w:line="360" w:lineRule="auto"/>
        <w:rPr>
          <w:rFonts w:ascii="Arial" w:hAnsi="Arial" w:cs="Arial"/>
        </w:rPr>
      </w:pPr>
      <w:r w:rsidRPr="006C4037">
        <w:rPr>
          <w:rFonts w:ascii="Arial" w:hAnsi="Arial" w:cs="Arial"/>
        </w:rPr>
        <w:t>Diluent selection guidance is based on pragmatism rather than evidence, as definitive data regarding osmolality and pH do not exist for the endless possibilities of drugs combinations and concentrations</w:t>
      </w:r>
      <w:r>
        <w:rPr>
          <w:rFonts w:ascii="Arial" w:hAnsi="Arial" w:cs="Arial"/>
        </w:rPr>
        <w:t xml:space="preserve"> </w:t>
      </w:r>
      <w:r w:rsidRPr="006C4037">
        <w:rPr>
          <w:rStyle w:val="EndnoteReference"/>
          <w:rFonts w:ascii="Arial" w:hAnsi="Arial" w:cs="Arial"/>
        </w:rPr>
        <w:endnoteReference w:id="21"/>
      </w:r>
      <w:r w:rsidRPr="006C4037">
        <w:rPr>
          <w:rFonts w:ascii="Arial" w:hAnsi="Arial" w:cs="Arial"/>
        </w:rPr>
        <w:t xml:space="preserve">. </w:t>
      </w:r>
      <w:r w:rsidR="00BE57EC">
        <w:rPr>
          <w:rFonts w:ascii="Arial" w:hAnsi="Arial" w:cs="Arial"/>
        </w:rPr>
        <w:t xml:space="preserve">It is generally recommended that </w:t>
      </w:r>
      <w:r w:rsidRPr="006C4037">
        <w:rPr>
          <w:rFonts w:ascii="Arial" w:hAnsi="Arial" w:cs="Arial"/>
        </w:rPr>
        <w:t>water for injection first line</w:t>
      </w:r>
      <w:r w:rsidR="00BE57EC">
        <w:rPr>
          <w:rStyle w:val="EndnoteReference"/>
          <w:rFonts w:ascii="Arial" w:hAnsi="Arial" w:cs="Arial"/>
        </w:rPr>
        <w:endnoteReference w:id="22"/>
      </w:r>
      <w:r w:rsidR="00BE57EC">
        <w:rPr>
          <w:rFonts w:ascii="Arial" w:hAnsi="Arial" w:cs="Arial"/>
          <w:vertAlign w:val="superscript"/>
        </w:rPr>
        <w:t>,</w:t>
      </w:r>
      <w:r w:rsidR="00BE57EC">
        <w:rPr>
          <w:rStyle w:val="EndnoteReference"/>
          <w:rFonts w:ascii="Arial" w:hAnsi="Arial" w:cs="Arial"/>
        </w:rPr>
        <w:endnoteReference w:id="23"/>
      </w:r>
      <w:r w:rsidRPr="006C4037">
        <w:rPr>
          <w:rFonts w:ascii="Arial" w:hAnsi="Arial" w:cs="Arial"/>
        </w:rPr>
        <w:t xml:space="preserve">, </w:t>
      </w:r>
      <w:r>
        <w:rPr>
          <w:rFonts w:ascii="Arial" w:hAnsi="Arial" w:cs="Arial"/>
        </w:rPr>
        <w:t xml:space="preserve">given </w:t>
      </w:r>
      <w:r w:rsidRPr="006C4037">
        <w:rPr>
          <w:rFonts w:ascii="Arial" w:hAnsi="Arial" w:cs="Arial"/>
        </w:rPr>
        <w:t xml:space="preserve">the potential for incompatibility with </w:t>
      </w:r>
      <w:r>
        <w:rPr>
          <w:rFonts w:ascii="Arial" w:hAnsi="Arial" w:cs="Arial"/>
        </w:rPr>
        <w:t>c</w:t>
      </w:r>
      <w:r w:rsidRPr="006C4037">
        <w:rPr>
          <w:rFonts w:ascii="Arial" w:hAnsi="Arial" w:cs="Arial"/>
        </w:rPr>
        <w:t>yclizine and higher concentrations of haloperidol and diamorphine when diluted with 0.9% sodium chloride</w:t>
      </w:r>
      <w:r>
        <w:rPr>
          <w:rFonts w:ascii="Arial" w:hAnsi="Arial" w:cs="Arial"/>
        </w:rPr>
        <w:t xml:space="preserve"> and the considerable </w:t>
      </w:r>
      <w:r w:rsidRPr="006C4037">
        <w:rPr>
          <w:rFonts w:ascii="Arial" w:hAnsi="Arial" w:cs="Arial"/>
        </w:rPr>
        <w:t xml:space="preserve">body </w:t>
      </w:r>
      <w:r>
        <w:rPr>
          <w:rFonts w:ascii="Arial" w:hAnsi="Arial" w:cs="Arial"/>
        </w:rPr>
        <w:t xml:space="preserve">of </w:t>
      </w:r>
      <w:r w:rsidRPr="006C4037">
        <w:rPr>
          <w:rFonts w:ascii="Arial" w:hAnsi="Arial" w:cs="Arial"/>
        </w:rPr>
        <w:t xml:space="preserve">evidence of </w:t>
      </w:r>
      <w:r w:rsidRPr="006C4037">
        <w:rPr>
          <w:rFonts w:ascii="Arial" w:hAnsi="Arial" w:cs="Arial"/>
        </w:rPr>
        <w:lastRenderedPageBreak/>
        <w:t>physical compatibility with water for injection combinations</w:t>
      </w:r>
      <w:r>
        <w:rPr>
          <w:rFonts w:ascii="Arial" w:hAnsi="Arial" w:cs="Arial"/>
        </w:rPr>
        <w:t>. I</w:t>
      </w:r>
      <w:r w:rsidRPr="006C4037">
        <w:rPr>
          <w:rFonts w:ascii="Arial" w:hAnsi="Arial" w:cs="Arial"/>
        </w:rPr>
        <w:t>t is reasonable to use 0.9% sodium chloride in countries where cyclizine is not used, or for drugs such as ketorolac, ondansetron and octreotide where there are more compatibility data for combinations diluted with 0.9% sodium chloride.</w:t>
      </w:r>
    </w:p>
    <w:p w14:paraId="77047E82" w14:textId="77777777" w:rsidR="00045292" w:rsidRPr="006C4037" w:rsidRDefault="00045292" w:rsidP="006C4037">
      <w:pPr>
        <w:spacing w:line="360" w:lineRule="auto"/>
        <w:rPr>
          <w:rFonts w:ascii="Arial" w:hAnsi="Arial" w:cs="Arial"/>
        </w:rPr>
      </w:pPr>
    </w:p>
    <w:p w14:paraId="1AF28C75" w14:textId="66032996" w:rsidR="007A555D" w:rsidRPr="00E20415" w:rsidRDefault="007A555D" w:rsidP="006C4037">
      <w:pPr>
        <w:spacing w:line="360" w:lineRule="auto"/>
        <w:rPr>
          <w:rFonts w:ascii="Arial" w:hAnsi="Arial" w:cs="Arial"/>
          <w:b/>
        </w:rPr>
      </w:pPr>
      <w:r w:rsidRPr="00E20415">
        <w:rPr>
          <w:rFonts w:ascii="Arial" w:hAnsi="Arial" w:cs="Arial"/>
          <w:b/>
        </w:rPr>
        <w:t>Site reactions</w:t>
      </w:r>
    </w:p>
    <w:p w14:paraId="21D15460" w14:textId="0E542D41" w:rsidR="00045292" w:rsidRDefault="00B34183" w:rsidP="006C4037">
      <w:pPr>
        <w:spacing w:line="360" w:lineRule="auto"/>
        <w:rPr>
          <w:rFonts w:ascii="Arial" w:hAnsi="Arial" w:cs="Arial"/>
        </w:rPr>
      </w:pPr>
      <w:r w:rsidRPr="006C4037">
        <w:rPr>
          <w:rFonts w:ascii="Arial" w:hAnsi="Arial" w:cs="Arial"/>
        </w:rPr>
        <w:t>A further problem encountered with</w:t>
      </w:r>
      <w:r w:rsidR="00581DD3" w:rsidRPr="006C4037">
        <w:rPr>
          <w:rFonts w:ascii="Arial" w:hAnsi="Arial" w:cs="Arial"/>
        </w:rPr>
        <w:t xml:space="preserve"> continuous subcutaneous infusions relates to site reactions.</w:t>
      </w:r>
      <w:r w:rsidR="00345C66" w:rsidRPr="006C4037">
        <w:rPr>
          <w:rFonts w:ascii="Arial" w:hAnsi="Arial" w:cs="Arial"/>
        </w:rPr>
        <w:t xml:space="preserve"> </w:t>
      </w:r>
      <w:r w:rsidR="002D50D7">
        <w:rPr>
          <w:rFonts w:ascii="Arial" w:hAnsi="Arial" w:cs="Arial"/>
        </w:rPr>
        <w:t>D</w:t>
      </w:r>
      <w:r w:rsidR="00345C66" w:rsidRPr="006C4037">
        <w:rPr>
          <w:rFonts w:ascii="Arial" w:hAnsi="Arial" w:cs="Arial"/>
        </w:rPr>
        <w:t>rugs such as cyclizine and levomepromazine are known irritants and may require sites to be changed regularly</w:t>
      </w:r>
      <w:r w:rsidR="005C3984" w:rsidRPr="006C4037">
        <w:rPr>
          <w:rStyle w:val="EndnoteReference"/>
          <w:rFonts w:ascii="Arial" w:hAnsi="Arial" w:cs="Arial"/>
        </w:rPr>
        <w:endnoteReference w:id="24"/>
      </w:r>
      <w:r w:rsidR="002D50D7">
        <w:rPr>
          <w:rFonts w:ascii="Arial" w:hAnsi="Arial" w:cs="Arial"/>
        </w:rPr>
        <w:t>.</w:t>
      </w:r>
      <w:r w:rsidR="00345C66" w:rsidRPr="006C4037">
        <w:rPr>
          <w:rFonts w:ascii="Arial" w:hAnsi="Arial" w:cs="Arial"/>
        </w:rPr>
        <w:t xml:space="preserve"> </w:t>
      </w:r>
      <w:r w:rsidR="002D50D7">
        <w:rPr>
          <w:rFonts w:ascii="Arial" w:hAnsi="Arial" w:cs="Arial"/>
        </w:rPr>
        <w:t>T</w:t>
      </w:r>
      <w:r w:rsidR="00345C66" w:rsidRPr="006C4037">
        <w:rPr>
          <w:rFonts w:ascii="Arial" w:hAnsi="Arial" w:cs="Arial"/>
        </w:rPr>
        <w:t xml:space="preserve">eflon cannulae </w:t>
      </w:r>
      <w:r w:rsidR="0011467E">
        <w:rPr>
          <w:rFonts w:ascii="Arial" w:hAnsi="Arial" w:cs="Arial"/>
        </w:rPr>
        <w:t>are associated with reduced site reactions</w:t>
      </w:r>
      <w:r w:rsidR="00A12793">
        <w:rPr>
          <w:rFonts w:ascii="Arial" w:hAnsi="Arial" w:cs="Arial"/>
        </w:rPr>
        <w:t xml:space="preserve"> when</w:t>
      </w:r>
      <w:r w:rsidR="0011467E">
        <w:rPr>
          <w:rFonts w:ascii="Arial" w:hAnsi="Arial" w:cs="Arial"/>
        </w:rPr>
        <w:t xml:space="preserve"> compared to </w:t>
      </w:r>
      <w:r w:rsidR="002E49E9" w:rsidRPr="006C4037">
        <w:rPr>
          <w:rFonts w:ascii="Arial" w:hAnsi="Arial" w:cs="Arial"/>
        </w:rPr>
        <w:t>metal butterfl</w:t>
      </w:r>
      <w:r w:rsidR="0011467E">
        <w:rPr>
          <w:rFonts w:ascii="Arial" w:hAnsi="Arial" w:cs="Arial"/>
        </w:rPr>
        <w:t>y needles</w:t>
      </w:r>
      <w:r w:rsidR="00345C66" w:rsidRPr="006C4037">
        <w:rPr>
          <w:rStyle w:val="EndnoteReference"/>
          <w:rFonts w:ascii="Arial" w:hAnsi="Arial" w:cs="Arial"/>
        </w:rPr>
        <w:endnoteReference w:id="25"/>
      </w:r>
      <w:r w:rsidR="00E10DB7">
        <w:rPr>
          <w:rFonts w:ascii="Arial" w:hAnsi="Arial" w:cs="Arial"/>
        </w:rPr>
        <w:t>. Following a recent European Council Directive</w:t>
      </w:r>
      <w:r w:rsidR="00E10DB7">
        <w:rPr>
          <w:rStyle w:val="EndnoteReference"/>
          <w:rFonts w:ascii="Arial" w:hAnsi="Arial" w:cs="Arial"/>
        </w:rPr>
        <w:endnoteReference w:id="26"/>
      </w:r>
      <w:r w:rsidR="00E10DB7">
        <w:rPr>
          <w:rFonts w:ascii="Arial" w:hAnsi="Arial" w:cs="Arial"/>
        </w:rPr>
        <w:t>, which recommends that</w:t>
      </w:r>
      <w:r w:rsidR="000F721F">
        <w:rPr>
          <w:rFonts w:ascii="Arial" w:hAnsi="Arial" w:cs="Arial"/>
        </w:rPr>
        <w:t xml:space="preserve"> organisations </w:t>
      </w:r>
      <w:r w:rsidR="00E10DB7">
        <w:rPr>
          <w:rFonts w:ascii="Arial" w:hAnsi="Arial" w:cs="Arial"/>
        </w:rPr>
        <w:t xml:space="preserve">use ‘needle safe’ cannulae, this is </w:t>
      </w:r>
      <w:r w:rsidR="002E49E9" w:rsidRPr="006C4037">
        <w:rPr>
          <w:rFonts w:ascii="Arial" w:hAnsi="Arial" w:cs="Arial"/>
        </w:rPr>
        <w:t>now common practice</w:t>
      </w:r>
      <w:r w:rsidR="00345C66" w:rsidRPr="006C4037">
        <w:rPr>
          <w:rFonts w:ascii="Arial" w:hAnsi="Arial" w:cs="Arial"/>
        </w:rPr>
        <w:t>.</w:t>
      </w:r>
      <w:r w:rsidR="0058672F" w:rsidRPr="006C4037">
        <w:rPr>
          <w:rFonts w:ascii="Arial" w:hAnsi="Arial" w:cs="Arial"/>
        </w:rPr>
        <w:t xml:space="preserve"> </w:t>
      </w:r>
      <w:r w:rsidR="002E49E9" w:rsidRPr="006C4037">
        <w:rPr>
          <w:rFonts w:ascii="Arial" w:hAnsi="Arial" w:cs="Arial"/>
        </w:rPr>
        <w:t>Other potential solutions for problematic site reactions</w:t>
      </w:r>
      <w:r w:rsidR="00C25311" w:rsidRPr="006C4037">
        <w:rPr>
          <w:rFonts w:ascii="Arial" w:hAnsi="Arial" w:cs="Arial"/>
        </w:rPr>
        <w:t xml:space="preserve"> include</w:t>
      </w:r>
      <w:r w:rsidR="0011467E">
        <w:rPr>
          <w:rFonts w:ascii="Arial" w:hAnsi="Arial" w:cs="Arial"/>
        </w:rPr>
        <w:t>;</w:t>
      </w:r>
      <w:r w:rsidR="00C25311" w:rsidRPr="006C4037">
        <w:rPr>
          <w:rFonts w:ascii="Arial" w:hAnsi="Arial" w:cs="Arial"/>
        </w:rPr>
        <w:t xml:space="preserve"> diluting the mixture as much as pos</w:t>
      </w:r>
      <w:r w:rsidR="0011467E">
        <w:rPr>
          <w:rFonts w:ascii="Arial" w:hAnsi="Arial" w:cs="Arial"/>
        </w:rPr>
        <w:t xml:space="preserve">sible, using 0.9% saline as </w:t>
      </w:r>
      <w:r w:rsidR="00C25311" w:rsidRPr="006C4037">
        <w:rPr>
          <w:rFonts w:ascii="Arial" w:hAnsi="Arial" w:cs="Arial"/>
        </w:rPr>
        <w:t>diluent</w:t>
      </w:r>
      <w:r w:rsidR="000F721F">
        <w:rPr>
          <w:rFonts w:ascii="Arial" w:hAnsi="Arial" w:cs="Arial"/>
        </w:rPr>
        <w:t xml:space="preserve">, </w:t>
      </w:r>
      <w:r w:rsidR="00E20415" w:rsidRPr="006C4037">
        <w:rPr>
          <w:rFonts w:ascii="Arial" w:hAnsi="Arial" w:cs="Arial"/>
        </w:rPr>
        <w:t>adding 1mg of dexamethasone to the solution</w:t>
      </w:r>
      <w:r w:rsidR="00C25311" w:rsidRPr="006C4037">
        <w:rPr>
          <w:rFonts w:ascii="Arial" w:hAnsi="Arial" w:cs="Arial"/>
        </w:rPr>
        <w:t xml:space="preserve"> if compatibility data permits</w:t>
      </w:r>
      <w:r w:rsidR="00E20415">
        <w:rPr>
          <w:rFonts w:ascii="Arial" w:hAnsi="Arial" w:cs="Arial"/>
        </w:rPr>
        <w:t xml:space="preserve"> </w:t>
      </w:r>
      <w:r w:rsidR="00C25311" w:rsidRPr="006C4037">
        <w:rPr>
          <w:rStyle w:val="EndnoteReference"/>
          <w:rFonts w:ascii="Arial" w:hAnsi="Arial" w:cs="Arial"/>
        </w:rPr>
        <w:endnoteReference w:id="27"/>
      </w:r>
      <w:r w:rsidR="000F721F">
        <w:rPr>
          <w:rFonts w:ascii="Arial" w:hAnsi="Arial" w:cs="Arial"/>
        </w:rPr>
        <w:t xml:space="preserve"> or injecting a small volume of dexamethasone into the infusion site prior to recommencing the</w:t>
      </w:r>
      <w:r w:rsidR="00031F0C">
        <w:rPr>
          <w:rFonts w:ascii="Arial" w:hAnsi="Arial" w:cs="Arial"/>
        </w:rPr>
        <w:t xml:space="preserve"> continuous subcutaneous infusion</w:t>
      </w:r>
      <w:r w:rsidR="00031F0C">
        <w:rPr>
          <w:rFonts w:ascii="Arial" w:hAnsi="Arial" w:cs="Arial"/>
          <w:vertAlign w:val="superscript"/>
        </w:rPr>
        <w:t>2</w:t>
      </w:r>
      <w:r w:rsidR="00A12793">
        <w:rPr>
          <w:rFonts w:ascii="Arial" w:hAnsi="Arial" w:cs="Arial"/>
          <w:vertAlign w:val="superscript"/>
        </w:rPr>
        <w:t>4</w:t>
      </w:r>
      <w:r w:rsidR="00496257" w:rsidRPr="006C4037">
        <w:rPr>
          <w:rFonts w:ascii="Arial" w:hAnsi="Arial" w:cs="Arial"/>
        </w:rPr>
        <w:t xml:space="preserve">. </w:t>
      </w:r>
    </w:p>
    <w:p w14:paraId="41CD0FBE" w14:textId="77777777" w:rsidR="00045292" w:rsidRDefault="00045292" w:rsidP="006C4037">
      <w:pPr>
        <w:spacing w:line="360" w:lineRule="auto"/>
        <w:rPr>
          <w:rFonts w:ascii="Arial" w:hAnsi="Arial" w:cs="Arial"/>
        </w:rPr>
      </w:pPr>
    </w:p>
    <w:p w14:paraId="2F198F80" w14:textId="77777777" w:rsidR="00FD1602" w:rsidRPr="006C4037" w:rsidRDefault="00FD1602" w:rsidP="006C4037">
      <w:pPr>
        <w:spacing w:line="360" w:lineRule="auto"/>
        <w:rPr>
          <w:rFonts w:ascii="Arial" w:hAnsi="Arial" w:cs="Arial"/>
        </w:rPr>
      </w:pPr>
    </w:p>
    <w:p w14:paraId="02A2F63F" w14:textId="298FFE9F" w:rsidR="00FD1602" w:rsidRPr="00E20415" w:rsidRDefault="00FD1602" w:rsidP="006C4037">
      <w:pPr>
        <w:spacing w:line="360" w:lineRule="auto"/>
        <w:rPr>
          <w:rFonts w:ascii="Arial" w:hAnsi="Arial" w:cs="Arial"/>
          <w:b/>
        </w:rPr>
      </w:pPr>
      <w:r w:rsidRPr="00E20415">
        <w:rPr>
          <w:rFonts w:ascii="Arial" w:hAnsi="Arial" w:cs="Arial"/>
          <w:b/>
        </w:rPr>
        <w:t>The future</w:t>
      </w:r>
    </w:p>
    <w:p w14:paraId="40CD9312" w14:textId="4AD3FCB1" w:rsidR="00FD1602" w:rsidRPr="006C4037" w:rsidRDefault="00FD1602" w:rsidP="006C4037">
      <w:pPr>
        <w:spacing w:line="360" w:lineRule="auto"/>
        <w:rPr>
          <w:rFonts w:ascii="Arial" w:hAnsi="Arial" w:cs="Arial"/>
        </w:rPr>
      </w:pPr>
      <w:r w:rsidRPr="006C4037">
        <w:rPr>
          <w:rFonts w:ascii="Arial" w:hAnsi="Arial" w:cs="Arial"/>
        </w:rPr>
        <w:t xml:space="preserve">Ambulatory syringe drivers for subcutaneous infusions are likely to remain the mainstay of parenteral drug administration in palliative care for the foreseeable future. However increasing numbers of </w:t>
      </w:r>
      <w:r w:rsidR="00496257" w:rsidRPr="006C4037">
        <w:rPr>
          <w:rFonts w:ascii="Arial" w:hAnsi="Arial" w:cs="Arial"/>
        </w:rPr>
        <w:t xml:space="preserve">oncology </w:t>
      </w:r>
      <w:r w:rsidRPr="006C4037">
        <w:rPr>
          <w:rFonts w:ascii="Arial" w:hAnsi="Arial" w:cs="Arial"/>
        </w:rPr>
        <w:t xml:space="preserve">patients have long term intravenous access in the form of PICC lines and </w:t>
      </w:r>
      <w:r w:rsidR="00B23F55">
        <w:rPr>
          <w:rFonts w:ascii="Arial" w:hAnsi="Arial" w:cs="Arial"/>
        </w:rPr>
        <w:t>P</w:t>
      </w:r>
      <w:r w:rsidRPr="006C4037">
        <w:rPr>
          <w:rFonts w:ascii="Arial" w:hAnsi="Arial" w:cs="Arial"/>
        </w:rPr>
        <w:t>ortacaths, and it is therefore likely that healthcare professionals in hospices and the community will need to become more familiar</w:t>
      </w:r>
      <w:r w:rsidR="00EF4F44" w:rsidRPr="006C4037">
        <w:rPr>
          <w:rFonts w:ascii="Arial" w:hAnsi="Arial" w:cs="Arial"/>
        </w:rPr>
        <w:t xml:space="preserve"> </w:t>
      </w:r>
      <w:r w:rsidR="00334556" w:rsidRPr="006C4037">
        <w:rPr>
          <w:rFonts w:ascii="Arial" w:hAnsi="Arial" w:cs="Arial"/>
        </w:rPr>
        <w:t xml:space="preserve">with, </w:t>
      </w:r>
      <w:r w:rsidR="00E20415">
        <w:rPr>
          <w:rFonts w:ascii="Arial" w:hAnsi="Arial" w:cs="Arial"/>
        </w:rPr>
        <w:t>and competent in using</w:t>
      </w:r>
      <w:r w:rsidR="00334556" w:rsidRPr="006C4037">
        <w:rPr>
          <w:rFonts w:ascii="Arial" w:hAnsi="Arial" w:cs="Arial"/>
        </w:rPr>
        <w:t>,</w:t>
      </w:r>
      <w:r w:rsidR="00EF4F44" w:rsidRPr="006C4037">
        <w:rPr>
          <w:rFonts w:ascii="Arial" w:hAnsi="Arial" w:cs="Arial"/>
        </w:rPr>
        <w:t xml:space="preserve"> </w:t>
      </w:r>
      <w:r w:rsidRPr="006C4037">
        <w:rPr>
          <w:rFonts w:ascii="Arial" w:hAnsi="Arial" w:cs="Arial"/>
        </w:rPr>
        <w:t>the intravenous route for symptom control.</w:t>
      </w:r>
    </w:p>
    <w:p w14:paraId="75A41146" w14:textId="77777777" w:rsidR="00D268A3" w:rsidRPr="006C4037" w:rsidRDefault="00D268A3" w:rsidP="006C4037">
      <w:pPr>
        <w:spacing w:line="360" w:lineRule="auto"/>
        <w:rPr>
          <w:rFonts w:ascii="Arial" w:hAnsi="Arial" w:cs="Arial"/>
        </w:rPr>
      </w:pPr>
    </w:p>
    <w:p w14:paraId="3237AC5B" w14:textId="3DBA634C" w:rsidR="00D268A3" w:rsidRPr="00E20415" w:rsidRDefault="00D268A3" w:rsidP="006C4037">
      <w:pPr>
        <w:spacing w:line="360" w:lineRule="auto"/>
        <w:rPr>
          <w:rFonts w:ascii="Arial" w:hAnsi="Arial" w:cs="Arial"/>
          <w:b/>
        </w:rPr>
      </w:pPr>
      <w:r w:rsidRPr="00E20415">
        <w:rPr>
          <w:rFonts w:ascii="Arial" w:hAnsi="Arial" w:cs="Arial"/>
          <w:b/>
        </w:rPr>
        <w:t>Summary</w:t>
      </w:r>
    </w:p>
    <w:p w14:paraId="1CDBF7B4" w14:textId="4D7625EA" w:rsidR="00D268A3" w:rsidRPr="006C4037" w:rsidRDefault="00D268A3" w:rsidP="006C4037">
      <w:pPr>
        <w:spacing w:line="360" w:lineRule="auto"/>
        <w:rPr>
          <w:rFonts w:ascii="Arial" w:hAnsi="Arial" w:cs="Arial"/>
        </w:rPr>
      </w:pPr>
      <w:r w:rsidRPr="006C4037">
        <w:rPr>
          <w:rFonts w:ascii="Arial" w:hAnsi="Arial" w:cs="Arial"/>
        </w:rPr>
        <w:t xml:space="preserve">Whilst syringe drivers are </w:t>
      </w:r>
      <w:r w:rsidR="00A12793">
        <w:rPr>
          <w:rFonts w:ascii="Arial" w:hAnsi="Arial" w:cs="Arial"/>
        </w:rPr>
        <w:t>vital for those patients</w:t>
      </w:r>
      <w:r w:rsidRPr="006C4037">
        <w:rPr>
          <w:rFonts w:ascii="Arial" w:hAnsi="Arial" w:cs="Arial"/>
        </w:rPr>
        <w:t xml:space="preserve"> </w:t>
      </w:r>
      <w:r w:rsidR="00A12793">
        <w:rPr>
          <w:rFonts w:ascii="Arial" w:hAnsi="Arial" w:cs="Arial"/>
        </w:rPr>
        <w:t xml:space="preserve"> requiring </w:t>
      </w:r>
      <w:r w:rsidRPr="006C4037">
        <w:rPr>
          <w:rFonts w:ascii="Arial" w:hAnsi="Arial" w:cs="Arial"/>
        </w:rPr>
        <w:t xml:space="preserve">symptom control </w:t>
      </w:r>
      <w:r w:rsidR="00A12793">
        <w:rPr>
          <w:rFonts w:ascii="Arial" w:hAnsi="Arial" w:cs="Arial"/>
        </w:rPr>
        <w:t xml:space="preserve">at the </w:t>
      </w:r>
      <w:r w:rsidRPr="006C4037">
        <w:rPr>
          <w:rFonts w:ascii="Arial" w:hAnsi="Arial" w:cs="Arial"/>
        </w:rPr>
        <w:t xml:space="preserve">end of life, there </w:t>
      </w:r>
      <w:r w:rsidR="00334556" w:rsidRPr="006C4037">
        <w:rPr>
          <w:rFonts w:ascii="Arial" w:hAnsi="Arial" w:cs="Arial"/>
        </w:rPr>
        <w:t xml:space="preserve">remains a considerable </w:t>
      </w:r>
      <w:r w:rsidRPr="006C4037">
        <w:rPr>
          <w:rFonts w:ascii="Arial" w:hAnsi="Arial" w:cs="Arial"/>
        </w:rPr>
        <w:t>need</w:t>
      </w:r>
      <w:r w:rsidR="00334556" w:rsidRPr="006C4037">
        <w:rPr>
          <w:rFonts w:ascii="Arial" w:hAnsi="Arial" w:cs="Arial"/>
        </w:rPr>
        <w:t xml:space="preserve"> for ongoing education and training for </w:t>
      </w:r>
      <w:r w:rsidR="00801F26" w:rsidRPr="006C4037">
        <w:rPr>
          <w:rFonts w:ascii="Arial" w:hAnsi="Arial" w:cs="Arial"/>
        </w:rPr>
        <w:t>hospital, nursing home and primary care staff</w:t>
      </w:r>
      <w:r w:rsidR="00334556" w:rsidRPr="006C4037">
        <w:rPr>
          <w:rFonts w:ascii="Arial" w:hAnsi="Arial" w:cs="Arial"/>
        </w:rPr>
        <w:t>,</w:t>
      </w:r>
      <w:r w:rsidR="00496257" w:rsidRPr="006C4037">
        <w:rPr>
          <w:rFonts w:ascii="Arial" w:hAnsi="Arial" w:cs="Arial"/>
        </w:rPr>
        <w:t xml:space="preserve"> where continuous subcutaneous infusions </w:t>
      </w:r>
      <w:r w:rsidR="00E20415">
        <w:rPr>
          <w:rFonts w:ascii="Arial" w:hAnsi="Arial" w:cs="Arial"/>
        </w:rPr>
        <w:t>are less f</w:t>
      </w:r>
      <w:r w:rsidR="00801F26" w:rsidRPr="006C4037">
        <w:rPr>
          <w:rFonts w:ascii="Arial" w:hAnsi="Arial" w:cs="Arial"/>
        </w:rPr>
        <w:t xml:space="preserve">requently used. There is also much work to be done to reassure and inform patients and relatives about the indications for </w:t>
      </w:r>
      <w:r w:rsidR="00E20415">
        <w:rPr>
          <w:rFonts w:ascii="Arial" w:hAnsi="Arial" w:cs="Arial"/>
        </w:rPr>
        <w:t xml:space="preserve">and effects of the use of </w:t>
      </w:r>
      <w:r w:rsidR="00801F26" w:rsidRPr="006C4037">
        <w:rPr>
          <w:rFonts w:ascii="Arial" w:hAnsi="Arial" w:cs="Arial"/>
        </w:rPr>
        <w:t>syringe drivers in end of life care.</w:t>
      </w:r>
    </w:p>
    <w:p w14:paraId="411407EF" w14:textId="77777777" w:rsidR="00E95745" w:rsidRPr="006C4037" w:rsidRDefault="00E95745" w:rsidP="006C4037">
      <w:pPr>
        <w:spacing w:line="360" w:lineRule="auto"/>
        <w:rPr>
          <w:rFonts w:ascii="Arial" w:hAnsi="Arial" w:cs="Arial"/>
        </w:rPr>
      </w:pPr>
    </w:p>
    <w:p w14:paraId="504D72A3" w14:textId="77777777" w:rsidR="00B33ABE" w:rsidRPr="006C4037" w:rsidRDefault="00B33ABE" w:rsidP="006C4037">
      <w:pPr>
        <w:spacing w:line="360" w:lineRule="auto"/>
        <w:rPr>
          <w:rFonts w:ascii="Arial" w:hAnsi="Arial" w:cs="Arial"/>
        </w:rPr>
      </w:pPr>
    </w:p>
    <w:sectPr w:rsidR="00B33ABE" w:rsidRPr="006C4037" w:rsidSect="006C4037">
      <w:endnotePr>
        <w:numFmt w:val="decimal"/>
      </w:endnotePr>
      <w:pgSz w:w="11906" w:h="16838"/>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6008A" w14:textId="77777777" w:rsidR="00A12793" w:rsidRDefault="00A12793" w:rsidP="00690F60">
      <w:r>
        <w:separator/>
      </w:r>
    </w:p>
  </w:endnote>
  <w:endnote w:type="continuationSeparator" w:id="0">
    <w:p w14:paraId="71B9F37F" w14:textId="77777777" w:rsidR="00A12793" w:rsidRDefault="00A12793" w:rsidP="00690F60">
      <w:r>
        <w:continuationSeparator/>
      </w:r>
    </w:p>
  </w:endnote>
  <w:endnote w:id="1">
    <w:p w14:paraId="23914457" w14:textId="05BCB34D" w:rsidR="00A12793" w:rsidRDefault="00A12793">
      <w:pPr>
        <w:pStyle w:val="EndnoteText"/>
      </w:pPr>
      <w:r>
        <w:rPr>
          <w:rStyle w:val="EndnoteReference"/>
        </w:rPr>
        <w:endnoteRef/>
      </w:r>
      <w:r>
        <w:t xml:space="preserve"> O’Neill W. Subcutaneous infusions: a medical last rite? Palliative Medicine 1994;8:91-93</w:t>
      </w:r>
    </w:p>
  </w:endnote>
  <w:endnote w:id="2">
    <w:p w14:paraId="42C520D4" w14:textId="48996E6E" w:rsidR="00A12793" w:rsidRDefault="00A12793">
      <w:pPr>
        <w:pStyle w:val="EndnoteText"/>
      </w:pPr>
      <w:r>
        <w:rPr>
          <w:rStyle w:val="EndnoteReference"/>
        </w:rPr>
        <w:endnoteRef/>
      </w:r>
      <w:r>
        <w:t xml:space="preserve"> Melanie Philips. Care? No, this is a pathway to killing people that doctors deem worthless. Daily Mail. 14</w:t>
      </w:r>
      <w:r w:rsidRPr="00A908A0">
        <w:rPr>
          <w:vertAlign w:val="superscript"/>
        </w:rPr>
        <w:t>th</w:t>
      </w:r>
      <w:r>
        <w:t xml:space="preserve"> October 2012</w:t>
      </w:r>
    </w:p>
  </w:endnote>
  <w:endnote w:id="3">
    <w:p w14:paraId="1F893A23" w14:textId="412E456E" w:rsidR="00A12793" w:rsidRDefault="00A12793">
      <w:pPr>
        <w:pStyle w:val="EndnoteText"/>
      </w:pPr>
      <w:r>
        <w:rPr>
          <w:rStyle w:val="EndnoteReference"/>
        </w:rPr>
        <w:endnoteRef/>
      </w:r>
      <w:r>
        <w:t xml:space="preserve"> Steve Doughty. Families must get a say on dying patients’ care: victory for the Mail in the aftermath of the Liverpool Care Pathway scandal. Daily Mail, 26</w:t>
      </w:r>
      <w:r w:rsidRPr="00DD0E0D">
        <w:rPr>
          <w:vertAlign w:val="superscript"/>
        </w:rPr>
        <w:t>th</w:t>
      </w:r>
      <w:r>
        <w:t xml:space="preserve"> June 2014</w:t>
      </w:r>
    </w:p>
  </w:endnote>
  <w:endnote w:id="4">
    <w:p w14:paraId="6E881160" w14:textId="272A7424" w:rsidR="00A12793" w:rsidRDefault="00A12793">
      <w:pPr>
        <w:pStyle w:val="EndnoteText"/>
      </w:pPr>
      <w:r>
        <w:rPr>
          <w:rStyle w:val="EndnoteReference"/>
        </w:rPr>
        <w:endnoteRef/>
      </w:r>
      <w:r>
        <w:t xml:space="preserve"> Neuberger. More Care Less Pathway: a review of the Liverpool Care Pathway.15</w:t>
      </w:r>
      <w:r w:rsidRPr="00592AFA">
        <w:rPr>
          <w:vertAlign w:val="superscript"/>
        </w:rPr>
        <w:t>th</w:t>
      </w:r>
      <w:r>
        <w:t xml:space="preserve"> July 2013</w:t>
      </w:r>
    </w:p>
  </w:endnote>
  <w:endnote w:id="5">
    <w:p w14:paraId="2E4D484F" w14:textId="73EDCAC4" w:rsidR="00A12793" w:rsidRDefault="00A12793">
      <w:pPr>
        <w:pStyle w:val="EndnoteText"/>
      </w:pPr>
      <w:r>
        <w:rPr>
          <w:rStyle w:val="EndnoteReference"/>
        </w:rPr>
        <w:endnoteRef/>
      </w:r>
      <w:r>
        <w:t xml:space="preserve"> Hanks G et al. Oxford Textbook of Palliative Medicine, 2011, 4</w:t>
      </w:r>
      <w:r w:rsidRPr="00E42965">
        <w:rPr>
          <w:vertAlign w:val="superscript"/>
        </w:rPr>
        <w:t>th</w:t>
      </w:r>
      <w:r>
        <w:t xml:space="preserve"> edition</w:t>
      </w:r>
    </w:p>
  </w:endnote>
  <w:endnote w:id="6">
    <w:p w14:paraId="5AD463D6" w14:textId="77777777" w:rsidR="00A12793" w:rsidRPr="00A81CCD" w:rsidRDefault="00A12793" w:rsidP="003068F6">
      <w:pPr>
        <w:pStyle w:val="FootnoteText"/>
        <w:rPr>
          <w:rFonts w:ascii="Arial" w:hAnsi="Arial" w:cs="Arial"/>
          <w:lang w:val="en-GB"/>
        </w:rPr>
      </w:pPr>
      <w:r>
        <w:rPr>
          <w:rStyle w:val="EndnoteReference"/>
        </w:rPr>
        <w:endnoteRef/>
      </w:r>
      <w:r w:rsidRPr="00A81CCD">
        <w:rPr>
          <w:sz w:val="28"/>
        </w:rPr>
        <w:t xml:space="preserve"> </w:t>
      </w:r>
      <w:r w:rsidRPr="00A81CCD">
        <w:rPr>
          <w:rFonts w:cs="Arial"/>
        </w:rPr>
        <w:t>Sykes N, Thorns A. The use of opioids and sedatives at the end of life. Lancet Oncology (2003); 4: 312 - 318</w:t>
      </w:r>
    </w:p>
  </w:endnote>
  <w:endnote w:id="7">
    <w:p w14:paraId="2106EECC" w14:textId="77777777" w:rsidR="00A12793" w:rsidRDefault="00A12793" w:rsidP="003068F6">
      <w:pPr>
        <w:pStyle w:val="EndnoteText"/>
      </w:pPr>
      <w:r>
        <w:rPr>
          <w:rStyle w:val="EndnoteReference"/>
        </w:rPr>
        <w:endnoteRef/>
      </w:r>
      <w:r>
        <w:t xml:space="preserve"> Maltoni M et al. Palliative sedation therapy does not hasten death: results from a prospective multicentre study. Annals of Oncology 2009;20:1163-1169</w:t>
      </w:r>
    </w:p>
  </w:endnote>
  <w:endnote w:id="8">
    <w:p w14:paraId="1729DEE9" w14:textId="246FAD48" w:rsidR="00A12793" w:rsidRDefault="00A12793">
      <w:pPr>
        <w:pStyle w:val="EndnoteText"/>
      </w:pPr>
      <w:r>
        <w:rPr>
          <w:rStyle w:val="EndnoteReference"/>
        </w:rPr>
        <w:endnoteRef/>
      </w:r>
      <w:r w:rsidRPr="005717DA">
        <w:t>https://www.gov.uk/government/uploads/system/uploads/attachment_data/file/323188/One_chance_to_get_it_right.pdf</w:t>
      </w:r>
      <w:r>
        <w:t>Leadership alliance for the care of dying people. June 2014</w:t>
      </w:r>
    </w:p>
  </w:endnote>
  <w:endnote w:id="9">
    <w:p w14:paraId="750F86B5" w14:textId="22B64120" w:rsidR="00A12793" w:rsidRDefault="00A12793">
      <w:pPr>
        <w:pStyle w:val="EndnoteText"/>
      </w:pPr>
      <w:r>
        <w:rPr>
          <w:rStyle w:val="EndnoteReference"/>
        </w:rPr>
        <w:endnoteRef/>
      </w:r>
      <w:r>
        <w:t xml:space="preserve"> Cruikshank et al. Using syringe drivers in palliative care within a rural community setting: capturing the whole experience. International journal of palliative nursing 2010;16(3):126-132</w:t>
      </w:r>
    </w:p>
  </w:endnote>
  <w:endnote w:id="10">
    <w:p w14:paraId="32C2FC14" w14:textId="38711B1E" w:rsidR="00A12793" w:rsidRPr="00E42965" w:rsidRDefault="00A12793" w:rsidP="00E42965">
      <w:pPr>
        <w:pStyle w:val="FootnoteText"/>
        <w:rPr>
          <w:rFonts w:cs="Arial"/>
          <w:lang w:val="en-GB"/>
        </w:rPr>
      </w:pPr>
      <w:r>
        <w:rPr>
          <w:rStyle w:val="EndnoteReference"/>
        </w:rPr>
        <w:endnoteRef/>
      </w:r>
      <w:r>
        <w:t xml:space="preserve"> </w:t>
      </w:r>
      <w:r w:rsidRPr="00E42965">
        <w:rPr>
          <w:rFonts w:cs="Arial"/>
        </w:rPr>
        <w:t>Momen N, Hadfield P, Harrison K, Barclay S. (2013) Managing pain in advanced cancer: a survey of United Kingdom General Practitioners and Community Nurses. Journal of Pain and Symptom Management: 46 (3);345 – 354.</w:t>
      </w:r>
    </w:p>
  </w:endnote>
  <w:endnote w:id="11">
    <w:p w14:paraId="58D675FD" w14:textId="662A3167" w:rsidR="00A12793" w:rsidRDefault="00A12793" w:rsidP="006F6688">
      <w:pPr>
        <w:pStyle w:val="EndnoteText"/>
      </w:pPr>
      <w:r>
        <w:rPr>
          <w:rStyle w:val="EndnoteReference"/>
        </w:rPr>
        <w:endnoteRef/>
      </w:r>
      <w:r>
        <w:t xml:space="preserve"> Seymour et al. Do nursing homes for older people have the support they need to provide end of life care? A mixed methods enquiry in England. Palliative Medicine 2010;25(2):125-138</w:t>
      </w:r>
    </w:p>
    <w:p w14:paraId="6FAFD11A" w14:textId="77777777" w:rsidR="00A12793" w:rsidRDefault="00A12793" w:rsidP="006F6688">
      <w:pPr>
        <w:pStyle w:val="EndnoteText"/>
      </w:pPr>
    </w:p>
  </w:endnote>
  <w:endnote w:id="12">
    <w:p w14:paraId="2EB21C4F" w14:textId="3FD293B4" w:rsidR="00A12793" w:rsidRDefault="00A12793">
      <w:pPr>
        <w:pStyle w:val="EndnoteText"/>
      </w:pPr>
      <w:r>
        <w:rPr>
          <w:rStyle w:val="EndnoteReference"/>
        </w:rPr>
        <w:endnoteRef/>
      </w:r>
      <w:r>
        <w:t xml:space="preserve"> Kinley J, Hockley J A baseline review of medication provided to older people in nursing care homes in the last month of life.International  Journal of Palliative nursing 2010;16(5):216-223</w:t>
      </w:r>
    </w:p>
  </w:endnote>
  <w:endnote w:id="13">
    <w:p w14:paraId="3CEDDC97" w14:textId="43DFA3AC" w:rsidR="00A12793" w:rsidRDefault="00A12793">
      <w:pPr>
        <w:pStyle w:val="EndnoteText"/>
      </w:pPr>
      <w:r>
        <w:rPr>
          <w:rStyle w:val="EndnoteReference"/>
        </w:rPr>
        <w:endnoteRef/>
      </w:r>
      <w:r>
        <w:t xml:space="preserve"> UK National Patient Safety Agency (NPSA) Rapid Response Report. Safer Ambulatory Syringe Drivers. NPSA/2010/RRR 019 16</w:t>
      </w:r>
      <w:r w:rsidRPr="00024591">
        <w:rPr>
          <w:vertAlign w:val="superscript"/>
        </w:rPr>
        <w:t>th</w:t>
      </w:r>
      <w:r>
        <w:t xml:space="preserve"> December 2010</w:t>
      </w:r>
    </w:p>
    <w:p w14:paraId="46F5BC52" w14:textId="77777777" w:rsidR="00A12793" w:rsidRDefault="00A12793">
      <w:pPr>
        <w:pStyle w:val="EndnoteText"/>
      </w:pPr>
    </w:p>
  </w:endnote>
  <w:endnote w:id="14">
    <w:p w14:paraId="071B6D04" w14:textId="4FA7F842" w:rsidR="00A12793" w:rsidRDefault="00A12793">
      <w:pPr>
        <w:pStyle w:val="EndnoteText"/>
      </w:pPr>
      <w:r>
        <w:rPr>
          <w:rStyle w:val="EndnoteReference"/>
        </w:rPr>
        <w:endnoteRef/>
      </w:r>
      <w:r>
        <w:t xml:space="preserve"> Freemantle A. Safer ambulatory syringe drivers: experiences of one acute hospital trust. International journal of palliatve medicine 2011;17(2):86-91</w:t>
      </w:r>
    </w:p>
  </w:endnote>
  <w:endnote w:id="15">
    <w:p w14:paraId="707A80D7" w14:textId="6B61E10C" w:rsidR="00A12793" w:rsidRDefault="00A12793">
      <w:pPr>
        <w:pStyle w:val="EndnoteText"/>
      </w:pPr>
      <w:r>
        <w:rPr>
          <w:rStyle w:val="EndnoteReference"/>
        </w:rPr>
        <w:endnoteRef/>
      </w:r>
      <w:r>
        <w:t xml:space="preserve"> Griffith S. Improving practice with action research:resolving the problem of kinking with non metal cannulae. International journal of palliative nursing 2011;17(11):531-536</w:t>
      </w:r>
    </w:p>
  </w:endnote>
  <w:endnote w:id="16">
    <w:p w14:paraId="089E6DE5" w14:textId="42E9D3DF" w:rsidR="00A12793" w:rsidRDefault="00A12793">
      <w:pPr>
        <w:pStyle w:val="EndnoteText"/>
        <w:rPr>
          <w:rFonts w:cs="Arial"/>
          <w:color w:val="0B5519"/>
          <w:szCs w:val="28"/>
        </w:rPr>
      </w:pPr>
      <w:r>
        <w:rPr>
          <w:rStyle w:val="EndnoteReference"/>
        </w:rPr>
        <w:endnoteRef/>
      </w:r>
      <w:r>
        <w:t xml:space="preserve"> </w:t>
      </w:r>
      <w:hyperlink r:id="rId1" w:history="1">
        <w:r w:rsidRPr="004043CE">
          <w:rPr>
            <w:rStyle w:val="Hyperlink"/>
            <w:rFonts w:cs="Arial"/>
            <w:szCs w:val="28"/>
          </w:rPr>
          <w:t>www.palliativedrugs.com/</w:t>
        </w:r>
        <w:r w:rsidRPr="004043CE">
          <w:rPr>
            <w:rStyle w:val="Hyperlink"/>
            <w:rFonts w:cs="Arial"/>
            <w:bCs/>
            <w:szCs w:val="28"/>
          </w:rPr>
          <w:t>syringe</w:t>
        </w:r>
        <w:r w:rsidRPr="004043CE">
          <w:rPr>
            <w:rStyle w:val="Hyperlink"/>
            <w:rFonts w:cs="Arial"/>
            <w:szCs w:val="28"/>
          </w:rPr>
          <w:t>-</w:t>
        </w:r>
        <w:r w:rsidRPr="004043CE">
          <w:rPr>
            <w:rStyle w:val="Hyperlink"/>
            <w:rFonts w:cs="Arial"/>
            <w:bCs/>
            <w:szCs w:val="28"/>
          </w:rPr>
          <w:t>driver</w:t>
        </w:r>
        <w:r w:rsidRPr="004043CE">
          <w:rPr>
            <w:rStyle w:val="Hyperlink"/>
            <w:rFonts w:cs="Arial"/>
            <w:szCs w:val="28"/>
          </w:rPr>
          <w:t>-</w:t>
        </w:r>
        <w:r w:rsidRPr="004043CE">
          <w:rPr>
            <w:rStyle w:val="Hyperlink"/>
            <w:rFonts w:cs="Arial"/>
            <w:bCs/>
            <w:szCs w:val="28"/>
          </w:rPr>
          <w:t>database</w:t>
        </w:r>
        <w:r w:rsidRPr="004043CE">
          <w:rPr>
            <w:rStyle w:val="Hyperlink"/>
            <w:rFonts w:cs="Arial"/>
            <w:szCs w:val="28"/>
          </w:rPr>
          <w:t>-introduction.html</w:t>
        </w:r>
      </w:hyperlink>
    </w:p>
    <w:p w14:paraId="5C466297" w14:textId="77777777" w:rsidR="00A12793" w:rsidRDefault="00A12793">
      <w:pPr>
        <w:pStyle w:val="EndnoteText"/>
      </w:pPr>
    </w:p>
  </w:endnote>
  <w:endnote w:id="17">
    <w:p w14:paraId="18DD00E4" w14:textId="01453E54" w:rsidR="00A12793" w:rsidRDefault="00A12793">
      <w:pPr>
        <w:pStyle w:val="EndnoteText"/>
      </w:pPr>
      <w:r>
        <w:rPr>
          <w:rStyle w:val="EndnoteReference"/>
        </w:rPr>
        <w:endnoteRef/>
      </w:r>
      <w:r>
        <w:t xml:space="preserve"> Wilcox et al. Drugs given by a syringe driver: a prospective multicenter survey of palliative care services in the UK. Palliative Medicine 2006;20(7):661-664</w:t>
      </w:r>
    </w:p>
    <w:p w14:paraId="1F71E2C9" w14:textId="77777777" w:rsidR="00A12793" w:rsidRDefault="00A12793">
      <w:pPr>
        <w:pStyle w:val="EndnoteText"/>
      </w:pPr>
    </w:p>
  </w:endnote>
  <w:endnote w:id="18">
    <w:p w14:paraId="5E661B6B" w14:textId="4BE5A358" w:rsidR="00A12793" w:rsidRDefault="00A12793">
      <w:pPr>
        <w:pStyle w:val="EndnoteText"/>
      </w:pPr>
      <w:r>
        <w:rPr>
          <w:rStyle w:val="EndnoteReference"/>
        </w:rPr>
        <w:endnoteRef/>
      </w:r>
      <w:r>
        <w:t xml:space="preserve"> legislation.gov.uk: medicines act 1968</w:t>
      </w:r>
    </w:p>
  </w:endnote>
  <w:endnote w:id="19">
    <w:p w14:paraId="471F0B77" w14:textId="6EC94266" w:rsidR="00A12793" w:rsidRDefault="00A12793">
      <w:pPr>
        <w:pStyle w:val="EndnoteText"/>
      </w:pPr>
      <w:r>
        <w:rPr>
          <w:rStyle w:val="EndnoteReference"/>
        </w:rPr>
        <w:endnoteRef/>
      </w:r>
      <w:r>
        <w:t xml:space="preserve"> Mixing of medicines prior to administration in clinical practice: medical and non medical prescribing at </w:t>
      </w:r>
      <w:r w:rsidRPr="00A6733B">
        <w:t>www.gov.uk/government/uploads/system/uploads/attachment_data/file/213885/dh_116360.pdf</w:t>
      </w:r>
    </w:p>
  </w:endnote>
  <w:endnote w:id="20">
    <w:p w14:paraId="7A21EDC6" w14:textId="425E37B2" w:rsidR="00A12793" w:rsidRDefault="00A12793">
      <w:pPr>
        <w:pStyle w:val="EndnoteText"/>
      </w:pPr>
      <w:r>
        <w:rPr>
          <w:rStyle w:val="EndnoteReference"/>
        </w:rPr>
        <w:endnoteRef/>
      </w:r>
      <w:r>
        <w:t xml:space="preserve"> Schneider et al. Effect of tubing on loss of clonazepam administered by subcutaneous infusion. Journal of Pain and Symptom Management 2006;31(6):563-567</w:t>
      </w:r>
    </w:p>
    <w:p w14:paraId="338B7AD6" w14:textId="77777777" w:rsidR="00A12793" w:rsidRDefault="00A12793">
      <w:pPr>
        <w:pStyle w:val="EndnoteText"/>
      </w:pPr>
    </w:p>
  </w:endnote>
  <w:endnote w:id="21">
    <w:p w14:paraId="0DE128E7" w14:textId="77777777" w:rsidR="00A12793" w:rsidRDefault="00A12793" w:rsidP="00045292">
      <w:pPr>
        <w:pStyle w:val="EndnoteText"/>
      </w:pPr>
      <w:r>
        <w:rPr>
          <w:rStyle w:val="EndnoteReference"/>
        </w:rPr>
        <w:endnoteRef/>
      </w:r>
      <w:r>
        <w:t xml:space="preserve"> McCleod et al. A practical guide for nurses in diluent selection for a subcutaneous infusion using a syringe driver. International Journal of Palliative Nursing 2006;12(12):558-565</w:t>
      </w:r>
    </w:p>
    <w:p w14:paraId="11EACC96" w14:textId="77777777" w:rsidR="00A12793" w:rsidRDefault="00A12793" w:rsidP="00045292">
      <w:pPr>
        <w:pStyle w:val="EndnoteText"/>
      </w:pPr>
    </w:p>
  </w:endnote>
  <w:endnote w:id="22">
    <w:p w14:paraId="5022FF87" w14:textId="12ACDB10" w:rsidR="00A12793" w:rsidRDefault="00A12793">
      <w:pPr>
        <w:pStyle w:val="EndnoteText"/>
      </w:pPr>
      <w:r>
        <w:rPr>
          <w:rStyle w:val="EndnoteReference"/>
        </w:rPr>
        <w:endnoteRef/>
      </w:r>
      <w:r>
        <w:t xml:space="preserve"> Twycross R and Wilcock A (Eds). Palliative Care Formulary Fourth Edition. Publishers: Palliativedrugs.com 2011</w:t>
      </w:r>
    </w:p>
  </w:endnote>
  <w:endnote w:id="23">
    <w:p w14:paraId="0A2201CC" w14:textId="5263224C" w:rsidR="00A12793" w:rsidRDefault="00A12793">
      <w:pPr>
        <w:pStyle w:val="EndnoteText"/>
      </w:pPr>
      <w:r>
        <w:rPr>
          <w:rStyle w:val="EndnoteReference"/>
        </w:rPr>
        <w:endnoteRef/>
      </w:r>
      <w:r>
        <w:t xml:space="preserve"> Dickman A, Schneider J The syringe driver : continous subcutaneous infusions in palliative care. 3</w:t>
      </w:r>
      <w:r w:rsidRPr="00E42965">
        <w:rPr>
          <w:vertAlign w:val="superscript"/>
        </w:rPr>
        <w:t>rd</w:t>
      </w:r>
      <w:r>
        <w:t xml:space="preserve"> Edition 2011, Oxford University Press</w:t>
      </w:r>
    </w:p>
  </w:endnote>
  <w:endnote w:id="24">
    <w:p w14:paraId="08F42F0C" w14:textId="1ABDA7E4" w:rsidR="00A12793" w:rsidRPr="00E20415" w:rsidRDefault="00A12793" w:rsidP="005C3984">
      <w:pPr>
        <w:widowControl w:val="0"/>
        <w:autoSpaceDE w:val="0"/>
        <w:autoSpaceDN w:val="0"/>
        <w:adjustRightInd w:val="0"/>
        <w:spacing w:after="120"/>
        <w:rPr>
          <w:rFonts w:cs="Arial"/>
          <w:bCs/>
        </w:rPr>
      </w:pPr>
      <w:r>
        <w:rPr>
          <w:rStyle w:val="EndnoteReference"/>
        </w:rPr>
        <w:endnoteRef/>
      </w:r>
      <w:r>
        <w:t xml:space="preserve"> Mitchell et al </w:t>
      </w:r>
      <w:r w:rsidRPr="005C3984">
        <w:rPr>
          <w:rFonts w:cs="Arial"/>
          <w:bCs/>
        </w:rPr>
        <w:t>Incidence and causes for syringe driver site reactions in palliative care: A prospective hospice-based study.</w:t>
      </w:r>
      <w:r>
        <w:rPr>
          <w:rFonts w:cs="Arial"/>
          <w:bCs/>
        </w:rPr>
        <w:t xml:space="preserve"> Palliative Medicine 2012;26(8):979-985</w:t>
      </w:r>
    </w:p>
  </w:endnote>
  <w:endnote w:id="25">
    <w:p w14:paraId="6669320F" w14:textId="1BF28AB2" w:rsidR="00A12793" w:rsidRDefault="00A12793">
      <w:pPr>
        <w:pStyle w:val="EndnoteText"/>
      </w:pPr>
      <w:r>
        <w:rPr>
          <w:rStyle w:val="EndnoteReference"/>
        </w:rPr>
        <w:endnoteRef/>
      </w:r>
      <w:r>
        <w:t xml:space="preserve"> Ross et al. A prospective, within patient comparison between metal butterfly needles and Teflon cannulae in subcutaneous infusions of drugs to terminally ill hospice patients. Palliative Medicine 2002 ;16(1):13-16</w:t>
      </w:r>
    </w:p>
    <w:p w14:paraId="5A05414C" w14:textId="77777777" w:rsidR="00A12793" w:rsidRDefault="00A12793">
      <w:pPr>
        <w:pStyle w:val="EndnoteText"/>
      </w:pPr>
    </w:p>
  </w:endnote>
  <w:endnote w:id="26">
    <w:p w14:paraId="1C556973" w14:textId="6DBFF47D" w:rsidR="00A12793" w:rsidRDefault="00A12793">
      <w:pPr>
        <w:pStyle w:val="EndnoteText"/>
      </w:pPr>
      <w:r>
        <w:rPr>
          <w:rStyle w:val="EndnoteReference"/>
        </w:rPr>
        <w:endnoteRef/>
      </w:r>
      <w:r>
        <w:t xml:space="preserve"> European agency for health and safety at work. Directive 2010/32/EU Prevention from sharp injuries in the hospital and healthcare sector.</w:t>
      </w:r>
      <w:r w:rsidRPr="00DF0A45">
        <w:t xml:space="preserve"> https://osha.europa.eu/en/legislation/directives/sector-specific-and-worker-related-provisions/osh-directives/council-directive-2010-32-eu-prevention-from-sharp-injuries-in-the-hospital-and-healthcare-sector</w:t>
      </w:r>
    </w:p>
  </w:endnote>
  <w:endnote w:id="27">
    <w:p w14:paraId="1DA23F48" w14:textId="3A0537A5" w:rsidR="00A12793" w:rsidRDefault="00A12793">
      <w:pPr>
        <w:pStyle w:val="EndnoteText"/>
      </w:pPr>
      <w:r>
        <w:rPr>
          <w:rStyle w:val="EndnoteReference"/>
        </w:rPr>
        <w:endnoteRef/>
      </w:r>
      <w:r>
        <w:t xml:space="preserve"> Raymond et al. The effect of dexamethasone on the longevity of subcutaneous syringe driver sites in palliative care patients. Medical Journal of Australia 2003;178(10):486-489</w:t>
      </w:r>
    </w:p>
    <w:p w14:paraId="16A6F0B4" w14:textId="77777777" w:rsidR="00A12793" w:rsidRDefault="00A12793">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BD866" w14:textId="77777777" w:rsidR="00A12793" w:rsidRDefault="00A12793" w:rsidP="00690F60">
      <w:r>
        <w:separator/>
      </w:r>
    </w:p>
  </w:footnote>
  <w:footnote w:type="continuationSeparator" w:id="0">
    <w:p w14:paraId="396E7890" w14:textId="77777777" w:rsidR="00A12793" w:rsidRDefault="00A12793" w:rsidP="00690F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601B96"/>
    <w:multiLevelType w:val="hybridMultilevel"/>
    <w:tmpl w:val="2076D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A901918"/>
    <w:multiLevelType w:val="hybridMultilevel"/>
    <w:tmpl w:val="A4EEEB12"/>
    <w:lvl w:ilvl="0" w:tplc="04090011">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trackRevisions/>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493"/>
    <w:rsid w:val="00024591"/>
    <w:rsid w:val="000245ED"/>
    <w:rsid w:val="00030447"/>
    <w:rsid w:val="00031F0C"/>
    <w:rsid w:val="00045292"/>
    <w:rsid w:val="000D0CA1"/>
    <w:rsid w:val="000E093C"/>
    <w:rsid w:val="000E4A75"/>
    <w:rsid w:val="000F721F"/>
    <w:rsid w:val="0011467E"/>
    <w:rsid w:val="00114C17"/>
    <w:rsid w:val="0012110F"/>
    <w:rsid w:val="00162AC1"/>
    <w:rsid w:val="00165663"/>
    <w:rsid w:val="001C65C3"/>
    <w:rsid w:val="002032CA"/>
    <w:rsid w:val="00215833"/>
    <w:rsid w:val="002751AD"/>
    <w:rsid w:val="0028303F"/>
    <w:rsid w:val="00283411"/>
    <w:rsid w:val="00291FA7"/>
    <w:rsid w:val="00294A3D"/>
    <w:rsid w:val="002B7620"/>
    <w:rsid w:val="002D50D7"/>
    <w:rsid w:val="002D6485"/>
    <w:rsid w:val="002D7571"/>
    <w:rsid w:val="002E49E9"/>
    <w:rsid w:val="003068F6"/>
    <w:rsid w:val="00306E99"/>
    <w:rsid w:val="00312139"/>
    <w:rsid w:val="003124EE"/>
    <w:rsid w:val="00334556"/>
    <w:rsid w:val="00345C66"/>
    <w:rsid w:val="00346E00"/>
    <w:rsid w:val="003A1BF9"/>
    <w:rsid w:val="003B7F5D"/>
    <w:rsid w:val="003C289B"/>
    <w:rsid w:val="003F30E5"/>
    <w:rsid w:val="00403B7A"/>
    <w:rsid w:val="0041781A"/>
    <w:rsid w:val="00434BD5"/>
    <w:rsid w:val="0044604A"/>
    <w:rsid w:val="00470B32"/>
    <w:rsid w:val="00473DE7"/>
    <w:rsid w:val="00490715"/>
    <w:rsid w:val="004919EC"/>
    <w:rsid w:val="00496257"/>
    <w:rsid w:val="004B233C"/>
    <w:rsid w:val="004D0557"/>
    <w:rsid w:val="0053789A"/>
    <w:rsid w:val="005717DA"/>
    <w:rsid w:val="00581DD3"/>
    <w:rsid w:val="0058672F"/>
    <w:rsid w:val="00592AFA"/>
    <w:rsid w:val="005C25FC"/>
    <w:rsid w:val="005C3984"/>
    <w:rsid w:val="005D29A5"/>
    <w:rsid w:val="0060052A"/>
    <w:rsid w:val="00690F60"/>
    <w:rsid w:val="006C4037"/>
    <w:rsid w:val="006E0207"/>
    <w:rsid w:val="006F6688"/>
    <w:rsid w:val="00700DB7"/>
    <w:rsid w:val="007062E8"/>
    <w:rsid w:val="007A081F"/>
    <w:rsid w:val="007A555D"/>
    <w:rsid w:val="007A6493"/>
    <w:rsid w:val="00801F26"/>
    <w:rsid w:val="00833C09"/>
    <w:rsid w:val="008C6030"/>
    <w:rsid w:val="008D1BC3"/>
    <w:rsid w:val="008E223F"/>
    <w:rsid w:val="00937EB9"/>
    <w:rsid w:val="00945DBC"/>
    <w:rsid w:val="00947C30"/>
    <w:rsid w:val="00956674"/>
    <w:rsid w:val="00972940"/>
    <w:rsid w:val="009E54C8"/>
    <w:rsid w:val="009F18F4"/>
    <w:rsid w:val="00A01FFA"/>
    <w:rsid w:val="00A026A0"/>
    <w:rsid w:val="00A12793"/>
    <w:rsid w:val="00A3113B"/>
    <w:rsid w:val="00A6287C"/>
    <w:rsid w:val="00A6733B"/>
    <w:rsid w:val="00A76FE4"/>
    <w:rsid w:val="00A908A0"/>
    <w:rsid w:val="00AB1CDF"/>
    <w:rsid w:val="00AC0C43"/>
    <w:rsid w:val="00AD5AE2"/>
    <w:rsid w:val="00B0162F"/>
    <w:rsid w:val="00B2128E"/>
    <w:rsid w:val="00B23F55"/>
    <w:rsid w:val="00B266C5"/>
    <w:rsid w:val="00B33ABE"/>
    <w:rsid w:val="00B34183"/>
    <w:rsid w:val="00B37302"/>
    <w:rsid w:val="00B514C2"/>
    <w:rsid w:val="00B70141"/>
    <w:rsid w:val="00B72F97"/>
    <w:rsid w:val="00B81BCF"/>
    <w:rsid w:val="00B86242"/>
    <w:rsid w:val="00BB7464"/>
    <w:rsid w:val="00BE20FC"/>
    <w:rsid w:val="00BE57EC"/>
    <w:rsid w:val="00BF62ED"/>
    <w:rsid w:val="00C1315C"/>
    <w:rsid w:val="00C25311"/>
    <w:rsid w:val="00C33B32"/>
    <w:rsid w:val="00C53D1B"/>
    <w:rsid w:val="00CC43E2"/>
    <w:rsid w:val="00D066C7"/>
    <w:rsid w:val="00D268A3"/>
    <w:rsid w:val="00D447C9"/>
    <w:rsid w:val="00D46AA3"/>
    <w:rsid w:val="00D5351F"/>
    <w:rsid w:val="00D5754E"/>
    <w:rsid w:val="00D672DC"/>
    <w:rsid w:val="00D801FF"/>
    <w:rsid w:val="00DA2A59"/>
    <w:rsid w:val="00DB63E7"/>
    <w:rsid w:val="00DD0E0D"/>
    <w:rsid w:val="00DF0A45"/>
    <w:rsid w:val="00E019AB"/>
    <w:rsid w:val="00E10DB7"/>
    <w:rsid w:val="00E20415"/>
    <w:rsid w:val="00E30E77"/>
    <w:rsid w:val="00E41485"/>
    <w:rsid w:val="00E42965"/>
    <w:rsid w:val="00E510CB"/>
    <w:rsid w:val="00E84B0B"/>
    <w:rsid w:val="00E85B78"/>
    <w:rsid w:val="00E95745"/>
    <w:rsid w:val="00EA3E2B"/>
    <w:rsid w:val="00EF0189"/>
    <w:rsid w:val="00EF4F44"/>
    <w:rsid w:val="00F02E7E"/>
    <w:rsid w:val="00F178B9"/>
    <w:rsid w:val="00F20CD3"/>
    <w:rsid w:val="00F43BBD"/>
    <w:rsid w:val="00F558C8"/>
    <w:rsid w:val="00F81649"/>
    <w:rsid w:val="00F969AB"/>
    <w:rsid w:val="00FD1602"/>
    <w:rsid w:val="00FD52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208E0A"/>
  <w14:defaultImageDpi w14:val="300"/>
  <w15:docId w15:val="{C91AF244-8F66-44A8-9656-25C590E58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690F60"/>
  </w:style>
  <w:style w:type="character" w:customStyle="1" w:styleId="EndnoteTextChar">
    <w:name w:val="Endnote Text Char"/>
    <w:basedOn w:val="DefaultParagraphFont"/>
    <w:link w:val="EndnoteText"/>
    <w:uiPriority w:val="99"/>
    <w:rsid w:val="00690F60"/>
  </w:style>
  <w:style w:type="character" w:styleId="EndnoteReference">
    <w:name w:val="endnote reference"/>
    <w:basedOn w:val="DefaultParagraphFont"/>
    <w:uiPriority w:val="99"/>
    <w:unhideWhenUsed/>
    <w:rsid w:val="00690F60"/>
    <w:rPr>
      <w:vertAlign w:val="superscript"/>
    </w:rPr>
  </w:style>
  <w:style w:type="paragraph" w:styleId="ListParagraph">
    <w:name w:val="List Paragraph"/>
    <w:basedOn w:val="Normal"/>
    <w:uiPriority w:val="34"/>
    <w:qFormat/>
    <w:rsid w:val="00F20CD3"/>
    <w:pPr>
      <w:ind w:left="720"/>
      <w:contextualSpacing/>
    </w:pPr>
  </w:style>
  <w:style w:type="character" w:styleId="CommentReference">
    <w:name w:val="annotation reference"/>
    <w:basedOn w:val="DefaultParagraphFont"/>
    <w:uiPriority w:val="99"/>
    <w:semiHidden/>
    <w:unhideWhenUsed/>
    <w:rsid w:val="00833C09"/>
    <w:rPr>
      <w:sz w:val="18"/>
      <w:szCs w:val="18"/>
    </w:rPr>
  </w:style>
  <w:style w:type="paragraph" w:styleId="CommentText">
    <w:name w:val="annotation text"/>
    <w:basedOn w:val="Normal"/>
    <w:link w:val="CommentTextChar"/>
    <w:uiPriority w:val="99"/>
    <w:semiHidden/>
    <w:unhideWhenUsed/>
    <w:rsid w:val="00833C09"/>
  </w:style>
  <w:style w:type="character" w:customStyle="1" w:styleId="CommentTextChar">
    <w:name w:val="Comment Text Char"/>
    <w:basedOn w:val="DefaultParagraphFont"/>
    <w:link w:val="CommentText"/>
    <w:uiPriority w:val="99"/>
    <w:semiHidden/>
    <w:rsid w:val="00833C09"/>
  </w:style>
  <w:style w:type="paragraph" w:styleId="CommentSubject">
    <w:name w:val="annotation subject"/>
    <w:basedOn w:val="CommentText"/>
    <w:next w:val="CommentText"/>
    <w:link w:val="CommentSubjectChar"/>
    <w:uiPriority w:val="99"/>
    <w:semiHidden/>
    <w:unhideWhenUsed/>
    <w:rsid w:val="00833C09"/>
    <w:rPr>
      <w:b/>
      <w:bCs/>
      <w:sz w:val="20"/>
      <w:szCs w:val="20"/>
    </w:rPr>
  </w:style>
  <w:style w:type="character" w:customStyle="1" w:styleId="CommentSubjectChar">
    <w:name w:val="Comment Subject Char"/>
    <w:basedOn w:val="CommentTextChar"/>
    <w:link w:val="CommentSubject"/>
    <w:uiPriority w:val="99"/>
    <w:semiHidden/>
    <w:rsid w:val="00833C09"/>
    <w:rPr>
      <w:b/>
      <w:bCs/>
      <w:sz w:val="20"/>
      <w:szCs w:val="20"/>
    </w:rPr>
  </w:style>
  <w:style w:type="paragraph" w:styleId="BalloonText">
    <w:name w:val="Balloon Text"/>
    <w:basedOn w:val="Normal"/>
    <w:link w:val="BalloonTextChar"/>
    <w:uiPriority w:val="99"/>
    <w:semiHidden/>
    <w:unhideWhenUsed/>
    <w:rsid w:val="00833C0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33C09"/>
    <w:rPr>
      <w:rFonts w:ascii="Lucida Grande" w:hAnsi="Lucida Grande" w:cs="Lucida Grande"/>
      <w:sz w:val="18"/>
      <w:szCs w:val="18"/>
    </w:rPr>
  </w:style>
  <w:style w:type="paragraph" w:styleId="FootnoteText">
    <w:name w:val="footnote text"/>
    <w:basedOn w:val="Normal"/>
    <w:link w:val="FootnoteTextChar"/>
    <w:uiPriority w:val="99"/>
    <w:unhideWhenUsed/>
    <w:rsid w:val="002D6485"/>
  </w:style>
  <w:style w:type="character" w:customStyle="1" w:styleId="FootnoteTextChar">
    <w:name w:val="Footnote Text Char"/>
    <w:basedOn w:val="DefaultParagraphFont"/>
    <w:link w:val="FootnoteText"/>
    <w:uiPriority w:val="99"/>
    <w:rsid w:val="002D6485"/>
  </w:style>
  <w:style w:type="character" w:styleId="FootnoteReference">
    <w:name w:val="footnote reference"/>
    <w:basedOn w:val="DefaultParagraphFont"/>
    <w:uiPriority w:val="99"/>
    <w:unhideWhenUsed/>
    <w:rsid w:val="002D6485"/>
    <w:rPr>
      <w:vertAlign w:val="superscript"/>
    </w:rPr>
  </w:style>
  <w:style w:type="character" w:styleId="Hyperlink">
    <w:name w:val="Hyperlink"/>
    <w:basedOn w:val="DefaultParagraphFont"/>
    <w:uiPriority w:val="99"/>
    <w:unhideWhenUsed/>
    <w:rsid w:val="00E2041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endnotes.xml.rels><?xml version="1.0" encoding="UTF-8" standalone="yes"?>
<Relationships xmlns="http://schemas.openxmlformats.org/package/2006/relationships"><Relationship Id="rId1" Type="http://schemas.openxmlformats.org/officeDocument/2006/relationships/hyperlink" Target="http://www.palliativedrugs.com/syringe-driver-database-introducti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2029</Words>
  <Characters>11568</Characters>
  <Application>Microsoft Office Word</Application>
  <DocSecurity>4</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tabitha smith</dc:creator>
  <cp:lastModifiedBy>Stephen I G Barclay</cp:lastModifiedBy>
  <cp:revision>2</cp:revision>
  <dcterms:created xsi:type="dcterms:W3CDTF">2017-11-26T16:44:00Z</dcterms:created>
  <dcterms:modified xsi:type="dcterms:W3CDTF">2017-11-26T16:44:00Z</dcterms:modified>
</cp:coreProperties>
</file>