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A3A930" w14:textId="77777777" w:rsidR="00A1314D" w:rsidRDefault="00420744" w:rsidP="00A1314D">
      <w:pPr>
        <w:spacing w:line="360" w:lineRule="auto"/>
        <w:jc w:val="center"/>
        <w:rPr>
          <w:caps/>
          <w:lang w:val="en-US"/>
        </w:rPr>
      </w:pPr>
      <w:r w:rsidRPr="00A1314D">
        <w:rPr>
          <w:caps/>
          <w:lang w:val="en-US"/>
        </w:rPr>
        <w:t>St George’s Museum and John Ruskin’</w:t>
      </w:r>
      <w:r w:rsidR="00EE371D" w:rsidRPr="00A1314D">
        <w:rPr>
          <w:caps/>
          <w:lang w:val="en-US"/>
        </w:rPr>
        <w:t xml:space="preserve">s </w:t>
      </w:r>
    </w:p>
    <w:p w14:paraId="529E8B40" w14:textId="77777777" w:rsidR="00EE371D" w:rsidRPr="00A1314D" w:rsidRDefault="00EE371D" w:rsidP="00A1314D">
      <w:pPr>
        <w:spacing w:line="360" w:lineRule="auto"/>
        <w:jc w:val="center"/>
        <w:rPr>
          <w:caps/>
          <w:lang w:val="en-US"/>
        </w:rPr>
      </w:pPr>
      <w:r w:rsidRPr="00A1314D">
        <w:rPr>
          <w:caps/>
          <w:lang w:val="en-US"/>
        </w:rPr>
        <w:t>Reconstructive Intelligence</w:t>
      </w:r>
    </w:p>
    <w:p w14:paraId="2750F6E9" w14:textId="77777777" w:rsidR="00A077E0" w:rsidRDefault="009A1926" w:rsidP="009A1926">
      <w:pPr>
        <w:spacing w:line="360" w:lineRule="auto"/>
        <w:jc w:val="center"/>
        <w:rPr>
          <w:lang w:val="en-US"/>
        </w:rPr>
      </w:pPr>
      <w:r>
        <w:rPr>
          <w:lang w:val="en-US"/>
        </w:rPr>
        <w:t>Marcus Waithe</w:t>
      </w:r>
    </w:p>
    <w:p w14:paraId="681D0842" w14:textId="77777777" w:rsidR="00D40C57" w:rsidRDefault="00D40C57" w:rsidP="00A1314D">
      <w:pPr>
        <w:spacing w:line="360" w:lineRule="auto"/>
        <w:ind w:firstLine="567"/>
        <w:rPr>
          <w:lang w:val="en-US"/>
        </w:rPr>
      </w:pPr>
    </w:p>
    <w:p w14:paraId="3CD2ADFC" w14:textId="77777777" w:rsidR="00D40C57" w:rsidRPr="009A1926" w:rsidRDefault="009A1926" w:rsidP="009A1926">
      <w:pPr>
        <w:ind w:right="-7"/>
        <w:jc w:val="both"/>
        <w:rPr>
          <w:lang w:val="en-US"/>
        </w:rPr>
      </w:pPr>
      <w:r>
        <w:rPr>
          <w:i/>
        </w:rPr>
        <w:t xml:space="preserve">Abstract. </w:t>
      </w:r>
      <w:r w:rsidR="00285BA1" w:rsidRPr="00830B4B">
        <w:t>John Ruskin was outspoken in his opposition to the practice of antiq</w:t>
      </w:r>
      <w:bookmarkStart w:id="0" w:name="_GoBack"/>
      <w:bookmarkEnd w:id="0"/>
      <w:r w:rsidR="00285BA1" w:rsidRPr="00830B4B">
        <w:t xml:space="preserve">uarian rebuilding known in the Victorian period as ‘restoration’, and he was particularly disturbed by its effects on the architectural fabric of Venice. These objections focused </w:t>
      </w:r>
      <w:r w:rsidR="00285BA1">
        <w:t>on the practice of</w:t>
      </w:r>
      <w:r w:rsidR="00285BA1" w:rsidRPr="00830B4B">
        <w:t xml:space="preserve"> building ‘models’</w:t>
      </w:r>
      <w:r w:rsidR="00285BA1">
        <w:t xml:space="preserve"> </w:t>
      </w:r>
      <w:r w:rsidR="00285BA1" w:rsidRPr="00830B4B">
        <w:t>in the quarry of the original work. Without denying the force of such concerns, this paper makes the case that Ruskin possessed an unusually developed ‘reconstructive intelligence’, which operated more freely when the integrity of the o</w:t>
      </w:r>
      <w:r w:rsidR="00285BA1">
        <w:t>riginal was not in jeopardy. I argue</w:t>
      </w:r>
      <w:r w:rsidR="00285BA1" w:rsidRPr="00830B4B">
        <w:t xml:space="preserve"> that this tendency – a kind of evidence-based dreaming – should be given more weight in assessing his approaches both to </w:t>
      </w:r>
      <w:r w:rsidR="00285BA1">
        <w:t>Venice</w:t>
      </w:r>
      <w:r w:rsidR="00285BA1" w:rsidRPr="00830B4B">
        <w:t>, and to his wider programme of museum-based preservation.</w:t>
      </w:r>
    </w:p>
    <w:p w14:paraId="7969667F" w14:textId="77777777" w:rsidR="009A1926" w:rsidRDefault="009A1926" w:rsidP="003F4AC2">
      <w:pPr>
        <w:spacing w:line="360" w:lineRule="auto"/>
        <w:rPr>
          <w:b/>
          <w:u w:val="single"/>
        </w:rPr>
      </w:pPr>
    </w:p>
    <w:p w14:paraId="5B8E210D" w14:textId="77777777" w:rsidR="009A1926" w:rsidRPr="00253E7F" w:rsidRDefault="009A1926" w:rsidP="00A1314D">
      <w:pPr>
        <w:spacing w:line="360" w:lineRule="auto"/>
        <w:ind w:firstLine="567"/>
        <w:rPr>
          <w:b/>
          <w:u w:val="single"/>
        </w:rPr>
      </w:pPr>
    </w:p>
    <w:p w14:paraId="7696E6EE" w14:textId="77777777" w:rsidR="007171AA" w:rsidRDefault="00B4102E" w:rsidP="00A1314D">
      <w:pPr>
        <w:widowControl w:val="0"/>
        <w:autoSpaceDE w:val="0"/>
        <w:autoSpaceDN w:val="0"/>
        <w:adjustRightInd w:val="0"/>
        <w:spacing w:line="360" w:lineRule="auto"/>
        <w:jc w:val="both"/>
      </w:pPr>
      <w:r w:rsidRPr="00830B4B">
        <w:t xml:space="preserve">The last </w:t>
      </w:r>
      <w:r w:rsidR="00D526E7">
        <w:t>fifteen</w:t>
      </w:r>
      <w:r w:rsidR="0000358D">
        <w:t xml:space="preserve"> years have</w:t>
      </w:r>
      <w:r w:rsidRPr="00830B4B">
        <w:t xml:space="preserve"> witness</w:t>
      </w:r>
      <w:r w:rsidR="0000358D">
        <w:t>ed</w:t>
      </w:r>
      <w:r w:rsidR="00570D27" w:rsidRPr="00830B4B">
        <w:t xml:space="preserve"> steady growth in </w:t>
      </w:r>
      <w:r w:rsidR="00766760">
        <w:t>the so-</w:t>
      </w:r>
      <w:r w:rsidR="00570D27" w:rsidRPr="00830B4B">
        <w:t>c</w:t>
      </w:r>
      <w:r w:rsidR="0000358D">
        <w:t xml:space="preserve">alled the ‘digital humanities’, and with it, </w:t>
      </w:r>
      <w:r w:rsidR="00412C9F" w:rsidRPr="00830B4B">
        <w:t>increasing</w:t>
      </w:r>
      <w:r w:rsidR="00FC0067" w:rsidRPr="00830B4B">
        <w:t xml:space="preserve"> interaction between researchers based in universities and curators</w:t>
      </w:r>
      <w:r w:rsidR="0000358D">
        <w:t xml:space="preserve"> working</w:t>
      </w:r>
      <w:r w:rsidR="00FC0067" w:rsidRPr="00830B4B">
        <w:t xml:space="preserve"> in museums</w:t>
      </w:r>
      <w:r w:rsidR="00412C9F" w:rsidRPr="00830B4B">
        <w:t>. While some of this contact has been fostered by the po</w:t>
      </w:r>
      <w:r w:rsidR="00EC2115" w:rsidRPr="00830B4B">
        <w:t xml:space="preserve">licies of </w:t>
      </w:r>
      <w:r w:rsidR="002E05FA">
        <w:t>state-funded</w:t>
      </w:r>
      <w:r w:rsidR="0000358D">
        <w:t xml:space="preserve"> </w:t>
      </w:r>
      <w:r w:rsidR="00EC2115" w:rsidRPr="00830B4B">
        <w:t xml:space="preserve">research councils, it is also </w:t>
      </w:r>
      <w:r w:rsidR="0000358D">
        <w:t xml:space="preserve">a </w:t>
      </w:r>
      <w:r w:rsidR="009419CD">
        <w:t>natural consequence of recent</w:t>
      </w:r>
      <w:r w:rsidR="0000358D">
        <w:t xml:space="preserve"> </w:t>
      </w:r>
      <w:r w:rsidR="0075546E">
        <w:t xml:space="preserve">political and </w:t>
      </w:r>
      <w:r w:rsidR="00D0788B" w:rsidRPr="00830B4B">
        <w:t xml:space="preserve">technological emphasis on accessibility: </w:t>
      </w:r>
      <w:r w:rsidR="002A674F" w:rsidRPr="00830B4B">
        <w:t xml:space="preserve">translated into online contexts, objects formerly lodged exclusively in museums </w:t>
      </w:r>
      <w:r w:rsidR="00D526E7">
        <w:t>have acquired new</w:t>
      </w:r>
      <w:r w:rsidR="00EC424A" w:rsidRPr="00830B4B">
        <w:t xml:space="preserve"> </w:t>
      </w:r>
      <w:r w:rsidR="00EE371D">
        <w:t>keepers and new interpreters</w:t>
      </w:r>
      <w:r w:rsidR="00A932E4" w:rsidRPr="00830B4B">
        <w:t xml:space="preserve">. </w:t>
      </w:r>
      <w:r w:rsidR="007171AA">
        <w:t>D</w:t>
      </w:r>
      <w:r w:rsidR="00A932E4" w:rsidRPr="00830B4B">
        <w:t xml:space="preserve">igital projects </w:t>
      </w:r>
      <w:r w:rsidR="00EE371D">
        <w:t>have risen to this challenge</w:t>
      </w:r>
      <w:r w:rsidR="0000358D">
        <w:t xml:space="preserve"> by</w:t>
      </w:r>
      <w:r w:rsidR="002E05FA">
        <w:t xml:space="preserve"> going beyond the format of the </w:t>
      </w:r>
      <w:r w:rsidR="00A932E4" w:rsidRPr="00830B4B">
        <w:t xml:space="preserve">electronic database, </w:t>
      </w:r>
      <w:r w:rsidR="00626BAA" w:rsidRPr="00830B4B">
        <w:t xml:space="preserve">to explore the semantic </w:t>
      </w:r>
      <w:r w:rsidR="00AB2749" w:rsidRPr="00830B4B">
        <w:t>implications</w:t>
      </w:r>
      <w:r w:rsidR="00626BAA" w:rsidRPr="00830B4B">
        <w:t xml:space="preserve">, and chance revelations, </w:t>
      </w:r>
      <w:r w:rsidR="0068309D" w:rsidRPr="00830B4B">
        <w:t>engendered by</w:t>
      </w:r>
      <w:r w:rsidR="00721AC5">
        <w:t xml:space="preserve"> the</w:t>
      </w:r>
      <w:r w:rsidR="002E05FA">
        <w:t xml:space="preserve"> less schematic expressions of digital culture</w:t>
      </w:r>
      <w:r w:rsidR="0068309D" w:rsidRPr="00830B4B">
        <w:t>.</w:t>
      </w:r>
      <w:r w:rsidR="002E05FA">
        <w:t xml:space="preserve"> Where museum website</w:t>
      </w:r>
      <w:r w:rsidR="00721AC5">
        <w:t>s</w:t>
      </w:r>
      <w:r w:rsidR="002E05FA">
        <w:t xml:space="preserve"> once</w:t>
      </w:r>
      <w:r w:rsidR="00721AC5">
        <w:t xml:space="preserve"> aspired </w:t>
      </w:r>
      <w:r w:rsidR="00EE2989">
        <w:t>to catalogue</w:t>
      </w:r>
      <w:r w:rsidR="002E05FA">
        <w:t xml:space="preserve"> images</w:t>
      </w:r>
      <w:r w:rsidR="00EE2989">
        <w:t xml:space="preserve"> online</w:t>
      </w:r>
      <w:r w:rsidR="002E05FA">
        <w:t xml:space="preserve">, </w:t>
      </w:r>
      <w:r w:rsidR="00721AC5">
        <w:t>they are now more interested in exploring</w:t>
      </w:r>
      <w:r w:rsidR="002E05FA">
        <w:t xml:space="preserve"> </w:t>
      </w:r>
      <w:r w:rsidR="00721AC5">
        <w:t xml:space="preserve">the links between </w:t>
      </w:r>
      <w:r w:rsidR="002E05FA">
        <w:t xml:space="preserve">immaterial formats </w:t>
      </w:r>
      <w:r w:rsidR="00721AC5">
        <w:t>and material contexts</w:t>
      </w:r>
      <w:r w:rsidR="002E05FA">
        <w:t>.</w:t>
      </w:r>
      <w:r w:rsidR="0068309D" w:rsidRPr="00830B4B">
        <w:t xml:space="preserve"> </w:t>
      </w:r>
      <w:r w:rsidR="00721AC5">
        <w:t>In the light of this dual awareness, w</w:t>
      </w:r>
      <w:r w:rsidR="002E05FA">
        <w:t xml:space="preserve">e are now more than ever conscious of the contingent factors </w:t>
      </w:r>
      <w:r w:rsidR="00721AC5">
        <w:t xml:space="preserve">that </w:t>
      </w:r>
      <w:r w:rsidR="002E05FA">
        <w:t>influenc</w:t>
      </w:r>
      <w:r w:rsidR="00721AC5">
        <w:t>e</w:t>
      </w:r>
      <w:r w:rsidR="002E05FA">
        <w:t xml:space="preserve"> our reception of museum objects and the different pasts they represent.</w:t>
      </w:r>
    </w:p>
    <w:p w14:paraId="1626384B" w14:textId="77777777" w:rsidR="00974F9C" w:rsidRDefault="002F644D" w:rsidP="00A1314D">
      <w:pPr>
        <w:widowControl w:val="0"/>
        <w:autoSpaceDE w:val="0"/>
        <w:autoSpaceDN w:val="0"/>
        <w:adjustRightInd w:val="0"/>
        <w:spacing w:line="360" w:lineRule="auto"/>
        <w:ind w:firstLine="567"/>
        <w:jc w:val="both"/>
      </w:pPr>
      <w:r>
        <w:t>I shall begin by addressing</w:t>
      </w:r>
      <w:r w:rsidR="00721AC5">
        <w:t xml:space="preserve"> </w:t>
      </w:r>
      <w:r w:rsidR="00EE371D">
        <w:t xml:space="preserve">digital </w:t>
      </w:r>
      <w:r w:rsidR="00721AC5">
        <w:t>presentation</w:t>
      </w:r>
      <w:r w:rsidR="00766760">
        <w:t xml:space="preserve"> </w:t>
      </w:r>
      <w:r w:rsidR="00EE371D">
        <w:t xml:space="preserve">methods </w:t>
      </w:r>
      <w:r w:rsidR="0000358D">
        <w:t>that take</w:t>
      </w:r>
      <w:r w:rsidR="00266FD2">
        <w:t xml:space="preserve"> ‘reconstruction’, or ‘visualisation’</w:t>
      </w:r>
      <w:r w:rsidR="003A0C1A">
        <w:t>,</w:t>
      </w:r>
      <w:r w:rsidR="00266FD2">
        <w:t xml:space="preserve"> as their aim</w:t>
      </w:r>
      <w:r w:rsidR="00721AC5">
        <w:t xml:space="preserve">. </w:t>
      </w:r>
      <w:r w:rsidR="002270FB">
        <w:t>I am particularly interested in</w:t>
      </w:r>
      <w:r w:rsidR="00EE2989">
        <w:t xml:space="preserve"> </w:t>
      </w:r>
      <w:r w:rsidR="007171AA">
        <w:t>what such a</w:t>
      </w:r>
      <w:r w:rsidR="002270FB">
        <w:t>pproaches</w:t>
      </w:r>
      <w:r w:rsidR="007171AA">
        <w:t xml:space="preserve"> owe to</w:t>
      </w:r>
      <w:r w:rsidR="00EE2989">
        <w:t xml:space="preserve"> nineteenth-century precedents, </w:t>
      </w:r>
      <w:r w:rsidR="002270FB">
        <w:t>especially as traced to the museological experiments of</w:t>
      </w:r>
      <w:r w:rsidR="00EE2989">
        <w:t xml:space="preserve"> John Ruskin. </w:t>
      </w:r>
      <w:r w:rsidR="002270FB">
        <w:t xml:space="preserve">This line of enquiry </w:t>
      </w:r>
      <w:r w:rsidR="00D526E7">
        <w:t>arises</w:t>
      </w:r>
      <w:r w:rsidR="002270FB">
        <w:t xml:space="preserve"> in a practical, as well as a theoretical</w:t>
      </w:r>
      <w:r w:rsidR="00D526E7">
        <w:t>,</w:t>
      </w:r>
      <w:r w:rsidR="002270FB">
        <w:t xml:space="preserve"> context. In 2010, I launched </w:t>
      </w:r>
      <w:r w:rsidR="006A77B2" w:rsidRPr="00830B4B">
        <w:rPr>
          <w:i/>
          <w:iCs/>
        </w:rPr>
        <w:t>Ruskin at Walkley: Reconstructing the St George’s Museum</w:t>
      </w:r>
      <w:r w:rsidR="002270FB">
        <w:rPr>
          <w:iCs/>
        </w:rPr>
        <w:t>,</w:t>
      </w:r>
      <w:r w:rsidR="00CF14AE">
        <w:rPr>
          <w:iCs/>
        </w:rPr>
        <w:t xml:space="preserve"> </w:t>
      </w:r>
      <w:r w:rsidR="001C6FA6">
        <w:rPr>
          <w:iCs/>
        </w:rPr>
        <w:t xml:space="preserve">a web resource </w:t>
      </w:r>
      <w:r w:rsidR="007E12C3">
        <w:rPr>
          <w:iCs/>
        </w:rPr>
        <w:t>comprising objects from t</w:t>
      </w:r>
      <w:r w:rsidR="001C6FA6">
        <w:rPr>
          <w:iCs/>
        </w:rPr>
        <w:t>he Ruskin Collection</w:t>
      </w:r>
      <w:r w:rsidR="007F0A01">
        <w:rPr>
          <w:iCs/>
        </w:rPr>
        <w:t xml:space="preserve">, </w:t>
      </w:r>
      <w:r w:rsidR="006A77B2" w:rsidRPr="00830B4B">
        <w:t xml:space="preserve">an archive of over 900 paintings, </w:t>
      </w:r>
      <w:r w:rsidR="006A77B2" w:rsidRPr="00830B4B">
        <w:lastRenderedPageBreak/>
        <w:t xml:space="preserve">6300 ornithological prints and 30 plaster casts, </w:t>
      </w:r>
      <w:r w:rsidR="00B40D45">
        <w:t xml:space="preserve">now </w:t>
      </w:r>
      <w:r w:rsidR="007F0A01">
        <w:t xml:space="preserve">based </w:t>
      </w:r>
      <w:r w:rsidR="002270FB">
        <w:t>at</w:t>
      </w:r>
      <w:r w:rsidR="006A77B2" w:rsidRPr="00830B4B">
        <w:t xml:space="preserve"> Sheffield’s Millennium Gallery.</w:t>
      </w:r>
      <w:r w:rsidR="00CF14AE">
        <w:rPr>
          <w:rStyle w:val="FootnoteReference"/>
        </w:rPr>
        <w:footnoteReference w:id="1"/>
      </w:r>
      <w:r w:rsidR="006A77B2" w:rsidRPr="00830B4B">
        <w:t xml:space="preserve"> Founded by Ruskin </w:t>
      </w:r>
      <w:r w:rsidR="00EE371D">
        <w:t xml:space="preserve">in 1875 </w:t>
      </w:r>
      <w:r w:rsidR="006A77B2" w:rsidRPr="00830B4B">
        <w:t>as the St George’s Museum</w:t>
      </w:r>
      <w:r w:rsidR="00B40D45">
        <w:t xml:space="preserve">, </w:t>
      </w:r>
      <w:r w:rsidR="006A77B2" w:rsidRPr="00830B4B">
        <w:t xml:space="preserve">its first home was a cottage in </w:t>
      </w:r>
      <w:r w:rsidR="002270FB">
        <w:t>a suburb at the North West edge of Sheffield, called</w:t>
      </w:r>
      <w:r w:rsidR="006B1996">
        <w:t xml:space="preserve"> Walkley</w:t>
      </w:r>
      <w:r w:rsidR="00B40D45">
        <w:t>. The new institution’s</w:t>
      </w:r>
      <w:r w:rsidR="00E1761E">
        <w:t xml:space="preserve"> declared purpose</w:t>
      </w:r>
      <w:r w:rsidR="00BC336B">
        <w:t>s</w:t>
      </w:r>
      <w:r w:rsidR="00B40D45">
        <w:t xml:space="preserve"> combined Ruskin’s longstanding interest in worker education with his equally longstanding concern with the preservation of valuable human artefacts. In his own words, the Museum sought to foster</w:t>
      </w:r>
      <w:r w:rsidR="006A77B2" w:rsidRPr="00830B4B">
        <w:t xml:space="preserve"> ‘the lib</w:t>
      </w:r>
      <w:r w:rsidR="005A3DF2">
        <w:t>eral education of the artiz</w:t>
      </w:r>
      <w:r w:rsidR="00E1761E">
        <w:t>an</w:t>
      </w:r>
      <w:r w:rsidR="00B03A95">
        <w:t>’</w:t>
      </w:r>
      <w:r w:rsidR="00974F9C">
        <w:rPr>
          <w:rStyle w:val="FootnoteReference"/>
        </w:rPr>
        <w:footnoteReference w:id="2"/>
      </w:r>
      <w:r w:rsidR="00974F9C">
        <w:t xml:space="preserve"> </w:t>
      </w:r>
      <w:r w:rsidR="00974F9C" w:rsidRPr="00830B4B">
        <w:t xml:space="preserve">and </w:t>
      </w:r>
      <w:r w:rsidR="00974F9C">
        <w:t xml:space="preserve">to exhibit ‘memorial studies’ of Venice (30.226). These ‘studies’ were </w:t>
      </w:r>
      <w:r w:rsidR="00974F9C" w:rsidRPr="00830B4B">
        <w:t xml:space="preserve">commissioned from a team of copyists </w:t>
      </w:r>
      <w:r w:rsidR="00974F9C">
        <w:t xml:space="preserve">– several of them Ruskin’s former pupils – </w:t>
      </w:r>
      <w:r w:rsidR="00974F9C" w:rsidRPr="00830B4B">
        <w:t>to record that city’s en</w:t>
      </w:r>
      <w:r w:rsidR="00974F9C">
        <w:t>dangered art and architecture.</w:t>
      </w:r>
    </w:p>
    <w:p w14:paraId="534A443A" w14:textId="77777777" w:rsidR="00974F9C" w:rsidRDefault="00974F9C" w:rsidP="00A1314D">
      <w:pPr>
        <w:widowControl w:val="0"/>
        <w:autoSpaceDE w:val="0"/>
        <w:autoSpaceDN w:val="0"/>
        <w:adjustRightInd w:val="0"/>
        <w:spacing w:line="360" w:lineRule="auto"/>
        <w:ind w:firstLine="567"/>
        <w:jc w:val="both"/>
      </w:pPr>
      <w:r>
        <w:t>P</w:t>
      </w:r>
      <w:r w:rsidRPr="00830B4B">
        <w:t xml:space="preserve">resented in the form of an online museum, </w:t>
      </w:r>
      <w:r>
        <w:rPr>
          <w:i/>
        </w:rPr>
        <w:t>Ruskin at Walkley</w:t>
      </w:r>
      <w:r w:rsidRPr="00830B4B">
        <w:t xml:space="preserve"> uses Victorian photographs</w:t>
      </w:r>
      <w:r>
        <w:t>, combined with interactive features,</w:t>
      </w:r>
      <w:r w:rsidRPr="00830B4B">
        <w:t xml:space="preserve"> to convey the impression that </w:t>
      </w:r>
      <w:r>
        <w:t>‘visitors’</w:t>
      </w:r>
      <w:r w:rsidRPr="00830B4B">
        <w:t xml:space="preserve"> ar</w:t>
      </w:r>
      <w:r>
        <w:t>e exploring long lost displays. Temporarily displacing the Collection’s modern metropolitan setting, the aim is to restore public awareness of its origins in an experimental museum, located in a nearby suburb. Partly due to lack of space, and partly because the Collection was never conceived as an antiquarian resource, this history competes with the more pressing messages that draw visitors to Ruskin’s agendas of observational drawing and social reform. Modern exhibition standards have also obliged the curators to keep items of the original furniture – much of it designed by Ruskin – in store. The website’s virtual approach was adapted to overcome some of these difficulties: there is no limitation on space in the online environment, and the original machinery of display can be witnessed without causing harm to object or visitor. This format allows us to explore connections between objects and the environments that surrounded them in that setting, whether the purpose-built gallery extension, the local streets, the water-powered grind stones of the nearby Rivelin Valley, or the distant views of the Derbyshire hills.</w:t>
      </w:r>
    </w:p>
    <w:p w14:paraId="63283AA3" w14:textId="77777777" w:rsidR="00974F9C" w:rsidRDefault="00974F9C" w:rsidP="00A1314D">
      <w:pPr>
        <w:widowControl w:val="0"/>
        <w:autoSpaceDE w:val="0"/>
        <w:autoSpaceDN w:val="0"/>
        <w:adjustRightInd w:val="0"/>
        <w:spacing w:line="360" w:lineRule="auto"/>
        <w:ind w:firstLine="567"/>
        <w:jc w:val="both"/>
      </w:pPr>
      <w:r>
        <w:t xml:space="preserve">The task of building a web-based museum leads more quickly into theoretically open questions than one might imagine. This is because the appropriate limits of ‘reconstruction’ </w:t>
      </w:r>
      <w:r>
        <w:lastRenderedPageBreak/>
        <w:t>are not always self-evident. To what extent should the illusion of totality be sacrificed to a perpetual registration of what is not known, of what may not be so? The lurking danger is that basic impulses of presentation – one might even say ‘curation’ – will conflict with the integrity of the historical record. Common sense takes us a long way; but there are occasions when the sheer difference of the past throws up ‘false friends’ that confuse difference and familiarity. To take one example,</w:t>
      </w:r>
      <w:r w:rsidRPr="00830B4B">
        <w:t xml:space="preserve"> two interior views </w:t>
      </w:r>
      <w:r>
        <w:t xml:space="preserve">employed in the online museum </w:t>
      </w:r>
      <w:r w:rsidRPr="00830B4B">
        <w:t xml:space="preserve">appear to show the same room </w:t>
      </w:r>
      <w:r w:rsidRPr="00830B4B">
        <w:rPr>
          <w:b/>
          <w:bCs/>
        </w:rPr>
        <w:t>[</w:t>
      </w:r>
      <w:r>
        <w:rPr>
          <w:b/>
          <w:bCs/>
        </w:rPr>
        <w:t>Figure 1 and Figure 2</w:t>
      </w:r>
      <w:r w:rsidRPr="00830B4B">
        <w:rPr>
          <w:b/>
          <w:bCs/>
        </w:rPr>
        <w:t xml:space="preserve">], </w:t>
      </w:r>
      <w:r w:rsidRPr="00830B4B">
        <w:t xml:space="preserve">at the same moment, </w:t>
      </w:r>
      <w:r>
        <w:t xml:space="preserve">but </w:t>
      </w:r>
      <w:r w:rsidRPr="00830B4B">
        <w:t>from different angles</w:t>
      </w:r>
      <w:r>
        <w:t>.</w:t>
      </w:r>
      <w:r>
        <w:rPr>
          <w:rStyle w:val="FootnoteReference"/>
        </w:rPr>
        <w:footnoteReference w:id="3"/>
      </w:r>
      <w:r>
        <w:t xml:space="preserve"> That, at least, is the conclusion the eye draws on being presented with the visual clues. But the impression is suddenly complicated as soon as</w:t>
      </w:r>
      <w:r w:rsidRPr="00830B4B">
        <w:t xml:space="preserve"> one notices that Ruskin’s </w:t>
      </w:r>
      <w:r w:rsidRPr="00830B4B">
        <w:rPr>
          <w:i/>
          <w:iCs/>
        </w:rPr>
        <w:t xml:space="preserve">Santa Maria della Spina </w:t>
      </w:r>
      <w:r w:rsidRPr="00830B4B">
        <w:t>is visible in both</w:t>
      </w:r>
      <w:r>
        <w:t xml:space="preserve"> compositions</w:t>
      </w:r>
      <w:r w:rsidRPr="00830B4B">
        <w:t xml:space="preserve">. </w:t>
      </w:r>
      <w:r>
        <w:t>It would be easy to jump to the conclusion that</w:t>
      </w:r>
      <w:r w:rsidRPr="00830B4B">
        <w:t xml:space="preserve"> the photographs were taken at different times,</w:t>
      </w:r>
      <w:r>
        <w:t xml:space="preserve"> when the interior arrangements were different. But there is another, more unsettling explanation. The room</w:t>
      </w:r>
      <w:r w:rsidRPr="00830B4B">
        <w:t xml:space="preserve"> was</w:t>
      </w:r>
      <w:r>
        <w:t xml:space="preserve"> most likely dressed individually for each exposure, meaning that the images lack the stability that we value in historical records, and that we customarily accord to photographs.</w:t>
      </w:r>
      <w:r w:rsidRPr="00830B4B">
        <w:t xml:space="preserve"> </w:t>
      </w:r>
      <w:r>
        <w:t xml:space="preserve">Such discrepancies are only a serious problem if we persist in imagining that </w:t>
      </w:r>
      <w:r w:rsidRPr="00830B4B">
        <w:t xml:space="preserve">evidences of the past can be </w:t>
      </w:r>
      <w:r>
        <w:t>pasted</w:t>
      </w:r>
      <w:r w:rsidRPr="00830B4B">
        <w:t xml:space="preserve"> together to </w:t>
      </w:r>
      <w:r>
        <w:t xml:space="preserve">form a continuous and coherent world. But the point is that a web audience is unlikely to be so wary: while the website alerts its audiences to the issue, it is no more than an insurance against the subtle misunderstandings engendered by any retrospective arrangement of materials. </w:t>
      </w:r>
    </w:p>
    <w:p w14:paraId="195E69B1" w14:textId="77777777" w:rsidR="00974F9C" w:rsidRPr="00830B4B" w:rsidRDefault="00974F9C" w:rsidP="00A1314D">
      <w:pPr>
        <w:widowControl w:val="0"/>
        <w:autoSpaceDE w:val="0"/>
        <w:autoSpaceDN w:val="0"/>
        <w:adjustRightInd w:val="0"/>
        <w:spacing w:line="360" w:lineRule="auto"/>
        <w:ind w:firstLine="567"/>
        <w:jc w:val="both"/>
      </w:pPr>
      <w:r>
        <w:t>This instance of conflict between the spirit of reconstructive method and the actual matter of history is in no sense isolated. It reflects tensions intrinsic to the nature and formation of t</w:t>
      </w:r>
      <w:r w:rsidRPr="00830B4B">
        <w:t xml:space="preserve">he visualisation techniques employed </w:t>
      </w:r>
      <w:r>
        <w:t xml:space="preserve">today </w:t>
      </w:r>
      <w:r w:rsidRPr="00830B4B">
        <w:t>in the digital humanities</w:t>
      </w:r>
      <w:r>
        <w:t>. The immediate source for such reconstructive methods can be traced to</w:t>
      </w:r>
      <w:r w:rsidRPr="00830B4B">
        <w:t xml:space="preserve"> the tradition of archaeological illustration</w:t>
      </w:r>
      <w:r>
        <w:t>,</w:t>
      </w:r>
      <w:r w:rsidRPr="00830B4B">
        <w:t xml:space="preserve"> whose modern founders were Augustus Pitt-Rivers and Mortimer Wheeler. </w:t>
      </w:r>
      <w:r>
        <w:t xml:space="preserve">According to this practice, the scene of a dig, and the objects it yields, are pieced together in visual form, according to a set of representational conventions. A degree of </w:t>
      </w:r>
      <w:r w:rsidRPr="00830B4B">
        <w:t>artistic licence</w:t>
      </w:r>
      <w:r>
        <w:t xml:space="preserve"> is employed to assemble</w:t>
      </w:r>
      <w:r w:rsidRPr="00830B4B">
        <w:t xml:space="preserve"> what is known into a sequence revealing </w:t>
      </w:r>
      <w:commentRangeStart w:id="1"/>
      <w:commentRangeEnd w:id="1"/>
      <w:r w:rsidR="00CF14AE">
        <w:lastRenderedPageBreak/>
        <w:t>c</w:t>
      </w:r>
      <w:r w:rsidRPr="00830B4B">
        <w:t>onnections and meanings that would otherwise remain obscure: as Lesley and Roy Adkins note, ‘The purpose of the illustration is to convey not only information but also an interpretation of that information’.</w:t>
      </w:r>
      <w:r>
        <w:rPr>
          <w:rStyle w:val="FootnoteReference"/>
        </w:rPr>
        <w:footnoteReference w:id="4"/>
      </w:r>
      <w:r w:rsidRPr="00830B4B">
        <w:t xml:space="preserve"> Long before he made his name </w:t>
      </w:r>
      <w:r>
        <w:t>as an urban historian</w:t>
      </w:r>
      <w:r w:rsidRPr="00830B4B">
        <w:t>, Lewis Mumford</w:t>
      </w:r>
      <w:r>
        <w:t xml:space="preserve"> published an article on ‘The Marriage of Museums’ (1918), in which he</w:t>
      </w:r>
      <w:r w:rsidRPr="00830B4B">
        <w:t xml:space="preserve"> commented on a </w:t>
      </w:r>
      <w:r>
        <w:t>forerunner of this</w:t>
      </w:r>
      <w:r w:rsidRPr="00830B4B">
        <w:t xml:space="preserve"> process</w:t>
      </w:r>
      <w:r>
        <w:t xml:space="preserve"> as he saw it emerging in the leading-edge practice of the day</w:t>
      </w:r>
      <w:r w:rsidRPr="00830B4B">
        <w:t>.</w:t>
      </w:r>
      <w:r>
        <w:rPr>
          <w:rStyle w:val="FootnoteReference"/>
        </w:rPr>
        <w:footnoteReference w:id="5"/>
      </w:r>
      <w:r w:rsidRPr="00830B4B">
        <w:t xml:space="preserve"> </w:t>
      </w:r>
      <w:r>
        <w:t xml:space="preserve">Borrowing the words of Charles Knight, an American painter of dinosaurs, Mumford calls it a ‘second phase of the museum’s </w:t>
      </w:r>
      <w:r w:rsidRPr="00830B4B">
        <w:t>artistic activity’</w:t>
      </w:r>
      <w:r>
        <w:t>.</w:t>
      </w:r>
      <w:r>
        <w:rPr>
          <w:rStyle w:val="FootnoteReference"/>
        </w:rPr>
        <w:footnoteReference w:id="6"/>
      </w:r>
      <w:r>
        <w:t xml:space="preserve"> This involved</w:t>
      </w:r>
      <w:r w:rsidRPr="00830B4B">
        <w:t xml:space="preserve"> the ‘reconstruction’ in drawings, and then in whole galleries, of natural habitats, </w:t>
      </w:r>
      <w:r>
        <w:t xml:space="preserve">whether modern or prehistoric. </w:t>
      </w:r>
      <w:r w:rsidRPr="00830B4B">
        <w:t xml:space="preserve">Mumford </w:t>
      </w:r>
      <w:r>
        <w:t xml:space="preserve">justifies this development according to the principle that </w:t>
      </w:r>
      <w:r w:rsidRPr="00830B4B">
        <w:t>‘knowing and feeling are not warring “faculties” of the mind’,</w:t>
      </w:r>
      <w:r>
        <w:rPr>
          <w:rStyle w:val="FootnoteReference"/>
        </w:rPr>
        <w:footnoteReference w:id="7"/>
      </w:r>
      <w:r w:rsidRPr="00830B4B">
        <w:t xml:space="preserve"> and that ‘science and art are means of opening that oyster</w:t>
      </w:r>
      <w:r>
        <w:t>,</w:t>
      </w:r>
      <w:r w:rsidRPr="00830B4B">
        <w:t xml:space="preserve"> which is the world’.</w:t>
      </w:r>
      <w:r>
        <w:rPr>
          <w:rStyle w:val="FootnoteReference"/>
        </w:rPr>
        <w:footnoteReference w:id="8"/>
      </w:r>
      <w:r w:rsidRPr="00830B4B">
        <w:t xml:space="preserve"> </w:t>
      </w:r>
      <w:r>
        <w:t xml:space="preserve">His </w:t>
      </w:r>
      <w:r w:rsidRPr="00830B4B">
        <w:t>words</w:t>
      </w:r>
      <w:r>
        <w:t xml:space="preserve"> </w:t>
      </w:r>
      <w:r w:rsidRPr="00830B4B">
        <w:t>pre-empt and disarm customary uneas</w:t>
      </w:r>
      <w:r>
        <w:t>e</w:t>
      </w:r>
      <w:r w:rsidRPr="00830B4B">
        <w:t xml:space="preserve"> about the kinds of cross-contamination </w:t>
      </w:r>
      <w:r>
        <w:t>threatened by the combination of</w:t>
      </w:r>
      <w:r w:rsidRPr="00830B4B">
        <w:t xml:space="preserve"> ‘science and art’ in an explo</w:t>
      </w:r>
      <w:r>
        <w:t>ratory process. It is a defence, nevertheless, that contains the force of the original charge, and in that respect invites consideration from both these points of view.</w:t>
      </w:r>
    </w:p>
    <w:p w14:paraId="5609630C" w14:textId="77777777" w:rsidR="00974F9C" w:rsidRDefault="00974F9C" w:rsidP="00A1314D">
      <w:pPr>
        <w:widowControl w:val="0"/>
        <w:autoSpaceDE w:val="0"/>
        <w:autoSpaceDN w:val="0"/>
        <w:adjustRightInd w:val="0"/>
        <w:spacing w:line="360" w:lineRule="auto"/>
        <w:ind w:firstLine="567"/>
        <w:jc w:val="both"/>
      </w:pPr>
      <w:r>
        <w:t>T</w:t>
      </w:r>
      <w:r w:rsidRPr="00830B4B">
        <w:t>he allusion to ‘reco</w:t>
      </w:r>
      <w:r>
        <w:t>nstruction’ in the title of my web project is similarly problematic. It is at once descriptive in its allusion to</w:t>
      </w:r>
      <w:r w:rsidRPr="00830B4B">
        <w:t xml:space="preserve"> </w:t>
      </w:r>
      <w:r>
        <w:t>the aspirations</w:t>
      </w:r>
      <w:r w:rsidRPr="00830B4B">
        <w:t xml:space="preserve"> that prompted</w:t>
      </w:r>
      <w:r>
        <w:t xml:space="preserve"> Ruskin’s</w:t>
      </w:r>
      <w:r w:rsidRPr="00830B4B">
        <w:t xml:space="preserve"> founding of the Museum</w:t>
      </w:r>
      <w:r>
        <w:t xml:space="preserve"> in the first place, and theoretically contentious. </w:t>
      </w:r>
      <w:r w:rsidRPr="00830B4B">
        <w:t>Always anxious about the terms of interaction between historic remains and the freedoms of the artist or architect, Ruskin was vehemently opposed to the mode of antiquarian rebuilding known in the period as ‘restoration’</w:t>
      </w:r>
      <w:r>
        <w:t xml:space="preserve"> (7.42)</w:t>
      </w:r>
      <w:r w:rsidRPr="00830B4B">
        <w:t xml:space="preserve">. </w:t>
      </w:r>
      <w:r>
        <w:t>Given his contributions to the pragmatic and non-interventionist discourse of ‘preservation’, he may seem a counterintuitive source for reconstructive methods. Yet</w:t>
      </w:r>
      <w:r w:rsidR="00A077E0">
        <w:t>,</w:t>
      </w:r>
      <w:r>
        <w:t xml:space="preserve"> I mean to argue that Ruskin possessed a keen reconstructive intelligence, and that his troubled expression of that attribute offers insights into the methodological problems faced by the modern inheritors of this approach.</w:t>
      </w:r>
    </w:p>
    <w:p w14:paraId="4129A298" w14:textId="77777777" w:rsidR="00974F9C" w:rsidRDefault="00974F9C" w:rsidP="00A1314D">
      <w:pPr>
        <w:widowControl w:val="0"/>
        <w:autoSpaceDE w:val="0"/>
        <w:autoSpaceDN w:val="0"/>
        <w:adjustRightInd w:val="0"/>
        <w:spacing w:line="360" w:lineRule="auto"/>
        <w:ind w:firstLine="567"/>
        <w:jc w:val="both"/>
      </w:pPr>
      <w:r>
        <w:lastRenderedPageBreak/>
        <w:t>The age’s</w:t>
      </w:r>
      <w:r w:rsidRPr="00830B4B">
        <w:t xml:space="preserve"> most prominent advocate </w:t>
      </w:r>
      <w:r>
        <w:t xml:space="preserve">of restoration </w:t>
      </w:r>
      <w:r w:rsidRPr="00830B4B">
        <w:t>was the French architect Eugène Viollet-le-Duc, who famously remodelled t</w:t>
      </w:r>
      <w:r>
        <w:t>he ruins of Carcasonne to realiz</w:t>
      </w:r>
      <w:r w:rsidRPr="00830B4B">
        <w:t>e his ideal conception of a medieval fortress. Ruskin was most disturbed by the</w:t>
      </w:r>
      <w:r>
        <w:t xml:space="preserve"> more subtly intrusive</w:t>
      </w:r>
      <w:r w:rsidRPr="00830B4B">
        <w:t xml:space="preserve"> work of restorers at Oxford and Venice. Writing to his Venetian ally in the cause, Count Zorzi, he explained the basis for his oppos</w:t>
      </w:r>
      <w:r>
        <w:t>ition to structural alterations in the observation that even a restoration delivering aesthetic improvements would supplant the old form with a mere likeness: ‘</w:t>
      </w:r>
      <w:r w:rsidRPr="00830B4B">
        <w:t>We can build models of St. Mark’s for ourse</w:t>
      </w:r>
      <w:r>
        <w:t>lves, in England, or in America’, he explains, but ‘</w:t>
      </w:r>
      <w:r w:rsidRPr="00830B4B">
        <w:t xml:space="preserve">We came to Venice to see </w:t>
      </w:r>
      <w:r w:rsidRPr="001723D1">
        <w:rPr>
          <w:i/>
        </w:rPr>
        <w:t>that</w:t>
      </w:r>
      <w:r w:rsidRPr="00830B4B">
        <w:t xml:space="preserve"> St. Mark’s whose pillars had trembled with Crusaders’ shouts</w:t>
      </w:r>
      <w:r>
        <w:t>, seven hundred years ago’ (24.410). In the weathered surfaces of an old building</w:t>
      </w:r>
      <w:r w:rsidRPr="00830B4B">
        <w:t>, Ruskin detects ‘some mysterious suggestion of what it had been, and of what it had lost’</w:t>
      </w:r>
      <w:r>
        <w:t xml:space="preserve"> (7.243)</w:t>
      </w:r>
      <w:r w:rsidRPr="00830B4B">
        <w:t>. And in Zorzi’s attempts to defend St Mark’s from further alteration at the hands of Giovanni Meduna, he sees ‘the revival of the spirit of the Past; the spirit of reverence for the great Dead, of love for the places which their fame illumined’</w:t>
      </w:r>
      <w:r>
        <w:t xml:space="preserve"> (24.405)</w:t>
      </w:r>
      <w:r w:rsidRPr="00830B4B">
        <w:t>. This past is</w:t>
      </w:r>
      <w:r w:rsidR="00CF14AE">
        <w:t xml:space="preserve"> not only</w:t>
      </w:r>
      <w:r w:rsidRPr="00830B4B">
        <w:t xml:space="preserve"> understood in m</w:t>
      </w:r>
      <w:r>
        <w:t>ystical</w:t>
      </w:r>
      <w:r w:rsidRPr="00830B4B">
        <w:t xml:space="preserve"> terms, as a fr</w:t>
      </w:r>
      <w:r w:rsidR="00CF14AE">
        <w:t>agile and irreplaceable essence, but also</w:t>
      </w:r>
      <w:r w:rsidRPr="00830B4B">
        <w:t xml:space="preserve"> a</w:t>
      </w:r>
      <w:r>
        <w:t>s a social reality whose message</w:t>
      </w:r>
      <w:r w:rsidRPr="00830B4B">
        <w:t xml:space="preserve"> of difference </w:t>
      </w:r>
      <w:r>
        <w:t>harbours the</w:t>
      </w:r>
      <w:r w:rsidRPr="00830B4B">
        <w:t xml:space="preserve"> precious vision of an alternative life.</w:t>
      </w:r>
    </w:p>
    <w:p w14:paraId="754F75E3" w14:textId="77777777" w:rsidR="00974F9C" w:rsidRPr="00830B4B" w:rsidRDefault="00974F9C" w:rsidP="00A1314D">
      <w:pPr>
        <w:widowControl w:val="0"/>
        <w:autoSpaceDE w:val="0"/>
        <w:autoSpaceDN w:val="0"/>
        <w:adjustRightInd w:val="0"/>
        <w:spacing w:line="360" w:lineRule="auto"/>
        <w:ind w:firstLine="567"/>
        <w:jc w:val="both"/>
      </w:pPr>
      <w:r>
        <w:t>This</w:t>
      </w:r>
      <w:r w:rsidRPr="00830B4B">
        <w:t xml:space="preserve"> </w:t>
      </w:r>
      <w:r>
        <w:t xml:space="preserve">idea </w:t>
      </w:r>
      <w:r w:rsidRPr="00830B4B">
        <w:t xml:space="preserve">of ‘reconstruction’ – </w:t>
      </w:r>
      <w:r>
        <w:t>resembling as it does</w:t>
      </w:r>
      <w:r w:rsidRPr="00830B4B">
        <w:t xml:space="preserve"> a crude forerunner of experimental archaeology – </w:t>
      </w:r>
      <w:r>
        <w:t>seems</w:t>
      </w:r>
      <w:r w:rsidRPr="00830B4B">
        <w:t xml:space="preserve"> implicated in th</w:t>
      </w:r>
      <w:r>
        <w:t>e</w:t>
      </w:r>
      <w:r w:rsidRPr="00830B4B">
        <w:t xml:space="preserve"> practice of ‘restoration’</w:t>
      </w:r>
      <w:r>
        <w:t xml:space="preserve"> that Ruskin condemned</w:t>
      </w:r>
      <w:r w:rsidRPr="00830B4B">
        <w:t>.</w:t>
      </w:r>
      <w:r>
        <w:rPr>
          <w:rStyle w:val="FootnoteReference"/>
        </w:rPr>
        <w:footnoteReference w:id="9"/>
      </w:r>
      <w:r w:rsidRPr="00830B4B">
        <w:t xml:space="preserve"> In the letter to Zorzi, </w:t>
      </w:r>
      <w:r>
        <w:t>he alluded to</w:t>
      </w:r>
      <w:r w:rsidRPr="00830B4B">
        <w:t xml:space="preserve"> ‘the error of our modern systems of reconstruction’</w:t>
      </w:r>
      <w:r>
        <w:t xml:space="preserve"> (24.405)</w:t>
      </w:r>
      <w:r w:rsidRPr="00830B4B">
        <w:t>.</w:t>
      </w:r>
      <w:r>
        <w:t xml:space="preserve"> Much earlier in his career, he outlined an analogous conception of drawing. Remarking on the degraded subject of an architectural plate in </w:t>
      </w:r>
      <w:r>
        <w:rPr>
          <w:i/>
        </w:rPr>
        <w:t xml:space="preserve">The Seven Lamps of Architecture </w:t>
      </w:r>
      <w:r>
        <w:t xml:space="preserve">(1849), he writes that </w:t>
      </w:r>
      <w:r w:rsidRPr="00830B4B">
        <w:t>‘It would have illustrated my point better to have restored the lost portions, but I always draw a thing exactly as it is, hating restoration of any kind’</w:t>
      </w:r>
      <w:r>
        <w:t xml:space="preserve"> (7.186).</w:t>
      </w:r>
      <w:r w:rsidR="00CF14AE">
        <w:rPr>
          <w:rStyle w:val="CommentReference"/>
        </w:rPr>
        <w:t xml:space="preserve"> </w:t>
      </w:r>
      <w:commentRangeStart w:id="2"/>
      <w:commentRangeEnd w:id="2"/>
      <w:r>
        <w:t xml:space="preserve"> His words evince principles diametrically opposed to the methods of modern archaeological illustration. Illustrating a ‘point better’ is seen as no justification for this version of joining the dots. The self-evident difference between drawn ‘restoration’ </w:t>
      </w:r>
      <w:r>
        <w:lastRenderedPageBreak/>
        <w:t>and physical intervention was of course appreciated by Ruskin, but for the moment I want to linger on the conflict between this ‘fundamentalist’ hostility to ‘reconstruction’ and two longstanding approaches to Venice’s stewardship. The first may be summed up as an</w:t>
      </w:r>
      <w:r w:rsidRPr="00830B4B">
        <w:t xml:space="preserve"> </w:t>
      </w:r>
      <w:r>
        <w:t xml:space="preserve">optimistic </w:t>
      </w:r>
      <w:r w:rsidRPr="00830B4B">
        <w:t>confidence in the possibility of returning things to a former condition. The decision, in the early 1880s, to ‘reverse’ the changes made to the South Front of St Mark’s in 1865 is a case in point: Meduna had replaced the ‘original’ structures with a new configuration, which was in turn demolished, in order for an imitation of the original plan to be erected</w:t>
      </w:r>
      <w:r>
        <w:t xml:space="preserve"> while</w:t>
      </w:r>
      <w:r w:rsidRPr="00830B4B">
        <w:t xml:space="preserve"> restoring the old mosaics. As Robert Hewison notes, ‘The south façade of St Mark’s that is seen today is therefore a restoration of a restoration’.</w:t>
      </w:r>
      <w:r>
        <w:rPr>
          <w:rStyle w:val="FootnoteReference"/>
        </w:rPr>
        <w:footnoteReference w:id="10"/>
      </w:r>
      <w:r w:rsidRPr="00830B4B">
        <w:t xml:space="preserve"> The resolution, after the fall of the bel</w:t>
      </w:r>
      <w:r>
        <w:t>l tower in 1902, to rebuild it as it was, and where it was,</w:t>
      </w:r>
      <w:r w:rsidRPr="00830B4B">
        <w:t xml:space="preserve"> partakes in a similar logic. </w:t>
      </w:r>
      <w:r>
        <w:t>Indeed, Venice has always been</w:t>
      </w:r>
      <w:r w:rsidRPr="00830B4B">
        <w:t xml:space="preserve"> a city peculiarly intimat</w:t>
      </w:r>
      <w:r>
        <w:t>e with this</w:t>
      </w:r>
      <w:r w:rsidRPr="00830B4B">
        <w:t xml:space="preserve"> confusion of reality and illusion. At the Doge’s Palace, the modern tourist has the strange experience of admiring the carvings on the building’s exterior capitals, only to discover that they are nineteenth-century copies, installed between 1876 and 1889, of much finer capitals kept inside</w:t>
      </w:r>
      <w:r>
        <w:t>, making the</w:t>
      </w:r>
      <w:r w:rsidRPr="00830B4B">
        <w:t xml:space="preserve"> building a museum devoted to the </w:t>
      </w:r>
      <w:r>
        <w:t xml:space="preserve">interior </w:t>
      </w:r>
      <w:r w:rsidRPr="00830B4B">
        <w:t xml:space="preserve">preservation of its exterior self. </w:t>
      </w:r>
      <w:r>
        <w:t>A similar fate</w:t>
      </w:r>
      <w:r w:rsidRPr="00830B4B">
        <w:t xml:space="preserve"> applies to the bronze horses which adorn St Mark’s Basilica, themselves alien objects looted from Constantinople during the Fourth Crusade (1202</w:t>
      </w:r>
      <w:r w:rsidR="00A077E0">
        <w:t>–</w:t>
      </w:r>
      <w:r w:rsidRPr="00830B4B">
        <w:t>1204): our first impression is guided by the copies on the outside, while the real thing undergoes a secondary displacement, removed in the 1980s to an interior now cast in the role of inner sanctum.</w:t>
      </w:r>
      <w:r>
        <w:t xml:space="preserve"> These last examples postdate Ruskin’s relationship with the city, but as Napoleon’s earlier removal of the horses to Paris indicates, they are fraught with a history of conflict between authenticity, reconstruction, and preservation, that forced Ruskin to take sides.</w:t>
      </w:r>
    </w:p>
    <w:p w14:paraId="046A690C" w14:textId="77777777" w:rsidR="00974F9C" w:rsidRPr="00830B4B" w:rsidRDefault="00974F9C" w:rsidP="00A1314D">
      <w:pPr>
        <w:widowControl w:val="0"/>
        <w:autoSpaceDE w:val="0"/>
        <w:autoSpaceDN w:val="0"/>
        <w:adjustRightInd w:val="0"/>
        <w:spacing w:line="360" w:lineRule="auto"/>
        <w:ind w:firstLine="567"/>
        <w:jc w:val="both"/>
      </w:pPr>
      <w:r>
        <w:t xml:space="preserve">Though always anxious to police the boundary between ancient work and alterations, Ruskin did not in fact stand entirely apart from </w:t>
      </w:r>
      <w:r w:rsidRPr="00830B4B">
        <w:t>this tradition of historical refashioning.</w:t>
      </w:r>
      <w:r>
        <w:t xml:space="preserve"> H</w:t>
      </w:r>
      <w:r w:rsidRPr="00830B4B">
        <w:t>e ruled that ‘after any operation whatsoever necessary for the safety of the building, every external stone should be set back in its actual place’</w:t>
      </w:r>
      <w:r>
        <w:t xml:space="preserve"> (24.410).</w:t>
      </w:r>
      <w:r w:rsidRPr="00830B4B">
        <w:t xml:space="preserve"> </w:t>
      </w:r>
      <w:r>
        <w:t>P</w:t>
      </w:r>
      <w:r w:rsidRPr="00830B4B">
        <w:t xml:space="preserve">ractical and pragmatic, </w:t>
      </w:r>
      <w:r>
        <w:t>this</w:t>
      </w:r>
      <w:r w:rsidRPr="00830B4B">
        <w:t xml:space="preserve"> advice </w:t>
      </w:r>
      <w:r>
        <w:t xml:space="preserve">still </w:t>
      </w:r>
      <w:r w:rsidRPr="00830B4B">
        <w:t>evinces faith in the possibility of such ‘setting back’</w:t>
      </w:r>
      <w:r>
        <w:t xml:space="preserve">. Indeed, it is precisely </w:t>
      </w:r>
      <w:r>
        <w:lastRenderedPageBreak/>
        <w:t xml:space="preserve">because Ruskin was so uncertain about the legitimacy of such approaches that his contribution to reconstructive discourses has been underestimated. His most obvious foray into reconstructive method was precipitated by </w:t>
      </w:r>
      <w:r w:rsidRPr="00830B4B">
        <w:t xml:space="preserve">the practical demands of studying Venetian architecture as a </w:t>
      </w:r>
      <w:r>
        <w:t xml:space="preserve">foreign visitor. Discovering the power of </w:t>
      </w:r>
      <w:r w:rsidRPr="00830B4B">
        <w:t>daguerreotype</w:t>
      </w:r>
      <w:r>
        <w:t>s</w:t>
      </w:r>
      <w:r w:rsidRPr="00830B4B">
        <w:t xml:space="preserve"> during the period when he was collecting material for </w:t>
      </w:r>
      <w:r w:rsidRPr="00830B4B">
        <w:rPr>
          <w:i/>
          <w:iCs/>
        </w:rPr>
        <w:t xml:space="preserve">The Stones of </w:t>
      </w:r>
      <w:r w:rsidRPr="00EA1976">
        <w:rPr>
          <w:i/>
          <w:iCs/>
        </w:rPr>
        <w:t>Venice</w:t>
      </w:r>
      <w:r>
        <w:rPr>
          <w:i/>
          <w:iCs/>
        </w:rPr>
        <w:t xml:space="preserve"> </w:t>
      </w:r>
      <w:r>
        <w:rPr>
          <w:iCs/>
        </w:rPr>
        <w:t>(1851</w:t>
      </w:r>
      <w:r w:rsidR="00A077E0">
        <w:rPr>
          <w:iCs/>
        </w:rPr>
        <w:t>–185</w:t>
      </w:r>
      <w:r>
        <w:rPr>
          <w:iCs/>
        </w:rPr>
        <w:t xml:space="preserve">3), he was </w:t>
      </w:r>
      <w:r>
        <w:t>impressed by their</w:t>
      </w:r>
      <w:r w:rsidRPr="00830B4B">
        <w:t xml:space="preserve"> usefulness </w:t>
      </w:r>
      <w:r w:rsidRPr="00080BEC">
        <w:rPr>
          <w:lang w:val="en-US"/>
        </w:rPr>
        <w:t xml:space="preserve">in recording forms that could then be taken away and consulted </w:t>
      </w:r>
      <w:r>
        <w:rPr>
          <w:lang w:val="en-US"/>
        </w:rPr>
        <w:t>in</w:t>
      </w:r>
      <w:r w:rsidRPr="00830B4B">
        <w:t xml:space="preserve"> </w:t>
      </w:r>
      <w:r>
        <w:t>the comfort of his study</w:t>
      </w:r>
      <w:r w:rsidRPr="00830B4B">
        <w:t xml:space="preserve">. </w:t>
      </w:r>
      <w:r w:rsidR="00FB4B96">
        <w:t>In</w:t>
      </w:r>
      <w:r w:rsidRPr="00830B4B">
        <w:t xml:space="preserve"> </w:t>
      </w:r>
      <w:r w:rsidRPr="00830B4B">
        <w:rPr>
          <w:i/>
          <w:iCs/>
        </w:rPr>
        <w:t>Praeterita</w:t>
      </w:r>
      <w:r>
        <w:rPr>
          <w:i/>
          <w:iCs/>
        </w:rPr>
        <w:t xml:space="preserve"> </w:t>
      </w:r>
      <w:r>
        <w:rPr>
          <w:iCs/>
        </w:rPr>
        <w:t>(1885</w:t>
      </w:r>
      <w:r w:rsidR="00A077E0">
        <w:rPr>
          <w:iCs/>
        </w:rPr>
        <w:t>–185</w:t>
      </w:r>
      <w:r>
        <w:rPr>
          <w:iCs/>
        </w:rPr>
        <w:t>9)</w:t>
      </w:r>
      <w:r w:rsidRPr="00830B4B">
        <w:rPr>
          <w:i/>
          <w:iCs/>
        </w:rPr>
        <w:t xml:space="preserve">, </w:t>
      </w:r>
      <w:r w:rsidR="00FB4B96">
        <w:t xml:space="preserve">he recalled </w:t>
      </w:r>
      <w:r w:rsidR="00DC6A39">
        <w:t xml:space="preserve">his early admiration </w:t>
      </w:r>
      <w:r>
        <w:t>of photography</w:t>
      </w:r>
      <w:r w:rsidR="00DC6A39">
        <w:t>, notably its ability</w:t>
      </w:r>
      <w:r>
        <w:t xml:space="preserve"> </w:t>
      </w:r>
      <w:r w:rsidRPr="00830B4B">
        <w:t>to contain ‘under a lens, the Grand Canal or St</w:t>
      </w:r>
      <w:r>
        <w:t>.</w:t>
      </w:r>
      <w:r w:rsidRPr="00830B4B">
        <w:t xml:space="preserve"> Mark’s Place as if a magician had reduced the reality to be carried away into an enchanted land’</w:t>
      </w:r>
      <w:r>
        <w:t xml:space="preserve"> (35.373)</w:t>
      </w:r>
      <w:r w:rsidRPr="00830B4B">
        <w:t xml:space="preserve">. </w:t>
      </w:r>
      <w:r>
        <w:t xml:space="preserve">In the second volume of </w:t>
      </w:r>
      <w:r>
        <w:rPr>
          <w:i/>
        </w:rPr>
        <w:t xml:space="preserve">The Stones of </w:t>
      </w:r>
      <w:r w:rsidRPr="00F024F1">
        <w:rPr>
          <w:i/>
        </w:rPr>
        <w:t>Venice</w:t>
      </w:r>
      <w:r>
        <w:t>, t</w:t>
      </w:r>
      <w:r w:rsidRPr="00F024F1">
        <w:t>his</w:t>
      </w:r>
      <w:r w:rsidRPr="00830B4B">
        <w:t xml:space="preserve"> process of research </w:t>
      </w:r>
      <w:r>
        <w:t>becomes</w:t>
      </w:r>
      <w:r w:rsidRPr="00830B4B">
        <w:t xml:space="preserve"> a technique of presentation</w:t>
      </w:r>
      <w:r>
        <w:t xml:space="preserve"> (10.3). The reader is invited at the</w:t>
      </w:r>
      <w:r w:rsidRPr="00830B4B">
        <w:t xml:space="preserve"> opening to inhabit the perspective of ‘the traveller’ – we are not told who, or when – approaching Venice from across the lagoon. Instead of offering factual information about the old military secret of the city’s location, or the city’s method of tamin</w:t>
      </w:r>
      <w:r>
        <w:t>g the ‘bleak power’ of waves simply by admitting them</w:t>
      </w:r>
      <w:r w:rsidRPr="00830B4B">
        <w:t>, the passage conveys all this, and more, through the medium of simulated sensory perception</w:t>
      </w:r>
      <w:r>
        <w:t xml:space="preserve"> (10.4)</w:t>
      </w:r>
      <w:r w:rsidRPr="00830B4B">
        <w:t>. In the ‘salt breeze’, the ‘white moaning sea-birds’, and the ‘visionary charm’ of sudden vistas, a whol</w:t>
      </w:r>
      <w:r>
        <w:t xml:space="preserve">e sound- and sense-scape is </w:t>
      </w:r>
      <w:r w:rsidRPr="00830B4B">
        <w:t xml:space="preserve">subject </w:t>
      </w:r>
      <w:r>
        <w:t>to</w:t>
      </w:r>
      <w:r w:rsidRPr="00830B4B">
        <w:t xml:space="preserve"> reconstruction</w:t>
      </w:r>
      <w:r>
        <w:t xml:space="preserve"> (10.4; 10.6)</w:t>
      </w:r>
      <w:r w:rsidRPr="00830B4B">
        <w:t>.</w:t>
      </w:r>
    </w:p>
    <w:p w14:paraId="014CB446" w14:textId="77777777" w:rsidR="00974F9C" w:rsidRPr="00830B4B" w:rsidRDefault="00974F9C" w:rsidP="00A1314D">
      <w:pPr>
        <w:widowControl w:val="0"/>
        <w:autoSpaceDE w:val="0"/>
        <w:autoSpaceDN w:val="0"/>
        <w:adjustRightInd w:val="0"/>
        <w:spacing w:line="360" w:lineRule="auto"/>
        <w:ind w:firstLine="567"/>
        <w:jc w:val="both"/>
      </w:pPr>
      <w:r w:rsidRPr="00830B4B">
        <w:t>Ruskin’s later scheme – the commissioning of ‘memorial studies’ of Venice in the 1870s and 1880s – operated on a different principle. Rather than reconstructing past states, they rigorously record what was visible at the moment of artistic capture, including areas of the building altered by the restorer’s hand. Conceived as a ‘permanent record’, they provide materials for future reassembly, the key difference from physical restoration being that reconstitution</w:t>
      </w:r>
      <w:r>
        <w:t xml:space="preserve"> in this vein</w:t>
      </w:r>
      <w:r w:rsidRPr="00830B4B">
        <w:t xml:space="preserve"> operated</w:t>
      </w:r>
      <w:r>
        <w:t xml:space="preserve"> as representation, leaving the </w:t>
      </w:r>
      <w:r w:rsidRPr="00830B4B">
        <w:t>original</w:t>
      </w:r>
      <w:r>
        <w:t xml:space="preserve"> untouched (24.308)</w:t>
      </w:r>
      <w:r w:rsidRPr="00830B4B">
        <w:t>.</w:t>
      </w:r>
      <w:r>
        <w:t xml:space="preserve"> The germ of the</w:t>
      </w:r>
      <w:r w:rsidRPr="00830B4B">
        <w:t xml:space="preserve"> method is discernible in Ruskin’s pamphlet on </w:t>
      </w:r>
      <w:r w:rsidRPr="00830B4B">
        <w:rPr>
          <w:i/>
          <w:iCs/>
        </w:rPr>
        <w:t xml:space="preserve">Pre-Raphaelitism, </w:t>
      </w:r>
      <w:r w:rsidRPr="00830B4B">
        <w:t>in which he asks the reader to ‘suppose that a faithful and complete record were now in our museums of every building destroyed by war, or time, or innovation, during these last 200 years</w:t>
      </w:r>
      <w:r>
        <w:t>’ (12.349). Apparently not satisfied with this extraordinary prospect, he goes on: ‘</w:t>
      </w:r>
      <w:r w:rsidRPr="00830B4B">
        <w:t xml:space="preserve">suppose that each recess of every mountain chain of Europe had been penetrated, and its rocks drawn with such accuracy that the geologist’s diagram was no longer necessary – [...] that all these gatherings were already in our national galleries’. While the emphasis is </w:t>
      </w:r>
      <w:r w:rsidRPr="00830B4B">
        <w:lastRenderedPageBreak/>
        <w:t>on the forensic values of reliable record, those values are made to serve a fantastic purpose, effect</w:t>
      </w:r>
      <w:r>
        <w:t>ed as if by an enchanter’s rod</w:t>
      </w:r>
      <w:r w:rsidRPr="00830B4B">
        <w:t>, like t</w:t>
      </w:r>
      <w:r>
        <w:t>he traveller’s vision of Venice (10.6).</w:t>
      </w:r>
      <w:r w:rsidRPr="00830B4B">
        <w:t xml:space="preserve"> </w:t>
      </w:r>
      <w:r>
        <w:t>The example invites comparison with the Borges</w:t>
      </w:r>
      <w:r w:rsidRPr="00830B4B">
        <w:t xml:space="preserve"> fable</w:t>
      </w:r>
      <w:r>
        <w:t xml:space="preserve"> to which Jean Baudrillard alludes i</w:t>
      </w:r>
      <w:r w:rsidRPr="006D7DBA">
        <w:rPr>
          <w:lang w:val="en-US"/>
        </w:rPr>
        <w:t xml:space="preserve">n </w:t>
      </w:r>
      <w:r w:rsidRPr="006D7DBA">
        <w:rPr>
          <w:i/>
          <w:lang w:val="en-US"/>
        </w:rPr>
        <w:t>Simulacra and Simulation</w:t>
      </w:r>
      <w:r>
        <w:rPr>
          <w:i/>
          <w:lang w:val="en-US"/>
        </w:rPr>
        <w:t xml:space="preserve"> </w:t>
      </w:r>
      <w:r>
        <w:rPr>
          <w:lang w:val="en-US"/>
        </w:rPr>
        <w:t>(1981)</w:t>
      </w:r>
      <w:r>
        <w:t>,</w:t>
      </w:r>
      <w:r w:rsidRPr="00830B4B">
        <w:t xml:space="preserve"> of an imperial map so detailed that it ‘ends up co</w:t>
      </w:r>
      <w:r>
        <w:t>vering the territory exactly’.</w:t>
      </w:r>
      <w:r>
        <w:rPr>
          <w:rStyle w:val="FootnoteReference"/>
        </w:rPr>
        <w:footnoteReference w:id="11"/>
      </w:r>
      <w:r>
        <w:t xml:space="preserve"> B</w:t>
      </w:r>
      <w:r w:rsidRPr="00830B4B">
        <w:t xml:space="preserve">ut </w:t>
      </w:r>
      <w:r w:rsidRPr="004F1B60">
        <w:rPr>
          <w:lang w:val="en-US"/>
        </w:rPr>
        <w:t xml:space="preserve">this method also recalls </w:t>
      </w:r>
      <w:r w:rsidRPr="00830B4B">
        <w:t>the definitive authority of a lega</w:t>
      </w:r>
      <w:r>
        <w:t>lly backed register, where the copy</w:t>
      </w:r>
      <w:r w:rsidRPr="00830B4B">
        <w:t xml:space="preserve"> emerges as the sovereign account of reality.</w:t>
      </w:r>
      <w:r w:rsidRPr="00830B4B">
        <w:rPr>
          <w:rStyle w:val="FootnoteReference"/>
        </w:rPr>
        <w:footnoteReference w:id="12"/>
      </w:r>
    </w:p>
    <w:p w14:paraId="76AC9CC5" w14:textId="77777777" w:rsidR="00974F9C" w:rsidRPr="00830B4B" w:rsidRDefault="00974F9C" w:rsidP="00A1314D">
      <w:pPr>
        <w:widowControl w:val="0"/>
        <w:autoSpaceDE w:val="0"/>
        <w:autoSpaceDN w:val="0"/>
        <w:adjustRightInd w:val="0"/>
        <w:spacing w:line="360" w:lineRule="auto"/>
        <w:ind w:firstLine="567"/>
        <w:jc w:val="both"/>
      </w:pPr>
      <w:r w:rsidRPr="00830B4B">
        <w:t xml:space="preserve">J. W. Bunney’s microscopically detailed painting of St Mark’s Basilica </w:t>
      </w:r>
      <w:r>
        <w:rPr>
          <w:b/>
          <w:bCs/>
        </w:rPr>
        <w:t>[Figure 3</w:t>
      </w:r>
      <w:r w:rsidRPr="00830B4B">
        <w:rPr>
          <w:b/>
          <w:bCs/>
        </w:rPr>
        <w:t xml:space="preserve">] </w:t>
      </w:r>
      <w:r w:rsidRPr="00830B4B">
        <w:t>is in one sense the epitome of Ruskin’s concern to simulate the atmosphere, the sun, and the scale</w:t>
      </w:r>
      <w:commentRangeStart w:id="3"/>
      <w:commentRangeEnd w:id="3"/>
      <w:r w:rsidRPr="00830B4B">
        <w:t xml:space="preserve"> of a large public square</w:t>
      </w:r>
      <w:r>
        <w:t xml:space="preserve"> within the walls of a modest</w:t>
      </w:r>
      <w:r w:rsidRPr="00830B4B">
        <w:t xml:space="preserve"> gallery space</w:t>
      </w:r>
      <w:r w:rsidR="00CF14AE">
        <w:t xml:space="preserve"> </w:t>
      </w:r>
      <w:r w:rsidRPr="00830B4B">
        <w:t xml:space="preserve">on the edge of Sheffield. But the study in no sense denies the depredations of the present. The artist very deliberately does not paint a version of the Basilica that includes the original Byzantine mosaics, or an unaltered South Front. That service was already provided, as Ruskin knew, by the survival of </w:t>
      </w:r>
      <w:r>
        <w:t xml:space="preserve">Gentile Bellini’s record of the Square, in his </w:t>
      </w:r>
      <w:r w:rsidRPr="00353E2C">
        <w:rPr>
          <w:i/>
        </w:rPr>
        <w:t>Procession in Piazza San Marco</w:t>
      </w:r>
      <w:r>
        <w:t xml:space="preserve"> (c. 1496</w:t>
      </w:r>
      <w:r w:rsidRPr="00830B4B">
        <w:t>)</w:t>
      </w:r>
      <w:r w:rsidRPr="002B5F02">
        <w:rPr>
          <w:bCs/>
        </w:rPr>
        <w:t>.</w:t>
      </w:r>
      <w:r>
        <w:rPr>
          <w:rStyle w:val="FootnoteReference"/>
          <w:bCs/>
        </w:rPr>
        <w:footnoteReference w:id="13"/>
      </w:r>
      <w:r w:rsidRPr="00830B4B">
        <w:rPr>
          <w:b/>
          <w:bCs/>
        </w:rPr>
        <w:t xml:space="preserve"> </w:t>
      </w:r>
      <w:r w:rsidRPr="00830B4B">
        <w:t xml:space="preserve">Bellini’s pictures of the city were in fact a crucial prompt </w:t>
      </w:r>
      <w:r>
        <w:t>to</w:t>
      </w:r>
      <w:r w:rsidRPr="00830B4B">
        <w:t xml:space="preserve"> the more speculative side of Ruskin’s interest in the past. Commenting on the Ca d’Oro in </w:t>
      </w:r>
      <w:r>
        <w:rPr>
          <w:i/>
          <w:iCs/>
        </w:rPr>
        <w:t>Modern Painters</w:t>
      </w:r>
      <w:commentRangeStart w:id="4"/>
      <w:commentRangeEnd w:id="4"/>
      <w:r>
        <w:rPr>
          <w:iCs/>
        </w:rPr>
        <w:t>,</w:t>
      </w:r>
      <w:r w:rsidRPr="00830B4B">
        <w:rPr>
          <w:i/>
          <w:iCs/>
        </w:rPr>
        <w:t xml:space="preserve"> </w:t>
      </w:r>
      <w:r w:rsidRPr="00830B4B">
        <w:t xml:space="preserve">he explains that ‘The quantity of gold with which the decorations of Venice were once covered could not now be traced or credited without reference to the </w:t>
      </w:r>
      <w:r>
        <w:t>authority of Gentile Bellini</w:t>
      </w:r>
      <w:r w:rsidRPr="00830B4B">
        <w:t>’</w:t>
      </w:r>
      <w:r>
        <w:t xml:space="preserve"> (3.214).</w:t>
      </w:r>
      <w:r w:rsidRPr="00830B4B">
        <w:t xml:space="preserve"> This is partly a question of documentary record, but Ruskin moves quickly from evidences of gold in individual paintings, to the vision of a golden city. A similar effect is achieved by means of Ruskin’s observation in his letter to Zorzi, that ‘the pic</w:t>
      </w:r>
      <w:r>
        <w:t>tures of Carpaccio and Gentile</w:t>
      </w:r>
      <w:r w:rsidRPr="00830B4B">
        <w:t xml:space="preserve"> Bellini show the beautiful warm red which […] was everywhere used on house fronts in those days of perfect art, giving the name</w:t>
      </w:r>
      <w:r>
        <w:t xml:space="preserve"> of</w:t>
      </w:r>
      <w:r w:rsidRPr="00830B4B">
        <w:t xml:space="preserve"> “Venetian” red </w:t>
      </w:r>
      <w:r>
        <w:t>to that colour, all over Europe</w:t>
      </w:r>
      <w:r w:rsidRPr="00830B4B">
        <w:t>’</w:t>
      </w:r>
      <w:r>
        <w:t xml:space="preserve"> (24.408).</w:t>
      </w:r>
    </w:p>
    <w:p w14:paraId="57072C60" w14:textId="77777777" w:rsidR="00974F9C" w:rsidRPr="00830B4B" w:rsidRDefault="00974F9C" w:rsidP="00A1314D">
      <w:pPr>
        <w:widowControl w:val="0"/>
        <w:autoSpaceDE w:val="0"/>
        <w:autoSpaceDN w:val="0"/>
        <w:adjustRightInd w:val="0"/>
        <w:spacing w:line="360" w:lineRule="auto"/>
        <w:ind w:firstLine="567"/>
        <w:jc w:val="both"/>
      </w:pPr>
      <w:r>
        <w:lastRenderedPageBreak/>
        <w:t>Ruskin employs this methodology</w:t>
      </w:r>
      <w:r w:rsidRPr="00830B4B">
        <w:t xml:space="preserve"> in a far more technical context when </w:t>
      </w:r>
      <w:r>
        <w:t>discussing</w:t>
      </w:r>
      <w:r w:rsidRPr="00830B4B">
        <w:t xml:space="preserve"> the Palace in Rio Di Ca’ Foscari, in </w:t>
      </w:r>
      <w:r w:rsidRPr="00830B4B">
        <w:rPr>
          <w:i/>
          <w:iCs/>
        </w:rPr>
        <w:t xml:space="preserve">Examples of the Architecture of Venice </w:t>
      </w:r>
      <w:r w:rsidRPr="00830B4B">
        <w:t>(1851)</w:t>
      </w:r>
      <w:r>
        <w:t xml:space="preserve"> (11.334</w:t>
      </w:r>
      <w:r w:rsidR="008F347A">
        <w:t>–3</w:t>
      </w:r>
      <w:r>
        <w:t>5)</w:t>
      </w:r>
      <w:r w:rsidRPr="00830B4B">
        <w:t>. Finding the building ruined, neglected</w:t>
      </w:r>
      <w:r>
        <w:t>,</w:t>
      </w:r>
      <w:r w:rsidRPr="00830B4B">
        <w:t xml:space="preserve"> and ‘unnoticed’, he observes that ‘enough of the ruins remained in the year 1849 to enable me to reconstruct the [...] the waterstory</w:t>
      </w:r>
      <w:r>
        <w:t xml:space="preserve"> [</w:t>
      </w:r>
      <w:r>
        <w:rPr>
          <w:i/>
        </w:rPr>
        <w:t>sic</w:t>
      </w:r>
      <w:r>
        <w:t>]</w:t>
      </w:r>
      <w:r w:rsidRPr="00830B4B">
        <w:t>, with very slight chance of</w:t>
      </w:r>
      <w:r>
        <w:t xml:space="preserve"> error</w:t>
      </w:r>
      <w:r w:rsidRPr="00830B4B">
        <w:t>’</w:t>
      </w:r>
      <w:r>
        <w:t xml:space="preserve"> (11.334).</w:t>
      </w:r>
      <w:r>
        <w:rPr>
          <w:rStyle w:val="FootnoteReference"/>
        </w:rPr>
        <w:footnoteReference w:id="14"/>
      </w:r>
      <w:r w:rsidRPr="00830B4B">
        <w:t xml:space="preserve"> In Plate 8 </w:t>
      </w:r>
      <w:r>
        <w:rPr>
          <w:b/>
          <w:bCs/>
        </w:rPr>
        <w:t>[Figure 4</w:t>
      </w:r>
      <w:r w:rsidRPr="00830B4B">
        <w:rPr>
          <w:b/>
          <w:bCs/>
        </w:rPr>
        <w:t xml:space="preserve">], </w:t>
      </w:r>
      <w:r w:rsidRPr="00830B4B">
        <w:t xml:space="preserve">he gives the ‘existing fragments’, between which have grown a ‘modern wall’, but without showing the later features now visible. Plate 9 </w:t>
      </w:r>
      <w:r>
        <w:rPr>
          <w:b/>
          <w:bCs/>
        </w:rPr>
        <w:t>[Figure 5</w:t>
      </w:r>
      <w:r w:rsidRPr="00830B4B">
        <w:rPr>
          <w:b/>
          <w:bCs/>
        </w:rPr>
        <w:t xml:space="preserve">] </w:t>
      </w:r>
      <w:r w:rsidRPr="00830B4B">
        <w:t>shows the modern shuttered window that has opened between the Byzantine arches in their modern context</w:t>
      </w:r>
      <w:r>
        <w:t xml:space="preserve"> (11.336)</w:t>
      </w:r>
      <w:r w:rsidRPr="00830B4B">
        <w:t xml:space="preserve">. Plate 10 </w:t>
      </w:r>
      <w:r>
        <w:rPr>
          <w:b/>
          <w:bCs/>
        </w:rPr>
        <w:t>[Figure 6</w:t>
      </w:r>
      <w:r w:rsidRPr="00830B4B">
        <w:rPr>
          <w:b/>
          <w:bCs/>
        </w:rPr>
        <w:t xml:space="preserve">] </w:t>
      </w:r>
      <w:r w:rsidRPr="00830B4B">
        <w:t>comes as a surprise, for its departure from Ruskin’s usual honouring of the Romantic fragment</w:t>
      </w:r>
      <w:r>
        <w:t xml:space="preserve"> (11.338)</w:t>
      </w:r>
      <w:r w:rsidRPr="00830B4B">
        <w:t xml:space="preserve">. Carrying the provocative caption, ‘Palace in Rio di Ca’ Foscari: Conjectural Restoration’, it completes the picture of a past only partly captured by the ruined building. Ruskin is keen to stress the status of Plate 8 as </w:t>
      </w:r>
      <w:r>
        <w:t>one</w:t>
      </w:r>
      <w:r w:rsidRPr="00830B4B">
        <w:t xml:space="preserve"> basis </w:t>
      </w:r>
      <w:r>
        <w:t>of</w:t>
      </w:r>
      <w:r w:rsidRPr="00830B4B">
        <w:t xml:space="preserve"> ‘what authority I have for this restoration’, </w:t>
      </w:r>
      <w:r w:rsidRPr="0041745E">
        <w:rPr>
          <w:lang w:val="en-US"/>
        </w:rPr>
        <w:t>but the element of imagination, or ‘conjecture’, is unavoidable, while his use of the usually proscribed term, ‘restoration’</w:t>
      </w:r>
      <w:r>
        <w:rPr>
          <w:lang w:val="en-US"/>
        </w:rPr>
        <w:t>,</w:t>
      </w:r>
      <w:r w:rsidRPr="0041745E">
        <w:rPr>
          <w:lang w:val="en-US"/>
        </w:rPr>
        <w:t xml:space="preserve"> is strikin</w:t>
      </w:r>
      <w:r>
        <w:rPr>
          <w:lang w:val="en-US"/>
        </w:rPr>
        <w:t>g (11.338).</w:t>
      </w:r>
      <w:r w:rsidRPr="00830B4B">
        <w:t xml:space="preserve"> Ruskin’s </w:t>
      </w:r>
      <w:r>
        <w:t>assimilation of</w:t>
      </w:r>
      <w:r w:rsidRPr="00830B4B">
        <w:t xml:space="preserve"> </w:t>
      </w:r>
      <w:r>
        <w:t xml:space="preserve">structural </w:t>
      </w:r>
      <w:r w:rsidRPr="00830B4B">
        <w:t>reconstructi</w:t>
      </w:r>
      <w:r>
        <w:t>on</w:t>
      </w:r>
      <w:r w:rsidRPr="00830B4B">
        <w:t xml:space="preserve"> </w:t>
      </w:r>
      <w:r>
        <w:t>t</w:t>
      </w:r>
      <w:r w:rsidRPr="00830B4B">
        <w:t>o the literary</w:t>
      </w:r>
      <w:r>
        <w:t xml:space="preserve"> or artistic thought experiment</w:t>
      </w:r>
      <w:r w:rsidRPr="00830B4B">
        <w:t xml:space="preserve"> establishes him as one source for the tradition</w:t>
      </w:r>
      <w:r>
        <w:t xml:space="preserve"> that</w:t>
      </w:r>
      <w:r w:rsidRPr="00830B4B">
        <w:t xml:space="preserve"> Stefano Evangelista identifies as a convergence between archaeology and the amateurism of aestheticism</w:t>
      </w:r>
      <w:r>
        <w:t>.</w:t>
      </w:r>
      <w:r>
        <w:rPr>
          <w:rStyle w:val="FootnoteReference"/>
        </w:rPr>
        <w:footnoteReference w:id="15"/>
      </w:r>
      <w:r>
        <w:t xml:space="preserve"> It is on this tradition that</w:t>
      </w:r>
      <w:r w:rsidRPr="00830B4B">
        <w:t xml:space="preserve"> Mumford comments approvingly in his article about the marriage of art and science in museums.</w:t>
      </w:r>
    </w:p>
    <w:p w14:paraId="493E392A" w14:textId="77777777" w:rsidR="00974F9C" w:rsidRDefault="00974F9C" w:rsidP="00A1314D">
      <w:pPr>
        <w:widowControl w:val="0"/>
        <w:autoSpaceDE w:val="0"/>
        <w:autoSpaceDN w:val="0"/>
        <w:adjustRightInd w:val="0"/>
        <w:spacing w:line="360" w:lineRule="auto"/>
        <w:ind w:firstLine="567"/>
        <w:jc w:val="both"/>
      </w:pPr>
      <w:r w:rsidRPr="00830B4B">
        <w:t xml:space="preserve">What then are Ruskin’s sources for this manner of evidence-based dreaming? The most obvious lies in that tradition of politically charged ‘contrast’, between past and present conditions, </w:t>
      </w:r>
      <w:r>
        <w:t>termed</w:t>
      </w:r>
      <w:r w:rsidRPr="00830B4B">
        <w:t xml:space="preserve"> ‘Götzism’</w:t>
      </w:r>
      <w:r>
        <w:t xml:space="preserve"> by Carlyle</w:t>
      </w:r>
      <w:r w:rsidRPr="00830B4B">
        <w:t xml:space="preserve">, after Goethe’s </w:t>
      </w:r>
      <w:r w:rsidRPr="00830B4B">
        <w:rPr>
          <w:i/>
          <w:iCs/>
        </w:rPr>
        <w:t xml:space="preserve">Götz von Berlichingen </w:t>
      </w:r>
      <w:r w:rsidRPr="00830B4B">
        <w:t>(1773)</w:t>
      </w:r>
      <w:r>
        <w:t>, and Walter Scott’s 1799 translation of the same work.</w:t>
      </w:r>
      <w:r>
        <w:rPr>
          <w:rStyle w:val="FootnoteReference"/>
        </w:rPr>
        <w:footnoteReference w:id="16"/>
      </w:r>
      <w:r w:rsidRPr="00830B4B">
        <w:t xml:space="preserve"> </w:t>
      </w:r>
      <w:r>
        <w:t>Tracking the fortunes of a rebellious German knight, it</w:t>
      </w:r>
      <w:r w:rsidRPr="00830B4B">
        <w:t xml:space="preserve"> evoked the conflict between the Romantic liberties of a remote </w:t>
      </w:r>
      <w:r w:rsidRPr="00830B4B">
        <w:lastRenderedPageBreak/>
        <w:t xml:space="preserve">feudal </w:t>
      </w:r>
      <w:r>
        <w:t>world</w:t>
      </w:r>
      <w:r w:rsidRPr="00830B4B">
        <w:t xml:space="preserve"> and the new commercial era</w:t>
      </w:r>
      <w:r>
        <w:t>.</w:t>
      </w:r>
      <w:r>
        <w:rPr>
          <w:rStyle w:val="FootnoteReference"/>
        </w:rPr>
        <w:footnoteReference w:id="17"/>
      </w:r>
      <w:r w:rsidRPr="00830B4B">
        <w:t xml:space="preserve"> This contrastive technique relies less on arguments than on sensations and feelings, the assumption being that we must see and experience what we are missing in order to mourn its demise. Carlyle </w:t>
      </w:r>
      <w:r>
        <w:t xml:space="preserve">employs </w:t>
      </w:r>
      <w:r w:rsidRPr="00830B4B">
        <w:t xml:space="preserve">it in </w:t>
      </w:r>
      <w:r w:rsidRPr="00830B4B">
        <w:rPr>
          <w:i/>
          <w:iCs/>
        </w:rPr>
        <w:t>Past and Present</w:t>
      </w:r>
      <w:r>
        <w:rPr>
          <w:i/>
          <w:iCs/>
        </w:rPr>
        <w:t xml:space="preserve"> </w:t>
      </w:r>
      <w:r>
        <w:rPr>
          <w:iCs/>
        </w:rPr>
        <w:t>(1843)</w:t>
      </w:r>
      <w:r w:rsidRPr="00830B4B">
        <w:rPr>
          <w:i/>
          <w:iCs/>
        </w:rPr>
        <w:t xml:space="preserve">, </w:t>
      </w:r>
      <w:r w:rsidRPr="00830B4B">
        <w:t xml:space="preserve">and towards the end of the century, William Morris’s </w:t>
      </w:r>
      <w:r w:rsidRPr="00830B4B">
        <w:rPr>
          <w:i/>
          <w:iCs/>
        </w:rPr>
        <w:t>A Dream of John Ball</w:t>
      </w:r>
      <w:r>
        <w:rPr>
          <w:i/>
          <w:iCs/>
        </w:rPr>
        <w:t xml:space="preserve"> </w:t>
      </w:r>
      <w:r>
        <w:rPr>
          <w:iCs/>
        </w:rPr>
        <w:t>(1888)</w:t>
      </w:r>
      <w:r w:rsidRPr="00830B4B">
        <w:rPr>
          <w:i/>
          <w:iCs/>
        </w:rPr>
        <w:t xml:space="preserve"> </w:t>
      </w:r>
      <w:r>
        <w:t>transports readers</w:t>
      </w:r>
      <w:r w:rsidRPr="00830B4B">
        <w:t xml:space="preserve"> back to the Peasants Revolt to witness</w:t>
      </w:r>
      <w:r>
        <w:t xml:space="preserve"> not just its actuality, but</w:t>
      </w:r>
      <w:r w:rsidRPr="00830B4B">
        <w:t xml:space="preserve"> its violence, and its ethical relation to present struggles.</w:t>
      </w:r>
      <w:r>
        <w:rPr>
          <w:rStyle w:val="FootnoteReference"/>
        </w:rPr>
        <w:footnoteReference w:id="18"/>
      </w:r>
      <w:r w:rsidRPr="00830B4B">
        <w:t xml:space="preserve"> </w:t>
      </w:r>
      <w:r>
        <w:t>It</w:t>
      </w:r>
      <w:r w:rsidRPr="00830B4B">
        <w:t xml:space="preserve"> infuses Ruskin’s letter to Zorzi, in which he laments the ‘restoration’ of the peacock mosaics in St Mark’s as the substitution of ‘the look’ of a feather ‘dipped in white paint’ for the former ‘deep golden glow’, with ‘green and purple glitters through and through with light’</w:t>
      </w:r>
      <w:r>
        <w:t xml:space="preserve"> (24.407-8)</w:t>
      </w:r>
      <w:r w:rsidRPr="00830B4B">
        <w:t>. Ruskin wants Zorzi to see and experience what has been lost, not just a</w:t>
      </w:r>
      <w:r>
        <w:t>cknowledge its prior existence.</w:t>
      </w:r>
    </w:p>
    <w:p w14:paraId="7323D560" w14:textId="77777777" w:rsidR="00974F9C" w:rsidRPr="00830B4B" w:rsidRDefault="00974F9C" w:rsidP="00A1314D">
      <w:pPr>
        <w:widowControl w:val="0"/>
        <w:autoSpaceDE w:val="0"/>
        <w:autoSpaceDN w:val="0"/>
        <w:adjustRightInd w:val="0"/>
        <w:spacing w:line="360" w:lineRule="auto"/>
        <w:ind w:firstLine="567"/>
        <w:jc w:val="both"/>
      </w:pPr>
      <w:r w:rsidRPr="00830B4B">
        <w:t xml:space="preserve">Götzism lacks the forensic credentials of Ruskin’s starting-point in the fragment, and in its emphasis on a political function, it differs from the other, less </w:t>
      </w:r>
      <w:r>
        <w:t>instrumental</w:t>
      </w:r>
      <w:r w:rsidRPr="00830B4B">
        <w:t xml:space="preserve">, source of Ruskin’s ‘reconstructive intelligence’. This is apparent in </w:t>
      </w:r>
      <w:r w:rsidRPr="00830B4B">
        <w:rPr>
          <w:i/>
          <w:iCs/>
        </w:rPr>
        <w:t xml:space="preserve">Past and Present, </w:t>
      </w:r>
      <w:r w:rsidRPr="00830B4B">
        <w:t xml:space="preserve">at that point when Carlyle makes a case for the reality of the past, in asking the reader to ‘peep with us into this singular </w:t>
      </w:r>
      <w:r w:rsidRPr="00895CD9">
        <w:rPr>
          <w:i/>
        </w:rPr>
        <w:t>camera lucida</w:t>
      </w:r>
      <w:r w:rsidRPr="00830B4B">
        <w:t>, where an extinct species, though fitfu</w:t>
      </w:r>
      <w:r>
        <w:t>lly, can still be seen alive’.</w:t>
      </w:r>
      <w:r>
        <w:rPr>
          <w:rStyle w:val="FootnoteReference"/>
        </w:rPr>
        <w:footnoteReference w:id="19"/>
      </w:r>
      <w:r w:rsidRPr="00830B4B">
        <w:t xml:space="preserve"> This idea of an historical peep show is familiar also from </w:t>
      </w:r>
      <w:r>
        <w:t xml:space="preserve">Robert </w:t>
      </w:r>
      <w:r w:rsidRPr="00830B4B">
        <w:t>Browning, whose dramatic monologues stage a purportedly empirical, or overheard, view on the past, which simultaneously infects that empiricism with its self-evident fictionality.</w:t>
      </w:r>
      <w:r>
        <w:t xml:space="preserve"> </w:t>
      </w:r>
      <w:r w:rsidRPr="00016CCB">
        <w:rPr>
          <w:lang w:val="en-US"/>
        </w:rPr>
        <w:t xml:space="preserve">It follows that the quarantine set up by Ruskin between speculation and authentic remains </w:t>
      </w:r>
      <w:r>
        <w:rPr>
          <w:lang w:val="en-US"/>
        </w:rPr>
        <w:t>was</w:t>
      </w:r>
      <w:r w:rsidRPr="00016CCB">
        <w:rPr>
          <w:lang w:val="en-US"/>
        </w:rPr>
        <w:t xml:space="preserve"> not always easy to uphold.</w:t>
      </w:r>
      <w:r>
        <w:rPr>
          <w:lang w:val="en-US"/>
        </w:rPr>
        <w:t xml:space="preserve"> </w:t>
      </w:r>
      <w:r w:rsidRPr="00830B4B">
        <w:t xml:space="preserve">In Plate 9 of </w:t>
      </w:r>
      <w:r w:rsidRPr="00830B4B">
        <w:rPr>
          <w:i/>
          <w:iCs/>
        </w:rPr>
        <w:t>Examples of the Architecture of Venice</w:t>
      </w:r>
      <w:r>
        <w:t xml:space="preserve"> </w:t>
      </w:r>
      <w:r w:rsidRPr="00830B4B">
        <w:rPr>
          <w:b/>
          <w:bCs/>
        </w:rPr>
        <w:t>[</w:t>
      </w:r>
      <w:r>
        <w:rPr>
          <w:b/>
          <w:bCs/>
        </w:rPr>
        <w:t>Figure 5</w:t>
      </w:r>
      <w:r w:rsidRPr="00830B4B">
        <w:rPr>
          <w:b/>
          <w:bCs/>
        </w:rPr>
        <w:t>]</w:t>
      </w:r>
      <w:r w:rsidRPr="00830B4B">
        <w:t>, he notes ‘a curious instance [...] in this drawing</w:t>
      </w:r>
      <w:r>
        <w:t>,</w:t>
      </w:r>
      <w:r w:rsidRPr="00830B4B">
        <w:t xml:space="preserve"> of the difficulty of being absolutely faithful, however earnestly we may desire it’</w:t>
      </w:r>
      <w:r>
        <w:t xml:space="preserve"> (11.336-7).</w:t>
      </w:r>
      <w:r w:rsidRPr="00830B4B">
        <w:t xml:space="preserve"> </w:t>
      </w:r>
      <w:r>
        <w:t>The fault concerns</w:t>
      </w:r>
      <w:r w:rsidRPr="00830B4B">
        <w:t xml:space="preserve"> a misrecognition of symbolic detail, caused by the arch’s inaccessibility except by gondola</w:t>
      </w:r>
      <w:r>
        <w:t>,</w:t>
      </w:r>
      <w:r w:rsidRPr="00830B4B">
        <w:t xml:space="preserve"> and the resulting </w:t>
      </w:r>
      <w:r w:rsidRPr="00830B4B">
        <w:lastRenderedPageBreak/>
        <w:t>circumstance that he ‘drew it carelessly’</w:t>
      </w:r>
      <w:r>
        <w:t xml:space="preserve"> (11.337)</w:t>
      </w:r>
      <w:r w:rsidRPr="00830B4B">
        <w:t xml:space="preserve">. </w:t>
      </w:r>
      <w:r w:rsidRPr="008B08AD">
        <w:rPr>
          <w:lang w:val="en-US"/>
        </w:rPr>
        <w:t>Such mistakes may creep into the reconstruction, thereby misrepresenting – and effectively changing – the past in a manner less intentional than the</w:t>
      </w:r>
      <w:r>
        <w:rPr>
          <w:lang w:val="en-US"/>
        </w:rPr>
        <w:t xml:space="preserve"> restorer’s hand, but still affecting</w:t>
      </w:r>
      <w:r w:rsidRPr="008B08AD">
        <w:rPr>
          <w:lang w:val="en-US"/>
        </w:rPr>
        <w:t xml:space="preserve"> the reput</w:t>
      </w:r>
      <w:r>
        <w:rPr>
          <w:lang w:val="en-US"/>
        </w:rPr>
        <w:t>ation of the original building.</w:t>
      </w:r>
      <w:r w:rsidRPr="00830B4B">
        <w:t xml:space="preserve"> Doubt of this kind hovers over Ruskin’s observation that ‘from the arrangements of other and more perfect palaces of the same period, it may be assumed almost with certainty that the great archivolt was originally in its centre, and that the entire water-story </w:t>
      </w:r>
      <w:r>
        <w:t>[</w:t>
      </w:r>
      <w:r w:rsidRPr="000212E5">
        <w:rPr>
          <w:i/>
        </w:rPr>
        <w:t>sic</w:t>
      </w:r>
      <w:r>
        <w:t xml:space="preserve">] </w:t>
      </w:r>
      <w:r w:rsidRPr="000212E5">
        <w:t>was</w:t>
      </w:r>
      <w:r w:rsidRPr="00830B4B">
        <w:t xml:space="preserve"> composed of nine arches’</w:t>
      </w:r>
      <w:r>
        <w:t xml:space="preserve"> (11.338)</w:t>
      </w:r>
      <w:r w:rsidRPr="00830B4B">
        <w:t xml:space="preserve">. There is integrity in the allowance of doubt, but the hesitation in ‘almost with certainty’ and </w:t>
      </w:r>
      <w:r>
        <w:t>the</w:t>
      </w:r>
      <w:r w:rsidRPr="00830B4B">
        <w:t xml:space="preserve"> reference to a ‘very slight chance of </w:t>
      </w:r>
      <w:r>
        <w:t xml:space="preserve">error’ neatly evoke a troubling </w:t>
      </w:r>
      <w:r w:rsidRPr="00830B4B">
        <w:t>slippage</w:t>
      </w:r>
      <w:r>
        <w:t xml:space="preserve"> </w:t>
      </w:r>
      <w:r w:rsidRPr="00830B4B">
        <w:t>between ‘reconstruction’ in the sense of a miraculous visitation and the avowedly exploratory method of a ‘model’.</w:t>
      </w:r>
    </w:p>
    <w:p w14:paraId="40BDAAE7" w14:textId="77777777" w:rsidR="00974F9C" w:rsidRPr="00830B4B" w:rsidRDefault="00974F9C" w:rsidP="00A1314D">
      <w:pPr>
        <w:widowControl w:val="0"/>
        <w:autoSpaceDE w:val="0"/>
        <w:autoSpaceDN w:val="0"/>
        <w:adjustRightInd w:val="0"/>
        <w:spacing w:line="360" w:lineRule="auto"/>
        <w:ind w:firstLine="567"/>
        <w:jc w:val="both"/>
      </w:pPr>
      <w:r w:rsidRPr="00830B4B">
        <w:t>A further problem relates to the ident</w:t>
      </w:r>
      <w:r>
        <w:t xml:space="preserve">ity of the city or scene to be </w:t>
      </w:r>
      <w:r w:rsidRPr="00830B4B">
        <w:t>recons</w:t>
      </w:r>
      <w:r>
        <w:t>tructed</w:t>
      </w:r>
      <w:r w:rsidRPr="00830B4B">
        <w:t xml:space="preserve">. There is something curiously ahistorical about the evocation of Bellini’s golden city, as there </w:t>
      </w:r>
      <w:r>
        <w:t>was</w:t>
      </w:r>
      <w:r w:rsidRPr="00830B4B">
        <w:t xml:space="preserve"> about Byron’s ‘fairy city’</w:t>
      </w:r>
      <w:r>
        <w:t xml:space="preserve"> and Samuel Rogers’s ‘enchanted ground’</w:t>
      </w:r>
      <w:r w:rsidRPr="00830B4B">
        <w:t>.</w:t>
      </w:r>
      <w:r>
        <w:rPr>
          <w:rStyle w:val="FootnoteReference"/>
        </w:rPr>
        <w:footnoteReference w:id="20"/>
      </w:r>
      <w:r w:rsidRPr="00830B4B">
        <w:t xml:space="preserve"> Ruskin’s memorial studies offer a powerful check on this tendency, as does the documentary approach that signals a departure from these Romantic precedents. But there is</w:t>
      </w:r>
      <w:r>
        <w:t xml:space="preserve"> still</w:t>
      </w:r>
      <w:r w:rsidRPr="00830B4B">
        <w:t xml:space="preserve"> something here of William Morris’s lament that the restoration of St Mark’s ‘would mean never going to Venice again</w:t>
      </w:r>
      <w:r>
        <w:t>, &amp; trying to think that it had vanished, undegraded by such a luckless stroke of fortune’.</w:t>
      </w:r>
      <w:r>
        <w:rPr>
          <w:rStyle w:val="FootnoteReference"/>
        </w:rPr>
        <w:footnoteReference w:id="21"/>
      </w:r>
      <w:r w:rsidRPr="00830B4B">
        <w:t xml:space="preserve"> The reconstructed city depends, </w:t>
      </w:r>
      <w:r>
        <w:t>in other words, on a strategy of avoidance</w:t>
      </w:r>
      <w:r w:rsidRPr="008B08AD">
        <w:rPr>
          <w:lang w:val="en-US"/>
        </w:rPr>
        <w:t>, which finds a pristine condition in the end of historic</w:t>
      </w:r>
      <w:r>
        <w:rPr>
          <w:lang w:val="en-US"/>
        </w:rPr>
        <w:t>al time.</w:t>
      </w:r>
      <w:r w:rsidRPr="00830B4B">
        <w:t xml:space="preserve"> We are left hesitating between Ruskin’s provocatively precise dating of the commencement of Venice’s Fall to 1418, the opening of the railway bridge in 1846, or one of the later restorations that caused him such dismay. Ruskin’s reconstructions rely, </w:t>
      </w:r>
      <w:r>
        <w:t>this is to suggest</w:t>
      </w:r>
      <w:r w:rsidRPr="00830B4B">
        <w:t>, on a subject position, and a highly personal p</w:t>
      </w:r>
      <w:r>
        <w:t>rocess of projection. This observation is</w:t>
      </w:r>
      <w:r w:rsidRPr="00830B4B">
        <w:t xml:space="preserve"> hard to square with the socially and per</w:t>
      </w:r>
      <w:r>
        <w:t>ceptually multifarious form of the real city he was attempting to protect.</w:t>
      </w:r>
    </w:p>
    <w:p w14:paraId="47523077" w14:textId="77777777" w:rsidR="001322B1" w:rsidRDefault="00974F9C" w:rsidP="009A1926">
      <w:pPr>
        <w:widowControl w:val="0"/>
        <w:autoSpaceDE w:val="0"/>
        <w:autoSpaceDN w:val="0"/>
        <w:adjustRightInd w:val="0"/>
        <w:spacing w:line="360" w:lineRule="auto"/>
        <w:ind w:firstLine="567"/>
        <w:jc w:val="both"/>
        <w:rPr>
          <w:lang w:val="en-US"/>
        </w:rPr>
      </w:pPr>
      <w:r w:rsidRPr="00830B4B">
        <w:rPr>
          <w:i/>
          <w:iCs/>
        </w:rPr>
        <w:t>The Stones of Venice</w:t>
      </w:r>
      <w:r>
        <w:rPr>
          <w:iCs/>
        </w:rPr>
        <w:t>, Hewison has claimed,</w:t>
      </w:r>
      <w:r w:rsidRPr="00830B4B">
        <w:rPr>
          <w:i/>
          <w:iCs/>
        </w:rPr>
        <w:t xml:space="preserve"> </w:t>
      </w:r>
      <w:r>
        <w:t>witnesses Ruskin’s move from that</w:t>
      </w:r>
      <w:r w:rsidRPr="00830B4B">
        <w:t xml:space="preserve"> </w:t>
      </w:r>
      <w:r w:rsidRPr="00830B4B">
        <w:lastRenderedPageBreak/>
        <w:t xml:space="preserve">Romantic vision of </w:t>
      </w:r>
      <w:r>
        <w:t>a whole city –</w:t>
      </w:r>
      <w:r w:rsidRPr="00830B4B">
        <w:t xml:space="preserve"> promoted </w:t>
      </w:r>
      <w:r>
        <w:t xml:space="preserve">variously </w:t>
      </w:r>
      <w:r w:rsidRPr="00830B4B">
        <w:t>by Rogers, Turner</w:t>
      </w:r>
      <w:r>
        <w:t xml:space="preserve"> and Byron –</w:t>
      </w:r>
      <w:r w:rsidRPr="00830B4B">
        <w:t xml:space="preserve"> to </w:t>
      </w:r>
      <w:r>
        <w:t>a</w:t>
      </w:r>
      <w:r w:rsidRPr="00830B4B">
        <w:t xml:space="preserve"> patient historicism of architectural detail. </w:t>
      </w:r>
      <w:r>
        <w:rPr>
          <w:lang w:val="en-US"/>
        </w:rPr>
        <w:t>This analysis is convincing, but I have argued</w:t>
      </w:r>
      <w:r w:rsidRPr="008B08AD">
        <w:rPr>
          <w:lang w:val="en-US"/>
        </w:rPr>
        <w:t xml:space="preserve"> that one strand of the Romantic inheritance persists, and that it enters into alliance with an otherwise dominant forensic spir</w:t>
      </w:r>
      <w:r>
        <w:rPr>
          <w:lang w:val="en-US"/>
        </w:rPr>
        <w:t>it</w:t>
      </w:r>
      <w:r w:rsidRPr="00830B4B">
        <w:t xml:space="preserve">. </w:t>
      </w:r>
      <w:r w:rsidRPr="008B08AD">
        <w:rPr>
          <w:lang w:val="en-US"/>
        </w:rPr>
        <w:t>Though ‘restoration’ wrought on the canvas of the origin</w:t>
      </w:r>
      <w:r>
        <w:rPr>
          <w:lang w:val="en-US"/>
        </w:rPr>
        <w:t>al</w:t>
      </w:r>
      <w:r w:rsidRPr="008B08AD">
        <w:rPr>
          <w:lang w:val="en-US"/>
        </w:rPr>
        <w:t xml:space="preserve"> was cast as the height of arrogant presentism, it was elsewhere embraced as an imaginative, or utopian function, that reconciled the faculties of ‘knowing and feeling’. The </w:t>
      </w:r>
      <w:r w:rsidRPr="00693052">
        <w:rPr>
          <w:i/>
          <w:lang w:val="en-US"/>
        </w:rPr>
        <w:t>cordon sanitaire</w:t>
      </w:r>
      <w:r w:rsidRPr="008B08AD">
        <w:rPr>
          <w:lang w:val="en-US"/>
        </w:rPr>
        <w:t xml:space="preserve"> between old and new, upon which Ruskin insisted, was not impermeable; but his need for it at all reflects his distinctive approach to such evidence-based dreaming, and his influence on modern practices of reconstructive visualisation. It is no accident that Mumford quotes Ruskin approvingly when he describes </w:t>
      </w:r>
      <w:r w:rsidR="00AD787A">
        <w:rPr>
          <w:lang w:val="en-US"/>
        </w:rPr>
        <w:t>a</w:t>
      </w:r>
      <w:r w:rsidRPr="008B08AD">
        <w:rPr>
          <w:lang w:val="en-US"/>
        </w:rPr>
        <w:t xml:space="preserve"> </w:t>
      </w:r>
      <w:r w:rsidR="00AD787A">
        <w:rPr>
          <w:lang w:val="en-US"/>
        </w:rPr>
        <w:t xml:space="preserve">rapprochement of ‘art and life’, one </w:t>
      </w:r>
      <w:r w:rsidRPr="008B08AD">
        <w:rPr>
          <w:lang w:val="en-US"/>
        </w:rPr>
        <w:t>that has allowed the ‘model-maker’ to turn the modern museum in to ‘a concrete theater of history’.</w:t>
      </w:r>
      <w:r>
        <w:rPr>
          <w:rStyle w:val="FootnoteReference"/>
          <w:lang w:val="en-US"/>
        </w:rPr>
        <w:footnoteReference w:id="22"/>
      </w:r>
    </w:p>
    <w:p w14:paraId="371A2930" w14:textId="77777777" w:rsidR="009A1926" w:rsidRPr="009A1926" w:rsidRDefault="009A1926" w:rsidP="009A1926">
      <w:pPr>
        <w:widowControl w:val="0"/>
        <w:autoSpaceDE w:val="0"/>
        <w:autoSpaceDN w:val="0"/>
        <w:adjustRightInd w:val="0"/>
        <w:spacing w:line="360" w:lineRule="auto"/>
        <w:ind w:firstLine="567"/>
        <w:jc w:val="both"/>
        <w:rPr>
          <w:lang w:val="en-US"/>
        </w:rPr>
      </w:pPr>
    </w:p>
    <w:p w14:paraId="01AAD5C2" w14:textId="77777777" w:rsidR="001322B1" w:rsidRPr="009A1926" w:rsidRDefault="001322B1" w:rsidP="009A1926">
      <w:pPr>
        <w:widowControl w:val="0"/>
        <w:autoSpaceDE w:val="0"/>
        <w:autoSpaceDN w:val="0"/>
        <w:adjustRightInd w:val="0"/>
        <w:spacing w:after="240" w:line="360" w:lineRule="auto"/>
        <w:jc w:val="right"/>
        <w:rPr>
          <w:i/>
        </w:rPr>
      </w:pPr>
      <w:r w:rsidRPr="009A1926">
        <w:rPr>
          <w:i/>
        </w:rPr>
        <w:t>Magdalene College, Cambridge</w:t>
      </w:r>
    </w:p>
    <w:p w14:paraId="11D71340" w14:textId="77777777" w:rsidR="009A1926" w:rsidRDefault="009A1926" w:rsidP="009A1926">
      <w:pPr>
        <w:widowControl w:val="0"/>
        <w:autoSpaceDE w:val="0"/>
        <w:autoSpaceDN w:val="0"/>
        <w:adjustRightInd w:val="0"/>
        <w:spacing w:after="240" w:line="360" w:lineRule="auto"/>
        <w:jc w:val="right"/>
      </w:pPr>
    </w:p>
    <w:p w14:paraId="030A3255" w14:textId="77777777" w:rsidR="007C3887" w:rsidRPr="009A1926" w:rsidRDefault="001322B1" w:rsidP="009A1926">
      <w:pPr>
        <w:widowControl w:val="0"/>
        <w:autoSpaceDE w:val="0"/>
        <w:autoSpaceDN w:val="0"/>
        <w:adjustRightInd w:val="0"/>
        <w:spacing w:after="240"/>
        <w:jc w:val="center"/>
        <w:rPr>
          <w:b/>
        </w:rPr>
      </w:pPr>
      <w:r w:rsidRPr="009A1926">
        <w:rPr>
          <w:b/>
        </w:rPr>
        <w:t xml:space="preserve">List of </w:t>
      </w:r>
      <w:r w:rsidR="007C3887" w:rsidRPr="009A1926">
        <w:rPr>
          <w:b/>
        </w:rPr>
        <w:t>Illustrations</w:t>
      </w:r>
    </w:p>
    <w:p w14:paraId="39399436" w14:textId="77777777" w:rsidR="003D2AC8" w:rsidRPr="009A1926" w:rsidRDefault="0000046A" w:rsidP="009A1926">
      <w:pPr>
        <w:rPr>
          <w:sz w:val="22"/>
        </w:rPr>
      </w:pPr>
      <w:r w:rsidRPr="009A1926">
        <w:rPr>
          <w:b/>
          <w:sz w:val="22"/>
        </w:rPr>
        <w:t>Figure</w:t>
      </w:r>
      <w:r w:rsidR="007C3887" w:rsidRPr="009A1926">
        <w:rPr>
          <w:b/>
          <w:sz w:val="22"/>
        </w:rPr>
        <w:t xml:space="preserve"> 1.</w:t>
      </w:r>
      <w:r w:rsidR="007C3887" w:rsidRPr="009A1926">
        <w:rPr>
          <w:sz w:val="22"/>
        </w:rPr>
        <w:t xml:space="preserve"> Extension, View 1, </w:t>
      </w:r>
      <w:r w:rsidR="007C3887" w:rsidRPr="009A1926">
        <w:rPr>
          <w:i/>
          <w:sz w:val="22"/>
        </w:rPr>
        <w:t>Ruskin at Walkley</w:t>
      </w:r>
      <w:r w:rsidR="007C3887" w:rsidRPr="009A1926">
        <w:rPr>
          <w:sz w:val="22"/>
        </w:rPr>
        <w:t xml:space="preserve"> &lt;</w:t>
      </w:r>
      <w:r w:rsidR="007C3887" w:rsidRPr="009A1926">
        <w:rPr>
          <w:iCs/>
          <w:sz w:val="22"/>
        </w:rPr>
        <w:t>www.ruskinatwalkley.org</w:t>
      </w:r>
      <w:r w:rsidR="007C3887" w:rsidRPr="009A1926">
        <w:rPr>
          <w:sz w:val="22"/>
        </w:rPr>
        <w:t>&gt;,</w:t>
      </w:r>
      <w:r w:rsidR="003D2AC8" w:rsidRPr="009A1926">
        <w:rPr>
          <w:sz w:val="22"/>
        </w:rPr>
        <w:t xml:space="preserve"> embedded</w:t>
      </w:r>
      <w:r w:rsidR="007C3887" w:rsidRPr="009A1926">
        <w:rPr>
          <w:sz w:val="22"/>
        </w:rPr>
        <w:t xml:space="preserve"> image copyright</w:t>
      </w:r>
      <w:r w:rsidR="003D2AC8" w:rsidRPr="009A1926">
        <w:rPr>
          <w:sz w:val="22"/>
        </w:rPr>
        <w:t>: ‘Interior of Extension, St George's Museum, Walkley, c. 1886’, Collection of the Guild of St George, Museums Sheffield</w:t>
      </w:r>
    </w:p>
    <w:p w14:paraId="70F7B156" w14:textId="77777777" w:rsidR="009A1926" w:rsidRPr="009A1926" w:rsidRDefault="009A1926" w:rsidP="009A1926">
      <w:pPr>
        <w:rPr>
          <w:sz w:val="22"/>
        </w:rPr>
      </w:pPr>
    </w:p>
    <w:p w14:paraId="695B194A" w14:textId="77777777" w:rsidR="007612E2" w:rsidRPr="009A1926" w:rsidRDefault="0000046A" w:rsidP="009A1926">
      <w:pPr>
        <w:rPr>
          <w:sz w:val="22"/>
        </w:rPr>
      </w:pPr>
      <w:r w:rsidRPr="009A1926">
        <w:rPr>
          <w:b/>
          <w:sz w:val="22"/>
        </w:rPr>
        <w:t>Figure</w:t>
      </w:r>
      <w:r w:rsidR="007612E2" w:rsidRPr="009A1926">
        <w:rPr>
          <w:b/>
          <w:sz w:val="22"/>
        </w:rPr>
        <w:t xml:space="preserve"> 2.</w:t>
      </w:r>
      <w:r w:rsidR="007612E2" w:rsidRPr="009A1926">
        <w:rPr>
          <w:sz w:val="22"/>
        </w:rPr>
        <w:t xml:space="preserve"> Extension, View 2, </w:t>
      </w:r>
      <w:r w:rsidR="007612E2" w:rsidRPr="009A1926">
        <w:rPr>
          <w:i/>
          <w:sz w:val="22"/>
        </w:rPr>
        <w:t>Ruskin at Walkley</w:t>
      </w:r>
      <w:r w:rsidR="007612E2" w:rsidRPr="009A1926">
        <w:rPr>
          <w:sz w:val="22"/>
        </w:rPr>
        <w:t xml:space="preserve"> &lt;</w:t>
      </w:r>
      <w:r w:rsidR="007612E2" w:rsidRPr="009A1926">
        <w:rPr>
          <w:iCs/>
          <w:sz w:val="22"/>
        </w:rPr>
        <w:t>www.ruskinatwalkley.org</w:t>
      </w:r>
      <w:r w:rsidR="007612E2" w:rsidRPr="009A1926">
        <w:rPr>
          <w:sz w:val="22"/>
        </w:rPr>
        <w:t>&gt;, embedded image copyright: ‘Interior of Extension, St George's Museum, Walkley, c. 1886’, Collection of the Guild of St George, Museums Sheffield</w:t>
      </w:r>
    </w:p>
    <w:p w14:paraId="66E61F32" w14:textId="77777777" w:rsidR="009A1926" w:rsidRPr="009A1926" w:rsidRDefault="009A1926" w:rsidP="009A1926">
      <w:pPr>
        <w:rPr>
          <w:sz w:val="22"/>
        </w:rPr>
      </w:pPr>
    </w:p>
    <w:p w14:paraId="2547AFE9" w14:textId="77777777" w:rsidR="005D4A12" w:rsidRPr="009A1926" w:rsidRDefault="0000046A" w:rsidP="009A1926">
      <w:pPr>
        <w:rPr>
          <w:sz w:val="22"/>
        </w:rPr>
      </w:pPr>
      <w:r w:rsidRPr="009A1926">
        <w:rPr>
          <w:b/>
          <w:sz w:val="22"/>
        </w:rPr>
        <w:t>Figure</w:t>
      </w:r>
      <w:r w:rsidR="007612E2" w:rsidRPr="009A1926">
        <w:rPr>
          <w:b/>
          <w:sz w:val="22"/>
        </w:rPr>
        <w:t xml:space="preserve"> 3.</w:t>
      </w:r>
      <w:r w:rsidR="007612E2" w:rsidRPr="009A1926">
        <w:rPr>
          <w:sz w:val="22"/>
        </w:rPr>
        <w:t xml:space="preserve"> John Wharlton Bunney, </w:t>
      </w:r>
      <w:r w:rsidR="007612E2" w:rsidRPr="009A1926">
        <w:rPr>
          <w:i/>
          <w:sz w:val="22"/>
        </w:rPr>
        <w:t>Western Façade of the Basilica of San Marco, Venice</w:t>
      </w:r>
      <w:r w:rsidR="007612E2" w:rsidRPr="009A1926">
        <w:rPr>
          <w:sz w:val="22"/>
        </w:rPr>
        <w:t>, oil on canvas, 1877-1882, Collection of the Guild of St George, Museums Sheffield</w:t>
      </w:r>
    </w:p>
    <w:p w14:paraId="4A3442F4" w14:textId="77777777" w:rsidR="005D4A12" w:rsidRPr="009A1926" w:rsidRDefault="0000046A" w:rsidP="009A1926">
      <w:pPr>
        <w:rPr>
          <w:sz w:val="22"/>
        </w:rPr>
      </w:pPr>
      <w:r w:rsidRPr="009A1926">
        <w:rPr>
          <w:b/>
          <w:sz w:val="22"/>
        </w:rPr>
        <w:t>Figure</w:t>
      </w:r>
      <w:r w:rsidR="005D4A12" w:rsidRPr="009A1926">
        <w:rPr>
          <w:b/>
          <w:sz w:val="22"/>
        </w:rPr>
        <w:t xml:space="preserve"> 4.</w:t>
      </w:r>
      <w:r w:rsidR="005D4A12" w:rsidRPr="009A1926">
        <w:rPr>
          <w:sz w:val="22"/>
        </w:rPr>
        <w:t xml:space="preserve"> ‘Byzantine Ruin, in Rio di Ca’ Foscari’, Plate 8 of </w:t>
      </w:r>
      <w:r w:rsidR="005D4A12" w:rsidRPr="009A1926">
        <w:rPr>
          <w:i/>
          <w:iCs/>
          <w:sz w:val="22"/>
        </w:rPr>
        <w:t xml:space="preserve">Examples of the Architecture of Venice </w:t>
      </w:r>
      <w:r w:rsidR="005D4A12" w:rsidRPr="009A1926">
        <w:rPr>
          <w:sz w:val="22"/>
        </w:rPr>
        <w:t>(1851)</w:t>
      </w:r>
    </w:p>
    <w:p w14:paraId="51F96527" w14:textId="77777777" w:rsidR="009A1926" w:rsidRPr="009A1926" w:rsidRDefault="009A1926" w:rsidP="009A1926">
      <w:pPr>
        <w:rPr>
          <w:sz w:val="22"/>
        </w:rPr>
      </w:pPr>
    </w:p>
    <w:p w14:paraId="67AA7330" w14:textId="77777777" w:rsidR="003756BD" w:rsidRPr="009A1926" w:rsidRDefault="0000046A" w:rsidP="009A1926">
      <w:pPr>
        <w:rPr>
          <w:sz w:val="22"/>
        </w:rPr>
      </w:pPr>
      <w:r w:rsidRPr="009A1926">
        <w:rPr>
          <w:b/>
          <w:sz w:val="22"/>
        </w:rPr>
        <w:t>Figure</w:t>
      </w:r>
      <w:r w:rsidR="005D4A12" w:rsidRPr="009A1926">
        <w:rPr>
          <w:b/>
          <w:sz w:val="22"/>
        </w:rPr>
        <w:t xml:space="preserve"> 5.</w:t>
      </w:r>
      <w:r w:rsidR="005D4A12" w:rsidRPr="009A1926">
        <w:rPr>
          <w:sz w:val="22"/>
        </w:rPr>
        <w:t xml:space="preserve"> ‘Stilted Archivolts, From a Ruin in the Rio di Ca’ Foscari’, </w:t>
      </w:r>
      <w:r w:rsidR="003756BD" w:rsidRPr="009A1926">
        <w:rPr>
          <w:sz w:val="22"/>
        </w:rPr>
        <w:t xml:space="preserve">Plate 9 of </w:t>
      </w:r>
      <w:r w:rsidR="003756BD" w:rsidRPr="009A1926">
        <w:rPr>
          <w:i/>
          <w:iCs/>
          <w:sz w:val="22"/>
        </w:rPr>
        <w:t xml:space="preserve">Examples of the Architecture of Venice </w:t>
      </w:r>
      <w:r w:rsidR="003756BD" w:rsidRPr="009A1926">
        <w:rPr>
          <w:sz w:val="22"/>
        </w:rPr>
        <w:t>(1851)</w:t>
      </w:r>
    </w:p>
    <w:p w14:paraId="1111F978" w14:textId="77777777" w:rsidR="009A1926" w:rsidRPr="009A1926" w:rsidRDefault="009A1926" w:rsidP="009A1926">
      <w:pPr>
        <w:rPr>
          <w:sz w:val="22"/>
        </w:rPr>
      </w:pPr>
    </w:p>
    <w:p w14:paraId="799C1BD3" w14:textId="77777777" w:rsidR="007C3887" w:rsidRPr="009A1926" w:rsidRDefault="0000046A" w:rsidP="009A1926">
      <w:pPr>
        <w:rPr>
          <w:sz w:val="22"/>
        </w:rPr>
      </w:pPr>
      <w:r w:rsidRPr="009A1926">
        <w:rPr>
          <w:b/>
          <w:sz w:val="22"/>
        </w:rPr>
        <w:t>Figure</w:t>
      </w:r>
      <w:r w:rsidR="003756BD" w:rsidRPr="009A1926">
        <w:rPr>
          <w:b/>
          <w:sz w:val="22"/>
        </w:rPr>
        <w:t xml:space="preserve"> 6.</w:t>
      </w:r>
      <w:r w:rsidR="003756BD" w:rsidRPr="009A1926">
        <w:rPr>
          <w:sz w:val="22"/>
        </w:rPr>
        <w:t xml:space="preserve"> ‘Palace of Rio di Ca’ Foscari. Conjectural Restoration’, Plate 10 of </w:t>
      </w:r>
      <w:r w:rsidR="003756BD" w:rsidRPr="009A1926">
        <w:rPr>
          <w:i/>
          <w:iCs/>
          <w:sz w:val="22"/>
        </w:rPr>
        <w:t xml:space="preserve">Examples of the Architecture of Venice </w:t>
      </w:r>
      <w:r w:rsidR="003756BD" w:rsidRPr="009A1926">
        <w:rPr>
          <w:sz w:val="22"/>
        </w:rPr>
        <w:t>(1851)</w:t>
      </w:r>
    </w:p>
    <w:sectPr w:rsidR="007C3887" w:rsidRPr="009A1926" w:rsidSect="00A1314D">
      <w:footerReference w:type="even" r:id="rId6"/>
      <w:footerReference w:type="default" r:id="rId7"/>
      <w:endnotePr>
        <w:numFmt w:val="decimal"/>
      </w:endnotePr>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30E23F" w14:textId="77777777" w:rsidR="00067773" w:rsidRDefault="00067773" w:rsidP="00FF1B9A">
      <w:r>
        <w:separator/>
      </w:r>
    </w:p>
  </w:endnote>
  <w:endnote w:type="continuationSeparator" w:id="0">
    <w:p w14:paraId="7CC10D84" w14:textId="77777777" w:rsidR="00067773" w:rsidRDefault="00067773" w:rsidP="00FF1B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0000000" w:usb2="01000407" w:usb3="00000000" w:csb0="00020000" w:csb1="00000000"/>
  </w:font>
  <w:font w:name="Times New Roman">
    <w:panose1 w:val="02020603050405020304"/>
    <w:charset w:val="00"/>
    <w:family w:val="roman"/>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4E"/>
    <w:family w:val="auto"/>
    <w:pitch w:val="variable"/>
    <w:sig w:usb0="00000001" w:usb1="00000000" w:usb2="01000407" w:usb3="00000000" w:csb0="00020000"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31716486"/>
      <w:docPartObj>
        <w:docPartGallery w:val="Page Numbers (Bottom of Page)"/>
        <w:docPartUnique/>
      </w:docPartObj>
    </w:sdtPr>
    <w:sdtEndPr>
      <w:rPr>
        <w:rStyle w:val="PageNumber"/>
      </w:rPr>
    </w:sdtEndPr>
    <w:sdtContent>
      <w:p w14:paraId="412E50CB" w14:textId="77777777" w:rsidR="009D3A10" w:rsidRDefault="00BF7F9D" w:rsidP="009C5327">
        <w:pPr>
          <w:pStyle w:val="Footer"/>
          <w:framePr w:wrap="none" w:vAnchor="text" w:hAnchor="margin" w:xAlign="center" w:y="1"/>
          <w:rPr>
            <w:rStyle w:val="PageNumber"/>
          </w:rPr>
        </w:pPr>
        <w:r>
          <w:rPr>
            <w:rStyle w:val="PageNumber"/>
          </w:rPr>
          <w:fldChar w:fldCharType="begin"/>
        </w:r>
        <w:r w:rsidR="009D3A10">
          <w:rPr>
            <w:rStyle w:val="PageNumber"/>
          </w:rPr>
          <w:instrText xml:space="preserve"> PAGE </w:instrText>
        </w:r>
        <w:r>
          <w:rPr>
            <w:rStyle w:val="PageNumber"/>
          </w:rPr>
          <w:fldChar w:fldCharType="end"/>
        </w:r>
      </w:p>
    </w:sdtContent>
  </w:sdt>
  <w:p w14:paraId="28DE65FF" w14:textId="77777777" w:rsidR="009D3A10" w:rsidRDefault="009D3A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81369091"/>
      <w:docPartObj>
        <w:docPartGallery w:val="Page Numbers (Bottom of Page)"/>
        <w:docPartUnique/>
      </w:docPartObj>
    </w:sdtPr>
    <w:sdtEndPr>
      <w:rPr>
        <w:rStyle w:val="PageNumber"/>
      </w:rPr>
    </w:sdtEndPr>
    <w:sdtContent>
      <w:p w14:paraId="30BC13B4" w14:textId="77777777" w:rsidR="009D3A10" w:rsidRDefault="00BF7F9D" w:rsidP="009C5327">
        <w:pPr>
          <w:pStyle w:val="Footer"/>
          <w:framePr w:wrap="none" w:vAnchor="text" w:hAnchor="margin" w:xAlign="center" w:y="1"/>
          <w:rPr>
            <w:rStyle w:val="PageNumber"/>
          </w:rPr>
        </w:pPr>
        <w:r w:rsidRPr="009D3A10">
          <w:rPr>
            <w:rStyle w:val="PageNumber"/>
            <w:sz w:val="22"/>
            <w:szCs w:val="22"/>
          </w:rPr>
          <w:fldChar w:fldCharType="begin"/>
        </w:r>
        <w:r w:rsidR="009D3A10" w:rsidRPr="009D3A10">
          <w:rPr>
            <w:rStyle w:val="PageNumber"/>
            <w:sz w:val="22"/>
            <w:szCs w:val="22"/>
          </w:rPr>
          <w:instrText xml:space="preserve"> PAGE </w:instrText>
        </w:r>
        <w:r w:rsidRPr="009D3A10">
          <w:rPr>
            <w:rStyle w:val="PageNumber"/>
            <w:sz w:val="22"/>
            <w:szCs w:val="22"/>
          </w:rPr>
          <w:fldChar w:fldCharType="separate"/>
        </w:r>
        <w:r w:rsidR="00C71937">
          <w:rPr>
            <w:rStyle w:val="PageNumber"/>
            <w:noProof/>
            <w:sz w:val="22"/>
            <w:szCs w:val="22"/>
          </w:rPr>
          <w:t>1</w:t>
        </w:r>
        <w:r w:rsidRPr="009D3A10">
          <w:rPr>
            <w:rStyle w:val="PageNumber"/>
            <w:sz w:val="22"/>
            <w:szCs w:val="22"/>
          </w:rPr>
          <w:fldChar w:fldCharType="end"/>
        </w:r>
      </w:p>
    </w:sdtContent>
  </w:sdt>
  <w:p w14:paraId="3A4CB3F0" w14:textId="77777777" w:rsidR="009D3A10" w:rsidRDefault="009D3A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48D27C" w14:textId="77777777" w:rsidR="00067773" w:rsidRDefault="00067773" w:rsidP="00FF1B9A">
      <w:r>
        <w:separator/>
      </w:r>
    </w:p>
  </w:footnote>
  <w:footnote w:type="continuationSeparator" w:id="0">
    <w:p w14:paraId="656136EE" w14:textId="77777777" w:rsidR="00067773" w:rsidRDefault="00067773" w:rsidP="00FF1B9A">
      <w:r>
        <w:continuationSeparator/>
      </w:r>
    </w:p>
  </w:footnote>
  <w:footnote w:id="1">
    <w:p w14:paraId="18C1A5B9" w14:textId="77777777" w:rsidR="00CF14AE" w:rsidRPr="00CF14AE" w:rsidRDefault="00CF14AE" w:rsidP="00CF14AE">
      <w:pPr>
        <w:pStyle w:val="FootnoteText"/>
        <w:spacing w:line="360" w:lineRule="auto"/>
        <w:rPr>
          <w:sz w:val="22"/>
        </w:rPr>
      </w:pPr>
      <w:r w:rsidRPr="00CF14AE">
        <w:rPr>
          <w:rStyle w:val="FootnoteReference"/>
          <w:sz w:val="22"/>
        </w:rPr>
        <w:footnoteRef/>
      </w:r>
      <w:r w:rsidRPr="00CF14AE">
        <w:rPr>
          <w:sz w:val="22"/>
        </w:rPr>
        <w:t xml:space="preserve"> </w:t>
      </w:r>
      <w:r>
        <w:rPr>
          <w:sz w:val="22"/>
        </w:rPr>
        <w:t xml:space="preserve">Marcus Waithe, ed., </w:t>
      </w:r>
      <w:r>
        <w:rPr>
          <w:i/>
          <w:sz w:val="22"/>
        </w:rPr>
        <w:t>Ruskin at Walkley: Reconstructing the St George’s Museum</w:t>
      </w:r>
      <w:r>
        <w:rPr>
          <w:sz w:val="22"/>
        </w:rPr>
        <w:t xml:space="preserve"> </w:t>
      </w:r>
      <w:r w:rsidRPr="00CF14AE">
        <w:rPr>
          <w:sz w:val="22"/>
        </w:rPr>
        <w:t>&lt;</w:t>
      </w:r>
      <w:r w:rsidRPr="00CF14AE">
        <w:rPr>
          <w:iCs/>
          <w:sz w:val="22"/>
        </w:rPr>
        <w:t>www.ruskinatwalkley.org</w:t>
      </w:r>
      <w:r w:rsidRPr="00CF14AE">
        <w:rPr>
          <w:sz w:val="22"/>
        </w:rPr>
        <w:t>&gt;</w:t>
      </w:r>
      <w:r>
        <w:rPr>
          <w:sz w:val="22"/>
        </w:rPr>
        <w:t>.</w:t>
      </w:r>
    </w:p>
  </w:footnote>
  <w:footnote w:id="2">
    <w:p w14:paraId="57FF6ADE" w14:textId="77777777" w:rsidR="00974F9C" w:rsidRPr="00974F9C" w:rsidRDefault="00974F9C" w:rsidP="00CF14AE">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w:t>
      </w:r>
      <w:r w:rsidR="00A1314D">
        <w:rPr>
          <w:rFonts w:ascii="Times New Roman" w:hAnsi="Times New Roman" w:cs="Times New Roman"/>
          <w:sz w:val="22"/>
          <w:szCs w:val="22"/>
        </w:rPr>
        <w:t xml:space="preserve">John </w:t>
      </w:r>
      <w:r w:rsidRPr="00974F9C">
        <w:rPr>
          <w:rFonts w:ascii="Times New Roman" w:hAnsi="Times New Roman" w:cs="Times New Roman"/>
          <w:sz w:val="22"/>
          <w:szCs w:val="22"/>
        </w:rPr>
        <w:t xml:space="preserve">Ruskin, ‘The Master’s Report’ (1881), in </w:t>
      </w:r>
      <w:r w:rsidR="00A1314D" w:rsidRPr="00974F9C">
        <w:rPr>
          <w:rFonts w:ascii="Times New Roman" w:hAnsi="Times New Roman" w:cs="Times New Roman"/>
          <w:sz w:val="22"/>
          <w:szCs w:val="22"/>
        </w:rPr>
        <w:t>E. T. Cook and Alexander Wedderburn</w:t>
      </w:r>
      <w:r w:rsidR="00A1314D">
        <w:rPr>
          <w:rFonts w:ascii="Times New Roman" w:hAnsi="Times New Roman" w:cs="Times New Roman"/>
          <w:i/>
          <w:sz w:val="22"/>
          <w:szCs w:val="22"/>
        </w:rPr>
        <w:t xml:space="preserve"> </w:t>
      </w:r>
      <w:r w:rsidR="00A1314D">
        <w:rPr>
          <w:rFonts w:ascii="Times New Roman" w:hAnsi="Times New Roman" w:cs="Times New Roman"/>
          <w:sz w:val="22"/>
          <w:szCs w:val="22"/>
        </w:rPr>
        <w:t xml:space="preserve">(eds), </w:t>
      </w:r>
      <w:r w:rsidRPr="00974F9C">
        <w:rPr>
          <w:rFonts w:ascii="Times New Roman" w:hAnsi="Times New Roman" w:cs="Times New Roman"/>
          <w:i/>
          <w:sz w:val="22"/>
          <w:szCs w:val="22"/>
        </w:rPr>
        <w:t>The Complete Works of John Ruskin</w:t>
      </w:r>
      <w:r w:rsidR="00A1314D">
        <w:rPr>
          <w:rFonts w:ascii="Times New Roman" w:hAnsi="Times New Roman" w:cs="Times New Roman"/>
          <w:sz w:val="22"/>
          <w:szCs w:val="22"/>
        </w:rPr>
        <w:t xml:space="preserve">, </w:t>
      </w:r>
      <w:r w:rsidR="00A1314D" w:rsidRPr="00A1314D">
        <w:rPr>
          <w:rFonts w:ascii="Times New Roman" w:hAnsi="Times New Roman" w:cs="Times New Roman"/>
          <w:sz w:val="22"/>
          <w:szCs w:val="22"/>
        </w:rPr>
        <w:t>39 vols (London: George Allen, 1903</w:t>
      </w:r>
      <w:r w:rsidR="00A1314D" w:rsidRPr="00A1314D">
        <w:rPr>
          <w:rFonts w:ascii="Times New Roman" w:hAnsi="Times New Roman" w:cs="Times New Roman"/>
          <w:sz w:val="22"/>
          <w:szCs w:val="22"/>
        </w:rPr>
        <w:softHyphen/>
        <w:t>–1912</w:t>
      </w:r>
      <w:r w:rsidR="00A1314D">
        <w:rPr>
          <w:rFonts w:ascii="Times New Roman" w:hAnsi="Times New Roman" w:cs="Times New Roman"/>
          <w:sz w:val="22"/>
          <w:szCs w:val="22"/>
        </w:rPr>
        <w:t xml:space="preserve">), </w:t>
      </w:r>
      <w:r w:rsidRPr="00974F9C">
        <w:rPr>
          <w:rFonts w:ascii="Times New Roman" w:hAnsi="Times New Roman" w:cs="Times New Roman"/>
          <w:sz w:val="22"/>
          <w:szCs w:val="22"/>
        </w:rPr>
        <w:t>XXX, pp. 31</w:t>
      </w:r>
      <w:r w:rsidR="00A1314D">
        <w:rPr>
          <w:rFonts w:ascii="Times New Roman" w:hAnsi="Times New Roman" w:cs="Times New Roman"/>
          <w:sz w:val="22"/>
          <w:szCs w:val="22"/>
        </w:rPr>
        <w:t>–</w:t>
      </w:r>
      <w:r w:rsidRPr="00974F9C">
        <w:rPr>
          <w:rFonts w:ascii="Times New Roman" w:hAnsi="Times New Roman" w:cs="Times New Roman"/>
          <w:sz w:val="22"/>
          <w:szCs w:val="22"/>
        </w:rPr>
        <w:t>41 (p. 39)</w:t>
      </w:r>
      <w:r w:rsidR="00A1314D">
        <w:rPr>
          <w:rFonts w:ascii="Times New Roman" w:hAnsi="Times New Roman" w:cs="Times New Roman"/>
          <w:sz w:val="22"/>
          <w:szCs w:val="22"/>
        </w:rPr>
        <w:t>; hereafter cited parenthetically by volume and page number.</w:t>
      </w:r>
    </w:p>
  </w:footnote>
  <w:footnote w:id="3">
    <w:p w14:paraId="7CB3BD7B"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I previously discussed this example in Marcus Waithe, ‘John Ruskin and the Idea of a Museum’, in </w:t>
      </w:r>
      <w:r w:rsidRPr="00974F9C">
        <w:rPr>
          <w:rFonts w:ascii="Times New Roman" w:hAnsi="Times New Roman" w:cs="Times New Roman"/>
          <w:i/>
          <w:sz w:val="22"/>
          <w:szCs w:val="22"/>
        </w:rPr>
        <w:t>Persistent Ruskin: Studies in Influence, Assimilation and Effect</w:t>
      </w:r>
      <w:r w:rsidRPr="00974F9C">
        <w:rPr>
          <w:rFonts w:ascii="Times New Roman" w:hAnsi="Times New Roman" w:cs="Times New Roman"/>
          <w:sz w:val="22"/>
          <w:szCs w:val="22"/>
        </w:rPr>
        <w:t>, ed. Keith Hanley and Brian Maidment (</w:t>
      </w:r>
      <w:r w:rsidR="00B318C0">
        <w:rPr>
          <w:rFonts w:ascii="Times New Roman" w:hAnsi="Times New Roman" w:cs="Times New Roman"/>
          <w:sz w:val="22"/>
          <w:szCs w:val="22"/>
        </w:rPr>
        <w:t>Farnham: Ashgate, 2013), pp. 33</w:t>
      </w:r>
      <w:r w:rsidR="00587381">
        <w:rPr>
          <w:rFonts w:ascii="Times New Roman" w:hAnsi="Times New Roman" w:cs="Times New Roman"/>
          <w:sz w:val="22"/>
          <w:szCs w:val="22"/>
        </w:rPr>
        <w:softHyphen/>
        <w:t>–</w:t>
      </w:r>
      <w:r w:rsidR="00B318C0">
        <w:rPr>
          <w:rFonts w:ascii="Times New Roman" w:hAnsi="Times New Roman" w:cs="Times New Roman"/>
          <w:sz w:val="22"/>
          <w:szCs w:val="22"/>
        </w:rPr>
        <w:t>52.</w:t>
      </w:r>
    </w:p>
  </w:footnote>
  <w:footnote w:id="4">
    <w:p w14:paraId="16791B09"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Lesley Adkins and Roy Adkins, </w:t>
      </w:r>
      <w:r w:rsidRPr="00974F9C">
        <w:rPr>
          <w:rFonts w:ascii="Times New Roman" w:hAnsi="Times New Roman" w:cs="Times New Roman"/>
          <w:i/>
          <w:sz w:val="22"/>
          <w:szCs w:val="22"/>
        </w:rPr>
        <w:t xml:space="preserve">Archaeological Illustration </w:t>
      </w:r>
      <w:r w:rsidRPr="00974F9C">
        <w:rPr>
          <w:rFonts w:ascii="Times New Roman" w:hAnsi="Times New Roman" w:cs="Times New Roman"/>
          <w:sz w:val="22"/>
          <w:szCs w:val="22"/>
        </w:rPr>
        <w:t>(Cambridge: Cambridge University Press, 1989), p. 5.</w:t>
      </w:r>
    </w:p>
  </w:footnote>
  <w:footnote w:id="5">
    <w:p w14:paraId="3F0EEBC8"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Lewis Mumford, ‘The Marriage of Museums’, </w:t>
      </w:r>
      <w:r w:rsidRPr="00974F9C">
        <w:rPr>
          <w:rFonts w:ascii="Times New Roman" w:hAnsi="Times New Roman" w:cs="Times New Roman"/>
          <w:i/>
          <w:iCs/>
          <w:sz w:val="22"/>
          <w:szCs w:val="22"/>
        </w:rPr>
        <w:t xml:space="preserve">The Scientific Monthly, </w:t>
      </w:r>
      <w:r w:rsidRPr="00974F9C">
        <w:rPr>
          <w:rFonts w:ascii="Times New Roman" w:hAnsi="Times New Roman" w:cs="Times New Roman"/>
          <w:sz w:val="22"/>
          <w:szCs w:val="22"/>
        </w:rPr>
        <w:t>7 (3) (1918), 252</w:t>
      </w:r>
      <w:r w:rsidR="008F347A">
        <w:rPr>
          <w:rFonts w:ascii="Times New Roman" w:hAnsi="Times New Roman" w:cs="Times New Roman"/>
          <w:sz w:val="22"/>
          <w:szCs w:val="22"/>
        </w:rPr>
        <w:t>–</w:t>
      </w:r>
      <w:r w:rsidRPr="00974F9C">
        <w:rPr>
          <w:rFonts w:ascii="Times New Roman" w:hAnsi="Times New Roman" w:cs="Times New Roman"/>
          <w:sz w:val="22"/>
          <w:szCs w:val="22"/>
        </w:rPr>
        <w:t>60.</w:t>
      </w:r>
    </w:p>
  </w:footnote>
  <w:footnote w:id="6">
    <w:p w14:paraId="3A782462"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Mumford, ‘The Marriage of Museums’, </w:t>
      </w:r>
      <w:r w:rsidRPr="00974F9C">
        <w:rPr>
          <w:rFonts w:ascii="Times New Roman" w:hAnsi="Times New Roman" w:cs="Times New Roman"/>
          <w:i/>
          <w:iCs/>
          <w:sz w:val="22"/>
          <w:szCs w:val="22"/>
        </w:rPr>
        <w:t>The Scientific Monthly</w:t>
      </w:r>
      <w:r w:rsidRPr="00974F9C">
        <w:rPr>
          <w:rFonts w:ascii="Times New Roman" w:hAnsi="Times New Roman" w:cs="Times New Roman"/>
          <w:iCs/>
          <w:sz w:val="22"/>
          <w:szCs w:val="22"/>
        </w:rPr>
        <w:t>, p. 257.</w:t>
      </w:r>
    </w:p>
  </w:footnote>
  <w:footnote w:id="7">
    <w:p w14:paraId="2E189D71"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Mumford, ‘The Marriage of Museums’, </w:t>
      </w:r>
      <w:r w:rsidRPr="00974F9C">
        <w:rPr>
          <w:rFonts w:ascii="Times New Roman" w:hAnsi="Times New Roman" w:cs="Times New Roman"/>
          <w:i/>
          <w:iCs/>
          <w:sz w:val="22"/>
          <w:szCs w:val="22"/>
        </w:rPr>
        <w:t>The Scientific Monthly</w:t>
      </w:r>
      <w:r w:rsidRPr="00974F9C">
        <w:rPr>
          <w:rFonts w:ascii="Times New Roman" w:hAnsi="Times New Roman" w:cs="Times New Roman"/>
          <w:iCs/>
          <w:sz w:val="22"/>
          <w:szCs w:val="22"/>
        </w:rPr>
        <w:t>, p. 259.</w:t>
      </w:r>
    </w:p>
  </w:footnote>
  <w:footnote w:id="8">
    <w:p w14:paraId="015CC9BA"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Mumford, ‘The Marriage of Museums’, </w:t>
      </w:r>
      <w:r w:rsidRPr="00974F9C">
        <w:rPr>
          <w:rFonts w:ascii="Times New Roman" w:hAnsi="Times New Roman" w:cs="Times New Roman"/>
          <w:i/>
          <w:iCs/>
          <w:sz w:val="22"/>
          <w:szCs w:val="22"/>
        </w:rPr>
        <w:t>The Scientific Monthly</w:t>
      </w:r>
      <w:r w:rsidRPr="00974F9C">
        <w:rPr>
          <w:rFonts w:ascii="Times New Roman" w:hAnsi="Times New Roman" w:cs="Times New Roman"/>
          <w:iCs/>
          <w:sz w:val="22"/>
          <w:szCs w:val="22"/>
        </w:rPr>
        <w:t>, p. 260.</w:t>
      </w:r>
    </w:p>
  </w:footnote>
  <w:footnote w:id="9">
    <w:p w14:paraId="5FB39798" w14:textId="77777777" w:rsidR="00974F9C" w:rsidRPr="00974F9C" w:rsidRDefault="00974F9C" w:rsidP="00A077E0">
      <w:pPr>
        <w:pStyle w:val="FootnoteText"/>
        <w:spacing w:line="360" w:lineRule="auto"/>
        <w:jc w:val="both"/>
        <w:rPr>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w:t>
      </w:r>
      <w:r w:rsidRPr="00974F9C">
        <w:rPr>
          <w:rFonts w:ascii="Times New Roman" w:hAnsi="Times New Roman" w:cs="Times New Roman"/>
          <w:sz w:val="22"/>
          <w:szCs w:val="22"/>
          <w:lang w:val="en-US"/>
        </w:rPr>
        <w:t xml:space="preserve">For a history of such ‘concepts of model-building’, see John Coles, </w:t>
      </w:r>
      <w:r w:rsidRPr="00974F9C">
        <w:rPr>
          <w:rFonts w:ascii="Times New Roman" w:hAnsi="Times New Roman" w:cs="Times New Roman"/>
          <w:i/>
          <w:iCs/>
          <w:sz w:val="22"/>
          <w:szCs w:val="22"/>
          <w:lang w:val="en-US"/>
        </w:rPr>
        <w:t xml:space="preserve">Experimental Archaeology </w:t>
      </w:r>
      <w:r w:rsidRPr="00974F9C">
        <w:rPr>
          <w:rFonts w:ascii="Times New Roman" w:hAnsi="Times New Roman" w:cs="Times New Roman"/>
          <w:sz w:val="22"/>
          <w:szCs w:val="22"/>
          <w:lang w:val="en-US"/>
        </w:rPr>
        <w:t xml:space="preserve">(London: Academic Press, 1979), p. 33; see, also, Peter G. Stone and Philippe G. Planel, </w:t>
      </w:r>
      <w:r w:rsidRPr="00974F9C">
        <w:rPr>
          <w:rFonts w:ascii="Times New Roman" w:hAnsi="Times New Roman" w:cs="Times New Roman"/>
          <w:i/>
          <w:iCs/>
          <w:sz w:val="22"/>
          <w:szCs w:val="22"/>
          <w:lang w:val="en-US"/>
        </w:rPr>
        <w:t xml:space="preserve">The Constructed Past: Experimental Archaeology, Education and the Public </w:t>
      </w:r>
      <w:r w:rsidRPr="00974F9C">
        <w:rPr>
          <w:rFonts w:ascii="Times New Roman" w:hAnsi="Times New Roman" w:cs="Times New Roman"/>
          <w:sz w:val="22"/>
          <w:szCs w:val="22"/>
          <w:lang w:val="en-US"/>
        </w:rPr>
        <w:t>(London: Routledge, 1999).</w:t>
      </w:r>
    </w:p>
  </w:footnote>
  <w:footnote w:id="10">
    <w:p w14:paraId="07CB96D0"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Robert Hewison, </w:t>
      </w:r>
      <w:r w:rsidRPr="00974F9C">
        <w:rPr>
          <w:rFonts w:ascii="Times New Roman" w:hAnsi="Times New Roman" w:cs="Times New Roman"/>
          <w:i/>
          <w:sz w:val="22"/>
          <w:szCs w:val="22"/>
        </w:rPr>
        <w:t>Ruskin on Venice</w:t>
      </w:r>
      <w:r w:rsidRPr="00974F9C">
        <w:rPr>
          <w:rFonts w:ascii="Times New Roman" w:hAnsi="Times New Roman" w:cs="Times New Roman"/>
          <w:sz w:val="22"/>
          <w:szCs w:val="22"/>
        </w:rPr>
        <w:t xml:space="preserve"> (London and New Haven: Yale University Press, 2009), p. 384.</w:t>
      </w:r>
    </w:p>
  </w:footnote>
  <w:footnote w:id="11">
    <w:p w14:paraId="28655A6B"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Jean Baudrillard, </w:t>
      </w:r>
      <w:r w:rsidRPr="00974F9C">
        <w:rPr>
          <w:rFonts w:ascii="Times New Roman" w:hAnsi="Times New Roman" w:cs="Times New Roman"/>
          <w:i/>
          <w:sz w:val="22"/>
          <w:szCs w:val="22"/>
        </w:rPr>
        <w:t>Simulacra and Simulation</w:t>
      </w:r>
      <w:r w:rsidRPr="00974F9C">
        <w:rPr>
          <w:rFonts w:ascii="Times New Roman" w:hAnsi="Times New Roman" w:cs="Times New Roman"/>
          <w:sz w:val="22"/>
          <w:szCs w:val="22"/>
        </w:rPr>
        <w:t>, trans. Sheila Faria Glaser (Ann Arbor: University of Michigan Press, 1994), p. 1.</w:t>
      </w:r>
    </w:p>
  </w:footnote>
  <w:footnote w:id="12">
    <w:p w14:paraId="534A7ED5" w14:textId="77777777" w:rsidR="00974F9C" w:rsidRPr="00974F9C" w:rsidRDefault="00974F9C" w:rsidP="00A077E0">
      <w:pPr>
        <w:widowControl w:val="0"/>
        <w:autoSpaceDE w:val="0"/>
        <w:autoSpaceDN w:val="0"/>
        <w:adjustRightInd w:val="0"/>
        <w:spacing w:line="360" w:lineRule="auto"/>
        <w:jc w:val="both"/>
        <w:rPr>
          <w:sz w:val="22"/>
          <w:szCs w:val="22"/>
          <w:lang w:val="en-US"/>
        </w:rPr>
      </w:pPr>
      <w:r w:rsidRPr="00974F9C">
        <w:rPr>
          <w:rStyle w:val="FootnoteReference"/>
          <w:sz w:val="22"/>
          <w:szCs w:val="22"/>
        </w:rPr>
        <w:footnoteRef/>
      </w:r>
      <w:r w:rsidRPr="00974F9C">
        <w:rPr>
          <w:sz w:val="22"/>
          <w:szCs w:val="22"/>
        </w:rPr>
        <w:t xml:space="preserve"> See </w:t>
      </w:r>
      <w:r w:rsidRPr="00974F9C">
        <w:rPr>
          <w:sz w:val="22"/>
          <w:szCs w:val="22"/>
          <w:lang w:val="en-US"/>
        </w:rPr>
        <w:t>The Law Commission report, ‘Land Registration for the Twenty-first Century: A Conveyancing Revolution’ (9 July 2001), LAW COM No 271. The report envisaged that the process of conveying land would eventually be ‘dematerialised’ (p. 1), making the e-Register a source, rather than mirror, of the facts.</w:t>
      </w:r>
    </w:p>
  </w:footnote>
  <w:footnote w:id="13">
    <w:p w14:paraId="6BF0818D" w14:textId="77777777" w:rsidR="00974F9C" w:rsidRPr="00974F9C" w:rsidRDefault="00974F9C" w:rsidP="00A077E0">
      <w:pPr>
        <w:spacing w:line="360" w:lineRule="auto"/>
        <w:jc w:val="both"/>
        <w:rPr>
          <w:sz w:val="22"/>
          <w:szCs w:val="22"/>
          <w:lang w:eastAsia="en-GB"/>
        </w:rPr>
      </w:pPr>
      <w:r w:rsidRPr="00974F9C">
        <w:rPr>
          <w:rStyle w:val="FootnoteReference"/>
          <w:sz w:val="22"/>
          <w:szCs w:val="22"/>
        </w:rPr>
        <w:footnoteRef/>
      </w:r>
      <w:r w:rsidRPr="00974F9C">
        <w:rPr>
          <w:sz w:val="22"/>
          <w:szCs w:val="22"/>
        </w:rPr>
        <w:t xml:space="preserve"> Gentile Bellini, </w:t>
      </w:r>
      <w:r w:rsidRPr="00974F9C">
        <w:rPr>
          <w:i/>
          <w:sz w:val="22"/>
          <w:szCs w:val="22"/>
        </w:rPr>
        <w:t>Procession in Piazza San Marco</w:t>
      </w:r>
      <w:r w:rsidRPr="00974F9C">
        <w:rPr>
          <w:sz w:val="22"/>
          <w:szCs w:val="22"/>
        </w:rPr>
        <w:t>, tempera on canvas, c. 1496, Gallerie dell’Accademia, Venice.</w:t>
      </w:r>
    </w:p>
  </w:footnote>
  <w:footnote w:id="14">
    <w:p w14:paraId="04A6E5B4"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Ruskin, </w:t>
      </w:r>
      <w:r w:rsidRPr="00974F9C">
        <w:rPr>
          <w:rFonts w:ascii="Times New Roman" w:hAnsi="Times New Roman" w:cs="Times New Roman"/>
          <w:i/>
          <w:sz w:val="22"/>
          <w:szCs w:val="22"/>
        </w:rPr>
        <w:t>Examples of the Architecture of Venice</w:t>
      </w:r>
      <w:r w:rsidRPr="00974F9C">
        <w:rPr>
          <w:rFonts w:ascii="Times New Roman" w:hAnsi="Times New Roman" w:cs="Times New Roman"/>
          <w:sz w:val="22"/>
          <w:szCs w:val="22"/>
        </w:rPr>
        <w:t xml:space="preserve">, in </w:t>
      </w:r>
      <w:r w:rsidRPr="00974F9C">
        <w:rPr>
          <w:rFonts w:ascii="Times New Roman" w:hAnsi="Times New Roman" w:cs="Times New Roman"/>
          <w:i/>
          <w:sz w:val="22"/>
          <w:szCs w:val="22"/>
        </w:rPr>
        <w:t>Works</w:t>
      </w:r>
      <w:r w:rsidRPr="00974F9C">
        <w:rPr>
          <w:rFonts w:ascii="Times New Roman" w:hAnsi="Times New Roman" w:cs="Times New Roman"/>
          <w:sz w:val="22"/>
          <w:szCs w:val="22"/>
        </w:rPr>
        <w:t>, XI, p. 334.</w:t>
      </w:r>
    </w:p>
  </w:footnote>
  <w:footnote w:id="15">
    <w:p w14:paraId="11C6D806" w14:textId="77777777" w:rsidR="00974F9C" w:rsidRPr="00974F9C" w:rsidRDefault="00974F9C" w:rsidP="00A077E0">
      <w:pPr>
        <w:widowControl w:val="0"/>
        <w:autoSpaceDE w:val="0"/>
        <w:autoSpaceDN w:val="0"/>
        <w:adjustRightInd w:val="0"/>
        <w:spacing w:line="360" w:lineRule="auto"/>
        <w:jc w:val="both"/>
        <w:rPr>
          <w:sz w:val="22"/>
          <w:szCs w:val="22"/>
        </w:rPr>
      </w:pPr>
      <w:r w:rsidRPr="00974F9C">
        <w:rPr>
          <w:rStyle w:val="FootnoteReference"/>
          <w:sz w:val="22"/>
          <w:szCs w:val="22"/>
        </w:rPr>
        <w:footnoteRef/>
      </w:r>
      <w:r w:rsidRPr="00974F9C">
        <w:rPr>
          <w:sz w:val="22"/>
          <w:szCs w:val="22"/>
        </w:rPr>
        <w:t xml:space="preserve"> Stefano Evangelista, ‘Vernon Lee in the Vatican: The Uneasy Alliance of Aestheticism and Archaeology’, </w:t>
      </w:r>
      <w:r w:rsidRPr="00974F9C">
        <w:rPr>
          <w:i/>
          <w:iCs/>
          <w:sz w:val="22"/>
          <w:szCs w:val="22"/>
        </w:rPr>
        <w:t xml:space="preserve">Victorian Studies, </w:t>
      </w:r>
      <w:r w:rsidRPr="00974F9C">
        <w:rPr>
          <w:sz w:val="22"/>
          <w:szCs w:val="22"/>
        </w:rPr>
        <w:t>52.1 (2009), 31-41.</w:t>
      </w:r>
    </w:p>
  </w:footnote>
  <w:footnote w:id="16">
    <w:p w14:paraId="145A2969"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Thomas Carlyle, ‘Sir Walter Scott’, in </w:t>
      </w:r>
      <w:r w:rsidRPr="00974F9C">
        <w:rPr>
          <w:rFonts w:ascii="Times New Roman" w:hAnsi="Times New Roman" w:cs="Times New Roman"/>
          <w:i/>
          <w:sz w:val="22"/>
          <w:szCs w:val="22"/>
        </w:rPr>
        <w:t>The Works of Thomas Carlyle</w:t>
      </w:r>
      <w:r w:rsidRPr="00974F9C">
        <w:rPr>
          <w:rFonts w:ascii="Times New Roman" w:hAnsi="Times New Roman" w:cs="Times New Roman"/>
          <w:sz w:val="22"/>
          <w:szCs w:val="22"/>
        </w:rPr>
        <w:t xml:space="preserve">, ed. H. D. Traill, 30 vols (London: Chapman and Hall, 1896-1901), XXIX, pp. 22-87 (p. 58); Johann Wolfgang von Goethe, </w:t>
      </w:r>
      <w:r w:rsidRPr="00974F9C">
        <w:rPr>
          <w:rFonts w:ascii="Times New Roman" w:hAnsi="Times New Roman" w:cs="Times New Roman"/>
          <w:i/>
          <w:sz w:val="22"/>
          <w:szCs w:val="22"/>
        </w:rPr>
        <w:t>Goetz of Berlichingen, with the Iron Hand: A Tragedy</w:t>
      </w:r>
      <w:r w:rsidRPr="00974F9C">
        <w:rPr>
          <w:rFonts w:ascii="Times New Roman" w:hAnsi="Times New Roman" w:cs="Times New Roman"/>
          <w:sz w:val="22"/>
          <w:szCs w:val="22"/>
        </w:rPr>
        <w:t>, trans. Walter Scott (London: J. Bell, 1799).</w:t>
      </w:r>
    </w:p>
  </w:footnote>
  <w:footnote w:id="17">
    <w:p w14:paraId="61F362B4"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For a full account of ‘Götzism’, see Nick Shrimpton, ‘“Rust and Dust’: Ruskin’s Pivotal Work’, in </w:t>
      </w:r>
      <w:r w:rsidRPr="00974F9C">
        <w:rPr>
          <w:rFonts w:ascii="Times New Roman" w:hAnsi="Times New Roman" w:cs="Times New Roman"/>
          <w:i/>
          <w:sz w:val="22"/>
          <w:szCs w:val="22"/>
        </w:rPr>
        <w:t>New Approaches to Ruskin: Thirteen Essays</w:t>
      </w:r>
      <w:r w:rsidRPr="00974F9C">
        <w:rPr>
          <w:rFonts w:ascii="Times New Roman" w:hAnsi="Times New Roman" w:cs="Times New Roman"/>
          <w:sz w:val="22"/>
          <w:szCs w:val="22"/>
        </w:rPr>
        <w:t>, ed. Robert Hewison (London: Routledge &amp; Kegan Paul, 1981), pp. 51-67.</w:t>
      </w:r>
    </w:p>
  </w:footnote>
  <w:footnote w:id="18">
    <w:p w14:paraId="511E911F"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Thomas Carlyle, </w:t>
      </w:r>
      <w:r w:rsidRPr="00974F9C">
        <w:rPr>
          <w:rFonts w:ascii="Times New Roman" w:hAnsi="Times New Roman" w:cs="Times New Roman"/>
          <w:i/>
          <w:sz w:val="22"/>
          <w:szCs w:val="22"/>
        </w:rPr>
        <w:t>Past and Present</w:t>
      </w:r>
      <w:r w:rsidRPr="00974F9C">
        <w:rPr>
          <w:rFonts w:ascii="Times New Roman" w:hAnsi="Times New Roman" w:cs="Times New Roman"/>
          <w:sz w:val="22"/>
          <w:szCs w:val="22"/>
        </w:rPr>
        <w:t xml:space="preserve">, in </w:t>
      </w:r>
      <w:r w:rsidRPr="00974F9C">
        <w:rPr>
          <w:rFonts w:ascii="Times New Roman" w:hAnsi="Times New Roman" w:cs="Times New Roman"/>
          <w:i/>
          <w:sz w:val="22"/>
          <w:szCs w:val="22"/>
        </w:rPr>
        <w:t>The Works of Thomas Carlyle</w:t>
      </w:r>
      <w:r w:rsidRPr="00974F9C">
        <w:rPr>
          <w:rFonts w:ascii="Times New Roman" w:hAnsi="Times New Roman" w:cs="Times New Roman"/>
          <w:sz w:val="22"/>
          <w:szCs w:val="22"/>
        </w:rPr>
        <w:t xml:space="preserve">, X; William Morris, </w:t>
      </w:r>
      <w:r w:rsidRPr="00974F9C">
        <w:rPr>
          <w:rFonts w:ascii="Times New Roman" w:hAnsi="Times New Roman" w:cs="Times New Roman"/>
          <w:i/>
          <w:sz w:val="22"/>
          <w:szCs w:val="22"/>
        </w:rPr>
        <w:t>A Dream of John Ball</w:t>
      </w:r>
      <w:r w:rsidRPr="00974F9C">
        <w:rPr>
          <w:rFonts w:ascii="Times New Roman" w:hAnsi="Times New Roman" w:cs="Times New Roman"/>
          <w:sz w:val="22"/>
          <w:szCs w:val="22"/>
        </w:rPr>
        <w:t xml:space="preserve">, in </w:t>
      </w:r>
      <w:r w:rsidRPr="00974F9C">
        <w:rPr>
          <w:rFonts w:ascii="Times New Roman" w:hAnsi="Times New Roman" w:cs="Times New Roman"/>
          <w:i/>
          <w:sz w:val="22"/>
          <w:szCs w:val="22"/>
        </w:rPr>
        <w:t>Collected Works of William Morris</w:t>
      </w:r>
      <w:r w:rsidRPr="00974F9C">
        <w:rPr>
          <w:rFonts w:ascii="Times New Roman" w:hAnsi="Times New Roman" w:cs="Times New Roman"/>
          <w:sz w:val="22"/>
          <w:szCs w:val="22"/>
        </w:rPr>
        <w:t>, ed. May Morris, 24 vols (London: Longmans Green and Company, 1910-15), XVI, pp. 215-88.</w:t>
      </w:r>
    </w:p>
  </w:footnote>
  <w:footnote w:id="19">
    <w:p w14:paraId="1CB22429"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Thomas Carlyle, </w:t>
      </w:r>
      <w:r w:rsidRPr="00974F9C">
        <w:rPr>
          <w:rFonts w:ascii="Times New Roman" w:hAnsi="Times New Roman" w:cs="Times New Roman"/>
          <w:i/>
          <w:sz w:val="22"/>
          <w:szCs w:val="22"/>
        </w:rPr>
        <w:t>Past and Present</w:t>
      </w:r>
      <w:r w:rsidRPr="00974F9C">
        <w:rPr>
          <w:rFonts w:ascii="Times New Roman" w:hAnsi="Times New Roman" w:cs="Times New Roman"/>
          <w:sz w:val="22"/>
          <w:szCs w:val="22"/>
        </w:rPr>
        <w:t xml:space="preserve">, in </w:t>
      </w:r>
      <w:r w:rsidRPr="00974F9C">
        <w:rPr>
          <w:rFonts w:ascii="Times New Roman" w:hAnsi="Times New Roman" w:cs="Times New Roman"/>
          <w:i/>
          <w:sz w:val="22"/>
          <w:szCs w:val="22"/>
        </w:rPr>
        <w:t>The Works of Thomas Carlyle</w:t>
      </w:r>
      <w:r w:rsidRPr="00974F9C">
        <w:rPr>
          <w:rFonts w:ascii="Times New Roman" w:hAnsi="Times New Roman" w:cs="Times New Roman"/>
          <w:sz w:val="22"/>
          <w:szCs w:val="22"/>
        </w:rPr>
        <w:t>, X, p. 43.</w:t>
      </w:r>
    </w:p>
  </w:footnote>
  <w:footnote w:id="20">
    <w:p w14:paraId="792200D3"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Byron, </w:t>
      </w:r>
      <w:r w:rsidRPr="00974F9C">
        <w:rPr>
          <w:rFonts w:ascii="Times New Roman" w:hAnsi="Times New Roman" w:cs="Times New Roman"/>
          <w:i/>
          <w:sz w:val="22"/>
          <w:szCs w:val="22"/>
        </w:rPr>
        <w:t>Childe Harold</w:t>
      </w:r>
      <w:r w:rsidRPr="00974F9C">
        <w:rPr>
          <w:rFonts w:ascii="Times New Roman" w:hAnsi="Times New Roman" w:cs="Times New Roman"/>
          <w:sz w:val="22"/>
          <w:szCs w:val="22"/>
        </w:rPr>
        <w:t xml:space="preserve">, in </w:t>
      </w:r>
      <w:r w:rsidRPr="00974F9C">
        <w:rPr>
          <w:rFonts w:ascii="Times New Roman" w:hAnsi="Times New Roman" w:cs="Times New Roman"/>
          <w:i/>
          <w:sz w:val="22"/>
          <w:szCs w:val="22"/>
        </w:rPr>
        <w:t>Byron: The Complete Poetical Works</w:t>
      </w:r>
      <w:r w:rsidRPr="00974F9C">
        <w:rPr>
          <w:rFonts w:ascii="Times New Roman" w:hAnsi="Times New Roman" w:cs="Times New Roman"/>
          <w:sz w:val="22"/>
          <w:szCs w:val="22"/>
        </w:rPr>
        <w:t xml:space="preserve">, II, ed. Jerome J. McGann (Oxford: Oxford University Press, 1980), Canto IV. 18.154, p. 130; Samuel Rogers, </w:t>
      </w:r>
      <w:r w:rsidRPr="00974F9C">
        <w:rPr>
          <w:rFonts w:ascii="Times New Roman" w:hAnsi="Times New Roman" w:cs="Times New Roman"/>
          <w:i/>
          <w:sz w:val="22"/>
          <w:szCs w:val="22"/>
        </w:rPr>
        <w:t xml:space="preserve">Italy: A Poem. Part the First. </w:t>
      </w:r>
      <w:r w:rsidRPr="00974F9C">
        <w:rPr>
          <w:rFonts w:ascii="Times New Roman" w:hAnsi="Times New Roman" w:cs="Times New Roman"/>
          <w:sz w:val="22"/>
          <w:szCs w:val="22"/>
        </w:rPr>
        <w:t>(London: John Murray, 1823), p. 84.</w:t>
      </w:r>
    </w:p>
  </w:footnote>
  <w:footnote w:id="21">
    <w:p w14:paraId="288686E1" w14:textId="77777777" w:rsidR="00974F9C" w:rsidRPr="00974F9C" w:rsidRDefault="00974F9C" w:rsidP="00A077E0">
      <w:pPr>
        <w:pStyle w:val="FootnoteText"/>
        <w:spacing w:line="360" w:lineRule="auto"/>
        <w:jc w:val="both"/>
        <w:rPr>
          <w:rFonts w:ascii="Times New Roman" w:hAnsi="Times New Roman" w:cs="Times New Roman"/>
          <w:sz w:val="22"/>
          <w:szCs w:val="22"/>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William Morris, ‘To Robert Browning’ (7 November 1879), in </w:t>
      </w:r>
      <w:r w:rsidRPr="00974F9C">
        <w:rPr>
          <w:rFonts w:ascii="Times New Roman" w:hAnsi="Times New Roman" w:cs="Times New Roman"/>
          <w:i/>
          <w:sz w:val="22"/>
          <w:szCs w:val="22"/>
        </w:rPr>
        <w:t xml:space="preserve">The Collected Letters of William </w:t>
      </w:r>
      <w:r w:rsidRPr="00974F9C">
        <w:rPr>
          <w:rFonts w:ascii="Times New Roman" w:hAnsi="Times New Roman" w:cs="Times New Roman"/>
          <w:sz w:val="22"/>
          <w:szCs w:val="22"/>
        </w:rPr>
        <w:t>Morris, I: 1848-1880, ed. Norman Kelvin (Princeton, N.J.: Princeton University Press, 1984), p. 534.</w:t>
      </w:r>
    </w:p>
  </w:footnote>
  <w:footnote w:id="22">
    <w:p w14:paraId="4BF132B0" w14:textId="77777777" w:rsidR="00974F9C" w:rsidRPr="009F0B76" w:rsidRDefault="00974F9C" w:rsidP="00A077E0">
      <w:pPr>
        <w:pStyle w:val="FootnoteText"/>
        <w:spacing w:line="360" w:lineRule="auto"/>
        <w:jc w:val="both"/>
        <w:rPr>
          <w:rFonts w:ascii="Times New Roman" w:hAnsi="Times New Roman" w:cs="Times New Roman"/>
        </w:rPr>
      </w:pPr>
      <w:r w:rsidRPr="00974F9C">
        <w:rPr>
          <w:rStyle w:val="FootnoteReference"/>
          <w:rFonts w:ascii="Times New Roman" w:hAnsi="Times New Roman" w:cs="Times New Roman"/>
          <w:sz w:val="22"/>
          <w:szCs w:val="22"/>
        </w:rPr>
        <w:footnoteRef/>
      </w:r>
      <w:r w:rsidRPr="00974F9C">
        <w:rPr>
          <w:rFonts w:ascii="Times New Roman" w:hAnsi="Times New Roman" w:cs="Times New Roman"/>
          <w:sz w:val="22"/>
          <w:szCs w:val="22"/>
        </w:rPr>
        <w:t xml:space="preserve"> Mumford, ‘The Marriage of Museums’, </w:t>
      </w:r>
      <w:r w:rsidRPr="00974F9C">
        <w:rPr>
          <w:rFonts w:ascii="Times New Roman" w:hAnsi="Times New Roman" w:cs="Times New Roman"/>
          <w:i/>
          <w:iCs/>
          <w:sz w:val="22"/>
          <w:szCs w:val="22"/>
        </w:rPr>
        <w:t>The Scientific Monthly</w:t>
      </w:r>
      <w:r w:rsidRPr="00974F9C">
        <w:rPr>
          <w:rFonts w:ascii="Times New Roman" w:hAnsi="Times New Roman" w:cs="Times New Roman"/>
          <w:iCs/>
          <w:sz w:val="22"/>
          <w:szCs w:val="22"/>
        </w:rPr>
        <w:t>, p. 253.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77B2"/>
    <w:rsid w:val="0000046A"/>
    <w:rsid w:val="0000358D"/>
    <w:rsid w:val="00004095"/>
    <w:rsid w:val="0000608E"/>
    <w:rsid w:val="00015DC6"/>
    <w:rsid w:val="00016CCB"/>
    <w:rsid w:val="000212E5"/>
    <w:rsid w:val="00031709"/>
    <w:rsid w:val="00067773"/>
    <w:rsid w:val="000716C3"/>
    <w:rsid w:val="0007577B"/>
    <w:rsid w:val="00077B2A"/>
    <w:rsid w:val="00080BEC"/>
    <w:rsid w:val="00082513"/>
    <w:rsid w:val="00105634"/>
    <w:rsid w:val="00113C97"/>
    <w:rsid w:val="00117339"/>
    <w:rsid w:val="00117FB0"/>
    <w:rsid w:val="001232E6"/>
    <w:rsid w:val="001322B1"/>
    <w:rsid w:val="00136CAF"/>
    <w:rsid w:val="00142C5D"/>
    <w:rsid w:val="001600F3"/>
    <w:rsid w:val="00171782"/>
    <w:rsid w:val="001723D1"/>
    <w:rsid w:val="00175FC0"/>
    <w:rsid w:val="001849F6"/>
    <w:rsid w:val="00185DCA"/>
    <w:rsid w:val="00187103"/>
    <w:rsid w:val="001B7A2C"/>
    <w:rsid w:val="001C6FA6"/>
    <w:rsid w:val="001C752B"/>
    <w:rsid w:val="001D6718"/>
    <w:rsid w:val="001F737D"/>
    <w:rsid w:val="00200511"/>
    <w:rsid w:val="00203C28"/>
    <w:rsid w:val="002041D6"/>
    <w:rsid w:val="0022372E"/>
    <w:rsid w:val="002270FB"/>
    <w:rsid w:val="00256C1E"/>
    <w:rsid w:val="00266FD2"/>
    <w:rsid w:val="002744DD"/>
    <w:rsid w:val="00285BA1"/>
    <w:rsid w:val="00295AD3"/>
    <w:rsid w:val="00297B21"/>
    <w:rsid w:val="00297C6B"/>
    <w:rsid w:val="002A2A42"/>
    <w:rsid w:val="002A6055"/>
    <w:rsid w:val="002A674F"/>
    <w:rsid w:val="002B1667"/>
    <w:rsid w:val="002B2176"/>
    <w:rsid w:val="002B2CC3"/>
    <w:rsid w:val="002B5F02"/>
    <w:rsid w:val="002D205C"/>
    <w:rsid w:val="002D5627"/>
    <w:rsid w:val="002D7AA1"/>
    <w:rsid w:val="002E05FA"/>
    <w:rsid w:val="002E25AB"/>
    <w:rsid w:val="002F5F1D"/>
    <w:rsid w:val="002F644D"/>
    <w:rsid w:val="00316636"/>
    <w:rsid w:val="0033328C"/>
    <w:rsid w:val="00333ED6"/>
    <w:rsid w:val="0033673E"/>
    <w:rsid w:val="00353E2C"/>
    <w:rsid w:val="0036574C"/>
    <w:rsid w:val="003756BD"/>
    <w:rsid w:val="003834DF"/>
    <w:rsid w:val="00384429"/>
    <w:rsid w:val="00391DC2"/>
    <w:rsid w:val="00395A6C"/>
    <w:rsid w:val="003A0C1A"/>
    <w:rsid w:val="003A41D0"/>
    <w:rsid w:val="003A50D4"/>
    <w:rsid w:val="003B1459"/>
    <w:rsid w:val="003C163A"/>
    <w:rsid w:val="003C19B7"/>
    <w:rsid w:val="003D2AC8"/>
    <w:rsid w:val="003D5C77"/>
    <w:rsid w:val="003D5F04"/>
    <w:rsid w:val="003E48C2"/>
    <w:rsid w:val="003E7273"/>
    <w:rsid w:val="003F1C4F"/>
    <w:rsid w:val="003F4AC2"/>
    <w:rsid w:val="003F5670"/>
    <w:rsid w:val="0040518D"/>
    <w:rsid w:val="00412C9F"/>
    <w:rsid w:val="00413CFA"/>
    <w:rsid w:val="00416EE0"/>
    <w:rsid w:val="0041745E"/>
    <w:rsid w:val="00420744"/>
    <w:rsid w:val="004305E9"/>
    <w:rsid w:val="00433DCC"/>
    <w:rsid w:val="00442DA3"/>
    <w:rsid w:val="004675F6"/>
    <w:rsid w:val="00471E5D"/>
    <w:rsid w:val="004A0707"/>
    <w:rsid w:val="004A298F"/>
    <w:rsid w:val="004A7271"/>
    <w:rsid w:val="004B3510"/>
    <w:rsid w:val="004B460E"/>
    <w:rsid w:val="004B5756"/>
    <w:rsid w:val="004B58B0"/>
    <w:rsid w:val="004C5DC1"/>
    <w:rsid w:val="004D3070"/>
    <w:rsid w:val="004F1B60"/>
    <w:rsid w:val="004F2DDD"/>
    <w:rsid w:val="00501A34"/>
    <w:rsid w:val="005026B8"/>
    <w:rsid w:val="00513A00"/>
    <w:rsid w:val="00517FD8"/>
    <w:rsid w:val="005218BB"/>
    <w:rsid w:val="00540D79"/>
    <w:rsid w:val="00552FA4"/>
    <w:rsid w:val="005559F9"/>
    <w:rsid w:val="00562C55"/>
    <w:rsid w:val="005635C4"/>
    <w:rsid w:val="00570359"/>
    <w:rsid w:val="00570D27"/>
    <w:rsid w:val="00587381"/>
    <w:rsid w:val="005A3DF2"/>
    <w:rsid w:val="005A7898"/>
    <w:rsid w:val="005B3214"/>
    <w:rsid w:val="005C123C"/>
    <w:rsid w:val="005C2CD5"/>
    <w:rsid w:val="005D4A12"/>
    <w:rsid w:val="005F2013"/>
    <w:rsid w:val="00612F3D"/>
    <w:rsid w:val="00622AAB"/>
    <w:rsid w:val="00626BAA"/>
    <w:rsid w:val="00631763"/>
    <w:rsid w:val="00650659"/>
    <w:rsid w:val="00650938"/>
    <w:rsid w:val="00657F10"/>
    <w:rsid w:val="006710B5"/>
    <w:rsid w:val="00671240"/>
    <w:rsid w:val="0067244B"/>
    <w:rsid w:val="0068309D"/>
    <w:rsid w:val="00684043"/>
    <w:rsid w:val="00690AFF"/>
    <w:rsid w:val="00692FB7"/>
    <w:rsid w:val="00693052"/>
    <w:rsid w:val="006A77B2"/>
    <w:rsid w:val="006B0C79"/>
    <w:rsid w:val="006B1996"/>
    <w:rsid w:val="006B7637"/>
    <w:rsid w:val="006C5253"/>
    <w:rsid w:val="006D7DBA"/>
    <w:rsid w:val="006E4B15"/>
    <w:rsid w:val="006F15A6"/>
    <w:rsid w:val="007133B2"/>
    <w:rsid w:val="00715995"/>
    <w:rsid w:val="007171AA"/>
    <w:rsid w:val="00720C63"/>
    <w:rsid w:val="00721AC5"/>
    <w:rsid w:val="007346A5"/>
    <w:rsid w:val="007375D1"/>
    <w:rsid w:val="00744E21"/>
    <w:rsid w:val="0075201D"/>
    <w:rsid w:val="0075546E"/>
    <w:rsid w:val="007561B5"/>
    <w:rsid w:val="007612E2"/>
    <w:rsid w:val="00761E4B"/>
    <w:rsid w:val="00762939"/>
    <w:rsid w:val="00766760"/>
    <w:rsid w:val="00777712"/>
    <w:rsid w:val="00780173"/>
    <w:rsid w:val="00781EEF"/>
    <w:rsid w:val="00786A25"/>
    <w:rsid w:val="007A4FB5"/>
    <w:rsid w:val="007B0EBD"/>
    <w:rsid w:val="007B3744"/>
    <w:rsid w:val="007B7A8D"/>
    <w:rsid w:val="007C3887"/>
    <w:rsid w:val="007E12C3"/>
    <w:rsid w:val="007F0A01"/>
    <w:rsid w:val="00814500"/>
    <w:rsid w:val="00820FE3"/>
    <w:rsid w:val="0082193C"/>
    <w:rsid w:val="0082334A"/>
    <w:rsid w:val="00830A51"/>
    <w:rsid w:val="00830B4B"/>
    <w:rsid w:val="008325C7"/>
    <w:rsid w:val="00840E96"/>
    <w:rsid w:val="00855C2D"/>
    <w:rsid w:val="00863C90"/>
    <w:rsid w:val="008706AC"/>
    <w:rsid w:val="00872F44"/>
    <w:rsid w:val="00875AAB"/>
    <w:rsid w:val="008762CD"/>
    <w:rsid w:val="00877DEB"/>
    <w:rsid w:val="008836A2"/>
    <w:rsid w:val="00890BFE"/>
    <w:rsid w:val="00895CD9"/>
    <w:rsid w:val="008A5323"/>
    <w:rsid w:val="008A67B0"/>
    <w:rsid w:val="008B05A3"/>
    <w:rsid w:val="008B08AD"/>
    <w:rsid w:val="008B1D07"/>
    <w:rsid w:val="008C00AC"/>
    <w:rsid w:val="008E16E5"/>
    <w:rsid w:val="008F047E"/>
    <w:rsid w:val="008F347A"/>
    <w:rsid w:val="00901CF1"/>
    <w:rsid w:val="009078E3"/>
    <w:rsid w:val="009113C0"/>
    <w:rsid w:val="0091376E"/>
    <w:rsid w:val="00922C36"/>
    <w:rsid w:val="0092576D"/>
    <w:rsid w:val="009419CD"/>
    <w:rsid w:val="00956D4D"/>
    <w:rsid w:val="009609BF"/>
    <w:rsid w:val="00960A72"/>
    <w:rsid w:val="00963548"/>
    <w:rsid w:val="009673A3"/>
    <w:rsid w:val="00974F9C"/>
    <w:rsid w:val="00985891"/>
    <w:rsid w:val="00986947"/>
    <w:rsid w:val="00987CB8"/>
    <w:rsid w:val="009A1926"/>
    <w:rsid w:val="009D3A10"/>
    <w:rsid w:val="009E07CF"/>
    <w:rsid w:val="009E326A"/>
    <w:rsid w:val="009F0B76"/>
    <w:rsid w:val="00A02691"/>
    <w:rsid w:val="00A077E0"/>
    <w:rsid w:val="00A1314D"/>
    <w:rsid w:val="00A14914"/>
    <w:rsid w:val="00A4107B"/>
    <w:rsid w:val="00A42086"/>
    <w:rsid w:val="00A51FDC"/>
    <w:rsid w:val="00A56306"/>
    <w:rsid w:val="00A56A1F"/>
    <w:rsid w:val="00A631B4"/>
    <w:rsid w:val="00A656CE"/>
    <w:rsid w:val="00A70DE9"/>
    <w:rsid w:val="00A929AA"/>
    <w:rsid w:val="00A932E4"/>
    <w:rsid w:val="00AA2336"/>
    <w:rsid w:val="00AA4820"/>
    <w:rsid w:val="00AA635C"/>
    <w:rsid w:val="00AA67F3"/>
    <w:rsid w:val="00AA7E9A"/>
    <w:rsid w:val="00AB2749"/>
    <w:rsid w:val="00AB2823"/>
    <w:rsid w:val="00AB69B4"/>
    <w:rsid w:val="00AC60B5"/>
    <w:rsid w:val="00AD787A"/>
    <w:rsid w:val="00B03A95"/>
    <w:rsid w:val="00B11C34"/>
    <w:rsid w:val="00B1542E"/>
    <w:rsid w:val="00B318C0"/>
    <w:rsid w:val="00B31C68"/>
    <w:rsid w:val="00B379DB"/>
    <w:rsid w:val="00B40D45"/>
    <w:rsid w:val="00B4102E"/>
    <w:rsid w:val="00B41056"/>
    <w:rsid w:val="00B42F32"/>
    <w:rsid w:val="00B60D0F"/>
    <w:rsid w:val="00B708A0"/>
    <w:rsid w:val="00B7167C"/>
    <w:rsid w:val="00B720A2"/>
    <w:rsid w:val="00B74484"/>
    <w:rsid w:val="00B83CB7"/>
    <w:rsid w:val="00B83F1B"/>
    <w:rsid w:val="00BA0083"/>
    <w:rsid w:val="00BA22EC"/>
    <w:rsid w:val="00BA70EF"/>
    <w:rsid w:val="00BC336B"/>
    <w:rsid w:val="00BC761C"/>
    <w:rsid w:val="00BD253B"/>
    <w:rsid w:val="00BD7523"/>
    <w:rsid w:val="00BE155F"/>
    <w:rsid w:val="00BF537E"/>
    <w:rsid w:val="00BF7F9D"/>
    <w:rsid w:val="00C11742"/>
    <w:rsid w:val="00C31AB4"/>
    <w:rsid w:val="00C3303A"/>
    <w:rsid w:val="00C45876"/>
    <w:rsid w:val="00C52496"/>
    <w:rsid w:val="00C52CEF"/>
    <w:rsid w:val="00C659ED"/>
    <w:rsid w:val="00C6674D"/>
    <w:rsid w:val="00C71937"/>
    <w:rsid w:val="00C96BCF"/>
    <w:rsid w:val="00CA17EA"/>
    <w:rsid w:val="00CB537D"/>
    <w:rsid w:val="00CC275B"/>
    <w:rsid w:val="00CD63CF"/>
    <w:rsid w:val="00CE4009"/>
    <w:rsid w:val="00CF0F80"/>
    <w:rsid w:val="00CF14AE"/>
    <w:rsid w:val="00CF285D"/>
    <w:rsid w:val="00D01F27"/>
    <w:rsid w:val="00D032C7"/>
    <w:rsid w:val="00D038A3"/>
    <w:rsid w:val="00D03C26"/>
    <w:rsid w:val="00D05958"/>
    <w:rsid w:val="00D05D85"/>
    <w:rsid w:val="00D0788B"/>
    <w:rsid w:val="00D14E61"/>
    <w:rsid w:val="00D30748"/>
    <w:rsid w:val="00D40A5D"/>
    <w:rsid w:val="00D40C57"/>
    <w:rsid w:val="00D415F0"/>
    <w:rsid w:val="00D526E7"/>
    <w:rsid w:val="00D53B5E"/>
    <w:rsid w:val="00D53E99"/>
    <w:rsid w:val="00D64DAF"/>
    <w:rsid w:val="00D64F12"/>
    <w:rsid w:val="00D659D3"/>
    <w:rsid w:val="00D71F3B"/>
    <w:rsid w:val="00D74146"/>
    <w:rsid w:val="00D93CE4"/>
    <w:rsid w:val="00D95BAF"/>
    <w:rsid w:val="00DB0998"/>
    <w:rsid w:val="00DB24F5"/>
    <w:rsid w:val="00DB2B29"/>
    <w:rsid w:val="00DB577C"/>
    <w:rsid w:val="00DC1EFE"/>
    <w:rsid w:val="00DC6A39"/>
    <w:rsid w:val="00DC7D4C"/>
    <w:rsid w:val="00DD0452"/>
    <w:rsid w:val="00DD4D33"/>
    <w:rsid w:val="00DE3FDB"/>
    <w:rsid w:val="00DF107B"/>
    <w:rsid w:val="00E10FE7"/>
    <w:rsid w:val="00E13FFC"/>
    <w:rsid w:val="00E152B5"/>
    <w:rsid w:val="00E160A9"/>
    <w:rsid w:val="00E1761E"/>
    <w:rsid w:val="00E278B2"/>
    <w:rsid w:val="00E36DD7"/>
    <w:rsid w:val="00E575F5"/>
    <w:rsid w:val="00E60777"/>
    <w:rsid w:val="00E7123A"/>
    <w:rsid w:val="00E7335E"/>
    <w:rsid w:val="00E900CC"/>
    <w:rsid w:val="00E91E14"/>
    <w:rsid w:val="00EA1976"/>
    <w:rsid w:val="00EC0EDF"/>
    <w:rsid w:val="00EC2115"/>
    <w:rsid w:val="00EC389A"/>
    <w:rsid w:val="00EC424A"/>
    <w:rsid w:val="00EC72F7"/>
    <w:rsid w:val="00ED17C6"/>
    <w:rsid w:val="00ED27EA"/>
    <w:rsid w:val="00EE1E2D"/>
    <w:rsid w:val="00EE2120"/>
    <w:rsid w:val="00EE2989"/>
    <w:rsid w:val="00EE3039"/>
    <w:rsid w:val="00EE371D"/>
    <w:rsid w:val="00EE5C93"/>
    <w:rsid w:val="00F024F1"/>
    <w:rsid w:val="00F173CA"/>
    <w:rsid w:val="00F221FC"/>
    <w:rsid w:val="00F306B5"/>
    <w:rsid w:val="00F325E6"/>
    <w:rsid w:val="00F33842"/>
    <w:rsid w:val="00F34DD6"/>
    <w:rsid w:val="00F4229B"/>
    <w:rsid w:val="00F46743"/>
    <w:rsid w:val="00F47CB9"/>
    <w:rsid w:val="00F5082A"/>
    <w:rsid w:val="00F631CB"/>
    <w:rsid w:val="00F72DE0"/>
    <w:rsid w:val="00F753BC"/>
    <w:rsid w:val="00F825C7"/>
    <w:rsid w:val="00F877FA"/>
    <w:rsid w:val="00F936ED"/>
    <w:rsid w:val="00F95E97"/>
    <w:rsid w:val="00F96F2A"/>
    <w:rsid w:val="00FB2ED8"/>
    <w:rsid w:val="00FB4B96"/>
    <w:rsid w:val="00FB4DFD"/>
    <w:rsid w:val="00FC0067"/>
    <w:rsid w:val="00FC0E70"/>
    <w:rsid w:val="00FC0F48"/>
    <w:rsid w:val="00FD008F"/>
    <w:rsid w:val="00FD2AB9"/>
    <w:rsid w:val="00FD5867"/>
    <w:rsid w:val="00FD5D7E"/>
    <w:rsid w:val="00FF1B9A"/>
    <w:rsid w:val="00FF2C7A"/>
    <w:rsid w:val="00FF7182"/>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4:docId w14:val="6A8DF700"/>
  <w15:docId w15:val="{1F382D7D-343B-1540-8C31-E5E7019C4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2AC8"/>
    <w:rPr>
      <w:rFonts w:ascii="Times New Roman" w:eastAsia="Times New Roman" w:hAnsi="Times New Roman"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77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A77B2"/>
    <w:rPr>
      <w:rFonts w:ascii="Lucida Grande" w:hAnsi="Lucida Grande" w:cs="Lucida Grande"/>
      <w:sz w:val="18"/>
      <w:szCs w:val="18"/>
      <w:lang w:val="en-GB"/>
    </w:rPr>
  </w:style>
  <w:style w:type="paragraph" w:styleId="FootnoteText">
    <w:name w:val="footnote text"/>
    <w:basedOn w:val="Normal"/>
    <w:link w:val="FootnoteTextChar"/>
    <w:uiPriority w:val="99"/>
    <w:unhideWhenUsed/>
    <w:rsid w:val="00FF1B9A"/>
    <w:rPr>
      <w:rFonts w:asciiTheme="minorHAnsi" w:eastAsiaTheme="minorEastAsia" w:hAnsiTheme="minorHAnsi" w:cstheme="minorBidi"/>
    </w:rPr>
  </w:style>
  <w:style w:type="character" w:customStyle="1" w:styleId="FootnoteTextChar">
    <w:name w:val="Footnote Text Char"/>
    <w:basedOn w:val="DefaultParagraphFont"/>
    <w:link w:val="FootnoteText"/>
    <w:uiPriority w:val="99"/>
    <w:rsid w:val="00FF1B9A"/>
    <w:rPr>
      <w:lang w:val="en-GB"/>
    </w:rPr>
  </w:style>
  <w:style w:type="character" w:styleId="FootnoteReference">
    <w:name w:val="footnote reference"/>
    <w:basedOn w:val="DefaultParagraphFont"/>
    <w:uiPriority w:val="99"/>
    <w:unhideWhenUsed/>
    <w:rsid w:val="00FF1B9A"/>
    <w:rPr>
      <w:vertAlign w:val="superscript"/>
    </w:rPr>
  </w:style>
  <w:style w:type="character" w:styleId="Hyperlink">
    <w:name w:val="Hyperlink"/>
    <w:basedOn w:val="DefaultParagraphFont"/>
    <w:uiPriority w:val="99"/>
    <w:unhideWhenUsed/>
    <w:rsid w:val="002270FB"/>
    <w:rPr>
      <w:color w:val="0000FF" w:themeColor="hyperlink"/>
      <w:u w:val="single"/>
    </w:rPr>
  </w:style>
  <w:style w:type="paragraph" w:styleId="EndnoteText">
    <w:name w:val="endnote text"/>
    <w:basedOn w:val="Normal"/>
    <w:link w:val="EndnoteTextChar"/>
    <w:uiPriority w:val="99"/>
    <w:unhideWhenUsed/>
    <w:rsid w:val="007E12C3"/>
    <w:rPr>
      <w:rFonts w:asciiTheme="minorHAnsi" w:eastAsiaTheme="minorEastAsia" w:hAnsiTheme="minorHAnsi" w:cstheme="minorBidi"/>
    </w:rPr>
  </w:style>
  <w:style w:type="character" w:customStyle="1" w:styleId="EndnoteTextChar">
    <w:name w:val="Endnote Text Char"/>
    <w:basedOn w:val="DefaultParagraphFont"/>
    <w:link w:val="EndnoteText"/>
    <w:uiPriority w:val="99"/>
    <w:rsid w:val="007E12C3"/>
    <w:rPr>
      <w:lang w:val="en-GB"/>
    </w:rPr>
  </w:style>
  <w:style w:type="character" w:styleId="EndnoteReference">
    <w:name w:val="endnote reference"/>
    <w:basedOn w:val="DefaultParagraphFont"/>
    <w:uiPriority w:val="99"/>
    <w:unhideWhenUsed/>
    <w:rsid w:val="007E12C3"/>
    <w:rPr>
      <w:vertAlign w:val="superscript"/>
    </w:rPr>
  </w:style>
  <w:style w:type="character" w:customStyle="1" w:styleId="st">
    <w:name w:val="st"/>
    <w:basedOn w:val="DefaultParagraphFont"/>
    <w:rsid w:val="00353E2C"/>
  </w:style>
  <w:style w:type="character" w:customStyle="1" w:styleId="UnresolvedMention1">
    <w:name w:val="Unresolved Mention1"/>
    <w:basedOn w:val="DefaultParagraphFont"/>
    <w:uiPriority w:val="99"/>
    <w:rsid w:val="007C3887"/>
    <w:rPr>
      <w:color w:val="808080"/>
      <w:shd w:val="clear" w:color="auto" w:fill="E6E6E6"/>
    </w:rPr>
  </w:style>
  <w:style w:type="paragraph" w:styleId="Footer">
    <w:name w:val="footer"/>
    <w:basedOn w:val="Normal"/>
    <w:link w:val="FooterChar"/>
    <w:uiPriority w:val="99"/>
    <w:unhideWhenUsed/>
    <w:rsid w:val="009D3A10"/>
    <w:pPr>
      <w:tabs>
        <w:tab w:val="center" w:pos="4680"/>
        <w:tab w:val="right" w:pos="9360"/>
      </w:tabs>
    </w:pPr>
  </w:style>
  <w:style w:type="character" w:customStyle="1" w:styleId="FooterChar">
    <w:name w:val="Footer Char"/>
    <w:basedOn w:val="DefaultParagraphFont"/>
    <w:link w:val="Footer"/>
    <w:uiPriority w:val="99"/>
    <w:rsid w:val="009D3A10"/>
    <w:rPr>
      <w:rFonts w:ascii="Times New Roman" w:eastAsia="Times New Roman" w:hAnsi="Times New Roman" w:cs="Times New Roman"/>
      <w:lang w:val="en-GB"/>
    </w:rPr>
  </w:style>
  <w:style w:type="character" w:styleId="PageNumber">
    <w:name w:val="page number"/>
    <w:basedOn w:val="DefaultParagraphFont"/>
    <w:uiPriority w:val="99"/>
    <w:semiHidden/>
    <w:unhideWhenUsed/>
    <w:rsid w:val="009D3A10"/>
  </w:style>
  <w:style w:type="paragraph" w:styleId="Header">
    <w:name w:val="header"/>
    <w:basedOn w:val="Normal"/>
    <w:link w:val="HeaderChar"/>
    <w:uiPriority w:val="99"/>
    <w:unhideWhenUsed/>
    <w:rsid w:val="009D3A10"/>
    <w:pPr>
      <w:tabs>
        <w:tab w:val="center" w:pos="4680"/>
        <w:tab w:val="right" w:pos="9360"/>
      </w:tabs>
    </w:pPr>
  </w:style>
  <w:style w:type="character" w:customStyle="1" w:styleId="HeaderChar">
    <w:name w:val="Header Char"/>
    <w:basedOn w:val="DefaultParagraphFont"/>
    <w:link w:val="Header"/>
    <w:uiPriority w:val="99"/>
    <w:rsid w:val="009D3A10"/>
    <w:rPr>
      <w:rFonts w:ascii="Times New Roman" w:eastAsia="Times New Roman" w:hAnsi="Times New Roman" w:cs="Times New Roman"/>
      <w:lang w:val="en-GB"/>
    </w:rPr>
  </w:style>
  <w:style w:type="character" w:styleId="CommentReference">
    <w:name w:val="annotation reference"/>
    <w:basedOn w:val="DefaultParagraphFont"/>
    <w:uiPriority w:val="99"/>
    <w:semiHidden/>
    <w:unhideWhenUsed/>
    <w:rsid w:val="00A1314D"/>
    <w:rPr>
      <w:sz w:val="16"/>
      <w:szCs w:val="16"/>
    </w:rPr>
  </w:style>
  <w:style w:type="paragraph" w:styleId="CommentText">
    <w:name w:val="annotation text"/>
    <w:basedOn w:val="Normal"/>
    <w:link w:val="CommentTextChar"/>
    <w:uiPriority w:val="99"/>
    <w:semiHidden/>
    <w:unhideWhenUsed/>
    <w:rsid w:val="00A1314D"/>
    <w:rPr>
      <w:sz w:val="20"/>
      <w:szCs w:val="20"/>
    </w:rPr>
  </w:style>
  <w:style w:type="character" w:customStyle="1" w:styleId="CommentTextChar">
    <w:name w:val="Comment Text Char"/>
    <w:basedOn w:val="DefaultParagraphFont"/>
    <w:link w:val="CommentText"/>
    <w:uiPriority w:val="99"/>
    <w:semiHidden/>
    <w:rsid w:val="00A1314D"/>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A1314D"/>
    <w:rPr>
      <w:b/>
      <w:bCs/>
    </w:rPr>
  </w:style>
  <w:style w:type="character" w:customStyle="1" w:styleId="CommentSubjectChar">
    <w:name w:val="Comment Subject Char"/>
    <w:basedOn w:val="CommentTextChar"/>
    <w:link w:val="CommentSubject"/>
    <w:uiPriority w:val="99"/>
    <w:semiHidden/>
    <w:rsid w:val="00A1314D"/>
    <w:rPr>
      <w:rFonts w:ascii="Times New Roman" w:eastAsia="Times New Roman" w:hAnsi="Times New Roman" w:cs="Times New Roman"/>
      <w:b/>
      <w:bCs/>
      <w:sz w:val="20"/>
      <w:szCs w:val="20"/>
      <w:lang w:val="en-GB"/>
    </w:rPr>
  </w:style>
  <w:style w:type="character" w:styleId="FollowedHyperlink">
    <w:name w:val="FollowedHyperlink"/>
    <w:basedOn w:val="DefaultParagraphFont"/>
    <w:uiPriority w:val="99"/>
    <w:semiHidden/>
    <w:unhideWhenUsed/>
    <w:rsid w:val="00CF14A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801942">
      <w:bodyDiv w:val="1"/>
      <w:marLeft w:val="0"/>
      <w:marRight w:val="0"/>
      <w:marTop w:val="0"/>
      <w:marBottom w:val="0"/>
      <w:divBdr>
        <w:top w:val="none" w:sz="0" w:space="0" w:color="auto"/>
        <w:left w:val="none" w:sz="0" w:space="0" w:color="auto"/>
        <w:bottom w:val="none" w:sz="0" w:space="0" w:color="auto"/>
        <w:right w:val="none" w:sz="0" w:space="0" w:color="auto"/>
      </w:divBdr>
    </w:div>
    <w:div w:id="146913111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4025</Words>
  <Characters>22945</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Waithe</dc:creator>
  <cp:keywords/>
  <dc:description/>
  <cp:lastModifiedBy>Microsoft Office User</cp:lastModifiedBy>
  <cp:revision>3</cp:revision>
  <cp:lastPrinted>2018-09-04T14:03:00Z</cp:lastPrinted>
  <dcterms:created xsi:type="dcterms:W3CDTF">2018-12-08T23:35:00Z</dcterms:created>
  <dcterms:modified xsi:type="dcterms:W3CDTF">2018-12-08T23:36:00Z</dcterms:modified>
</cp:coreProperties>
</file>