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6E5A6B" w14:textId="5153E786" w:rsidR="00583D21" w:rsidRPr="00D00FFE" w:rsidRDefault="005C0927" w:rsidP="00F83D42">
      <w:pPr>
        <w:spacing w:line="480" w:lineRule="auto"/>
        <w:outlineLvl w:val="0"/>
        <w:rPr>
          <w:bCs/>
          <w:smallCaps/>
          <w:szCs w:val="24"/>
        </w:rPr>
      </w:pPr>
      <w:r w:rsidRPr="00D00FFE">
        <w:rPr>
          <w:bCs/>
          <w:smallCaps/>
          <w:szCs w:val="24"/>
        </w:rPr>
        <w:t xml:space="preserve">A Familial State: Elite Families, </w:t>
      </w:r>
      <w:r w:rsidR="006A0560" w:rsidRPr="00D00FFE">
        <w:rPr>
          <w:bCs/>
          <w:smallCaps/>
          <w:szCs w:val="24"/>
        </w:rPr>
        <w:t>Ministerial Offices</w:t>
      </w:r>
      <w:r w:rsidRPr="00D00FFE">
        <w:rPr>
          <w:bCs/>
          <w:smallCaps/>
          <w:szCs w:val="24"/>
        </w:rPr>
        <w:t xml:space="preserve">, and the Formation of </w:t>
      </w:r>
      <w:r w:rsidR="00DA01EC" w:rsidRPr="00D00FFE">
        <w:rPr>
          <w:bCs/>
          <w:smallCaps/>
          <w:szCs w:val="24"/>
        </w:rPr>
        <w:t xml:space="preserve">Qajar </w:t>
      </w:r>
      <w:r w:rsidR="00C8210A" w:rsidRPr="00D00FFE">
        <w:rPr>
          <w:bCs/>
          <w:smallCaps/>
          <w:szCs w:val="24"/>
        </w:rPr>
        <w:t>Iran</w:t>
      </w:r>
    </w:p>
    <w:p w14:paraId="2A338353" w14:textId="77777777" w:rsidR="00D00FFE" w:rsidRDefault="00D00FFE" w:rsidP="00F83D42">
      <w:pPr>
        <w:spacing w:line="480" w:lineRule="auto"/>
        <w:rPr>
          <w:bCs/>
          <w:szCs w:val="24"/>
        </w:rPr>
      </w:pPr>
    </w:p>
    <w:p w14:paraId="6E208B50" w14:textId="2300093E" w:rsidR="00583D21" w:rsidRPr="00D00FFE" w:rsidRDefault="00583D21" w:rsidP="00F83D42">
      <w:pPr>
        <w:spacing w:line="480" w:lineRule="auto"/>
        <w:rPr>
          <w:b/>
          <w:i/>
          <w:iCs/>
          <w:szCs w:val="24"/>
        </w:rPr>
      </w:pPr>
      <w:r w:rsidRPr="00D00FFE">
        <w:rPr>
          <w:b/>
          <w:i/>
          <w:iCs/>
          <w:szCs w:val="24"/>
        </w:rPr>
        <w:t>Assef Ashraf</w:t>
      </w:r>
    </w:p>
    <w:p w14:paraId="70DCCC7A" w14:textId="6BADD6E0" w:rsidR="00583D21" w:rsidRPr="00583D21" w:rsidRDefault="00583D21" w:rsidP="00F83D42">
      <w:pPr>
        <w:spacing w:line="480" w:lineRule="auto"/>
        <w:jc w:val="center"/>
        <w:rPr>
          <w:bCs/>
          <w:szCs w:val="24"/>
        </w:rPr>
      </w:pPr>
    </w:p>
    <w:p w14:paraId="07194803" w14:textId="449B2FEF" w:rsidR="00583D21" w:rsidRDefault="00583D21" w:rsidP="00F83D42">
      <w:pPr>
        <w:spacing w:line="480" w:lineRule="auto"/>
        <w:rPr>
          <w:bCs/>
          <w:szCs w:val="24"/>
        </w:rPr>
      </w:pPr>
      <w:r w:rsidRPr="00583D21">
        <w:rPr>
          <w:bCs/>
          <w:szCs w:val="24"/>
        </w:rPr>
        <w:t>Assef</w:t>
      </w:r>
      <w:r w:rsidR="00556FBE">
        <w:rPr>
          <w:bCs/>
          <w:szCs w:val="24"/>
        </w:rPr>
        <w:t xml:space="preserve"> Ashraf is</w:t>
      </w:r>
      <w:r>
        <w:rPr>
          <w:bCs/>
          <w:szCs w:val="24"/>
        </w:rPr>
        <w:t xml:space="preserve"> </w:t>
      </w:r>
      <w:r w:rsidR="00556FBE">
        <w:rPr>
          <w:bCs/>
          <w:szCs w:val="24"/>
        </w:rPr>
        <w:t xml:space="preserve">a </w:t>
      </w:r>
      <w:r>
        <w:rPr>
          <w:bCs/>
          <w:szCs w:val="24"/>
        </w:rPr>
        <w:t xml:space="preserve">University Lecturer in the Faculty of Asian and Middle Eastern Studies, University of Cambridge, Cambridge, UK; </w:t>
      </w:r>
      <w:r w:rsidR="00823E37">
        <w:rPr>
          <w:bCs/>
          <w:szCs w:val="24"/>
        </w:rPr>
        <w:t xml:space="preserve">e-mail: </w:t>
      </w:r>
      <w:r w:rsidR="00823E37" w:rsidRPr="00D00FFE">
        <w:rPr>
          <w:bCs/>
          <w:szCs w:val="24"/>
        </w:rPr>
        <w:t>aa2098@cam.ac.uk</w:t>
      </w:r>
    </w:p>
    <w:p w14:paraId="6C2C6977" w14:textId="0FBD8CBD" w:rsidR="00583D21" w:rsidRDefault="00583D21" w:rsidP="00583D21">
      <w:pPr>
        <w:jc w:val="center"/>
        <w:rPr>
          <w:bCs/>
          <w:szCs w:val="24"/>
        </w:rPr>
      </w:pPr>
    </w:p>
    <w:p w14:paraId="1538E9C5" w14:textId="77777777" w:rsidR="00583D21" w:rsidRPr="00583D21" w:rsidRDefault="00583D21" w:rsidP="00583D21">
      <w:pPr>
        <w:jc w:val="center"/>
        <w:rPr>
          <w:bCs/>
          <w:szCs w:val="24"/>
        </w:rPr>
      </w:pPr>
    </w:p>
    <w:p w14:paraId="3967ED58" w14:textId="77777777" w:rsidR="00583D21" w:rsidRPr="00583D21" w:rsidRDefault="00583D21">
      <w:pPr>
        <w:rPr>
          <w:bCs/>
          <w:szCs w:val="24"/>
        </w:rPr>
      </w:pPr>
    </w:p>
    <w:p w14:paraId="66621DB2" w14:textId="6623F491" w:rsidR="00583D21" w:rsidRDefault="00583D21">
      <w:pPr>
        <w:rPr>
          <w:bCs/>
          <w:szCs w:val="24"/>
        </w:rPr>
      </w:pPr>
    </w:p>
    <w:p w14:paraId="0C6A572A" w14:textId="669E9CBB" w:rsidR="00583D21" w:rsidRDefault="00583D21">
      <w:pPr>
        <w:rPr>
          <w:bCs/>
          <w:szCs w:val="24"/>
        </w:rPr>
      </w:pPr>
    </w:p>
    <w:p w14:paraId="6DEF8DCB" w14:textId="1A1F991D" w:rsidR="00583D21" w:rsidRDefault="00583D21">
      <w:pPr>
        <w:rPr>
          <w:bCs/>
          <w:szCs w:val="24"/>
        </w:rPr>
      </w:pPr>
    </w:p>
    <w:p w14:paraId="4941A475" w14:textId="764EFBCF" w:rsidR="00583D21" w:rsidRDefault="00583D21">
      <w:pPr>
        <w:rPr>
          <w:bCs/>
          <w:szCs w:val="24"/>
        </w:rPr>
      </w:pPr>
    </w:p>
    <w:p w14:paraId="4F1F3633" w14:textId="7B6F220F" w:rsidR="00583D21" w:rsidRDefault="00583D21">
      <w:pPr>
        <w:rPr>
          <w:bCs/>
          <w:szCs w:val="24"/>
        </w:rPr>
      </w:pPr>
    </w:p>
    <w:p w14:paraId="717A89FD" w14:textId="050CA886" w:rsidR="00583D21" w:rsidRDefault="00583D21">
      <w:pPr>
        <w:rPr>
          <w:bCs/>
          <w:szCs w:val="24"/>
        </w:rPr>
      </w:pPr>
    </w:p>
    <w:p w14:paraId="51A9C8A9" w14:textId="7983ED22" w:rsidR="00583D21" w:rsidRDefault="00583D21">
      <w:pPr>
        <w:rPr>
          <w:bCs/>
          <w:szCs w:val="24"/>
        </w:rPr>
      </w:pPr>
    </w:p>
    <w:p w14:paraId="552D2736" w14:textId="4046382E" w:rsidR="00583D21" w:rsidRDefault="00583D21">
      <w:pPr>
        <w:rPr>
          <w:bCs/>
          <w:szCs w:val="24"/>
        </w:rPr>
      </w:pPr>
    </w:p>
    <w:p w14:paraId="60E61653" w14:textId="75F35148" w:rsidR="00583D21" w:rsidRDefault="00583D21">
      <w:pPr>
        <w:rPr>
          <w:bCs/>
          <w:szCs w:val="24"/>
        </w:rPr>
      </w:pPr>
    </w:p>
    <w:p w14:paraId="12821CE9" w14:textId="249BE3E6" w:rsidR="00583D21" w:rsidRDefault="00583D21">
      <w:pPr>
        <w:rPr>
          <w:bCs/>
          <w:szCs w:val="24"/>
        </w:rPr>
      </w:pPr>
    </w:p>
    <w:p w14:paraId="0B82AC73" w14:textId="2F1E6C9A" w:rsidR="00583D21" w:rsidRDefault="00583D21">
      <w:pPr>
        <w:rPr>
          <w:bCs/>
          <w:szCs w:val="24"/>
        </w:rPr>
      </w:pPr>
    </w:p>
    <w:p w14:paraId="3D392BF5" w14:textId="555831F1" w:rsidR="00583D21" w:rsidRDefault="00583D21">
      <w:pPr>
        <w:rPr>
          <w:bCs/>
          <w:szCs w:val="24"/>
        </w:rPr>
      </w:pPr>
    </w:p>
    <w:p w14:paraId="3380BF85" w14:textId="6D402A67" w:rsidR="00583D21" w:rsidRDefault="00583D21">
      <w:pPr>
        <w:rPr>
          <w:bCs/>
          <w:szCs w:val="24"/>
        </w:rPr>
      </w:pPr>
    </w:p>
    <w:p w14:paraId="51A7B07F" w14:textId="292AD460" w:rsidR="00583D21" w:rsidRDefault="00583D21">
      <w:pPr>
        <w:rPr>
          <w:bCs/>
          <w:szCs w:val="24"/>
        </w:rPr>
      </w:pPr>
    </w:p>
    <w:p w14:paraId="6B22315A" w14:textId="19CC38AB" w:rsidR="00583D21" w:rsidRDefault="00583D21">
      <w:pPr>
        <w:rPr>
          <w:bCs/>
          <w:szCs w:val="24"/>
        </w:rPr>
      </w:pPr>
    </w:p>
    <w:p w14:paraId="4AA6AC0C" w14:textId="77231D7A" w:rsidR="00583D21" w:rsidRDefault="00583D21">
      <w:pPr>
        <w:rPr>
          <w:bCs/>
          <w:szCs w:val="24"/>
        </w:rPr>
      </w:pPr>
    </w:p>
    <w:p w14:paraId="192EB859" w14:textId="3062FEE2" w:rsidR="00583D21" w:rsidRDefault="00583D21">
      <w:pPr>
        <w:rPr>
          <w:bCs/>
          <w:szCs w:val="24"/>
        </w:rPr>
      </w:pPr>
    </w:p>
    <w:p w14:paraId="60D8E1B1" w14:textId="7B5728FA" w:rsidR="00583D21" w:rsidRDefault="00583D21">
      <w:pPr>
        <w:rPr>
          <w:bCs/>
          <w:szCs w:val="24"/>
        </w:rPr>
      </w:pPr>
    </w:p>
    <w:p w14:paraId="59CBEB51" w14:textId="7F0F5CDC" w:rsidR="00583D21" w:rsidRDefault="00583D21">
      <w:pPr>
        <w:rPr>
          <w:bCs/>
          <w:szCs w:val="24"/>
        </w:rPr>
      </w:pPr>
    </w:p>
    <w:p w14:paraId="0B6A6D58" w14:textId="0CF1818B" w:rsidR="00583D21" w:rsidRDefault="00583D21">
      <w:pPr>
        <w:rPr>
          <w:bCs/>
          <w:szCs w:val="24"/>
        </w:rPr>
      </w:pPr>
    </w:p>
    <w:p w14:paraId="28036A4B" w14:textId="26118CF3" w:rsidR="00583D21" w:rsidRDefault="00583D21">
      <w:pPr>
        <w:rPr>
          <w:bCs/>
          <w:szCs w:val="24"/>
        </w:rPr>
      </w:pPr>
    </w:p>
    <w:p w14:paraId="0A59079E" w14:textId="1485FADD" w:rsidR="00583D21" w:rsidRDefault="00583D21">
      <w:pPr>
        <w:rPr>
          <w:bCs/>
          <w:szCs w:val="24"/>
        </w:rPr>
      </w:pPr>
    </w:p>
    <w:p w14:paraId="72F5A82E" w14:textId="5541D9E1" w:rsidR="00583D21" w:rsidRDefault="00583D21">
      <w:pPr>
        <w:rPr>
          <w:bCs/>
          <w:szCs w:val="24"/>
        </w:rPr>
      </w:pPr>
    </w:p>
    <w:p w14:paraId="5A507F9A" w14:textId="5D3C223E" w:rsidR="00583D21" w:rsidRDefault="00583D21">
      <w:pPr>
        <w:rPr>
          <w:bCs/>
          <w:szCs w:val="24"/>
        </w:rPr>
      </w:pPr>
    </w:p>
    <w:p w14:paraId="66FA828E" w14:textId="336F8037" w:rsidR="00583D21" w:rsidRDefault="00583D21">
      <w:pPr>
        <w:rPr>
          <w:bCs/>
          <w:szCs w:val="24"/>
        </w:rPr>
      </w:pPr>
    </w:p>
    <w:p w14:paraId="579696C5" w14:textId="4722E6C5" w:rsidR="00583D21" w:rsidRDefault="00583D21">
      <w:pPr>
        <w:rPr>
          <w:bCs/>
          <w:szCs w:val="24"/>
        </w:rPr>
      </w:pPr>
    </w:p>
    <w:p w14:paraId="20FC004A" w14:textId="77777777" w:rsidR="00583D21" w:rsidRPr="00583D21" w:rsidRDefault="00583D21">
      <w:pPr>
        <w:rPr>
          <w:bCs/>
          <w:szCs w:val="24"/>
        </w:rPr>
      </w:pPr>
    </w:p>
    <w:p w14:paraId="3F96312E" w14:textId="77777777" w:rsidR="000B0D36" w:rsidRDefault="000B0D36" w:rsidP="000C0CDE">
      <w:pPr>
        <w:spacing w:line="480" w:lineRule="auto"/>
        <w:rPr>
          <w:b/>
          <w:bCs/>
        </w:rPr>
      </w:pPr>
      <w:r>
        <w:rPr>
          <w:b/>
          <w:bCs/>
        </w:rPr>
        <w:lastRenderedPageBreak/>
        <w:t>Abstract</w:t>
      </w:r>
    </w:p>
    <w:p w14:paraId="7FE97F09" w14:textId="77777777" w:rsidR="000B0D36" w:rsidRDefault="000B0D36" w:rsidP="000C0CDE">
      <w:pPr>
        <w:spacing w:line="480" w:lineRule="auto"/>
      </w:pPr>
      <w:r>
        <w:t>This article examines the social makeup of the early Qajar administration or chancery (</w:t>
      </w:r>
      <w:proofErr w:type="spellStart"/>
      <w:r w:rsidRPr="009775E1">
        <w:rPr>
          <w:i/>
          <w:iCs/>
        </w:rPr>
        <w:t>dīvān</w:t>
      </w:r>
      <w:proofErr w:type="spellEnd"/>
      <w:r>
        <w:t xml:space="preserve">). Using a wide range of Persian sources, the article focuses on those individuals who held offices in the </w:t>
      </w:r>
      <w:proofErr w:type="spellStart"/>
      <w:r w:rsidRPr="009775E1">
        <w:rPr>
          <w:i/>
          <w:iCs/>
        </w:rPr>
        <w:t>dīvān</w:t>
      </w:r>
      <w:proofErr w:type="spellEnd"/>
      <w:r>
        <w:t xml:space="preserve"> and traces their family, social, and geographic backgrounds, highlights their marital ties, and reveals their sources of economic and social prestige. In doing so, the article draws attention to patterns of continuity and change between Safavid, Afsharid, </w:t>
      </w:r>
      <w:proofErr w:type="spellStart"/>
      <w:r>
        <w:t>Zand</w:t>
      </w:r>
      <w:proofErr w:type="spellEnd"/>
      <w:r>
        <w:t xml:space="preserve">, and Qajar rule, and to the familial and informal nature of political power during the early Qajar period (1785–1834). Ultimately the article suggests that an analysis of the social makeup of the </w:t>
      </w:r>
      <w:proofErr w:type="spellStart"/>
      <w:r w:rsidRPr="009775E1">
        <w:rPr>
          <w:i/>
          <w:iCs/>
        </w:rPr>
        <w:t>dīvān</w:t>
      </w:r>
      <w:proofErr w:type="spellEnd"/>
      <w:r>
        <w:t>, and of what political office-holders actually do, offers a more fruitful pathway for understanding the formation of Qajar Iran than a focus on institutions and political structures.</w:t>
      </w:r>
    </w:p>
    <w:p w14:paraId="3BBB677E" w14:textId="77777777" w:rsidR="000B0D36" w:rsidRDefault="000B0D36" w:rsidP="000C0CDE">
      <w:pPr>
        <w:spacing w:line="480" w:lineRule="auto"/>
      </w:pPr>
    </w:p>
    <w:p w14:paraId="1F7E23EB" w14:textId="77777777" w:rsidR="000B0D36" w:rsidRPr="00DA0A86" w:rsidRDefault="000B0D36" w:rsidP="000C0CDE">
      <w:pPr>
        <w:spacing w:line="480" w:lineRule="auto"/>
      </w:pPr>
      <w:r w:rsidRPr="00EB214C">
        <w:rPr>
          <w:b/>
          <w:bCs/>
        </w:rPr>
        <w:t>Keywords:</w:t>
      </w:r>
      <w:r>
        <w:t xml:space="preserve"> familial state, state formation, Qajar Iran, socially oriented political history </w:t>
      </w:r>
    </w:p>
    <w:p w14:paraId="08CD1B1F" w14:textId="15844805" w:rsidR="000B0D36" w:rsidRDefault="000B0D36" w:rsidP="000C0CDE">
      <w:pPr>
        <w:spacing w:line="480" w:lineRule="auto"/>
        <w:rPr>
          <w:szCs w:val="24"/>
        </w:rPr>
      </w:pPr>
    </w:p>
    <w:p w14:paraId="39AD78A3" w14:textId="2D3FEF53" w:rsidR="0065770B" w:rsidRPr="00583D21" w:rsidRDefault="00CE3F30" w:rsidP="00D00FFE">
      <w:pPr>
        <w:spacing w:line="480" w:lineRule="auto"/>
        <w:rPr>
          <w:szCs w:val="24"/>
        </w:rPr>
      </w:pPr>
      <w:r w:rsidRPr="00583D21">
        <w:rPr>
          <w:szCs w:val="24"/>
        </w:rPr>
        <w:t>The Qajar state was a familial state. Qajar princes held most of the provincial governorships, while many of the offices that comprised the Qajar administration (</w:t>
      </w:r>
      <w:proofErr w:type="spellStart"/>
      <w:r w:rsidRPr="00583D21">
        <w:rPr>
          <w:i/>
          <w:iCs/>
          <w:szCs w:val="24"/>
        </w:rPr>
        <w:t>dīvān</w:t>
      </w:r>
      <w:proofErr w:type="spellEnd"/>
      <w:r w:rsidRPr="00583D21">
        <w:rPr>
          <w:szCs w:val="24"/>
        </w:rPr>
        <w:t>) were occupied by individuals who were descended from administrative families, who were related to other administrative families, and who were related to the ruling Qajar house.</w:t>
      </w:r>
      <w:r w:rsidR="001B6239" w:rsidRPr="00583D21">
        <w:rPr>
          <w:rStyle w:val="EndnoteReference"/>
          <w:szCs w:val="24"/>
        </w:rPr>
        <w:endnoteReference w:id="1"/>
      </w:r>
      <w:r w:rsidRPr="00583D21">
        <w:rPr>
          <w:szCs w:val="24"/>
        </w:rPr>
        <w:t xml:space="preserve"> The fact that </w:t>
      </w:r>
      <w:r w:rsidR="00A03F1E" w:rsidRPr="00583D21">
        <w:rPr>
          <w:szCs w:val="24"/>
        </w:rPr>
        <w:t>Qajar Iran’s politics and administration were largely a family affair</w:t>
      </w:r>
      <w:r w:rsidRPr="00583D21">
        <w:rPr>
          <w:szCs w:val="24"/>
        </w:rPr>
        <w:t xml:space="preserve"> is not news, nor does it make Qajar Iran exceptional. Historians of </w:t>
      </w:r>
      <w:r w:rsidR="00556917" w:rsidRPr="00583D21">
        <w:rPr>
          <w:szCs w:val="24"/>
        </w:rPr>
        <w:t>19th</w:t>
      </w:r>
      <w:r w:rsidRPr="00583D21">
        <w:rPr>
          <w:szCs w:val="24"/>
        </w:rPr>
        <w:t>-century Iran, especially those writing in Persian, have long drawn attention to the familial nature of Qajar-era politics.</w:t>
      </w:r>
      <w:r w:rsidRPr="00583D21">
        <w:rPr>
          <w:rStyle w:val="EndnoteReference"/>
          <w:szCs w:val="24"/>
        </w:rPr>
        <w:endnoteReference w:id="2"/>
      </w:r>
      <w:r w:rsidRPr="00583D21">
        <w:rPr>
          <w:szCs w:val="24"/>
        </w:rPr>
        <w:t xml:space="preserve"> And historians of other regions, from Western Europe to Japan, have written extensively on elite families and the politics of the aristocracy.</w:t>
      </w:r>
      <w:r w:rsidRPr="00583D21">
        <w:rPr>
          <w:rStyle w:val="EndnoteReference"/>
          <w:szCs w:val="24"/>
        </w:rPr>
        <w:endnoteReference w:id="3"/>
      </w:r>
      <w:r w:rsidRPr="00583D21">
        <w:rPr>
          <w:szCs w:val="24"/>
        </w:rPr>
        <w:t xml:space="preserve"> Nevertheless, numer</w:t>
      </w:r>
      <w:r w:rsidR="00653ED4" w:rsidRPr="00583D21">
        <w:rPr>
          <w:szCs w:val="24"/>
        </w:rPr>
        <w:t xml:space="preserve">ous questions about the </w:t>
      </w:r>
      <w:r w:rsidR="008B2D60" w:rsidRPr="00583D21">
        <w:rPr>
          <w:szCs w:val="24"/>
        </w:rPr>
        <w:t xml:space="preserve">historical </w:t>
      </w:r>
      <w:r w:rsidR="00653ED4" w:rsidRPr="00583D21">
        <w:rPr>
          <w:szCs w:val="24"/>
        </w:rPr>
        <w:t xml:space="preserve">role of </w:t>
      </w:r>
      <w:r w:rsidR="008B2D60" w:rsidRPr="00583D21">
        <w:rPr>
          <w:szCs w:val="24"/>
        </w:rPr>
        <w:t xml:space="preserve">political </w:t>
      </w:r>
      <w:r w:rsidRPr="00583D21">
        <w:rPr>
          <w:szCs w:val="24"/>
        </w:rPr>
        <w:t xml:space="preserve">families in </w:t>
      </w:r>
      <w:r w:rsidR="00D4501F" w:rsidRPr="00583D21">
        <w:rPr>
          <w:szCs w:val="24"/>
        </w:rPr>
        <w:t>Qajar</w:t>
      </w:r>
      <w:r w:rsidRPr="00583D21">
        <w:rPr>
          <w:szCs w:val="24"/>
        </w:rPr>
        <w:t xml:space="preserve"> </w:t>
      </w:r>
      <w:r w:rsidR="008B2D60" w:rsidRPr="00583D21">
        <w:rPr>
          <w:szCs w:val="24"/>
        </w:rPr>
        <w:t xml:space="preserve">Iran </w:t>
      </w:r>
      <w:r w:rsidRPr="00583D21">
        <w:rPr>
          <w:szCs w:val="24"/>
        </w:rPr>
        <w:t xml:space="preserve">remain underexplored. Chief among them is </w:t>
      </w:r>
      <w:r w:rsidR="008B2D60" w:rsidRPr="00583D21">
        <w:rPr>
          <w:szCs w:val="24"/>
        </w:rPr>
        <w:t xml:space="preserve">how </w:t>
      </w:r>
      <w:r w:rsidR="009D7AB4" w:rsidRPr="00583D21">
        <w:rPr>
          <w:szCs w:val="24"/>
        </w:rPr>
        <w:t>a focus on those families</w:t>
      </w:r>
      <w:r w:rsidR="00750850" w:rsidRPr="00583D21">
        <w:rPr>
          <w:szCs w:val="24"/>
        </w:rPr>
        <w:t>—</w:t>
      </w:r>
      <w:r w:rsidR="009D7AB4" w:rsidRPr="00583D21">
        <w:rPr>
          <w:szCs w:val="24"/>
        </w:rPr>
        <w:t xml:space="preserve">and </w:t>
      </w:r>
      <w:r w:rsidR="009D7AB4" w:rsidRPr="00583D21">
        <w:rPr>
          <w:szCs w:val="24"/>
        </w:rPr>
        <w:lastRenderedPageBreak/>
        <w:t xml:space="preserve">especially those families who served in the </w:t>
      </w:r>
      <w:proofErr w:type="spellStart"/>
      <w:r w:rsidR="009D7AB4" w:rsidRPr="00583D21">
        <w:rPr>
          <w:i/>
          <w:iCs/>
          <w:szCs w:val="24"/>
        </w:rPr>
        <w:t>dīvān</w:t>
      </w:r>
      <w:proofErr w:type="spellEnd"/>
      <w:r w:rsidR="00750850" w:rsidRPr="00583D21">
        <w:rPr>
          <w:i/>
          <w:iCs/>
          <w:szCs w:val="24"/>
        </w:rPr>
        <w:t>—</w:t>
      </w:r>
      <w:r w:rsidR="009D7AB4" w:rsidRPr="00583D21">
        <w:rPr>
          <w:szCs w:val="24"/>
        </w:rPr>
        <w:t xml:space="preserve">might change </w:t>
      </w:r>
      <w:r w:rsidR="008712B7" w:rsidRPr="00583D21">
        <w:rPr>
          <w:szCs w:val="24"/>
        </w:rPr>
        <w:t>our understanding of</w:t>
      </w:r>
      <w:r w:rsidR="008B2D60" w:rsidRPr="00583D21">
        <w:rPr>
          <w:szCs w:val="24"/>
        </w:rPr>
        <w:t xml:space="preserve"> the early Qajar period and the formation of the Qajar state</w:t>
      </w:r>
      <w:r w:rsidR="006A3A9A" w:rsidRPr="00583D21">
        <w:rPr>
          <w:szCs w:val="24"/>
        </w:rPr>
        <w:t>.</w:t>
      </w:r>
      <w:r w:rsidRPr="00583D21">
        <w:rPr>
          <w:szCs w:val="24"/>
        </w:rPr>
        <w:t xml:space="preserve"> </w:t>
      </w:r>
    </w:p>
    <w:p w14:paraId="305F3146" w14:textId="03DC88FB" w:rsidR="00CE3F30" w:rsidRPr="00583D21" w:rsidRDefault="0065770B" w:rsidP="00295CAA">
      <w:pPr>
        <w:spacing w:line="480" w:lineRule="auto"/>
        <w:ind w:firstLine="720"/>
        <w:rPr>
          <w:szCs w:val="24"/>
        </w:rPr>
      </w:pPr>
      <w:r w:rsidRPr="00583D21">
        <w:rPr>
          <w:szCs w:val="24"/>
        </w:rPr>
        <w:t>T</w:t>
      </w:r>
      <w:r w:rsidR="00CE3F30" w:rsidRPr="00583D21">
        <w:rPr>
          <w:szCs w:val="24"/>
        </w:rPr>
        <w:t xml:space="preserve">he production of Qajar power and the emergence of a Qajar state are among the least understood, though most deserving, topics in </w:t>
      </w:r>
      <w:r w:rsidR="00EF64E9" w:rsidRPr="00583D21">
        <w:rPr>
          <w:szCs w:val="24"/>
        </w:rPr>
        <w:t>18</w:t>
      </w:r>
      <w:r w:rsidR="00EF64E9" w:rsidRPr="00295CAA">
        <w:rPr>
          <w:szCs w:val="24"/>
        </w:rPr>
        <w:t>th</w:t>
      </w:r>
      <w:r w:rsidR="00295CAA">
        <w:rPr>
          <w:szCs w:val="24"/>
        </w:rPr>
        <w:t>-</w:t>
      </w:r>
      <w:r w:rsidR="00CE3F30" w:rsidRPr="00583D21">
        <w:rPr>
          <w:szCs w:val="24"/>
        </w:rPr>
        <w:t xml:space="preserve"> and </w:t>
      </w:r>
      <w:r w:rsidR="008B7CD4" w:rsidRPr="00583D21">
        <w:rPr>
          <w:szCs w:val="24"/>
        </w:rPr>
        <w:t>19th</w:t>
      </w:r>
      <w:r w:rsidR="00CE3F30" w:rsidRPr="00583D21">
        <w:rPr>
          <w:szCs w:val="24"/>
        </w:rPr>
        <w:t>-</w:t>
      </w:r>
      <w:r w:rsidRPr="00583D21">
        <w:rPr>
          <w:szCs w:val="24"/>
        </w:rPr>
        <w:t xml:space="preserve">century Middle Eastern history. </w:t>
      </w:r>
      <w:r w:rsidR="00CE3F30" w:rsidRPr="00583D21">
        <w:rPr>
          <w:szCs w:val="24"/>
        </w:rPr>
        <w:t xml:space="preserve">The </w:t>
      </w:r>
      <w:r w:rsidR="00BB2368" w:rsidRPr="00583D21">
        <w:rPr>
          <w:szCs w:val="24"/>
        </w:rPr>
        <w:t xml:space="preserve">story of the formation of </w:t>
      </w:r>
      <w:r w:rsidR="00D37B45" w:rsidRPr="00583D21">
        <w:rPr>
          <w:szCs w:val="24"/>
        </w:rPr>
        <w:t xml:space="preserve">Qajar Iran </w:t>
      </w:r>
      <w:r w:rsidR="00BB2368" w:rsidRPr="00583D21">
        <w:rPr>
          <w:szCs w:val="24"/>
        </w:rPr>
        <w:t>can be summarized as follows</w:t>
      </w:r>
      <w:r w:rsidR="00CE3F30" w:rsidRPr="00583D21">
        <w:rPr>
          <w:szCs w:val="24"/>
        </w:rPr>
        <w:t xml:space="preserve">: </w:t>
      </w:r>
      <w:r w:rsidR="00BC17B7" w:rsidRPr="00583D21">
        <w:rPr>
          <w:szCs w:val="24"/>
        </w:rPr>
        <w:t xml:space="preserve">in 1722, </w:t>
      </w:r>
      <w:r w:rsidR="00CE3F30" w:rsidRPr="00583D21">
        <w:rPr>
          <w:szCs w:val="24"/>
        </w:rPr>
        <w:t>the Safavid Empire collapsed</w:t>
      </w:r>
      <w:r w:rsidR="00F3574D" w:rsidRPr="00583D21">
        <w:rPr>
          <w:szCs w:val="24"/>
        </w:rPr>
        <w:t>. Political turmoil and instability marked</w:t>
      </w:r>
      <w:r w:rsidR="00CE3F30" w:rsidRPr="00583D21">
        <w:rPr>
          <w:szCs w:val="24"/>
        </w:rPr>
        <w:t xml:space="preserve"> much of the </w:t>
      </w:r>
      <w:r w:rsidR="00F3574D" w:rsidRPr="00583D21">
        <w:rPr>
          <w:szCs w:val="24"/>
        </w:rPr>
        <w:t>remainder of the</w:t>
      </w:r>
      <w:r w:rsidR="00295CAA">
        <w:rPr>
          <w:szCs w:val="24"/>
        </w:rPr>
        <w:t xml:space="preserve"> </w:t>
      </w:r>
      <w:r w:rsidR="00E517A3" w:rsidRPr="00583D21">
        <w:rPr>
          <w:szCs w:val="24"/>
        </w:rPr>
        <w:t>18th</w:t>
      </w:r>
      <w:r w:rsidR="00CE3F30" w:rsidRPr="00583D21">
        <w:rPr>
          <w:szCs w:val="24"/>
        </w:rPr>
        <w:t xml:space="preserve"> century. Nadir Shah </w:t>
      </w:r>
      <w:proofErr w:type="spellStart"/>
      <w:r w:rsidR="00CE3F30" w:rsidRPr="00583D21">
        <w:rPr>
          <w:szCs w:val="24"/>
        </w:rPr>
        <w:t>Afshar</w:t>
      </w:r>
      <w:proofErr w:type="spellEnd"/>
      <w:r w:rsidR="00CE3F30" w:rsidRPr="00583D21">
        <w:rPr>
          <w:szCs w:val="24"/>
        </w:rPr>
        <w:t xml:space="preserve"> (r. 1736</w:t>
      </w:r>
      <w:r w:rsidR="00295CAA">
        <w:rPr>
          <w:szCs w:val="24"/>
        </w:rPr>
        <w:t>–</w:t>
      </w:r>
      <w:r w:rsidR="00CE3F30" w:rsidRPr="00583D21">
        <w:rPr>
          <w:szCs w:val="24"/>
        </w:rPr>
        <w:t xml:space="preserve">47) and Karim Khan </w:t>
      </w:r>
      <w:proofErr w:type="spellStart"/>
      <w:r w:rsidR="00CE3F30" w:rsidRPr="00583D21">
        <w:rPr>
          <w:szCs w:val="24"/>
        </w:rPr>
        <w:t>Zand</w:t>
      </w:r>
      <w:proofErr w:type="spellEnd"/>
      <w:r w:rsidR="00CE3F30" w:rsidRPr="00583D21">
        <w:rPr>
          <w:szCs w:val="24"/>
        </w:rPr>
        <w:t xml:space="preserve"> (r. 1750</w:t>
      </w:r>
      <w:r w:rsidR="00295CAA">
        <w:rPr>
          <w:szCs w:val="24"/>
        </w:rPr>
        <w:t>–</w:t>
      </w:r>
      <w:r w:rsidR="00CE3F30" w:rsidRPr="00583D21">
        <w:rPr>
          <w:szCs w:val="24"/>
        </w:rPr>
        <w:t xml:space="preserve">79) ruled for some time, but neither managed to establish states that outlasted their own lives. </w:t>
      </w:r>
      <w:r w:rsidR="00F3574D" w:rsidRPr="00583D21">
        <w:rPr>
          <w:szCs w:val="24"/>
        </w:rPr>
        <w:t xml:space="preserve">Meanwhile, </w:t>
      </w:r>
      <w:r w:rsidR="00CE3F30" w:rsidRPr="00583D21">
        <w:rPr>
          <w:szCs w:val="24"/>
        </w:rPr>
        <w:t xml:space="preserve">the </w:t>
      </w:r>
      <w:proofErr w:type="spellStart"/>
      <w:r w:rsidR="00CE3F30" w:rsidRPr="00583D21">
        <w:rPr>
          <w:szCs w:val="24"/>
        </w:rPr>
        <w:t>Qajars</w:t>
      </w:r>
      <w:proofErr w:type="spellEnd"/>
      <w:r w:rsidR="00CE3F30" w:rsidRPr="00583D21">
        <w:rPr>
          <w:szCs w:val="24"/>
        </w:rPr>
        <w:t xml:space="preserve"> </w:t>
      </w:r>
      <w:r w:rsidR="00F3574D" w:rsidRPr="00583D21">
        <w:rPr>
          <w:szCs w:val="24"/>
        </w:rPr>
        <w:t xml:space="preserve">were </w:t>
      </w:r>
      <w:r w:rsidR="00CE3F30" w:rsidRPr="00583D21">
        <w:rPr>
          <w:szCs w:val="24"/>
        </w:rPr>
        <w:t xml:space="preserve">one among several tribal groups vying for power. </w:t>
      </w:r>
      <w:r w:rsidR="00E72F4E">
        <w:rPr>
          <w:szCs w:val="24"/>
        </w:rPr>
        <w:t>Agha</w:t>
      </w:r>
      <w:r w:rsidR="00CE3F30" w:rsidRPr="00583D21">
        <w:rPr>
          <w:szCs w:val="24"/>
        </w:rPr>
        <w:t xml:space="preserve"> Muhammad Khan</w:t>
      </w:r>
      <w:r w:rsidR="00F3574D" w:rsidRPr="00583D21">
        <w:rPr>
          <w:szCs w:val="24"/>
        </w:rPr>
        <w:t xml:space="preserve"> Qajar (r. 17</w:t>
      </w:r>
      <w:r w:rsidR="007C3EAD" w:rsidRPr="00583D21">
        <w:rPr>
          <w:szCs w:val="24"/>
        </w:rPr>
        <w:t>85</w:t>
      </w:r>
      <w:r w:rsidR="00295CAA">
        <w:rPr>
          <w:szCs w:val="24"/>
        </w:rPr>
        <w:t>–</w:t>
      </w:r>
      <w:r w:rsidR="00F3574D" w:rsidRPr="00583D21">
        <w:rPr>
          <w:szCs w:val="24"/>
        </w:rPr>
        <w:t xml:space="preserve">97) defeated his </w:t>
      </w:r>
      <w:proofErr w:type="spellStart"/>
      <w:r w:rsidR="00F3574D" w:rsidRPr="00583D21">
        <w:rPr>
          <w:szCs w:val="24"/>
        </w:rPr>
        <w:t>Zand</w:t>
      </w:r>
      <w:proofErr w:type="spellEnd"/>
      <w:r w:rsidR="00F3574D" w:rsidRPr="00583D21">
        <w:rPr>
          <w:szCs w:val="24"/>
        </w:rPr>
        <w:t xml:space="preserve"> rivals and crowned himself shah in 1796. Only a year later, however, he was assassinated.</w:t>
      </w:r>
      <w:r w:rsidR="00CE3F30" w:rsidRPr="00583D21">
        <w:rPr>
          <w:szCs w:val="24"/>
        </w:rPr>
        <w:t xml:space="preserve"> His nephew, and designated successor, Fath-</w:t>
      </w:r>
      <w:proofErr w:type="spellStart"/>
      <w:r w:rsidR="00295CAA" w:rsidRPr="007A6628">
        <w:rPr>
          <w:rFonts w:ascii="JaghbUni" w:hAnsi="JaghbUni"/>
          <w:szCs w:val="24"/>
        </w:rPr>
        <w:t>ʿ</w:t>
      </w:r>
      <w:r w:rsidR="00CE3F30" w:rsidRPr="00583D21">
        <w:rPr>
          <w:szCs w:val="24"/>
        </w:rPr>
        <w:t>Ali</w:t>
      </w:r>
      <w:proofErr w:type="spellEnd"/>
      <w:r w:rsidR="00CE3F30" w:rsidRPr="00583D21">
        <w:rPr>
          <w:szCs w:val="24"/>
        </w:rPr>
        <w:t xml:space="preserve"> Shah (r. 1797</w:t>
      </w:r>
      <w:r w:rsidR="00295CAA">
        <w:rPr>
          <w:szCs w:val="24"/>
        </w:rPr>
        <w:t>–</w:t>
      </w:r>
      <w:r w:rsidR="00CE3F30" w:rsidRPr="00583D21">
        <w:rPr>
          <w:szCs w:val="24"/>
        </w:rPr>
        <w:t>1834), took the throne at a time when several competitors, including some of his own relatives, refused to recognize his rule</w:t>
      </w:r>
      <w:r w:rsidR="00F3574D" w:rsidRPr="00583D21">
        <w:rPr>
          <w:szCs w:val="24"/>
        </w:rPr>
        <w:t>. Given this situation, i</w:t>
      </w:r>
      <w:r w:rsidR="00CE3F30" w:rsidRPr="00583D21">
        <w:rPr>
          <w:szCs w:val="24"/>
        </w:rPr>
        <w:t>t is not surprising that the prevailing wisdom among historians is that</w:t>
      </w:r>
      <w:r w:rsidR="006749E8">
        <w:rPr>
          <w:szCs w:val="24"/>
        </w:rPr>
        <w:t xml:space="preserve"> 18th-century</w:t>
      </w:r>
      <w:r w:rsidR="00F3574D" w:rsidRPr="00583D21">
        <w:rPr>
          <w:szCs w:val="24"/>
        </w:rPr>
        <w:t xml:space="preserve"> </w:t>
      </w:r>
      <w:r w:rsidR="00CE3F30" w:rsidRPr="00583D21">
        <w:rPr>
          <w:szCs w:val="24"/>
        </w:rPr>
        <w:t>Iran</w:t>
      </w:r>
      <w:r w:rsidR="006749E8">
        <w:rPr>
          <w:szCs w:val="24"/>
        </w:rPr>
        <w:t xml:space="preserve"> witnessed </w:t>
      </w:r>
      <w:r w:rsidR="00CE3F30" w:rsidRPr="00583D21">
        <w:rPr>
          <w:szCs w:val="24"/>
        </w:rPr>
        <w:t xml:space="preserve">“tribal resurgence” and a general </w:t>
      </w:r>
      <w:r w:rsidR="00F3574D" w:rsidRPr="00583D21">
        <w:rPr>
          <w:szCs w:val="24"/>
        </w:rPr>
        <w:t xml:space="preserve">political and </w:t>
      </w:r>
      <w:r w:rsidR="00CE3F30" w:rsidRPr="00583D21">
        <w:rPr>
          <w:szCs w:val="24"/>
        </w:rPr>
        <w:t>economic downturn.</w:t>
      </w:r>
      <w:r w:rsidR="00CE3F30" w:rsidRPr="00583D21">
        <w:rPr>
          <w:szCs w:val="24"/>
          <w:vertAlign w:val="superscript"/>
        </w:rPr>
        <w:endnoteReference w:id="4"/>
      </w:r>
      <w:r w:rsidR="00CE3F30" w:rsidRPr="00583D21">
        <w:rPr>
          <w:szCs w:val="24"/>
        </w:rPr>
        <w:t xml:space="preserve"> And yet, during the peri</w:t>
      </w:r>
      <w:r w:rsidR="00E23236" w:rsidRPr="00583D21">
        <w:rPr>
          <w:szCs w:val="24"/>
        </w:rPr>
        <w:t>od stretching from 1785 to 1834</w:t>
      </w:r>
      <w:r w:rsidR="00750850" w:rsidRPr="00583D21">
        <w:rPr>
          <w:szCs w:val="24"/>
        </w:rPr>
        <w:t>—</w:t>
      </w:r>
      <w:r w:rsidR="00E23236" w:rsidRPr="00583D21">
        <w:rPr>
          <w:szCs w:val="24"/>
        </w:rPr>
        <w:t>what can be called the early Qajar period</w:t>
      </w:r>
      <w:r w:rsidR="00750850" w:rsidRPr="00583D21">
        <w:rPr>
          <w:szCs w:val="24"/>
        </w:rPr>
        <w:t>—</w:t>
      </w:r>
      <w:r w:rsidR="00CE3F30" w:rsidRPr="00583D21">
        <w:rPr>
          <w:szCs w:val="24"/>
        </w:rPr>
        <w:t xml:space="preserve">the </w:t>
      </w:r>
      <w:proofErr w:type="spellStart"/>
      <w:r w:rsidR="00CE3F30" w:rsidRPr="00583D21">
        <w:rPr>
          <w:szCs w:val="24"/>
        </w:rPr>
        <w:t>Qajars</w:t>
      </w:r>
      <w:proofErr w:type="spellEnd"/>
      <w:r w:rsidR="00CE3F30" w:rsidRPr="00583D21">
        <w:rPr>
          <w:szCs w:val="24"/>
        </w:rPr>
        <w:t xml:space="preserve"> successfully consolidated political power to rule over </w:t>
      </w:r>
      <w:r w:rsidR="00941394" w:rsidRPr="00583D21">
        <w:rPr>
          <w:szCs w:val="24"/>
        </w:rPr>
        <w:t xml:space="preserve">what they called </w:t>
      </w:r>
      <w:r w:rsidR="00CE3F30" w:rsidRPr="00583D21">
        <w:rPr>
          <w:szCs w:val="24"/>
        </w:rPr>
        <w:t>the “guarded domains of Iran” (</w:t>
      </w:r>
      <w:proofErr w:type="spellStart"/>
      <w:r w:rsidR="00CE3F30" w:rsidRPr="00583D21">
        <w:rPr>
          <w:i/>
          <w:szCs w:val="24"/>
        </w:rPr>
        <w:t>mamālik-i</w:t>
      </w:r>
      <w:proofErr w:type="spellEnd"/>
      <w:r w:rsidR="00CE3F30" w:rsidRPr="00583D21">
        <w:rPr>
          <w:i/>
          <w:szCs w:val="24"/>
        </w:rPr>
        <w:t xml:space="preserve"> </w:t>
      </w:r>
      <w:proofErr w:type="spellStart"/>
      <w:r w:rsidR="00CE3F30" w:rsidRPr="00583D21">
        <w:rPr>
          <w:i/>
          <w:szCs w:val="24"/>
        </w:rPr>
        <w:t>maḥrūsih-yi</w:t>
      </w:r>
      <w:proofErr w:type="spellEnd"/>
      <w:r w:rsidR="00CE3F30" w:rsidRPr="00583D21">
        <w:rPr>
          <w:i/>
          <w:szCs w:val="24"/>
        </w:rPr>
        <w:t xml:space="preserve"> </w:t>
      </w:r>
      <w:proofErr w:type="spellStart"/>
      <w:r w:rsidR="00CE3F30" w:rsidRPr="00583D21">
        <w:rPr>
          <w:i/>
          <w:szCs w:val="24"/>
        </w:rPr>
        <w:t>Īrān</w:t>
      </w:r>
      <w:proofErr w:type="spellEnd"/>
      <w:r w:rsidR="00CE3F30" w:rsidRPr="00583D21">
        <w:rPr>
          <w:szCs w:val="24"/>
        </w:rPr>
        <w:t>).</w:t>
      </w:r>
      <w:r w:rsidR="00CE3F30" w:rsidRPr="00583D21">
        <w:rPr>
          <w:szCs w:val="24"/>
          <w:vertAlign w:val="superscript"/>
        </w:rPr>
        <w:endnoteReference w:id="5"/>
      </w:r>
      <w:r w:rsidR="00CE3F30" w:rsidRPr="00583D21">
        <w:rPr>
          <w:szCs w:val="24"/>
        </w:rPr>
        <w:t xml:space="preserve"> Fath-</w:t>
      </w:r>
      <w:proofErr w:type="spellStart"/>
      <w:r w:rsidR="00295CAA" w:rsidRPr="006D1D73">
        <w:rPr>
          <w:rFonts w:ascii="JaghbUni" w:hAnsi="JaghbUni"/>
          <w:szCs w:val="24"/>
        </w:rPr>
        <w:t>ʿ</w:t>
      </w:r>
      <w:r w:rsidR="00CE3F30" w:rsidRPr="00583D21">
        <w:rPr>
          <w:szCs w:val="24"/>
        </w:rPr>
        <w:t>Ali</w:t>
      </w:r>
      <w:proofErr w:type="spellEnd"/>
      <w:r w:rsidR="00CE3F30" w:rsidRPr="00583D21">
        <w:rPr>
          <w:szCs w:val="24"/>
        </w:rPr>
        <w:t xml:space="preserve"> Shah himself ruled for thirty-seven years, and the </w:t>
      </w:r>
      <w:proofErr w:type="spellStart"/>
      <w:r w:rsidR="00CE3F30" w:rsidRPr="00583D21">
        <w:rPr>
          <w:szCs w:val="24"/>
        </w:rPr>
        <w:t>Qajars</w:t>
      </w:r>
      <w:proofErr w:type="spellEnd"/>
      <w:r w:rsidR="00CE3F30" w:rsidRPr="00583D21">
        <w:rPr>
          <w:szCs w:val="24"/>
        </w:rPr>
        <w:t xml:space="preserve"> remained in power until 1925. For </w:t>
      </w:r>
      <w:proofErr w:type="gramStart"/>
      <w:r w:rsidR="00CE3F30" w:rsidRPr="00583D21">
        <w:rPr>
          <w:szCs w:val="24"/>
        </w:rPr>
        <w:t>bringing to a close</w:t>
      </w:r>
      <w:proofErr w:type="gramEnd"/>
      <w:r w:rsidR="00CE3F30" w:rsidRPr="00583D21">
        <w:rPr>
          <w:szCs w:val="24"/>
        </w:rPr>
        <w:t xml:space="preserve"> a politically turbulent period, the rise of the </w:t>
      </w:r>
      <w:proofErr w:type="spellStart"/>
      <w:r w:rsidR="00CE3F30" w:rsidRPr="00583D21">
        <w:rPr>
          <w:szCs w:val="24"/>
        </w:rPr>
        <w:t>Qajars</w:t>
      </w:r>
      <w:proofErr w:type="spellEnd"/>
      <w:r w:rsidR="00CE3F30" w:rsidRPr="00583D21">
        <w:rPr>
          <w:szCs w:val="24"/>
        </w:rPr>
        <w:t xml:space="preserve"> is a watershed moment in Iranian history.</w:t>
      </w:r>
      <w:r w:rsidR="00CE3F30" w:rsidRPr="00583D21">
        <w:rPr>
          <w:szCs w:val="24"/>
          <w:vertAlign w:val="superscript"/>
        </w:rPr>
        <w:endnoteReference w:id="6"/>
      </w:r>
      <w:r w:rsidR="00CE3F30" w:rsidRPr="00583D21">
        <w:rPr>
          <w:szCs w:val="24"/>
        </w:rPr>
        <w:t xml:space="preserve"> </w:t>
      </w:r>
    </w:p>
    <w:p w14:paraId="4EF2192E" w14:textId="39004EF5" w:rsidR="00CE3F30" w:rsidRPr="00583D21" w:rsidRDefault="00CE3F30" w:rsidP="00295CAA">
      <w:pPr>
        <w:spacing w:line="480" w:lineRule="auto"/>
        <w:ind w:firstLine="720"/>
        <w:rPr>
          <w:szCs w:val="24"/>
          <w:lang w:bidi="fa-IR"/>
        </w:rPr>
      </w:pPr>
      <w:r w:rsidRPr="00583D21">
        <w:rPr>
          <w:szCs w:val="24"/>
        </w:rPr>
        <w:t>Historians have written about the early Qajar period in one of three ways. Some scholars, influenced by Weberian theories of state formation, have focused on the creation of offices by Qajar rulers, and especially Fath-</w:t>
      </w:r>
      <w:proofErr w:type="spellStart"/>
      <w:r w:rsidR="00295CAA" w:rsidRPr="00BE404E">
        <w:rPr>
          <w:rFonts w:ascii="JaghbUni" w:hAnsi="JaghbUni"/>
          <w:szCs w:val="24"/>
        </w:rPr>
        <w:t>ʿ</w:t>
      </w:r>
      <w:r w:rsidRPr="00583D21">
        <w:rPr>
          <w:szCs w:val="24"/>
        </w:rPr>
        <w:t>Ali</w:t>
      </w:r>
      <w:proofErr w:type="spellEnd"/>
      <w:r w:rsidRPr="00583D21">
        <w:rPr>
          <w:szCs w:val="24"/>
        </w:rPr>
        <w:t xml:space="preserve"> Shah, and the bureaucratic capacity of the Qajar state.</w:t>
      </w:r>
      <w:r w:rsidRPr="00583D21">
        <w:rPr>
          <w:rStyle w:val="EndnoteReference"/>
          <w:szCs w:val="24"/>
        </w:rPr>
        <w:endnoteReference w:id="7"/>
      </w:r>
      <w:r w:rsidRPr="00583D21">
        <w:rPr>
          <w:szCs w:val="24"/>
        </w:rPr>
        <w:t xml:space="preserve"> </w:t>
      </w:r>
      <w:r w:rsidRPr="00583D21">
        <w:rPr>
          <w:szCs w:val="24"/>
        </w:rPr>
        <w:lastRenderedPageBreak/>
        <w:t xml:space="preserve">Those efforts have often been framed as a precursor to later </w:t>
      </w:r>
      <w:r w:rsidR="00EF64E9" w:rsidRPr="00583D21">
        <w:rPr>
          <w:szCs w:val="24"/>
        </w:rPr>
        <w:t>19th</w:t>
      </w:r>
      <w:r w:rsidRPr="00583D21">
        <w:rPr>
          <w:szCs w:val="24"/>
        </w:rPr>
        <w:t>-century attempts to create a more centralized, bureaucratic, and by extension “modern” state.</w:t>
      </w:r>
      <w:r w:rsidRPr="00583D21">
        <w:rPr>
          <w:rStyle w:val="EndnoteReference"/>
          <w:szCs w:val="24"/>
        </w:rPr>
        <w:endnoteReference w:id="8"/>
      </w:r>
      <w:r w:rsidRPr="00583D21">
        <w:rPr>
          <w:szCs w:val="24"/>
        </w:rPr>
        <w:t xml:space="preserve"> Another group of historians has placed the rise of the Qajar state in the context of </w:t>
      </w:r>
      <w:r w:rsidR="00EF64E9" w:rsidRPr="00583D21">
        <w:rPr>
          <w:szCs w:val="24"/>
        </w:rPr>
        <w:t>18</w:t>
      </w:r>
      <w:r w:rsidR="00EF64E9" w:rsidRPr="00295CAA">
        <w:rPr>
          <w:szCs w:val="24"/>
        </w:rPr>
        <w:t>th</w:t>
      </w:r>
      <w:r w:rsidR="00295CAA">
        <w:rPr>
          <w:szCs w:val="24"/>
        </w:rPr>
        <w:t>-</w:t>
      </w:r>
      <w:r w:rsidRPr="00583D21">
        <w:rPr>
          <w:szCs w:val="24"/>
        </w:rPr>
        <w:t xml:space="preserve"> and </w:t>
      </w:r>
      <w:r w:rsidR="00EF64E9" w:rsidRPr="00583D21">
        <w:rPr>
          <w:szCs w:val="24"/>
        </w:rPr>
        <w:t>19th</w:t>
      </w:r>
      <w:r w:rsidRPr="00583D21">
        <w:rPr>
          <w:szCs w:val="24"/>
        </w:rPr>
        <w:t xml:space="preserve">-century religious developments. According to this body of scholarship, during the </w:t>
      </w:r>
      <w:r w:rsidR="00EF64E9" w:rsidRPr="00583D21">
        <w:rPr>
          <w:szCs w:val="24"/>
        </w:rPr>
        <w:t>18th</w:t>
      </w:r>
      <w:r w:rsidRPr="00583D21">
        <w:rPr>
          <w:szCs w:val="24"/>
        </w:rPr>
        <w:t xml:space="preserve"> century the social and political influence of the </w:t>
      </w:r>
      <w:proofErr w:type="spellStart"/>
      <w:r w:rsidRPr="00583D21">
        <w:rPr>
          <w:szCs w:val="24"/>
        </w:rPr>
        <w:t>Shi</w:t>
      </w:r>
      <w:r w:rsidR="00295CAA" w:rsidRPr="00CE11D6">
        <w:rPr>
          <w:rFonts w:ascii="JaghbUni" w:hAnsi="JaghbUni"/>
          <w:szCs w:val="24"/>
        </w:rPr>
        <w:t>ʿ</w:t>
      </w:r>
      <w:r w:rsidRPr="00583D21">
        <w:rPr>
          <w:szCs w:val="24"/>
        </w:rPr>
        <w:t>i</w:t>
      </w:r>
      <w:proofErr w:type="spellEnd"/>
      <w:r w:rsidRPr="00583D21">
        <w:rPr>
          <w:szCs w:val="24"/>
        </w:rPr>
        <w:t xml:space="preserve"> </w:t>
      </w:r>
      <w:proofErr w:type="spellStart"/>
      <w:r w:rsidR="00295CAA" w:rsidRPr="00CE11D6">
        <w:rPr>
          <w:rFonts w:ascii="JaghbUni" w:hAnsi="JaghbUni"/>
          <w:szCs w:val="24"/>
        </w:rPr>
        <w:t>ʿ</w:t>
      </w:r>
      <w:r w:rsidRPr="00583D21">
        <w:rPr>
          <w:szCs w:val="24"/>
        </w:rPr>
        <w:t>ulama</w:t>
      </w:r>
      <w:r w:rsidR="00295CAA" w:rsidRPr="00B51238">
        <w:rPr>
          <w:rFonts w:ascii="JaghbUni" w:hAnsi="JaghbUni"/>
          <w:szCs w:val="24"/>
        </w:rPr>
        <w:t>ʾ</w:t>
      </w:r>
      <w:proofErr w:type="spellEnd"/>
      <w:r w:rsidRPr="00583D21">
        <w:rPr>
          <w:szCs w:val="24"/>
        </w:rPr>
        <w:t xml:space="preserve"> grew, and by the early </w:t>
      </w:r>
      <w:r w:rsidR="00EF64E9" w:rsidRPr="00583D21">
        <w:rPr>
          <w:szCs w:val="24"/>
        </w:rPr>
        <w:t>19th</w:t>
      </w:r>
      <w:r w:rsidRPr="00583D21">
        <w:rPr>
          <w:szCs w:val="24"/>
        </w:rPr>
        <w:t xml:space="preserve"> century, Qajar rulers had to contend with the </w:t>
      </w:r>
      <w:proofErr w:type="spellStart"/>
      <w:r w:rsidR="00295CAA" w:rsidRPr="00CE11D6">
        <w:rPr>
          <w:rFonts w:ascii="JaghbUni" w:hAnsi="JaghbUni"/>
          <w:szCs w:val="24"/>
        </w:rPr>
        <w:t>ʿ</w:t>
      </w:r>
      <w:r w:rsidRPr="00583D21">
        <w:rPr>
          <w:szCs w:val="24"/>
        </w:rPr>
        <w:t>ulama</w:t>
      </w:r>
      <w:r w:rsidR="00295CAA" w:rsidRPr="00B51238">
        <w:rPr>
          <w:rFonts w:ascii="JaghbUni" w:hAnsi="JaghbUni"/>
          <w:szCs w:val="24"/>
        </w:rPr>
        <w:t>ʾ</w:t>
      </w:r>
      <w:r w:rsidRPr="00583D21">
        <w:rPr>
          <w:szCs w:val="24"/>
        </w:rPr>
        <w:t>’s</w:t>
      </w:r>
      <w:proofErr w:type="spellEnd"/>
      <w:r w:rsidRPr="00583D21">
        <w:rPr>
          <w:szCs w:val="24"/>
        </w:rPr>
        <w:t xml:space="preserve"> ascendant power.</w:t>
      </w:r>
      <w:r w:rsidRPr="00583D21">
        <w:rPr>
          <w:rStyle w:val="EndnoteReference"/>
          <w:szCs w:val="24"/>
        </w:rPr>
        <w:endnoteReference w:id="9"/>
      </w:r>
      <w:r w:rsidRPr="00583D21">
        <w:rPr>
          <w:szCs w:val="24"/>
        </w:rPr>
        <w:t xml:space="preserve"> Finally, a third body of scholarship has depicted the rise of the </w:t>
      </w:r>
      <w:proofErr w:type="spellStart"/>
      <w:r w:rsidRPr="00583D21">
        <w:rPr>
          <w:szCs w:val="24"/>
        </w:rPr>
        <w:t>Qajars</w:t>
      </w:r>
      <w:proofErr w:type="spellEnd"/>
      <w:r w:rsidRPr="00583D21">
        <w:rPr>
          <w:szCs w:val="24"/>
        </w:rPr>
        <w:t xml:space="preserve"> as a “tribal” story. The Qajar state emerged, we are told, as a result of the </w:t>
      </w:r>
      <w:proofErr w:type="spellStart"/>
      <w:r w:rsidRPr="00583D21">
        <w:rPr>
          <w:szCs w:val="24"/>
        </w:rPr>
        <w:t>Qajars</w:t>
      </w:r>
      <w:proofErr w:type="spellEnd"/>
      <w:r w:rsidRPr="00583D21">
        <w:rPr>
          <w:szCs w:val="24"/>
        </w:rPr>
        <w:t xml:space="preserve"> defeating their rivals, conquering territory, and consolidating power through tribal modes of rule.</w:t>
      </w:r>
      <w:r w:rsidRPr="00583D21">
        <w:rPr>
          <w:szCs w:val="24"/>
          <w:vertAlign w:val="superscript"/>
        </w:rPr>
        <w:endnoteReference w:id="10"/>
      </w:r>
    </w:p>
    <w:p w14:paraId="11F9ABB0" w14:textId="1A524EC8" w:rsidR="00D310CA" w:rsidRPr="00583D21" w:rsidRDefault="00465705" w:rsidP="00295CAA">
      <w:pPr>
        <w:spacing w:line="480" w:lineRule="auto"/>
        <w:ind w:firstLine="720"/>
        <w:rPr>
          <w:szCs w:val="24"/>
        </w:rPr>
      </w:pPr>
      <w:r>
        <w:rPr>
          <w:szCs w:val="24"/>
        </w:rPr>
        <w:t>A</w:t>
      </w:r>
      <w:r w:rsidR="00356FA9" w:rsidRPr="00583D21">
        <w:rPr>
          <w:szCs w:val="24"/>
        </w:rPr>
        <w:t xml:space="preserve"> socially </w:t>
      </w:r>
      <w:r w:rsidR="005A5B7C" w:rsidRPr="00583D21">
        <w:rPr>
          <w:szCs w:val="24"/>
        </w:rPr>
        <w:t xml:space="preserve">oriented approach to Qajar politics, </w:t>
      </w:r>
      <w:r w:rsidR="00A078E6" w:rsidRPr="00583D21">
        <w:rPr>
          <w:szCs w:val="24"/>
        </w:rPr>
        <w:t>institutions</w:t>
      </w:r>
      <w:r w:rsidR="005A5B7C" w:rsidRPr="00583D21">
        <w:rPr>
          <w:szCs w:val="24"/>
        </w:rPr>
        <w:t>, and the state</w:t>
      </w:r>
      <w:r w:rsidR="007B52B8">
        <w:rPr>
          <w:szCs w:val="24"/>
        </w:rPr>
        <w:t xml:space="preserve"> </w:t>
      </w:r>
      <w:r w:rsidR="00E93E4D">
        <w:rPr>
          <w:szCs w:val="24"/>
        </w:rPr>
        <w:t xml:space="preserve">offers an alternative pathway to understanding </w:t>
      </w:r>
      <w:r w:rsidR="007B52B8">
        <w:rPr>
          <w:szCs w:val="24"/>
        </w:rPr>
        <w:t xml:space="preserve">the </w:t>
      </w:r>
      <w:r w:rsidRPr="00583D21">
        <w:rPr>
          <w:szCs w:val="24"/>
        </w:rPr>
        <w:t>history of the early Qajar period</w:t>
      </w:r>
      <w:r w:rsidR="00C375AA" w:rsidRPr="00583D21">
        <w:rPr>
          <w:szCs w:val="24"/>
        </w:rPr>
        <w:t>.</w:t>
      </w:r>
      <w:r w:rsidR="00C375AA" w:rsidRPr="00583D21">
        <w:rPr>
          <w:rStyle w:val="EndnoteReference"/>
          <w:szCs w:val="24"/>
        </w:rPr>
        <w:endnoteReference w:id="11"/>
      </w:r>
      <w:r w:rsidR="00A078E6" w:rsidRPr="00583D21">
        <w:rPr>
          <w:szCs w:val="24"/>
        </w:rPr>
        <w:t xml:space="preserve"> A</w:t>
      </w:r>
      <w:r w:rsidR="00CE3F30" w:rsidRPr="00583D21">
        <w:rPr>
          <w:szCs w:val="24"/>
        </w:rPr>
        <w:t xml:space="preserve">n obvious place to </w:t>
      </w:r>
      <w:r w:rsidR="001324AC">
        <w:rPr>
          <w:szCs w:val="24"/>
        </w:rPr>
        <w:t>undertake</w:t>
      </w:r>
      <w:r w:rsidR="007B52B8">
        <w:rPr>
          <w:szCs w:val="24"/>
        </w:rPr>
        <w:t xml:space="preserve"> such an approach</w:t>
      </w:r>
      <w:r w:rsidR="00555DA2">
        <w:rPr>
          <w:szCs w:val="24"/>
        </w:rPr>
        <w:t xml:space="preserve"> </w:t>
      </w:r>
      <w:r w:rsidR="00CE3F30" w:rsidRPr="00583D21">
        <w:rPr>
          <w:szCs w:val="24"/>
        </w:rPr>
        <w:t>would be with the</w:t>
      </w:r>
      <w:r w:rsidR="006973DE" w:rsidRPr="00583D21">
        <w:rPr>
          <w:szCs w:val="24"/>
        </w:rPr>
        <w:t xml:space="preserve"> administrative offices that comprised the</w:t>
      </w:r>
      <w:r w:rsidR="00555DA2">
        <w:rPr>
          <w:szCs w:val="24"/>
        </w:rPr>
        <w:t xml:space="preserve"> Qajar</w:t>
      </w:r>
      <w:r w:rsidR="00CE3F30" w:rsidRPr="00583D21">
        <w:rPr>
          <w:szCs w:val="24"/>
        </w:rPr>
        <w:t xml:space="preserve"> </w:t>
      </w:r>
      <w:proofErr w:type="spellStart"/>
      <w:r w:rsidR="00CE3F30" w:rsidRPr="00583D21">
        <w:rPr>
          <w:i/>
          <w:iCs/>
          <w:szCs w:val="24"/>
        </w:rPr>
        <w:t>dīvān</w:t>
      </w:r>
      <w:proofErr w:type="spellEnd"/>
      <w:r w:rsidR="00CE3F30" w:rsidRPr="00583D21">
        <w:rPr>
          <w:szCs w:val="24"/>
        </w:rPr>
        <w:t xml:space="preserve">. The ministers, secretaries, scribes, and historians who served in the </w:t>
      </w:r>
      <w:proofErr w:type="spellStart"/>
      <w:r w:rsidR="00CE3F30" w:rsidRPr="00583D21">
        <w:rPr>
          <w:i/>
          <w:iCs/>
          <w:szCs w:val="24"/>
        </w:rPr>
        <w:t>dīvān</w:t>
      </w:r>
      <w:proofErr w:type="spellEnd"/>
      <w:r w:rsidR="00CE3F30" w:rsidRPr="00583D21">
        <w:rPr>
          <w:szCs w:val="24"/>
        </w:rPr>
        <w:t xml:space="preserve"> were</w:t>
      </w:r>
      <w:r w:rsidR="000B1526" w:rsidRPr="00583D21">
        <w:rPr>
          <w:szCs w:val="24"/>
        </w:rPr>
        <w:t xml:space="preserve"> the cornerstone of </w:t>
      </w:r>
      <w:r w:rsidR="00CE3F30" w:rsidRPr="00583D21">
        <w:rPr>
          <w:szCs w:val="24"/>
        </w:rPr>
        <w:t>the</w:t>
      </w:r>
      <w:r w:rsidR="002E6DDB" w:rsidRPr="00583D21">
        <w:rPr>
          <w:szCs w:val="24"/>
        </w:rPr>
        <w:t xml:space="preserve"> Qajar</w:t>
      </w:r>
      <w:r w:rsidR="00CE3F30" w:rsidRPr="00583D21">
        <w:rPr>
          <w:szCs w:val="24"/>
        </w:rPr>
        <w:t xml:space="preserve"> governme</w:t>
      </w:r>
      <w:r w:rsidR="000B1526" w:rsidRPr="00583D21">
        <w:rPr>
          <w:szCs w:val="24"/>
        </w:rPr>
        <w:t>nt</w:t>
      </w:r>
      <w:r w:rsidR="00FA520C">
        <w:rPr>
          <w:szCs w:val="24"/>
        </w:rPr>
        <w:t xml:space="preserve">. They were </w:t>
      </w:r>
      <w:r w:rsidR="000B1526" w:rsidRPr="00583D21">
        <w:rPr>
          <w:szCs w:val="24"/>
        </w:rPr>
        <w:t xml:space="preserve">responsible for </w:t>
      </w:r>
      <w:r w:rsidR="00FA520C">
        <w:rPr>
          <w:szCs w:val="24"/>
        </w:rPr>
        <w:t>the government’s</w:t>
      </w:r>
      <w:r w:rsidR="000B1526" w:rsidRPr="00583D21">
        <w:rPr>
          <w:szCs w:val="24"/>
        </w:rPr>
        <w:t xml:space="preserve"> </w:t>
      </w:r>
      <w:r w:rsidR="00CE3F30" w:rsidRPr="00583D21">
        <w:rPr>
          <w:szCs w:val="24"/>
        </w:rPr>
        <w:t>central tasks: diplomacy, political counsel, tax collection, and the writing, copying, and transmission of decrees (</w:t>
      </w:r>
      <w:proofErr w:type="spellStart"/>
      <w:r w:rsidR="00CE3F30" w:rsidRPr="00583D21">
        <w:rPr>
          <w:i/>
          <w:iCs/>
          <w:szCs w:val="24"/>
        </w:rPr>
        <w:t>firmān</w:t>
      </w:r>
      <w:proofErr w:type="spellEnd"/>
      <w:r w:rsidR="00CE3F30" w:rsidRPr="00583D21">
        <w:rPr>
          <w:szCs w:val="24"/>
        </w:rPr>
        <w:t>) and correspondence.</w:t>
      </w:r>
      <w:r w:rsidR="003B399B" w:rsidRPr="00583D21">
        <w:rPr>
          <w:szCs w:val="24"/>
        </w:rPr>
        <w:t xml:space="preserve"> Doing a socially </w:t>
      </w:r>
      <w:r w:rsidR="00CE3F30" w:rsidRPr="00583D21">
        <w:rPr>
          <w:szCs w:val="24"/>
        </w:rPr>
        <w:t xml:space="preserve">oriented study of the </w:t>
      </w:r>
      <w:proofErr w:type="spellStart"/>
      <w:r w:rsidR="00CE3F30" w:rsidRPr="00583D21">
        <w:rPr>
          <w:i/>
          <w:iCs/>
          <w:szCs w:val="24"/>
        </w:rPr>
        <w:t>dīvān</w:t>
      </w:r>
      <w:proofErr w:type="spellEnd"/>
      <w:r w:rsidR="00CE3F30" w:rsidRPr="00583D21">
        <w:rPr>
          <w:szCs w:val="24"/>
        </w:rPr>
        <w:t xml:space="preserve"> would </w:t>
      </w:r>
      <w:r w:rsidR="002A632B" w:rsidRPr="00583D21">
        <w:rPr>
          <w:szCs w:val="24"/>
        </w:rPr>
        <w:t xml:space="preserve">entail </w:t>
      </w:r>
      <w:r w:rsidR="00CE3F30" w:rsidRPr="00583D21">
        <w:rPr>
          <w:szCs w:val="24"/>
        </w:rPr>
        <w:t>identifying the main office</w:t>
      </w:r>
      <w:r w:rsidR="00295CAA">
        <w:rPr>
          <w:szCs w:val="24"/>
        </w:rPr>
        <w:t xml:space="preserve"> </w:t>
      </w:r>
      <w:r w:rsidR="00CE3F30" w:rsidRPr="00583D21">
        <w:rPr>
          <w:szCs w:val="24"/>
        </w:rPr>
        <w:t>holders, tracing the</w:t>
      </w:r>
      <w:r w:rsidR="00FA520C">
        <w:rPr>
          <w:szCs w:val="24"/>
        </w:rPr>
        <w:t>ir</w:t>
      </w:r>
      <w:r w:rsidR="00CE3F30" w:rsidRPr="00583D21">
        <w:rPr>
          <w:szCs w:val="24"/>
        </w:rPr>
        <w:t xml:space="preserve"> family, social, and geographic backgrounds, highlighting the marital ties between office</w:t>
      </w:r>
      <w:r w:rsidR="00295CAA">
        <w:rPr>
          <w:szCs w:val="24"/>
        </w:rPr>
        <w:t xml:space="preserve"> </w:t>
      </w:r>
      <w:r w:rsidR="00CE3F30" w:rsidRPr="00583D21">
        <w:rPr>
          <w:szCs w:val="24"/>
        </w:rPr>
        <w:t>holders, and uncovering the</w:t>
      </w:r>
      <w:r w:rsidR="00FA520C">
        <w:rPr>
          <w:szCs w:val="24"/>
        </w:rPr>
        <w:t>ir</w:t>
      </w:r>
      <w:r w:rsidR="00CE3F30" w:rsidRPr="00583D21">
        <w:rPr>
          <w:szCs w:val="24"/>
        </w:rPr>
        <w:t xml:space="preserve"> sources of economic and social prestige.</w:t>
      </w:r>
      <w:r w:rsidR="00E461A2" w:rsidRPr="00583D21">
        <w:rPr>
          <w:szCs w:val="24"/>
        </w:rPr>
        <w:t xml:space="preserve"> </w:t>
      </w:r>
      <w:r w:rsidR="00CE3F30" w:rsidRPr="00583D21">
        <w:rPr>
          <w:szCs w:val="24"/>
        </w:rPr>
        <w:t>It would mean taking seriously the familial nature of the Qajar state</w:t>
      </w:r>
      <w:r w:rsidR="00750850" w:rsidRPr="00583D21">
        <w:rPr>
          <w:szCs w:val="24"/>
        </w:rPr>
        <w:t>—</w:t>
      </w:r>
      <w:r w:rsidR="00CE3F30" w:rsidRPr="00583D21">
        <w:rPr>
          <w:szCs w:val="24"/>
        </w:rPr>
        <w:t>not just as a description of the Qajar polity, but as a clue to how power was produced and reproduced in the formative years of the Qajar period.</w:t>
      </w:r>
    </w:p>
    <w:p w14:paraId="7BEF96C7" w14:textId="4E1040AD" w:rsidR="00D71943" w:rsidRPr="00583D21" w:rsidRDefault="00002128" w:rsidP="0051762B">
      <w:pPr>
        <w:spacing w:line="480" w:lineRule="auto"/>
        <w:ind w:firstLine="720"/>
        <w:rPr>
          <w:szCs w:val="24"/>
        </w:rPr>
      </w:pPr>
      <w:r w:rsidRPr="00583D21">
        <w:rPr>
          <w:szCs w:val="24"/>
        </w:rPr>
        <w:t>S</w:t>
      </w:r>
      <w:r w:rsidR="003B399B" w:rsidRPr="00583D21">
        <w:rPr>
          <w:szCs w:val="24"/>
        </w:rPr>
        <w:t xml:space="preserve">ocially </w:t>
      </w:r>
      <w:r w:rsidR="00AA6083" w:rsidRPr="00583D21">
        <w:rPr>
          <w:szCs w:val="24"/>
        </w:rPr>
        <w:t>oriented approach</w:t>
      </w:r>
      <w:r w:rsidRPr="00583D21">
        <w:rPr>
          <w:szCs w:val="24"/>
        </w:rPr>
        <w:t>es</w:t>
      </w:r>
      <w:r w:rsidR="00AA6083" w:rsidRPr="00583D21">
        <w:rPr>
          <w:szCs w:val="24"/>
        </w:rPr>
        <w:t xml:space="preserve"> to political history</w:t>
      </w:r>
      <w:r w:rsidRPr="00583D21">
        <w:rPr>
          <w:szCs w:val="24"/>
        </w:rPr>
        <w:t xml:space="preserve"> have </w:t>
      </w:r>
      <w:r w:rsidR="00034F7D" w:rsidRPr="00583D21">
        <w:rPr>
          <w:szCs w:val="24"/>
        </w:rPr>
        <w:t xml:space="preserve">made headway in much of the </w:t>
      </w:r>
      <w:r w:rsidR="00D310CA" w:rsidRPr="00583D21">
        <w:rPr>
          <w:szCs w:val="24"/>
        </w:rPr>
        <w:t xml:space="preserve">scholarship on imperial and state formation. </w:t>
      </w:r>
      <w:r w:rsidR="00E5773E" w:rsidRPr="00583D21">
        <w:rPr>
          <w:szCs w:val="24"/>
        </w:rPr>
        <w:t>S</w:t>
      </w:r>
      <w:r w:rsidR="00D71943" w:rsidRPr="00583D21">
        <w:rPr>
          <w:szCs w:val="24"/>
        </w:rPr>
        <w:t xml:space="preserve">cholars have increasingly questioned the traditional </w:t>
      </w:r>
      <w:r w:rsidR="00D71943" w:rsidRPr="00583D21">
        <w:rPr>
          <w:szCs w:val="24"/>
        </w:rPr>
        <w:lastRenderedPageBreak/>
        <w:t>binary between state and society, and have argued that mundane processes, informal practices, and relationships in society involving individuals, networks, and institutions all contribute to upholding political order.</w:t>
      </w:r>
      <w:r w:rsidR="00D71943" w:rsidRPr="00583D21">
        <w:rPr>
          <w:rStyle w:val="EndnoteReference"/>
          <w:szCs w:val="24"/>
        </w:rPr>
        <w:endnoteReference w:id="12"/>
      </w:r>
      <w:r w:rsidR="00D71943" w:rsidRPr="00583D21">
        <w:rPr>
          <w:szCs w:val="24"/>
        </w:rPr>
        <w:t xml:space="preserve"> Som</w:t>
      </w:r>
      <w:r w:rsidR="00F9694C" w:rsidRPr="00583D21">
        <w:rPr>
          <w:szCs w:val="24"/>
        </w:rPr>
        <w:t>e have advanced the notion of familial</w:t>
      </w:r>
      <w:r w:rsidR="00D71943" w:rsidRPr="00583D21">
        <w:rPr>
          <w:szCs w:val="24"/>
        </w:rPr>
        <w:t xml:space="preserve"> states in other contexts.</w:t>
      </w:r>
      <w:r w:rsidR="00D71943" w:rsidRPr="00583D21">
        <w:rPr>
          <w:rStyle w:val="EndnoteReference"/>
          <w:szCs w:val="24"/>
        </w:rPr>
        <w:endnoteReference w:id="13"/>
      </w:r>
      <w:r w:rsidR="00D71943" w:rsidRPr="00583D21">
        <w:rPr>
          <w:szCs w:val="24"/>
        </w:rPr>
        <w:t xml:space="preserve"> Others have gone so far as to question the very category of the “state,” preferring to explore the practice of governance.</w:t>
      </w:r>
      <w:r w:rsidR="00D71943" w:rsidRPr="00583D21">
        <w:rPr>
          <w:rStyle w:val="EndnoteReference"/>
          <w:szCs w:val="24"/>
        </w:rPr>
        <w:endnoteReference w:id="14"/>
      </w:r>
      <w:r w:rsidR="00D71943" w:rsidRPr="00583D21">
        <w:rPr>
          <w:szCs w:val="24"/>
        </w:rPr>
        <w:t xml:space="preserve"> </w:t>
      </w:r>
      <w:r w:rsidR="0080705F" w:rsidRPr="00583D21">
        <w:rPr>
          <w:szCs w:val="24"/>
        </w:rPr>
        <w:t>T</w:t>
      </w:r>
      <w:r w:rsidR="00D71943" w:rsidRPr="00583D21">
        <w:rPr>
          <w:szCs w:val="24"/>
        </w:rPr>
        <w:t xml:space="preserve">he case of Qajar Iran </w:t>
      </w:r>
      <w:r w:rsidR="0051762B" w:rsidRPr="00583D21">
        <w:rPr>
          <w:szCs w:val="24"/>
        </w:rPr>
        <w:t>suggests,</w:t>
      </w:r>
      <w:r w:rsidR="0080705F" w:rsidRPr="00583D21">
        <w:rPr>
          <w:szCs w:val="24"/>
        </w:rPr>
        <w:t xml:space="preserve"> like much of this scholarship,</w:t>
      </w:r>
      <w:r w:rsidR="00D71943" w:rsidRPr="00583D21">
        <w:rPr>
          <w:szCs w:val="24"/>
        </w:rPr>
        <w:t xml:space="preserve"> that social and economic ties have historically been central to consolidating political power, and that schematic conceptions of state institutions and offices erase the many intricate and complex ways in which power is formed.</w:t>
      </w:r>
    </w:p>
    <w:p w14:paraId="1DC88C72" w14:textId="2927C88E" w:rsidR="005F6AE8" w:rsidRPr="00583D21" w:rsidRDefault="00D310CA" w:rsidP="00AA1DF2">
      <w:pPr>
        <w:spacing w:line="480" w:lineRule="auto"/>
        <w:ind w:firstLine="720"/>
        <w:rPr>
          <w:szCs w:val="24"/>
        </w:rPr>
      </w:pPr>
      <w:r w:rsidRPr="00583D21">
        <w:rPr>
          <w:szCs w:val="24"/>
        </w:rPr>
        <w:t>A</w:t>
      </w:r>
      <w:r w:rsidR="00AA6083" w:rsidRPr="00583D21">
        <w:rPr>
          <w:szCs w:val="24"/>
        </w:rPr>
        <w:t xml:space="preserve">n analysis of the familial nature of </w:t>
      </w:r>
      <w:r w:rsidRPr="00583D21">
        <w:rPr>
          <w:szCs w:val="24"/>
        </w:rPr>
        <w:t xml:space="preserve">early Qajar political history </w:t>
      </w:r>
      <w:r w:rsidR="0019458F" w:rsidRPr="00583D21">
        <w:rPr>
          <w:szCs w:val="24"/>
        </w:rPr>
        <w:t xml:space="preserve">also </w:t>
      </w:r>
      <w:r w:rsidRPr="00583D21">
        <w:rPr>
          <w:szCs w:val="24"/>
        </w:rPr>
        <w:t>elaborate</w:t>
      </w:r>
      <w:r w:rsidR="00093BCF">
        <w:rPr>
          <w:szCs w:val="24"/>
        </w:rPr>
        <w:t>s</w:t>
      </w:r>
      <w:r w:rsidRPr="00583D21">
        <w:rPr>
          <w:szCs w:val="24"/>
        </w:rPr>
        <w:t xml:space="preserve"> on scholarship </w:t>
      </w:r>
      <w:r w:rsidR="0019458F" w:rsidRPr="00583D21">
        <w:rPr>
          <w:szCs w:val="24"/>
        </w:rPr>
        <w:t>within Middle Eastern history</w:t>
      </w:r>
      <w:r w:rsidR="00CE3F30" w:rsidRPr="00583D21">
        <w:rPr>
          <w:szCs w:val="24"/>
        </w:rPr>
        <w:t xml:space="preserve">. Two of the more recent and productive </w:t>
      </w:r>
      <w:r w:rsidR="00A3069C" w:rsidRPr="00583D21">
        <w:rPr>
          <w:szCs w:val="24"/>
        </w:rPr>
        <w:t xml:space="preserve">considerations of the relationship between families and political power </w:t>
      </w:r>
      <w:r w:rsidR="00CE3F30" w:rsidRPr="00583D21">
        <w:rPr>
          <w:szCs w:val="24"/>
        </w:rPr>
        <w:t>have</w:t>
      </w:r>
      <w:r w:rsidR="00A3069C" w:rsidRPr="00583D21">
        <w:rPr>
          <w:szCs w:val="24"/>
        </w:rPr>
        <w:t xml:space="preserve"> been</w:t>
      </w:r>
      <w:r w:rsidR="00CE3F30" w:rsidRPr="00583D21">
        <w:rPr>
          <w:szCs w:val="24"/>
        </w:rPr>
        <w:t xml:space="preserve"> in the scholarly literature on provincial households in the Ottoman Empire and in Qajar Iran, and in the debates over whether merchants and merchant families were “autonomous” from political power.</w:t>
      </w:r>
      <w:r w:rsidR="00CE3F30" w:rsidRPr="00583D21">
        <w:rPr>
          <w:rStyle w:val="EndnoteReference"/>
          <w:szCs w:val="24"/>
        </w:rPr>
        <w:endnoteReference w:id="15"/>
      </w:r>
      <w:r w:rsidR="00CE3F30" w:rsidRPr="00583D21">
        <w:rPr>
          <w:szCs w:val="24"/>
        </w:rPr>
        <w:t xml:space="preserve"> The scholarship on provincial households largely grew out of an interest in </w:t>
      </w:r>
      <w:r w:rsidR="005F4539" w:rsidRPr="00583D21">
        <w:rPr>
          <w:szCs w:val="24"/>
        </w:rPr>
        <w:t xml:space="preserve">the </w:t>
      </w:r>
      <w:r w:rsidR="00CE3F30" w:rsidRPr="00583D21">
        <w:rPr>
          <w:szCs w:val="24"/>
        </w:rPr>
        <w:t>“politics of notables” (</w:t>
      </w:r>
      <w:proofErr w:type="spellStart"/>
      <w:r w:rsidR="00CE3F30" w:rsidRPr="00583D21">
        <w:rPr>
          <w:i/>
          <w:iCs/>
          <w:szCs w:val="24"/>
        </w:rPr>
        <w:t>a</w:t>
      </w:r>
      <w:r w:rsidR="00AA1DF2" w:rsidRPr="005A7921">
        <w:rPr>
          <w:rFonts w:ascii="JaghbUni" w:hAnsi="JaghbUni"/>
          <w:i/>
          <w:iCs/>
          <w:szCs w:val="24"/>
        </w:rPr>
        <w:t>ʿ</w:t>
      </w:r>
      <w:r w:rsidR="00CE3F30" w:rsidRPr="00583D21">
        <w:rPr>
          <w:i/>
          <w:iCs/>
          <w:szCs w:val="24"/>
        </w:rPr>
        <w:t>yān</w:t>
      </w:r>
      <w:proofErr w:type="spellEnd"/>
      <w:r w:rsidR="008E3C32" w:rsidRPr="00583D21">
        <w:rPr>
          <w:szCs w:val="24"/>
        </w:rPr>
        <w:t>)</w:t>
      </w:r>
      <w:r w:rsidR="00750850" w:rsidRPr="00583D21">
        <w:rPr>
          <w:szCs w:val="24"/>
        </w:rPr>
        <w:t>—</w:t>
      </w:r>
      <w:r w:rsidR="00C9378C" w:rsidRPr="00583D21">
        <w:rPr>
          <w:szCs w:val="24"/>
        </w:rPr>
        <w:t xml:space="preserve">those individuals </w:t>
      </w:r>
      <w:r w:rsidR="005F4539" w:rsidRPr="00583D21">
        <w:rPr>
          <w:szCs w:val="24"/>
        </w:rPr>
        <w:t xml:space="preserve">in the Ottoman Empire </w:t>
      </w:r>
      <w:r w:rsidR="00C9378C" w:rsidRPr="00583D21">
        <w:rPr>
          <w:szCs w:val="24"/>
        </w:rPr>
        <w:t>who</w:t>
      </w:r>
      <w:r w:rsidR="00CE3F30" w:rsidRPr="00583D21">
        <w:rPr>
          <w:szCs w:val="24"/>
        </w:rPr>
        <w:t>, in the words of Albert Hourani</w:t>
      </w:r>
      <w:r w:rsidR="00C9378C" w:rsidRPr="00583D21">
        <w:rPr>
          <w:szCs w:val="24"/>
        </w:rPr>
        <w:t xml:space="preserve">, acted </w:t>
      </w:r>
      <w:r w:rsidR="00CE3F30" w:rsidRPr="00583D21">
        <w:rPr>
          <w:szCs w:val="24"/>
        </w:rPr>
        <w:t>“as intermediaries betw</w:t>
      </w:r>
      <w:r w:rsidR="005F4539" w:rsidRPr="00583D21">
        <w:rPr>
          <w:szCs w:val="24"/>
        </w:rPr>
        <w:t>een government and people, and</w:t>
      </w:r>
      <w:r w:rsidR="00AA1DF2">
        <w:rPr>
          <w:szCs w:val="24"/>
        </w:rPr>
        <w:t xml:space="preserve"> </w:t>
      </w:r>
      <w:r w:rsidR="005F4539" w:rsidRPr="00583D21">
        <w:rPr>
          <w:szCs w:val="24"/>
        </w:rPr>
        <w:t>…</w:t>
      </w:r>
      <w:r w:rsidR="00AA1DF2">
        <w:rPr>
          <w:szCs w:val="24"/>
        </w:rPr>
        <w:t xml:space="preserve"> </w:t>
      </w:r>
      <w:r w:rsidR="00CE3F30" w:rsidRPr="00583D21">
        <w:rPr>
          <w:szCs w:val="24"/>
        </w:rPr>
        <w:t>as leaders of the urban population.”</w:t>
      </w:r>
      <w:r w:rsidR="00CE3F30" w:rsidRPr="00583D21">
        <w:rPr>
          <w:rStyle w:val="EndnoteReference"/>
          <w:szCs w:val="24"/>
        </w:rPr>
        <w:endnoteReference w:id="16"/>
      </w:r>
      <w:r w:rsidR="00CE3F30" w:rsidRPr="00583D21">
        <w:rPr>
          <w:szCs w:val="24"/>
        </w:rPr>
        <w:t xml:space="preserve"> At its best, the “politics of notables” scholarship has forced scholars to reevaluate assumed dichotomies between imperial and local, state and civil society, and in the case of the Ottoman Empire, Ottomans and Arabs.</w:t>
      </w:r>
      <w:r w:rsidR="00CE3F30" w:rsidRPr="00583D21">
        <w:rPr>
          <w:rStyle w:val="EndnoteReference"/>
          <w:szCs w:val="24"/>
        </w:rPr>
        <w:endnoteReference w:id="17"/>
      </w:r>
      <w:r w:rsidR="00CE3F30" w:rsidRPr="00583D21">
        <w:rPr>
          <w:szCs w:val="24"/>
        </w:rPr>
        <w:t xml:space="preserve"> But by concentrating on specific provinces or regions and, typically, on the later periods of Ottoman and Qajar history, these studies have also tended to emphasize processes of decentralization</w:t>
      </w:r>
      <w:r w:rsidR="00750850" w:rsidRPr="00583D21">
        <w:rPr>
          <w:szCs w:val="24"/>
        </w:rPr>
        <w:t>—</w:t>
      </w:r>
      <w:r w:rsidR="00CE3F30" w:rsidRPr="00583D21">
        <w:rPr>
          <w:szCs w:val="24"/>
        </w:rPr>
        <w:t>the devolution of power from the imperial center to provincial and local levels.</w:t>
      </w:r>
      <w:r w:rsidR="00CE3F30" w:rsidRPr="00583D21">
        <w:rPr>
          <w:rStyle w:val="EndnoteReference"/>
          <w:szCs w:val="24"/>
        </w:rPr>
        <w:endnoteReference w:id="18"/>
      </w:r>
      <w:r w:rsidR="00CE3F30" w:rsidRPr="00583D21">
        <w:rPr>
          <w:szCs w:val="24"/>
        </w:rPr>
        <w:t xml:space="preserve"> The scholarsh</w:t>
      </w:r>
      <w:r w:rsidR="00F00BF5" w:rsidRPr="00583D21">
        <w:rPr>
          <w:szCs w:val="24"/>
        </w:rPr>
        <w:t>ip on merchants, meanwhile, has</w:t>
      </w:r>
      <w:r w:rsidR="00CE3F30" w:rsidRPr="00583D21">
        <w:rPr>
          <w:szCs w:val="24"/>
        </w:rPr>
        <w:t xml:space="preserve"> </w:t>
      </w:r>
      <w:r w:rsidR="00C5770B" w:rsidRPr="00583D21">
        <w:rPr>
          <w:szCs w:val="24"/>
        </w:rPr>
        <w:t xml:space="preserve">explained what merchants did historically, rather than what normative definitions of merchants would lead us to believe they </w:t>
      </w:r>
      <w:r w:rsidR="00C5770B" w:rsidRPr="00583D21">
        <w:rPr>
          <w:szCs w:val="24"/>
        </w:rPr>
        <w:lastRenderedPageBreak/>
        <w:t xml:space="preserve">did. By doing so, scholars have </w:t>
      </w:r>
      <w:r w:rsidR="00F00BF5" w:rsidRPr="00583D21">
        <w:rPr>
          <w:szCs w:val="24"/>
        </w:rPr>
        <w:t xml:space="preserve">usefully </w:t>
      </w:r>
      <w:r w:rsidR="00CE3F30" w:rsidRPr="00583D21">
        <w:rPr>
          <w:szCs w:val="24"/>
        </w:rPr>
        <w:t xml:space="preserve">drawn attention to the nexus between merchant families and institutional power, and to the social, economic, and political activities </w:t>
      </w:r>
      <w:r w:rsidR="00AA1DF2">
        <w:rPr>
          <w:szCs w:val="24"/>
        </w:rPr>
        <w:t xml:space="preserve">in which </w:t>
      </w:r>
      <w:r w:rsidR="00CE3F30" w:rsidRPr="00583D21">
        <w:rPr>
          <w:szCs w:val="24"/>
        </w:rPr>
        <w:t>merchant families engaged.</w:t>
      </w:r>
      <w:r w:rsidR="00CE3F30" w:rsidRPr="00583D21">
        <w:rPr>
          <w:rStyle w:val="EndnoteReference"/>
          <w:szCs w:val="24"/>
        </w:rPr>
        <w:endnoteReference w:id="19"/>
      </w:r>
      <w:r w:rsidR="00CE3F30" w:rsidRPr="00583D21">
        <w:rPr>
          <w:szCs w:val="24"/>
        </w:rPr>
        <w:t xml:space="preserve"> </w:t>
      </w:r>
    </w:p>
    <w:p w14:paraId="200D6146" w14:textId="0D27FB8C" w:rsidR="00A00FE5" w:rsidRPr="00583D21" w:rsidRDefault="00497170" w:rsidP="004C6325">
      <w:pPr>
        <w:spacing w:line="480" w:lineRule="auto"/>
        <w:ind w:firstLine="720"/>
        <w:rPr>
          <w:szCs w:val="24"/>
        </w:rPr>
      </w:pPr>
      <w:r w:rsidRPr="00583D21">
        <w:rPr>
          <w:szCs w:val="24"/>
        </w:rPr>
        <w:t xml:space="preserve">Ultimately, a socially oriented approach to Qajar political history and to the three </w:t>
      </w:r>
      <w:proofErr w:type="spellStart"/>
      <w:r w:rsidRPr="00583D21">
        <w:rPr>
          <w:i/>
          <w:iCs/>
          <w:szCs w:val="24"/>
        </w:rPr>
        <w:t>dīvān</w:t>
      </w:r>
      <w:proofErr w:type="spellEnd"/>
      <w:r w:rsidRPr="00583D21">
        <w:rPr>
          <w:szCs w:val="24"/>
        </w:rPr>
        <w:t xml:space="preserve"> offices that are the subject of this article</w:t>
      </w:r>
      <w:r w:rsidR="00750850" w:rsidRPr="00583D21">
        <w:rPr>
          <w:szCs w:val="24"/>
        </w:rPr>
        <w:t>—</w:t>
      </w:r>
      <w:r w:rsidR="008241F1" w:rsidRPr="00583D21">
        <w:rPr>
          <w:szCs w:val="24"/>
        </w:rPr>
        <w:t xml:space="preserve">the </w:t>
      </w:r>
      <w:r w:rsidR="00B94582">
        <w:rPr>
          <w:szCs w:val="24"/>
        </w:rPr>
        <w:t xml:space="preserve">Grand Vizier </w:t>
      </w:r>
      <w:r w:rsidR="00EC5AA7" w:rsidRPr="00583D21">
        <w:rPr>
          <w:szCs w:val="24"/>
        </w:rPr>
        <w:t>(</w:t>
      </w:r>
      <w:proofErr w:type="spellStart"/>
      <w:r w:rsidR="00EC5AA7" w:rsidRPr="00583D21">
        <w:rPr>
          <w:i/>
          <w:szCs w:val="24"/>
        </w:rPr>
        <w:t>ṣadr-i</w:t>
      </w:r>
      <w:proofErr w:type="spellEnd"/>
      <w:r w:rsidR="00EC5AA7" w:rsidRPr="00583D21">
        <w:rPr>
          <w:i/>
          <w:szCs w:val="24"/>
        </w:rPr>
        <w:t xml:space="preserve"> </w:t>
      </w:r>
      <w:proofErr w:type="spellStart"/>
      <w:r w:rsidR="00EC5AA7" w:rsidRPr="00583D21">
        <w:rPr>
          <w:i/>
          <w:szCs w:val="24"/>
        </w:rPr>
        <w:t>a‘ẓam</w:t>
      </w:r>
      <w:proofErr w:type="spellEnd"/>
      <w:r w:rsidR="00EC5AA7" w:rsidRPr="00583D21">
        <w:rPr>
          <w:szCs w:val="24"/>
        </w:rPr>
        <w:t>)</w:t>
      </w:r>
      <w:r w:rsidR="001B697B">
        <w:rPr>
          <w:szCs w:val="24"/>
        </w:rPr>
        <w:t xml:space="preserve">, the Imperial </w:t>
      </w:r>
      <w:r w:rsidR="00B94582">
        <w:rPr>
          <w:szCs w:val="24"/>
        </w:rPr>
        <w:t>Accountant</w:t>
      </w:r>
      <w:r w:rsidR="008241F1" w:rsidRPr="00583D21">
        <w:rPr>
          <w:szCs w:val="24"/>
        </w:rPr>
        <w:t xml:space="preserve"> </w:t>
      </w:r>
      <w:r w:rsidR="00EC5AA7" w:rsidRPr="00583D21">
        <w:rPr>
          <w:szCs w:val="24"/>
        </w:rPr>
        <w:t>(</w:t>
      </w:r>
      <w:proofErr w:type="spellStart"/>
      <w:r w:rsidR="00EC5AA7" w:rsidRPr="00583D21">
        <w:rPr>
          <w:i/>
          <w:szCs w:val="24"/>
        </w:rPr>
        <w:t>mustawfī</w:t>
      </w:r>
      <w:proofErr w:type="spellEnd"/>
      <w:r w:rsidR="00EC5AA7" w:rsidRPr="00583D21">
        <w:rPr>
          <w:i/>
          <w:szCs w:val="24"/>
        </w:rPr>
        <w:t xml:space="preserve"> al-</w:t>
      </w:r>
      <w:proofErr w:type="spellStart"/>
      <w:r w:rsidR="00EC5AA7" w:rsidRPr="00583D21">
        <w:rPr>
          <w:i/>
          <w:szCs w:val="24"/>
        </w:rPr>
        <w:t>mamālik</w:t>
      </w:r>
      <w:proofErr w:type="spellEnd"/>
      <w:r w:rsidR="00EC5AA7" w:rsidRPr="00583D21">
        <w:rPr>
          <w:szCs w:val="24"/>
        </w:rPr>
        <w:t>)</w:t>
      </w:r>
      <w:r w:rsidR="001B697B">
        <w:rPr>
          <w:szCs w:val="24"/>
        </w:rPr>
        <w:t>, and the Imperial S</w:t>
      </w:r>
      <w:r w:rsidR="008241F1" w:rsidRPr="00583D21">
        <w:rPr>
          <w:szCs w:val="24"/>
        </w:rPr>
        <w:t xml:space="preserve">ecretary </w:t>
      </w:r>
      <w:r w:rsidR="00EC5AA7" w:rsidRPr="00583D21">
        <w:rPr>
          <w:szCs w:val="24"/>
        </w:rPr>
        <w:t>(</w:t>
      </w:r>
      <w:proofErr w:type="spellStart"/>
      <w:r w:rsidR="00EC5AA7" w:rsidRPr="00583D21">
        <w:rPr>
          <w:i/>
          <w:szCs w:val="24"/>
        </w:rPr>
        <w:t>munshī</w:t>
      </w:r>
      <w:proofErr w:type="spellEnd"/>
      <w:r w:rsidR="00EC5AA7" w:rsidRPr="00583D21">
        <w:rPr>
          <w:i/>
          <w:szCs w:val="24"/>
        </w:rPr>
        <w:t xml:space="preserve"> al-</w:t>
      </w:r>
      <w:proofErr w:type="spellStart"/>
      <w:r w:rsidR="00EC5AA7" w:rsidRPr="00583D21">
        <w:rPr>
          <w:i/>
          <w:szCs w:val="24"/>
        </w:rPr>
        <w:t>mamālik</w:t>
      </w:r>
      <w:proofErr w:type="spellEnd"/>
      <w:r w:rsidR="00EC5AA7" w:rsidRPr="00583D21">
        <w:rPr>
          <w:szCs w:val="24"/>
        </w:rPr>
        <w:t>)</w:t>
      </w:r>
      <w:r w:rsidR="00750850" w:rsidRPr="00583D21">
        <w:rPr>
          <w:szCs w:val="24"/>
        </w:rPr>
        <w:t>—</w:t>
      </w:r>
      <w:r w:rsidR="00E93E4D">
        <w:rPr>
          <w:szCs w:val="24"/>
        </w:rPr>
        <w:t xml:space="preserve">revises the prevailing </w:t>
      </w:r>
      <w:r w:rsidR="00CA6CBC" w:rsidRPr="00583D21">
        <w:rPr>
          <w:szCs w:val="24"/>
        </w:rPr>
        <w:t xml:space="preserve">interpretations </w:t>
      </w:r>
      <w:r w:rsidR="00D23FC8" w:rsidRPr="00583D21">
        <w:rPr>
          <w:szCs w:val="24"/>
        </w:rPr>
        <w:t xml:space="preserve">of the </w:t>
      </w:r>
      <w:r w:rsidR="00FF0622" w:rsidRPr="00583D21">
        <w:rPr>
          <w:szCs w:val="24"/>
        </w:rPr>
        <w:t>early</w:t>
      </w:r>
      <w:r w:rsidR="00D23FC8" w:rsidRPr="00583D21">
        <w:rPr>
          <w:szCs w:val="24"/>
        </w:rPr>
        <w:t xml:space="preserve"> Qajar </w:t>
      </w:r>
      <w:r w:rsidR="00FF0622" w:rsidRPr="00583D21">
        <w:rPr>
          <w:szCs w:val="24"/>
        </w:rPr>
        <w:t>period</w:t>
      </w:r>
      <w:r w:rsidR="00C9471C" w:rsidRPr="00583D21">
        <w:rPr>
          <w:szCs w:val="24"/>
        </w:rPr>
        <w:t>.</w:t>
      </w:r>
      <w:r w:rsidRPr="00583D21">
        <w:rPr>
          <w:szCs w:val="24"/>
          <w:vertAlign w:val="superscript"/>
        </w:rPr>
        <w:endnoteReference w:id="20"/>
      </w:r>
      <w:r w:rsidR="00C9471C" w:rsidRPr="00583D21">
        <w:rPr>
          <w:szCs w:val="24"/>
        </w:rPr>
        <w:t xml:space="preserve"> </w:t>
      </w:r>
      <w:r w:rsidRPr="00583D21">
        <w:rPr>
          <w:szCs w:val="24"/>
        </w:rPr>
        <w:t>Several different but related points emerge through a</w:t>
      </w:r>
      <w:r w:rsidR="00E33EB2" w:rsidRPr="00583D21">
        <w:rPr>
          <w:szCs w:val="24"/>
        </w:rPr>
        <w:t xml:space="preserve"> </w:t>
      </w:r>
      <w:r w:rsidRPr="00583D21">
        <w:rPr>
          <w:szCs w:val="24"/>
        </w:rPr>
        <w:t>reading of the relevant sources</w:t>
      </w:r>
      <w:r w:rsidR="00750850" w:rsidRPr="00583D21">
        <w:rPr>
          <w:szCs w:val="24"/>
        </w:rPr>
        <w:t>—</w:t>
      </w:r>
      <w:r w:rsidR="00E33EB2" w:rsidRPr="00583D21">
        <w:rPr>
          <w:szCs w:val="24"/>
        </w:rPr>
        <w:t>including biographical poetry anthologies (</w:t>
      </w:r>
      <w:proofErr w:type="spellStart"/>
      <w:r w:rsidR="00E33EB2" w:rsidRPr="00583D21">
        <w:rPr>
          <w:i/>
          <w:szCs w:val="24"/>
        </w:rPr>
        <w:t>taẕkirih</w:t>
      </w:r>
      <w:proofErr w:type="spellEnd"/>
      <w:r w:rsidR="00E33EB2" w:rsidRPr="00583D21">
        <w:rPr>
          <w:szCs w:val="24"/>
        </w:rPr>
        <w:t>),</w:t>
      </w:r>
      <w:r w:rsidR="00E33EB2" w:rsidRPr="00583D21">
        <w:rPr>
          <w:szCs w:val="24"/>
          <w:vertAlign w:val="superscript"/>
        </w:rPr>
        <w:endnoteReference w:id="21"/>
      </w:r>
      <w:r w:rsidR="00E33EB2" w:rsidRPr="00583D21">
        <w:rPr>
          <w:szCs w:val="24"/>
        </w:rPr>
        <w:t xml:space="preserve"> family histories,</w:t>
      </w:r>
      <w:r w:rsidR="00E33EB2" w:rsidRPr="00583D21">
        <w:rPr>
          <w:szCs w:val="24"/>
          <w:vertAlign w:val="superscript"/>
        </w:rPr>
        <w:endnoteReference w:id="22"/>
      </w:r>
      <w:r w:rsidR="00E33EB2" w:rsidRPr="00583D21">
        <w:rPr>
          <w:szCs w:val="24"/>
        </w:rPr>
        <w:t xml:space="preserve"> histories of political offices,</w:t>
      </w:r>
      <w:r w:rsidR="00E33EB2" w:rsidRPr="00583D21">
        <w:rPr>
          <w:szCs w:val="24"/>
          <w:vertAlign w:val="superscript"/>
        </w:rPr>
        <w:endnoteReference w:id="23"/>
      </w:r>
      <w:r w:rsidR="00E33EB2" w:rsidRPr="00583D21">
        <w:rPr>
          <w:szCs w:val="24"/>
        </w:rPr>
        <w:t xml:space="preserve"> and chronicles</w:t>
      </w:r>
      <w:r w:rsidRPr="00583D21">
        <w:rPr>
          <w:szCs w:val="24"/>
        </w:rPr>
        <w:t>.</w:t>
      </w:r>
      <w:r w:rsidR="00E33EB2" w:rsidRPr="00583D21">
        <w:rPr>
          <w:szCs w:val="24"/>
          <w:vertAlign w:val="superscript"/>
        </w:rPr>
        <w:endnoteReference w:id="24"/>
      </w:r>
      <w:r w:rsidR="00970D21" w:rsidRPr="00583D21">
        <w:rPr>
          <w:szCs w:val="24"/>
        </w:rPr>
        <w:t xml:space="preserve"> At the most </w:t>
      </w:r>
      <w:r w:rsidR="003B399B" w:rsidRPr="00583D21">
        <w:rPr>
          <w:szCs w:val="24"/>
        </w:rPr>
        <w:t xml:space="preserve">basic level, the socially </w:t>
      </w:r>
      <w:r w:rsidR="00970D21" w:rsidRPr="00583D21">
        <w:rPr>
          <w:szCs w:val="24"/>
        </w:rPr>
        <w:t>oriented approach adopted here pushes back against reified understandings of the Qajar state. The early Qajar state had elements of both patrimonial and bureaucratic rule, with both genealogical modes of governance occurring alongside the differentiation of offices without any necessary contradiction.</w:t>
      </w:r>
      <w:r w:rsidR="00970D21" w:rsidRPr="00583D21">
        <w:rPr>
          <w:rStyle w:val="EndnoteReference"/>
          <w:szCs w:val="24"/>
        </w:rPr>
        <w:endnoteReference w:id="25"/>
      </w:r>
      <w:r w:rsidR="00970D21" w:rsidRPr="00583D21">
        <w:rPr>
          <w:szCs w:val="24"/>
        </w:rPr>
        <w:t xml:space="preserve"> A second point, and one that is closely tied to the first, is that there was both continuity and change in the social composition of the Qajar state. Qajar rulers recruited men </w:t>
      </w:r>
      <w:r w:rsidR="00464CA3" w:rsidRPr="00583D21">
        <w:rPr>
          <w:szCs w:val="24"/>
        </w:rPr>
        <w:t xml:space="preserve">into their </w:t>
      </w:r>
      <w:proofErr w:type="spellStart"/>
      <w:r w:rsidR="00464CA3" w:rsidRPr="00583D21">
        <w:rPr>
          <w:i/>
          <w:iCs/>
          <w:szCs w:val="24"/>
        </w:rPr>
        <w:t>dīvān</w:t>
      </w:r>
      <w:proofErr w:type="spellEnd"/>
      <w:r w:rsidR="00464CA3" w:rsidRPr="00464CA3">
        <w:rPr>
          <w:szCs w:val="24"/>
        </w:rPr>
        <w:t xml:space="preserve"> </w:t>
      </w:r>
      <w:r w:rsidR="00970D21" w:rsidRPr="00583D21">
        <w:rPr>
          <w:szCs w:val="24"/>
        </w:rPr>
        <w:t>who themselves had served earlier governments, or were descended from families with long administrative experience, but they also recruited men with little or no administrative background.</w:t>
      </w:r>
      <w:r w:rsidR="00FB5DC0" w:rsidRPr="00583D21">
        <w:rPr>
          <w:szCs w:val="24"/>
        </w:rPr>
        <w:t xml:space="preserve"> Ministers who served in the </w:t>
      </w:r>
      <w:proofErr w:type="spellStart"/>
      <w:r w:rsidR="00FB5DC0" w:rsidRPr="00583D21">
        <w:rPr>
          <w:i/>
          <w:iCs/>
          <w:szCs w:val="24"/>
        </w:rPr>
        <w:t>dīvān</w:t>
      </w:r>
      <w:proofErr w:type="spellEnd"/>
      <w:r w:rsidR="00FB5DC0" w:rsidRPr="00583D21">
        <w:rPr>
          <w:szCs w:val="24"/>
        </w:rPr>
        <w:t xml:space="preserve"> then entrenched their interests by marrying into the Qajar house.</w:t>
      </w:r>
      <w:r w:rsidR="00970D21" w:rsidRPr="00583D21">
        <w:rPr>
          <w:szCs w:val="24"/>
        </w:rPr>
        <w:t xml:space="preserve"> And finally, a third point that emerges</w:t>
      </w:r>
      <w:r w:rsidR="00471035">
        <w:rPr>
          <w:szCs w:val="24"/>
        </w:rPr>
        <w:t xml:space="preserve"> from the sources</w:t>
      </w:r>
      <w:r w:rsidR="00970D21" w:rsidRPr="00583D21">
        <w:rPr>
          <w:szCs w:val="24"/>
        </w:rPr>
        <w:t xml:space="preserve">: </w:t>
      </w:r>
      <w:r w:rsidR="00C0084C" w:rsidRPr="00583D21">
        <w:rPr>
          <w:szCs w:val="24"/>
        </w:rPr>
        <w:t xml:space="preserve">ministers who served in the </w:t>
      </w:r>
      <w:proofErr w:type="spellStart"/>
      <w:r w:rsidR="00C0084C" w:rsidRPr="00583D21">
        <w:rPr>
          <w:i/>
          <w:iCs/>
          <w:szCs w:val="24"/>
        </w:rPr>
        <w:t>dīvān</w:t>
      </w:r>
      <w:proofErr w:type="spellEnd"/>
      <w:r w:rsidR="00C0084C" w:rsidRPr="00583D21">
        <w:rPr>
          <w:szCs w:val="24"/>
        </w:rPr>
        <w:t xml:space="preserve"> sought to bo</w:t>
      </w:r>
      <w:r w:rsidR="00FB5DC0" w:rsidRPr="00583D21">
        <w:rPr>
          <w:szCs w:val="24"/>
        </w:rPr>
        <w:t xml:space="preserve">lster their power and prestige </w:t>
      </w:r>
      <w:r w:rsidR="00C0084C" w:rsidRPr="00583D21">
        <w:rPr>
          <w:szCs w:val="24"/>
        </w:rPr>
        <w:t xml:space="preserve">by carrying out duties that went beyond normative descriptions of their offices, through cultural and economic pursuits, and by competing with one another, sometimes violently. </w:t>
      </w:r>
      <w:r w:rsidR="006C0883" w:rsidRPr="00583D21">
        <w:rPr>
          <w:szCs w:val="24"/>
        </w:rPr>
        <w:t xml:space="preserve">Taken together, the three points </w:t>
      </w:r>
      <w:r w:rsidR="00225EA8" w:rsidRPr="00583D21">
        <w:rPr>
          <w:szCs w:val="24"/>
        </w:rPr>
        <w:t xml:space="preserve">illustrate </w:t>
      </w:r>
      <w:r w:rsidR="00416F50" w:rsidRPr="00583D21">
        <w:rPr>
          <w:szCs w:val="24"/>
        </w:rPr>
        <w:t>the contingent process by which the Qajar state emerged, formed, and was made</w:t>
      </w:r>
      <w:r w:rsidR="004C6325" w:rsidRPr="00583D21">
        <w:rPr>
          <w:szCs w:val="24"/>
        </w:rPr>
        <w:t>—a helpful reminder that t</w:t>
      </w:r>
      <w:r w:rsidR="00416F50" w:rsidRPr="00583D21">
        <w:rPr>
          <w:szCs w:val="24"/>
        </w:rPr>
        <w:t xml:space="preserve">he early Qajar state was </w:t>
      </w:r>
      <w:r w:rsidR="004C6325" w:rsidRPr="00583D21">
        <w:rPr>
          <w:szCs w:val="24"/>
        </w:rPr>
        <w:t xml:space="preserve">very much </w:t>
      </w:r>
      <w:r w:rsidR="00416F50" w:rsidRPr="00583D21">
        <w:rPr>
          <w:szCs w:val="24"/>
        </w:rPr>
        <w:t>a “state in the making</w:t>
      </w:r>
      <w:r w:rsidR="007F6794" w:rsidRPr="00583D21">
        <w:rPr>
          <w:szCs w:val="24"/>
        </w:rPr>
        <w:t>.</w:t>
      </w:r>
      <w:r w:rsidR="00416F50" w:rsidRPr="00583D21">
        <w:rPr>
          <w:szCs w:val="24"/>
        </w:rPr>
        <w:t>”</w:t>
      </w:r>
      <w:r w:rsidR="007F6794" w:rsidRPr="00583D21">
        <w:rPr>
          <w:rStyle w:val="EndnoteReference"/>
          <w:szCs w:val="24"/>
        </w:rPr>
        <w:endnoteReference w:id="26"/>
      </w:r>
      <w:r w:rsidR="00B478F4" w:rsidRPr="00583D21">
        <w:rPr>
          <w:szCs w:val="24"/>
        </w:rPr>
        <w:t xml:space="preserve"> </w:t>
      </w:r>
    </w:p>
    <w:p w14:paraId="3E9B6A30" w14:textId="77777777" w:rsidR="00FC0D7E" w:rsidRPr="00583D21" w:rsidRDefault="00FC0D7E" w:rsidP="00CE3F30">
      <w:pPr>
        <w:spacing w:line="480" w:lineRule="auto"/>
        <w:rPr>
          <w:szCs w:val="24"/>
        </w:rPr>
      </w:pPr>
    </w:p>
    <w:p w14:paraId="00236E86" w14:textId="4508E44D" w:rsidR="00AB48AE" w:rsidRPr="005A7921" w:rsidRDefault="006C0883" w:rsidP="006C0883">
      <w:pPr>
        <w:spacing w:line="480" w:lineRule="auto"/>
        <w:rPr>
          <w:b/>
          <w:bCs/>
          <w:szCs w:val="24"/>
        </w:rPr>
      </w:pPr>
      <w:r w:rsidRPr="005A7921">
        <w:rPr>
          <w:b/>
          <w:bCs/>
          <w:szCs w:val="24"/>
        </w:rPr>
        <w:t>Beyond a Weberian State</w:t>
      </w:r>
    </w:p>
    <w:p w14:paraId="2C82BCEE" w14:textId="6514ADED" w:rsidR="00B2602B" w:rsidRPr="00583D21" w:rsidRDefault="005C2838" w:rsidP="008656A6">
      <w:pPr>
        <w:spacing w:line="480" w:lineRule="auto"/>
        <w:rPr>
          <w:color w:val="FF0000"/>
          <w:szCs w:val="24"/>
        </w:rPr>
      </w:pPr>
      <w:r w:rsidRPr="00583D21">
        <w:rPr>
          <w:szCs w:val="24"/>
        </w:rPr>
        <w:t xml:space="preserve">During the early Qajar period, </w:t>
      </w:r>
      <w:r w:rsidR="00B109C7" w:rsidRPr="00583D21">
        <w:rPr>
          <w:szCs w:val="24"/>
        </w:rPr>
        <w:t xml:space="preserve">the differentiation of offices </w:t>
      </w:r>
      <w:r w:rsidRPr="00583D21">
        <w:rPr>
          <w:szCs w:val="24"/>
        </w:rPr>
        <w:t xml:space="preserve">and </w:t>
      </w:r>
      <w:r w:rsidR="004577FD" w:rsidRPr="00583D21">
        <w:rPr>
          <w:szCs w:val="24"/>
        </w:rPr>
        <w:t>genealogical modes of governance</w:t>
      </w:r>
      <w:r w:rsidR="00982D7D" w:rsidRPr="00583D21">
        <w:rPr>
          <w:szCs w:val="24"/>
        </w:rPr>
        <w:t xml:space="preserve"> occurred simultaneously</w:t>
      </w:r>
      <w:r w:rsidR="00B109C7" w:rsidRPr="00583D21">
        <w:rPr>
          <w:szCs w:val="24"/>
        </w:rPr>
        <w:t xml:space="preserve">. </w:t>
      </w:r>
      <w:r w:rsidR="002A4340" w:rsidRPr="00583D21">
        <w:rPr>
          <w:szCs w:val="24"/>
        </w:rPr>
        <w:t>A</w:t>
      </w:r>
      <w:r w:rsidR="00600C6D" w:rsidRPr="00583D21">
        <w:rPr>
          <w:szCs w:val="24"/>
        </w:rPr>
        <w:t xml:space="preserve">mong </w:t>
      </w:r>
      <w:r w:rsidR="00E72F4E">
        <w:rPr>
          <w:szCs w:val="24"/>
        </w:rPr>
        <w:t>Agha</w:t>
      </w:r>
      <w:r w:rsidR="00600C6D" w:rsidRPr="00583D21">
        <w:rPr>
          <w:szCs w:val="24"/>
        </w:rPr>
        <w:t xml:space="preserve"> Muhammad Khan’s first acts, </w:t>
      </w:r>
      <w:r w:rsidR="00241F23" w:rsidRPr="00583D21">
        <w:rPr>
          <w:szCs w:val="24"/>
        </w:rPr>
        <w:t>after</w:t>
      </w:r>
      <w:r w:rsidR="000757BC" w:rsidRPr="00583D21">
        <w:rPr>
          <w:szCs w:val="24"/>
        </w:rPr>
        <w:t xml:space="preserve"> escaping captivity in</w:t>
      </w:r>
      <w:r w:rsidR="00600C6D" w:rsidRPr="00583D21">
        <w:rPr>
          <w:szCs w:val="24"/>
        </w:rPr>
        <w:t xml:space="preserve"> Shiraz following Karim Khan </w:t>
      </w:r>
      <w:proofErr w:type="spellStart"/>
      <w:r w:rsidR="00600C6D" w:rsidRPr="00583D21">
        <w:rPr>
          <w:szCs w:val="24"/>
        </w:rPr>
        <w:t>Zand’s</w:t>
      </w:r>
      <w:proofErr w:type="spellEnd"/>
      <w:r w:rsidR="00600C6D" w:rsidRPr="00583D21">
        <w:rPr>
          <w:szCs w:val="24"/>
        </w:rPr>
        <w:t xml:space="preserve"> death in 1779, was to </w:t>
      </w:r>
      <w:r w:rsidR="00892ABA" w:rsidRPr="00583D21">
        <w:rPr>
          <w:szCs w:val="24"/>
        </w:rPr>
        <w:t>recruit</w:t>
      </w:r>
      <w:r w:rsidR="00B2602B" w:rsidRPr="00583D21">
        <w:rPr>
          <w:szCs w:val="24"/>
        </w:rPr>
        <w:t xml:space="preserve"> </w:t>
      </w:r>
      <w:r w:rsidR="00892ABA" w:rsidRPr="00583D21">
        <w:rPr>
          <w:szCs w:val="24"/>
        </w:rPr>
        <w:t xml:space="preserve">a </w:t>
      </w:r>
      <w:r w:rsidR="00600C6D" w:rsidRPr="00583D21">
        <w:rPr>
          <w:szCs w:val="24"/>
        </w:rPr>
        <w:t>treasurer</w:t>
      </w:r>
      <w:r w:rsidR="00892ABA" w:rsidRPr="00583D21">
        <w:rPr>
          <w:szCs w:val="24"/>
        </w:rPr>
        <w:t xml:space="preserve"> (</w:t>
      </w:r>
      <w:proofErr w:type="spellStart"/>
      <w:r w:rsidR="00892ABA" w:rsidRPr="00583D21">
        <w:rPr>
          <w:i/>
          <w:iCs/>
          <w:szCs w:val="24"/>
        </w:rPr>
        <w:t>mustawfī</w:t>
      </w:r>
      <w:proofErr w:type="spellEnd"/>
      <w:r w:rsidR="00892ABA" w:rsidRPr="00583D21">
        <w:rPr>
          <w:szCs w:val="24"/>
        </w:rPr>
        <w:t>)</w:t>
      </w:r>
      <w:r w:rsidR="00FC0D7E" w:rsidRPr="00583D21">
        <w:rPr>
          <w:szCs w:val="24"/>
        </w:rPr>
        <w:t xml:space="preserve">. </w:t>
      </w:r>
      <w:r w:rsidR="00892ABA" w:rsidRPr="00583D21">
        <w:rPr>
          <w:szCs w:val="24"/>
        </w:rPr>
        <w:t>From there t</w:t>
      </w:r>
      <w:r w:rsidR="00B2602B" w:rsidRPr="00583D21">
        <w:rPr>
          <w:szCs w:val="24"/>
        </w:rPr>
        <w:t>he number of offices in the</w:t>
      </w:r>
      <w:r w:rsidR="00B2602B" w:rsidRPr="00583D21">
        <w:rPr>
          <w:i/>
          <w:iCs/>
          <w:szCs w:val="24"/>
        </w:rPr>
        <w:t xml:space="preserve"> </w:t>
      </w:r>
      <w:proofErr w:type="spellStart"/>
      <w:r w:rsidR="00B2602B" w:rsidRPr="00583D21">
        <w:rPr>
          <w:i/>
          <w:iCs/>
          <w:szCs w:val="24"/>
        </w:rPr>
        <w:t>dīvān</w:t>
      </w:r>
      <w:proofErr w:type="spellEnd"/>
      <w:r w:rsidR="00B2602B" w:rsidRPr="00583D21">
        <w:rPr>
          <w:szCs w:val="24"/>
        </w:rPr>
        <w:t xml:space="preserve"> grew, and by the end of Fath-</w:t>
      </w:r>
      <w:proofErr w:type="spellStart"/>
      <w:r w:rsidR="00DA2C7B" w:rsidRPr="005A7921">
        <w:rPr>
          <w:rFonts w:ascii="JaghbUni" w:hAnsi="JaghbUni"/>
          <w:szCs w:val="24"/>
        </w:rPr>
        <w:t>ʿ</w:t>
      </w:r>
      <w:r w:rsidR="00B2602B" w:rsidRPr="00583D21">
        <w:rPr>
          <w:szCs w:val="24"/>
        </w:rPr>
        <w:t>Ali</w:t>
      </w:r>
      <w:proofErr w:type="spellEnd"/>
      <w:r w:rsidR="00B2602B" w:rsidRPr="00583D21">
        <w:rPr>
          <w:szCs w:val="24"/>
        </w:rPr>
        <w:t xml:space="preserve"> Shah’s reign the </w:t>
      </w:r>
      <w:proofErr w:type="spellStart"/>
      <w:r w:rsidR="00B2602B" w:rsidRPr="00583D21">
        <w:rPr>
          <w:i/>
          <w:iCs/>
          <w:szCs w:val="24"/>
        </w:rPr>
        <w:t>dīvān</w:t>
      </w:r>
      <w:proofErr w:type="spellEnd"/>
      <w:r w:rsidR="00B2602B" w:rsidRPr="00583D21">
        <w:rPr>
          <w:i/>
          <w:iCs/>
          <w:szCs w:val="24"/>
        </w:rPr>
        <w:t xml:space="preserve"> </w:t>
      </w:r>
      <w:r w:rsidR="00B2602B" w:rsidRPr="00583D21">
        <w:rPr>
          <w:szCs w:val="24"/>
        </w:rPr>
        <w:t xml:space="preserve">was the largest it had been since the Safavid </w:t>
      </w:r>
      <w:r w:rsidR="001D3B0E">
        <w:rPr>
          <w:szCs w:val="24"/>
        </w:rPr>
        <w:t>period</w:t>
      </w:r>
      <w:r w:rsidR="00B2602B" w:rsidRPr="00583D21">
        <w:rPr>
          <w:szCs w:val="24"/>
        </w:rPr>
        <w:t>.</w:t>
      </w:r>
      <w:r w:rsidR="00B2602B" w:rsidRPr="00583D21">
        <w:rPr>
          <w:szCs w:val="24"/>
          <w:vertAlign w:val="superscript"/>
        </w:rPr>
        <w:endnoteReference w:id="27"/>
      </w:r>
      <w:r w:rsidR="00B2602B" w:rsidRPr="00583D21">
        <w:rPr>
          <w:szCs w:val="24"/>
        </w:rPr>
        <w:t xml:space="preserve"> </w:t>
      </w:r>
      <w:r w:rsidR="00FC0D7E" w:rsidRPr="00583D21">
        <w:rPr>
          <w:szCs w:val="24"/>
        </w:rPr>
        <w:t xml:space="preserve">Sources from the early Qajar period attest to the fact that the prime minister, imperial treasurer, and imperial secretary </w:t>
      </w:r>
      <w:r w:rsidR="00456C0D" w:rsidRPr="00583D21">
        <w:rPr>
          <w:szCs w:val="24"/>
        </w:rPr>
        <w:t>were among the principal positions in the nascent Qajar state</w:t>
      </w:r>
      <w:r w:rsidR="00FC0D7E" w:rsidRPr="00583D21">
        <w:rPr>
          <w:szCs w:val="24"/>
        </w:rPr>
        <w:t xml:space="preserve">. </w:t>
      </w:r>
      <w:r w:rsidR="00B2602B" w:rsidRPr="00583D21">
        <w:rPr>
          <w:szCs w:val="24"/>
        </w:rPr>
        <w:t xml:space="preserve">At the same time, </w:t>
      </w:r>
      <w:r w:rsidR="00845E0C" w:rsidRPr="00583D21">
        <w:rPr>
          <w:szCs w:val="24"/>
        </w:rPr>
        <w:t xml:space="preserve">early Qajar sources often and repeatedly mention the family lineages of political men, </w:t>
      </w:r>
      <w:r w:rsidR="00282EB2" w:rsidRPr="00583D21">
        <w:rPr>
          <w:szCs w:val="24"/>
        </w:rPr>
        <w:t xml:space="preserve">reminding us that </w:t>
      </w:r>
      <w:r w:rsidR="00B2602B" w:rsidRPr="00583D21">
        <w:rPr>
          <w:szCs w:val="24"/>
        </w:rPr>
        <w:t xml:space="preserve">family backgrounds and relationships were a vital </w:t>
      </w:r>
      <w:r w:rsidR="00D70EA4" w:rsidRPr="00583D21">
        <w:rPr>
          <w:szCs w:val="24"/>
        </w:rPr>
        <w:t>factor</w:t>
      </w:r>
      <w:r w:rsidR="00B2602B" w:rsidRPr="00583D21">
        <w:rPr>
          <w:szCs w:val="24"/>
        </w:rPr>
        <w:t xml:space="preserve"> </w:t>
      </w:r>
      <w:r w:rsidR="00D70EA4" w:rsidRPr="00583D21">
        <w:rPr>
          <w:szCs w:val="24"/>
        </w:rPr>
        <w:t xml:space="preserve">in </w:t>
      </w:r>
      <w:r w:rsidR="00B2602B" w:rsidRPr="00583D21">
        <w:rPr>
          <w:szCs w:val="24"/>
        </w:rPr>
        <w:t xml:space="preserve">who was recruited to fill </w:t>
      </w:r>
      <w:proofErr w:type="spellStart"/>
      <w:r w:rsidR="00282EB2" w:rsidRPr="00583D21">
        <w:rPr>
          <w:i/>
          <w:iCs/>
          <w:szCs w:val="24"/>
        </w:rPr>
        <w:t>dīvān</w:t>
      </w:r>
      <w:proofErr w:type="spellEnd"/>
      <w:r w:rsidR="00282EB2" w:rsidRPr="00583D21">
        <w:rPr>
          <w:szCs w:val="24"/>
        </w:rPr>
        <w:t xml:space="preserve"> positions</w:t>
      </w:r>
      <w:r w:rsidR="00B2602B" w:rsidRPr="00583D21">
        <w:rPr>
          <w:szCs w:val="24"/>
        </w:rPr>
        <w:t>.</w:t>
      </w:r>
      <w:r w:rsidR="000C7F36" w:rsidRPr="00583D21">
        <w:rPr>
          <w:szCs w:val="24"/>
        </w:rPr>
        <w:t xml:space="preserve"> </w:t>
      </w:r>
    </w:p>
    <w:p w14:paraId="0327AB47" w14:textId="4DEF74A2" w:rsidR="00FC0D7E" w:rsidRPr="00583D21" w:rsidRDefault="008656A6" w:rsidP="008656A6">
      <w:pPr>
        <w:spacing w:line="480" w:lineRule="auto"/>
        <w:ind w:firstLine="720"/>
        <w:rPr>
          <w:color w:val="FF0000"/>
          <w:szCs w:val="24"/>
        </w:rPr>
      </w:pPr>
      <w:r>
        <w:rPr>
          <w:szCs w:val="24"/>
        </w:rPr>
        <w:t>Analyzing t</w:t>
      </w:r>
      <w:r w:rsidR="00FC0D7E" w:rsidRPr="00583D21">
        <w:rPr>
          <w:szCs w:val="24"/>
        </w:rPr>
        <w:t>he order in which offices were filled is</w:t>
      </w:r>
      <w:r w:rsidR="007C227F" w:rsidRPr="00583D21">
        <w:rPr>
          <w:szCs w:val="24"/>
        </w:rPr>
        <w:t xml:space="preserve"> one way to detect </w:t>
      </w:r>
      <w:r w:rsidR="00FC0D7E" w:rsidRPr="00583D21">
        <w:rPr>
          <w:szCs w:val="24"/>
        </w:rPr>
        <w:t>the significance</w:t>
      </w:r>
      <w:r w:rsidR="007C227F" w:rsidRPr="00583D21">
        <w:rPr>
          <w:szCs w:val="24"/>
        </w:rPr>
        <w:t xml:space="preserve"> </w:t>
      </w:r>
      <w:r w:rsidR="002A4340" w:rsidRPr="00583D21">
        <w:rPr>
          <w:szCs w:val="24"/>
        </w:rPr>
        <w:t xml:space="preserve">of each </w:t>
      </w:r>
      <w:r w:rsidR="00934F72" w:rsidRPr="00583D21">
        <w:rPr>
          <w:szCs w:val="24"/>
        </w:rPr>
        <w:t xml:space="preserve">office </w:t>
      </w:r>
      <w:r w:rsidR="002A4340" w:rsidRPr="00583D21">
        <w:rPr>
          <w:szCs w:val="24"/>
        </w:rPr>
        <w:t>relative to others</w:t>
      </w:r>
      <w:r w:rsidR="00FC0D7E" w:rsidRPr="00583D21">
        <w:rPr>
          <w:szCs w:val="24"/>
        </w:rPr>
        <w:t xml:space="preserve">. </w:t>
      </w:r>
      <w:r w:rsidR="002A4340" w:rsidRPr="00583D21">
        <w:rPr>
          <w:szCs w:val="24"/>
        </w:rPr>
        <w:t xml:space="preserve">It is telling that </w:t>
      </w:r>
      <w:r w:rsidR="00E72F4E">
        <w:rPr>
          <w:szCs w:val="24"/>
        </w:rPr>
        <w:t>Agha</w:t>
      </w:r>
      <w:r w:rsidR="00FC0D7E" w:rsidRPr="00583D21">
        <w:rPr>
          <w:szCs w:val="24"/>
        </w:rPr>
        <w:t xml:space="preserve"> Muhammad Khan took as his first minister </w:t>
      </w:r>
      <w:r w:rsidR="002A4340" w:rsidRPr="00583D21">
        <w:rPr>
          <w:szCs w:val="24"/>
        </w:rPr>
        <w:t xml:space="preserve">a treasurer, </w:t>
      </w:r>
      <w:r w:rsidR="00FC0D7E" w:rsidRPr="00583D21">
        <w:rPr>
          <w:szCs w:val="24"/>
        </w:rPr>
        <w:t xml:space="preserve">Mirza </w:t>
      </w:r>
      <w:proofErr w:type="spellStart"/>
      <w:r w:rsidR="00FC0D7E" w:rsidRPr="00583D21">
        <w:rPr>
          <w:szCs w:val="24"/>
        </w:rPr>
        <w:t>Isma</w:t>
      </w:r>
      <w:r w:rsidRPr="005A7921">
        <w:rPr>
          <w:rFonts w:ascii="JaghbUni" w:hAnsi="JaghbUni"/>
          <w:szCs w:val="24"/>
        </w:rPr>
        <w:t>ʿ</w:t>
      </w:r>
      <w:r w:rsidR="00FC0D7E" w:rsidRPr="00583D21">
        <w:rPr>
          <w:szCs w:val="24"/>
        </w:rPr>
        <w:t>il</w:t>
      </w:r>
      <w:proofErr w:type="spellEnd"/>
      <w:r w:rsidR="00FC0D7E" w:rsidRPr="00583D21">
        <w:rPr>
          <w:szCs w:val="24"/>
        </w:rPr>
        <w:t xml:space="preserve">, whom he recruited shortly after returning to Mazandaran in 1779. Soon thereafter, he took another </w:t>
      </w:r>
      <w:r w:rsidR="00892ABA" w:rsidRPr="00583D21">
        <w:rPr>
          <w:szCs w:val="24"/>
        </w:rPr>
        <w:t>treasurer</w:t>
      </w:r>
      <w:r w:rsidR="00FC0D7E" w:rsidRPr="00583D21">
        <w:rPr>
          <w:szCs w:val="24"/>
        </w:rPr>
        <w:t>, Mirza Asadullah Nuri, as his revenue</w:t>
      </w:r>
      <w:r>
        <w:rPr>
          <w:szCs w:val="24"/>
        </w:rPr>
        <w:t xml:space="preserve"> </w:t>
      </w:r>
      <w:r w:rsidR="00FC0D7E" w:rsidRPr="00583D21">
        <w:rPr>
          <w:szCs w:val="24"/>
        </w:rPr>
        <w:t>secretary to the army (</w:t>
      </w:r>
      <w:proofErr w:type="spellStart"/>
      <w:r w:rsidR="00FC0D7E" w:rsidRPr="00583D21">
        <w:rPr>
          <w:i/>
          <w:szCs w:val="24"/>
        </w:rPr>
        <w:t>lashkarnivīs</w:t>
      </w:r>
      <w:proofErr w:type="spellEnd"/>
      <w:r w:rsidR="00FC0D7E" w:rsidRPr="00583D21">
        <w:rPr>
          <w:szCs w:val="24"/>
        </w:rPr>
        <w:t>).</w:t>
      </w:r>
      <w:r w:rsidR="00FC0D7E" w:rsidRPr="00583D21">
        <w:rPr>
          <w:szCs w:val="24"/>
          <w:vertAlign w:val="superscript"/>
        </w:rPr>
        <w:endnoteReference w:id="28"/>
      </w:r>
      <w:r w:rsidR="00FC0D7E" w:rsidRPr="00583D21">
        <w:rPr>
          <w:szCs w:val="24"/>
        </w:rPr>
        <w:t xml:space="preserve"> Meanwhile, the first </w:t>
      </w:r>
      <w:r w:rsidR="00FA0DFA" w:rsidRPr="00583D21">
        <w:rPr>
          <w:szCs w:val="24"/>
        </w:rPr>
        <w:t xml:space="preserve">imperial secretary </w:t>
      </w:r>
      <w:r w:rsidR="00FC0D7E" w:rsidRPr="00583D21">
        <w:rPr>
          <w:szCs w:val="24"/>
        </w:rPr>
        <w:t xml:space="preserve">under the Qajar ruler seems to have been Mirza Riza </w:t>
      </w:r>
      <w:proofErr w:type="spellStart"/>
      <w:r w:rsidR="00FC0D7E" w:rsidRPr="00583D21">
        <w:rPr>
          <w:szCs w:val="24"/>
        </w:rPr>
        <w:t>Quli</w:t>
      </w:r>
      <w:proofErr w:type="spellEnd"/>
      <w:r w:rsidR="00FC0D7E" w:rsidRPr="00583D21">
        <w:rPr>
          <w:szCs w:val="24"/>
        </w:rPr>
        <w:t xml:space="preserve"> </w:t>
      </w:r>
      <w:proofErr w:type="spellStart"/>
      <w:r w:rsidR="00FC0D7E" w:rsidRPr="00583D21">
        <w:rPr>
          <w:szCs w:val="24"/>
        </w:rPr>
        <w:t>Nava</w:t>
      </w:r>
      <w:r w:rsidRPr="005A7921">
        <w:rPr>
          <w:rFonts w:ascii="JaghbUni" w:hAnsi="JaghbUni"/>
          <w:szCs w:val="24"/>
        </w:rPr>
        <w:t>ʾ</w:t>
      </w:r>
      <w:r w:rsidR="00FC0D7E" w:rsidRPr="00583D21">
        <w:rPr>
          <w:szCs w:val="24"/>
        </w:rPr>
        <w:t>i</w:t>
      </w:r>
      <w:proofErr w:type="spellEnd"/>
      <w:r w:rsidR="00FC0D7E" w:rsidRPr="00583D21">
        <w:rPr>
          <w:szCs w:val="24"/>
        </w:rPr>
        <w:t xml:space="preserve">, who was appointed in </w:t>
      </w:r>
      <w:r w:rsidR="00845D71" w:rsidRPr="00583D21">
        <w:rPr>
          <w:szCs w:val="24"/>
        </w:rPr>
        <w:t>1791 or 17</w:t>
      </w:r>
      <w:r w:rsidR="00FC0D7E" w:rsidRPr="00583D21">
        <w:rPr>
          <w:szCs w:val="24"/>
        </w:rPr>
        <w:t>92.</w:t>
      </w:r>
      <w:r w:rsidR="00FC0D7E" w:rsidRPr="00583D21">
        <w:rPr>
          <w:szCs w:val="24"/>
          <w:vertAlign w:val="superscript"/>
        </w:rPr>
        <w:endnoteReference w:id="29"/>
      </w:r>
      <w:r w:rsidR="00892ABA" w:rsidRPr="00583D21">
        <w:rPr>
          <w:szCs w:val="24"/>
        </w:rPr>
        <w:t xml:space="preserve"> The position of prime minister was only filled a </w:t>
      </w:r>
      <w:r w:rsidR="00FC0D7E" w:rsidRPr="00583D21">
        <w:rPr>
          <w:szCs w:val="24"/>
        </w:rPr>
        <w:t xml:space="preserve">couple years later, in 1794, </w:t>
      </w:r>
      <w:r w:rsidR="00892ABA" w:rsidRPr="00583D21">
        <w:rPr>
          <w:szCs w:val="24"/>
        </w:rPr>
        <w:t xml:space="preserve">when </w:t>
      </w:r>
      <w:r w:rsidR="00E72F4E">
        <w:rPr>
          <w:szCs w:val="24"/>
        </w:rPr>
        <w:t>Agha</w:t>
      </w:r>
      <w:r w:rsidR="00FC0D7E" w:rsidRPr="00583D21">
        <w:rPr>
          <w:szCs w:val="24"/>
        </w:rPr>
        <w:t xml:space="preserve"> Muhammad Khan appointed Muhammad Ibrahim, the </w:t>
      </w:r>
      <w:r w:rsidR="00883E23" w:rsidRPr="00583D21">
        <w:rPr>
          <w:szCs w:val="24"/>
        </w:rPr>
        <w:t xml:space="preserve">former </w:t>
      </w:r>
      <w:r w:rsidR="00FC0D7E" w:rsidRPr="00583D21">
        <w:rPr>
          <w:szCs w:val="24"/>
        </w:rPr>
        <w:t>city mayor (</w:t>
      </w:r>
      <w:proofErr w:type="spellStart"/>
      <w:r w:rsidR="00FC0D7E" w:rsidRPr="00583D21">
        <w:rPr>
          <w:i/>
          <w:szCs w:val="24"/>
        </w:rPr>
        <w:t>kalāntar</w:t>
      </w:r>
      <w:proofErr w:type="spellEnd"/>
      <w:r w:rsidR="00FC0D7E" w:rsidRPr="00583D21">
        <w:rPr>
          <w:szCs w:val="24"/>
        </w:rPr>
        <w:t xml:space="preserve">) of Shiraz during the </w:t>
      </w:r>
      <w:proofErr w:type="spellStart"/>
      <w:r w:rsidR="00FC0D7E" w:rsidRPr="00583D21">
        <w:rPr>
          <w:szCs w:val="24"/>
        </w:rPr>
        <w:t>Zand</w:t>
      </w:r>
      <w:proofErr w:type="spellEnd"/>
      <w:r w:rsidR="00FC0D7E" w:rsidRPr="00583D21">
        <w:rPr>
          <w:szCs w:val="24"/>
        </w:rPr>
        <w:t xml:space="preserve"> period, </w:t>
      </w:r>
      <w:r w:rsidR="00883E23" w:rsidRPr="00583D21">
        <w:rPr>
          <w:szCs w:val="24"/>
        </w:rPr>
        <w:t>to the post</w:t>
      </w:r>
      <w:r w:rsidR="00FC0D7E" w:rsidRPr="00583D21">
        <w:rPr>
          <w:szCs w:val="24"/>
        </w:rPr>
        <w:t>.</w:t>
      </w:r>
      <w:r w:rsidR="00FC0D7E" w:rsidRPr="00583D21">
        <w:rPr>
          <w:szCs w:val="24"/>
          <w:vertAlign w:val="superscript"/>
        </w:rPr>
        <w:endnoteReference w:id="30"/>
      </w:r>
      <w:r w:rsidR="00FC0D7E" w:rsidRPr="00583D21">
        <w:rPr>
          <w:szCs w:val="24"/>
        </w:rPr>
        <w:t xml:space="preserve"> Together, these individuals comprised </w:t>
      </w:r>
      <w:r w:rsidR="00E72F4E">
        <w:rPr>
          <w:szCs w:val="24"/>
        </w:rPr>
        <w:t>Agha</w:t>
      </w:r>
      <w:r w:rsidR="00FC0D7E" w:rsidRPr="00583D21">
        <w:rPr>
          <w:szCs w:val="24"/>
        </w:rPr>
        <w:t xml:space="preserve"> Muhammad Khan’s </w:t>
      </w:r>
      <w:proofErr w:type="spellStart"/>
      <w:r w:rsidR="00FC0D7E" w:rsidRPr="00583D21">
        <w:rPr>
          <w:i/>
          <w:szCs w:val="24"/>
        </w:rPr>
        <w:t>dīvān</w:t>
      </w:r>
      <w:proofErr w:type="spellEnd"/>
      <w:r w:rsidR="00FC0D7E" w:rsidRPr="00583D21">
        <w:rPr>
          <w:szCs w:val="24"/>
        </w:rPr>
        <w:t>.</w:t>
      </w:r>
    </w:p>
    <w:p w14:paraId="49B7A1BF" w14:textId="0422E22A" w:rsidR="00FC0D7E" w:rsidRDefault="00FC0D7E" w:rsidP="008656A6">
      <w:pPr>
        <w:spacing w:line="480" w:lineRule="auto"/>
        <w:ind w:firstLine="720"/>
        <w:rPr>
          <w:szCs w:val="24"/>
        </w:rPr>
      </w:pPr>
      <w:r w:rsidRPr="00583D21">
        <w:rPr>
          <w:szCs w:val="24"/>
        </w:rPr>
        <w:t xml:space="preserve">During the first </w:t>
      </w:r>
      <w:r w:rsidR="00995A9D">
        <w:rPr>
          <w:szCs w:val="24"/>
        </w:rPr>
        <w:t>few</w:t>
      </w:r>
      <w:r w:rsidRPr="00583D21">
        <w:rPr>
          <w:szCs w:val="24"/>
        </w:rPr>
        <w:t xml:space="preserve"> decades of the </w:t>
      </w:r>
      <w:r w:rsidR="00753539" w:rsidRPr="00583D21">
        <w:rPr>
          <w:szCs w:val="24"/>
        </w:rPr>
        <w:t>19th</w:t>
      </w:r>
      <w:r w:rsidRPr="00583D21">
        <w:rPr>
          <w:szCs w:val="24"/>
        </w:rPr>
        <w:t xml:space="preserve"> century, Fath-</w:t>
      </w:r>
      <w:proofErr w:type="spellStart"/>
      <w:r w:rsidR="008656A6" w:rsidRPr="00E52E1B">
        <w:rPr>
          <w:rFonts w:ascii="JaghbUni" w:hAnsi="JaghbUni"/>
          <w:szCs w:val="24"/>
        </w:rPr>
        <w:t>ʿ</w:t>
      </w:r>
      <w:r w:rsidRPr="00583D21">
        <w:rPr>
          <w:szCs w:val="24"/>
        </w:rPr>
        <w:t>Ali</w:t>
      </w:r>
      <w:proofErr w:type="spellEnd"/>
      <w:r w:rsidR="00986B36" w:rsidRPr="00583D21">
        <w:rPr>
          <w:szCs w:val="24"/>
        </w:rPr>
        <w:t xml:space="preserve"> Shah expanded the </w:t>
      </w:r>
      <w:r w:rsidR="00892ABA" w:rsidRPr="00583D21">
        <w:rPr>
          <w:szCs w:val="24"/>
        </w:rPr>
        <w:t>administration</w:t>
      </w:r>
      <w:r w:rsidRPr="00583D21">
        <w:rPr>
          <w:szCs w:val="24"/>
        </w:rPr>
        <w:t>, and the shah established greater division of labor between the offices. In 1806</w:t>
      </w:r>
      <w:r w:rsidR="00513232" w:rsidRPr="00583D21">
        <w:rPr>
          <w:szCs w:val="24"/>
        </w:rPr>
        <w:t xml:space="preserve"> or </w:t>
      </w:r>
      <w:r w:rsidR="00513232" w:rsidRPr="00583D21">
        <w:rPr>
          <w:szCs w:val="24"/>
        </w:rPr>
        <w:lastRenderedPageBreak/>
        <w:t>18</w:t>
      </w:r>
      <w:r w:rsidRPr="00583D21">
        <w:rPr>
          <w:szCs w:val="24"/>
        </w:rPr>
        <w:t>07, Fath</w:t>
      </w:r>
      <w:r w:rsidR="008656A6" w:rsidRPr="00583D21">
        <w:rPr>
          <w:szCs w:val="24"/>
        </w:rPr>
        <w:t>-</w:t>
      </w:r>
      <w:proofErr w:type="spellStart"/>
      <w:r w:rsidR="008656A6" w:rsidRPr="005A7921">
        <w:rPr>
          <w:rFonts w:ascii="JaghbUni" w:hAnsi="JaghbUni"/>
          <w:szCs w:val="24"/>
        </w:rPr>
        <w:t>ʿ</w:t>
      </w:r>
      <w:r w:rsidRPr="00583D21">
        <w:rPr>
          <w:szCs w:val="24"/>
        </w:rPr>
        <w:t>Ali</w:t>
      </w:r>
      <w:proofErr w:type="spellEnd"/>
      <w:r w:rsidRPr="00583D21">
        <w:rPr>
          <w:szCs w:val="24"/>
        </w:rPr>
        <w:t xml:space="preserve"> Shah officially divided the central </w:t>
      </w:r>
      <w:proofErr w:type="spellStart"/>
      <w:r w:rsidR="00892ABA" w:rsidRPr="00583D21">
        <w:rPr>
          <w:i/>
          <w:szCs w:val="24"/>
        </w:rPr>
        <w:t>dīvān</w:t>
      </w:r>
      <w:proofErr w:type="spellEnd"/>
      <w:r w:rsidR="00892ABA" w:rsidRPr="00583D21">
        <w:rPr>
          <w:szCs w:val="24"/>
        </w:rPr>
        <w:t xml:space="preserve"> </w:t>
      </w:r>
      <w:r w:rsidRPr="00583D21">
        <w:rPr>
          <w:szCs w:val="24"/>
        </w:rPr>
        <w:t>into four offices: the chief minister, the imperial treasurer, the imperial secretary, and minister of war. The shah’s court chronicler, Mirza Fazlullah “Khavari” Shirazi, provided a description of the responsibilities of each office:</w:t>
      </w:r>
    </w:p>
    <w:p w14:paraId="58195373" w14:textId="77777777" w:rsidR="008656A6" w:rsidRPr="00583D21" w:rsidRDefault="008656A6" w:rsidP="008656A6">
      <w:pPr>
        <w:spacing w:line="480" w:lineRule="auto"/>
        <w:ind w:firstLine="720"/>
        <w:rPr>
          <w:szCs w:val="24"/>
        </w:rPr>
      </w:pPr>
    </w:p>
    <w:p w14:paraId="24C50211" w14:textId="55C22A6A" w:rsidR="00FC0D7E" w:rsidRPr="00583D21" w:rsidRDefault="00FC0D7E" w:rsidP="005A7921">
      <w:pPr>
        <w:spacing w:line="480" w:lineRule="auto"/>
        <w:ind w:left="720"/>
        <w:rPr>
          <w:szCs w:val="24"/>
        </w:rPr>
      </w:pPr>
      <w:r w:rsidRPr="00583D21">
        <w:rPr>
          <w:szCs w:val="24"/>
        </w:rPr>
        <w:t xml:space="preserve">First is the </w:t>
      </w:r>
      <w:proofErr w:type="spellStart"/>
      <w:r w:rsidRPr="00583D21">
        <w:rPr>
          <w:i/>
          <w:szCs w:val="24"/>
        </w:rPr>
        <w:t>ṣadr-i</w:t>
      </w:r>
      <w:proofErr w:type="spellEnd"/>
      <w:r w:rsidRPr="00583D21">
        <w:rPr>
          <w:i/>
          <w:szCs w:val="24"/>
        </w:rPr>
        <w:t xml:space="preserve"> </w:t>
      </w:r>
      <w:proofErr w:type="spellStart"/>
      <w:proofErr w:type="gramStart"/>
      <w:r w:rsidRPr="00583D21">
        <w:rPr>
          <w:i/>
          <w:szCs w:val="24"/>
        </w:rPr>
        <w:t>a‘</w:t>
      </w:r>
      <w:proofErr w:type="gramEnd"/>
      <w:r w:rsidRPr="00583D21">
        <w:rPr>
          <w:i/>
          <w:szCs w:val="24"/>
        </w:rPr>
        <w:t>ẓam</w:t>
      </w:r>
      <w:proofErr w:type="spellEnd"/>
      <w:r w:rsidRPr="00583D21">
        <w:rPr>
          <w:szCs w:val="24"/>
        </w:rPr>
        <w:t>, who is responsible for providing counsel</w:t>
      </w:r>
      <w:r w:rsidR="008656A6">
        <w:rPr>
          <w:szCs w:val="24"/>
        </w:rPr>
        <w:t xml:space="preserve"> [</w:t>
      </w:r>
      <w:proofErr w:type="spellStart"/>
      <w:r w:rsidRPr="00583D21">
        <w:rPr>
          <w:i/>
          <w:szCs w:val="24"/>
        </w:rPr>
        <w:t>muhimmāt-i</w:t>
      </w:r>
      <w:proofErr w:type="spellEnd"/>
      <w:r w:rsidRPr="00583D21">
        <w:rPr>
          <w:i/>
          <w:szCs w:val="24"/>
        </w:rPr>
        <w:t xml:space="preserve"> </w:t>
      </w:r>
      <w:proofErr w:type="spellStart"/>
      <w:r w:rsidRPr="00583D21">
        <w:rPr>
          <w:i/>
          <w:szCs w:val="24"/>
        </w:rPr>
        <w:t>shūr-i</w:t>
      </w:r>
      <w:proofErr w:type="spellEnd"/>
      <w:r w:rsidRPr="00583D21">
        <w:rPr>
          <w:i/>
          <w:szCs w:val="24"/>
        </w:rPr>
        <w:t xml:space="preserve"> </w:t>
      </w:r>
      <w:proofErr w:type="spellStart"/>
      <w:r w:rsidRPr="00583D21">
        <w:rPr>
          <w:i/>
          <w:szCs w:val="24"/>
        </w:rPr>
        <w:t>mamlikat</w:t>
      </w:r>
      <w:proofErr w:type="spellEnd"/>
      <w:r w:rsidR="008656A6">
        <w:rPr>
          <w:szCs w:val="24"/>
        </w:rPr>
        <w:t>]</w:t>
      </w:r>
      <w:r w:rsidRPr="00583D21">
        <w:rPr>
          <w:szCs w:val="24"/>
        </w:rPr>
        <w:t xml:space="preserve"> and for appointing and dismissing governors </w:t>
      </w:r>
      <w:r w:rsidR="008656A6">
        <w:rPr>
          <w:szCs w:val="24"/>
        </w:rPr>
        <w:t>[</w:t>
      </w:r>
      <w:proofErr w:type="spellStart"/>
      <w:r w:rsidRPr="00583D21">
        <w:rPr>
          <w:i/>
          <w:szCs w:val="24"/>
        </w:rPr>
        <w:t>vilāt</w:t>
      </w:r>
      <w:proofErr w:type="spellEnd"/>
      <w:r w:rsidRPr="00583D21">
        <w:rPr>
          <w:i/>
          <w:szCs w:val="24"/>
        </w:rPr>
        <w:t xml:space="preserve"> </w:t>
      </w:r>
      <w:proofErr w:type="spellStart"/>
      <w:r w:rsidRPr="00583D21">
        <w:rPr>
          <w:i/>
          <w:szCs w:val="24"/>
        </w:rPr>
        <w:t>va</w:t>
      </w:r>
      <w:proofErr w:type="spellEnd"/>
      <w:r w:rsidRPr="00583D21">
        <w:rPr>
          <w:i/>
          <w:szCs w:val="24"/>
        </w:rPr>
        <w:t xml:space="preserve"> </w:t>
      </w:r>
      <w:proofErr w:type="spellStart"/>
      <w:r w:rsidRPr="00583D21">
        <w:rPr>
          <w:i/>
          <w:szCs w:val="24"/>
        </w:rPr>
        <w:t>bayglarbaygān</w:t>
      </w:r>
      <w:proofErr w:type="spellEnd"/>
      <w:r w:rsidR="008656A6">
        <w:rPr>
          <w:szCs w:val="24"/>
        </w:rPr>
        <w:t>]</w:t>
      </w:r>
      <w:r w:rsidRPr="00583D21">
        <w:rPr>
          <w:szCs w:val="24"/>
        </w:rPr>
        <w:t xml:space="preserve">, the heads, deputies, rulers, and chiefs of the court and every province, and is also responsible for military and government affairs. Second is the </w:t>
      </w:r>
      <w:proofErr w:type="spellStart"/>
      <w:r w:rsidRPr="00583D21">
        <w:rPr>
          <w:i/>
          <w:szCs w:val="24"/>
        </w:rPr>
        <w:t>vazīr-i</w:t>
      </w:r>
      <w:proofErr w:type="spellEnd"/>
      <w:r w:rsidRPr="00583D21">
        <w:rPr>
          <w:i/>
          <w:szCs w:val="24"/>
        </w:rPr>
        <w:t xml:space="preserve"> </w:t>
      </w:r>
      <w:proofErr w:type="spellStart"/>
      <w:r w:rsidRPr="00583D21">
        <w:rPr>
          <w:i/>
          <w:szCs w:val="24"/>
        </w:rPr>
        <w:t>istīfā-yi</w:t>
      </w:r>
      <w:proofErr w:type="spellEnd"/>
      <w:r w:rsidRPr="00583D21">
        <w:rPr>
          <w:i/>
          <w:szCs w:val="24"/>
        </w:rPr>
        <w:t xml:space="preserve"> </w:t>
      </w:r>
      <w:proofErr w:type="spellStart"/>
      <w:r w:rsidRPr="00583D21">
        <w:rPr>
          <w:i/>
          <w:szCs w:val="24"/>
        </w:rPr>
        <w:t>mamlikat</w:t>
      </w:r>
      <w:proofErr w:type="spellEnd"/>
      <w:r w:rsidRPr="00583D21">
        <w:rPr>
          <w:szCs w:val="24"/>
        </w:rPr>
        <w:t xml:space="preserve"> [i.e.</w:t>
      </w:r>
      <w:r w:rsidR="008656A6">
        <w:rPr>
          <w:szCs w:val="24"/>
        </w:rPr>
        <w:t>,</w:t>
      </w:r>
      <w:r w:rsidRPr="00583D21">
        <w:rPr>
          <w:szCs w:val="24"/>
        </w:rPr>
        <w:t xml:space="preserve"> the </w:t>
      </w: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r w:rsidRPr="00583D21">
        <w:rPr>
          <w:iCs/>
          <w:szCs w:val="24"/>
        </w:rPr>
        <w:t>]</w:t>
      </w:r>
      <w:r w:rsidRPr="00583D21">
        <w:rPr>
          <w:szCs w:val="24"/>
        </w:rPr>
        <w:t xml:space="preserve"> who oversees all financial matters, and </w:t>
      </w:r>
      <w:r w:rsidR="003D5240">
        <w:rPr>
          <w:szCs w:val="24"/>
        </w:rPr>
        <w:t>who</w:t>
      </w:r>
      <w:r w:rsidRPr="00583D21">
        <w:rPr>
          <w:szCs w:val="24"/>
        </w:rPr>
        <w:t xml:space="preserve"> collect</w:t>
      </w:r>
      <w:r w:rsidR="003D5240">
        <w:rPr>
          <w:szCs w:val="24"/>
        </w:rPr>
        <w:t>s</w:t>
      </w:r>
      <w:r w:rsidRPr="00583D21">
        <w:rPr>
          <w:szCs w:val="24"/>
        </w:rPr>
        <w:t xml:space="preserve"> and </w:t>
      </w:r>
      <w:r w:rsidR="00CA5AA2">
        <w:rPr>
          <w:szCs w:val="24"/>
        </w:rPr>
        <w:t>disburses</w:t>
      </w:r>
      <w:r w:rsidRPr="00583D21">
        <w:rPr>
          <w:szCs w:val="24"/>
        </w:rPr>
        <w:t xml:space="preserve"> revenue, gifts </w:t>
      </w:r>
      <w:r w:rsidR="008656A6">
        <w:rPr>
          <w:szCs w:val="24"/>
        </w:rPr>
        <w:t>[</w:t>
      </w:r>
      <w:proofErr w:type="spellStart"/>
      <w:r w:rsidRPr="00583D21">
        <w:rPr>
          <w:i/>
          <w:szCs w:val="24"/>
        </w:rPr>
        <w:t>pīshkish</w:t>
      </w:r>
      <w:proofErr w:type="spellEnd"/>
      <w:r w:rsidR="008656A6">
        <w:rPr>
          <w:szCs w:val="24"/>
        </w:rPr>
        <w:t>]</w:t>
      </w:r>
      <w:r w:rsidRPr="00583D21">
        <w:rPr>
          <w:szCs w:val="24"/>
        </w:rPr>
        <w:t xml:space="preserve">, and taxes </w:t>
      </w:r>
      <w:r w:rsidR="008656A6">
        <w:rPr>
          <w:szCs w:val="24"/>
        </w:rPr>
        <w:t>[</w:t>
      </w:r>
      <w:proofErr w:type="spellStart"/>
      <w:r w:rsidRPr="00583D21">
        <w:rPr>
          <w:i/>
          <w:szCs w:val="24"/>
        </w:rPr>
        <w:t>māliyāt</w:t>
      </w:r>
      <w:proofErr w:type="spellEnd"/>
      <w:r w:rsidR="008656A6">
        <w:rPr>
          <w:szCs w:val="24"/>
        </w:rPr>
        <w:t>]</w:t>
      </w:r>
      <w:r w:rsidRPr="00583D21">
        <w:rPr>
          <w:szCs w:val="24"/>
        </w:rPr>
        <w:t xml:space="preserve"> of regions near and far. Third is the </w:t>
      </w:r>
      <w:proofErr w:type="spellStart"/>
      <w:r w:rsidRPr="00583D21">
        <w:rPr>
          <w:i/>
          <w:szCs w:val="24"/>
        </w:rPr>
        <w:t>vazīr-i</w:t>
      </w:r>
      <w:proofErr w:type="spellEnd"/>
      <w:r w:rsidRPr="00583D21">
        <w:rPr>
          <w:i/>
          <w:szCs w:val="24"/>
        </w:rPr>
        <w:t xml:space="preserve"> </w:t>
      </w:r>
      <w:proofErr w:type="spellStart"/>
      <w:r w:rsidRPr="00583D21">
        <w:rPr>
          <w:i/>
          <w:szCs w:val="24"/>
        </w:rPr>
        <w:t>dār</w:t>
      </w:r>
      <w:proofErr w:type="spellEnd"/>
      <w:r w:rsidRPr="00583D21">
        <w:rPr>
          <w:i/>
          <w:szCs w:val="24"/>
        </w:rPr>
        <w:t xml:space="preserve"> al-</w:t>
      </w:r>
      <w:proofErr w:type="spellStart"/>
      <w:r w:rsidRPr="00583D21">
        <w:rPr>
          <w:i/>
          <w:szCs w:val="24"/>
        </w:rPr>
        <w:t>inshā</w:t>
      </w:r>
      <w:proofErr w:type="spellEnd"/>
      <w:r w:rsidRPr="00583D21">
        <w:rPr>
          <w:szCs w:val="24"/>
        </w:rPr>
        <w:t xml:space="preserve"> who by custom is known as </w:t>
      </w: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r w:rsidRPr="00583D21">
        <w:rPr>
          <w:szCs w:val="24"/>
        </w:rPr>
        <w:t xml:space="preserve"> and keeps the records of diplomatic correspondence and imperial decrees. Fourth is the </w:t>
      </w:r>
      <w:proofErr w:type="spellStart"/>
      <w:r w:rsidRPr="00583D21">
        <w:rPr>
          <w:i/>
          <w:szCs w:val="24"/>
        </w:rPr>
        <w:t>vazīr-i</w:t>
      </w:r>
      <w:proofErr w:type="spellEnd"/>
      <w:r w:rsidRPr="00583D21">
        <w:rPr>
          <w:i/>
          <w:szCs w:val="24"/>
        </w:rPr>
        <w:t xml:space="preserve"> ‘</w:t>
      </w:r>
      <w:proofErr w:type="spellStart"/>
      <w:r w:rsidRPr="00583D21">
        <w:rPr>
          <w:i/>
          <w:szCs w:val="24"/>
        </w:rPr>
        <w:t>askar</w:t>
      </w:r>
      <w:proofErr w:type="spellEnd"/>
      <w:r w:rsidRPr="00583D21">
        <w:rPr>
          <w:szCs w:val="24"/>
        </w:rPr>
        <w:t xml:space="preserve"> who heads military </w:t>
      </w:r>
      <w:proofErr w:type="gramStart"/>
      <w:r w:rsidRPr="00583D21">
        <w:rPr>
          <w:szCs w:val="24"/>
        </w:rPr>
        <w:t>affairs, and</w:t>
      </w:r>
      <w:proofErr w:type="gramEnd"/>
      <w:r w:rsidRPr="00583D21">
        <w:rPr>
          <w:szCs w:val="24"/>
        </w:rPr>
        <w:t xml:space="preserve"> is in charge of dispensing salaries and stipends to the royal troops, for presenting troops to the shah, and recruiting new soldiers.</w:t>
      </w:r>
      <w:r w:rsidRPr="00583D21">
        <w:rPr>
          <w:szCs w:val="24"/>
          <w:vertAlign w:val="superscript"/>
        </w:rPr>
        <w:endnoteReference w:id="31"/>
      </w:r>
    </w:p>
    <w:p w14:paraId="34ED0C4F" w14:textId="77777777" w:rsidR="00FC0D7E" w:rsidRPr="00583D21" w:rsidRDefault="00FC0D7E">
      <w:pPr>
        <w:spacing w:line="480" w:lineRule="auto"/>
        <w:rPr>
          <w:szCs w:val="24"/>
        </w:rPr>
      </w:pPr>
    </w:p>
    <w:p w14:paraId="04FE0D24" w14:textId="408B099E" w:rsidR="00FC0D7E" w:rsidRPr="00583D21" w:rsidRDefault="00FC0D7E" w:rsidP="008656A6">
      <w:pPr>
        <w:spacing w:line="480" w:lineRule="auto"/>
        <w:rPr>
          <w:szCs w:val="24"/>
        </w:rPr>
      </w:pPr>
      <w:r w:rsidRPr="00583D21">
        <w:rPr>
          <w:szCs w:val="24"/>
        </w:rPr>
        <w:t>Each minister’s responsibilities were, in theory, well</w:t>
      </w:r>
      <w:r w:rsidR="008656A6">
        <w:rPr>
          <w:szCs w:val="24"/>
        </w:rPr>
        <w:t xml:space="preserve"> </w:t>
      </w:r>
      <w:r w:rsidRPr="00583D21">
        <w:rPr>
          <w:szCs w:val="24"/>
        </w:rPr>
        <w:t xml:space="preserve">defined with a clear division among the advisory, financial, secretarial, and military officials. The nucleus of the central Qajar administration, which would continue to grow and expand during the </w:t>
      </w:r>
      <w:r w:rsidR="00753539" w:rsidRPr="00583D21">
        <w:rPr>
          <w:szCs w:val="24"/>
        </w:rPr>
        <w:t>19th</w:t>
      </w:r>
      <w:r w:rsidRPr="00583D21">
        <w:rPr>
          <w:szCs w:val="24"/>
        </w:rPr>
        <w:t xml:space="preserve"> century, was</w:t>
      </w:r>
      <w:r w:rsidR="00892ABA" w:rsidRPr="00583D21">
        <w:rPr>
          <w:szCs w:val="24"/>
        </w:rPr>
        <w:t xml:space="preserve"> thus</w:t>
      </w:r>
      <w:r w:rsidRPr="00583D21">
        <w:rPr>
          <w:szCs w:val="24"/>
        </w:rPr>
        <w:t xml:space="preserve"> created within the first ten years of Fath</w:t>
      </w:r>
      <w:r w:rsidR="008656A6" w:rsidRPr="00583D21">
        <w:rPr>
          <w:szCs w:val="24"/>
        </w:rPr>
        <w:t>-</w:t>
      </w:r>
      <w:proofErr w:type="spellStart"/>
      <w:r w:rsidR="008656A6" w:rsidRPr="005A7921">
        <w:rPr>
          <w:rFonts w:ascii="JaghbUni" w:hAnsi="JaghbUni"/>
          <w:szCs w:val="24"/>
        </w:rPr>
        <w:t>ʿ</w:t>
      </w:r>
      <w:r w:rsidRPr="00583D21">
        <w:rPr>
          <w:szCs w:val="24"/>
        </w:rPr>
        <w:t>Ali</w:t>
      </w:r>
      <w:proofErr w:type="spellEnd"/>
      <w:r w:rsidRPr="00583D21">
        <w:rPr>
          <w:szCs w:val="24"/>
        </w:rPr>
        <w:t xml:space="preserve"> Shah’s reign.</w:t>
      </w:r>
    </w:p>
    <w:p w14:paraId="265D4BB9" w14:textId="2B00D2F4" w:rsidR="003273E5" w:rsidRPr="00583D21" w:rsidRDefault="00CA069C" w:rsidP="008656A6">
      <w:pPr>
        <w:spacing w:line="480" w:lineRule="auto"/>
        <w:ind w:firstLine="720"/>
        <w:rPr>
          <w:szCs w:val="24"/>
        </w:rPr>
      </w:pPr>
      <w:r w:rsidRPr="00583D21">
        <w:rPr>
          <w:szCs w:val="24"/>
        </w:rPr>
        <w:t>Fath-</w:t>
      </w:r>
      <w:proofErr w:type="spellStart"/>
      <w:r w:rsidR="008656A6" w:rsidRPr="00CE11D6">
        <w:rPr>
          <w:rFonts w:ascii="JaghbUni" w:hAnsi="JaghbUni"/>
          <w:szCs w:val="24"/>
        </w:rPr>
        <w:t>ʿ</w:t>
      </w:r>
      <w:r w:rsidRPr="00583D21">
        <w:rPr>
          <w:szCs w:val="24"/>
        </w:rPr>
        <w:t>Ali</w:t>
      </w:r>
      <w:proofErr w:type="spellEnd"/>
      <w:r w:rsidRPr="00583D21">
        <w:rPr>
          <w:szCs w:val="24"/>
        </w:rPr>
        <w:t xml:space="preserve"> Shah’s </w:t>
      </w:r>
      <w:r w:rsidR="00197DDB" w:rsidRPr="00583D21">
        <w:rPr>
          <w:szCs w:val="24"/>
        </w:rPr>
        <w:t>development</w:t>
      </w:r>
      <w:r w:rsidRPr="00583D21">
        <w:rPr>
          <w:szCs w:val="24"/>
        </w:rPr>
        <w:t xml:space="preserve"> of the </w:t>
      </w:r>
      <w:proofErr w:type="spellStart"/>
      <w:r w:rsidR="00197DDB" w:rsidRPr="00583D21">
        <w:rPr>
          <w:i/>
          <w:iCs/>
          <w:szCs w:val="24"/>
        </w:rPr>
        <w:t>dīvān</w:t>
      </w:r>
      <w:proofErr w:type="spellEnd"/>
      <w:r w:rsidRPr="00583D21">
        <w:rPr>
          <w:szCs w:val="24"/>
        </w:rPr>
        <w:t xml:space="preserve"> was an effort to re-create the structure of Safavid administration, but also part of a broader strategy to resurrect the Safavid imperial system.</w:t>
      </w:r>
      <w:r w:rsidRPr="00583D21">
        <w:rPr>
          <w:szCs w:val="24"/>
          <w:vertAlign w:val="superscript"/>
        </w:rPr>
        <w:endnoteReference w:id="32"/>
      </w:r>
      <w:r w:rsidRPr="00583D21">
        <w:rPr>
          <w:szCs w:val="24"/>
        </w:rPr>
        <w:t xml:space="preserve"> Shirazi’s descriptions of the early Qajar </w:t>
      </w:r>
      <w:proofErr w:type="spellStart"/>
      <w:r w:rsidRPr="00583D21">
        <w:rPr>
          <w:i/>
          <w:szCs w:val="24"/>
        </w:rPr>
        <w:t>dīvān</w:t>
      </w:r>
      <w:proofErr w:type="spellEnd"/>
      <w:r w:rsidRPr="00583D21">
        <w:rPr>
          <w:szCs w:val="24"/>
        </w:rPr>
        <w:t xml:space="preserve"> offices echo the descriptions that Safavid-era administrative manuals</w:t>
      </w:r>
      <w:r w:rsidR="003273E5" w:rsidRPr="00583D21">
        <w:rPr>
          <w:szCs w:val="24"/>
        </w:rPr>
        <w:t xml:space="preserve">, </w:t>
      </w:r>
      <w:r w:rsidRPr="00583D21">
        <w:rPr>
          <w:szCs w:val="24"/>
        </w:rPr>
        <w:t xml:space="preserve">like the </w:t>
      </w:r>
      <w:proofErr w:type="spellStart"/>
      <w:r w:rsidRPr="00583D21">
        <w:rPr>
          <w:i/>
          <w:szCs w:val="24"/>
        </w:rPr>
        <w:t>Taẕkirat</w:t>
      </w:r>
      <w:proofErr w:type="spellEnd"/>
      <w:r w:rsidRPr="00583D21">
        <w:rPr>
          <w:i/>
          <w:szCs w:val="24"/>
        </w:rPr>
        <w:t xml:space="preserve"> al-</w:t>
      </w:r>
      <w:proofErr w:type="spellStart"/>
      <w:r w:rsidRPr="00583D21">
        <w:rPr>
          <w:i/>
          <w:szCs w:val="24"/>
        </w:rPr>
        <w:t>Mulūk</w:t>
      </w:r>
      <w:proofErr w:type="spellEnd"/>
      <w:r w:rsidR="00A449B4">
        <w:rPr>
          <w:iCs/>
          <w:szCs w:val="24"/>
        </w:rPr>
        <w:t xml:space="preserve"> (Memorial for Kings)</w:t>
      </w:r>
      <w:r w:rsidR="003273E5" w:rsidRPr="00583D21">
        <w:rPr>
          <w:iCs/>
          <w:szCs w:val="24"/>
        </w:rPr>
        <w:t>,</w:t>
      </w:r>
      <w:r w:rsidRPr="00583D21">
        <w:rPr>
          <w:iCs/>
          <w:szCs w:val="24"/>
        </w:rPr>
        <w:t xml:space="preserve"> provided </w:t>
      </w:r>
      <w:r w:rsidRPr="00583D21">
        <w:rPr>
          <w:szCs w:val="24"/>
        </w:rPr>
        <w:lastRenderedPageBreak/>
        <w:t>for</w:t>
      </w:r>
      <w:r w:rsidR="00364E60" w:rsidRPr="00583D21">
        <w:rPr>
          <w:szCs w:val="24"/>
        </w:rPr>
        <w:t xml:space="preserve"> similar political offices</w:t>
      </w:r>
      <w:r w:rsidRPr="00583D21">
        <w:rPr>
          <w:szCs w:val="24"/>
        </w:rPr>
        <w:t>.</w:t>
      </w:r>
      <w:r w:rsidRPr="00583D21">
        <w:rPr>
          <w:szCs w:val="24"/>
          <w:vertAlign w:val="superscript"/>
        </w:rPr>
        <w:endnoteReference w:id="33"/>
      </w:r>
      <w:r w:rsidRPr="00583D21">
        <w:rPr>
          <w:szCs w:val="24"/>
        </w:rPr>
        <w:t xml:space="preserve"> In formal terms, </w:t>
      </w:r>
      <w:r w:rsidR="00C14313" w:rsidRPr="00583D21">
        <w:rPr>
          <w:szCs w:val="24"/>
        </w:rPr>
        <w:t xml:space="preserve">the </w:t>
      </w:r>
      <w:r w:rsidRPr="00583D21">
        <w:rPr>
          <w:szCs w:val="24"/>
        </w:rPr>
        <w:t xml:space="preserve">early Qajar </w:t>
      </w:r>
      <w:proofErr w:type="spellStart"/>
      <w:r w:rsidR="00C14313" w:rsidRPr="00583D21">
        <w:rPr>
          <w:i/>
          <w:iCs/>
          <w:szCs w:val="24"/>
        </w:rPr>
        <w:t>dīvān</w:t>
      </w:r>
      <w:proofErr w:type="spellEnd"/>
      <w:r w:rsidR="00C743DF" w:rsidRPr="00583D21">
        <w:rPr>
          <w:szCs w:val="24"/>
        </w:rPr>
        <w:t xml:space="preserve"> </w:t>
      </w:r>
      <w:r w:rsidR="00C14313" w:rsidRPr="00583D21">
        <w:rPr>
          <w:szCs w:val="24"/>
        </w:rPr>
        <w:t xml:space="preserve">continued in the tradition of the Safavid </w:t>
      </w:r>
      <w:proofErr w:type="spellStart"/>
      <w:r w:rsidR="00C14313" w:rsidRPr="00583D21">
        <w:rPr>
          <w:i/>
          <w:iCs/>
          <w:szCs w:val="24"/>
        </w:rPr>
        <w:t>dīvān</w:t>
      </w:r>
      <w:proofErr w:type="spellEnd"/>
      <w:r w:rsidR="00750850" w:rsidRPr="00583D21">
        <w:rPr>
          <w:szCs w:val="24"/>
        </w:rPr>
        <w:t>—</w:t>
      </w:r>
      <w:r w:rsidR="00C743DF" w:rsidRPr="00583D21">
        <w:rPr>
          <w:szCs w:val="24"/>
        </w:rPr>
        <w:t xml:space="preserve">in fact, as an institution, the </w:t>
      </w:r>
      <w:proofErr w:type="spellStart"/>
      <w:r w:rsidR="00C743DF" w:rsidRPr="00583D21">
        <w:rPr>
          <w:i/>
          <w:iCs/>
          <w:szCs w:val="24"/>
        </w:rPr>
        <w:t>dīvān</w:t>
      </w:r>
      <w:proofErr w:type="spellEnd"/>
      <w:r w:rsidR="00C743DF" w:rsidRPr="00583D21">
        <w:rPr>
          <w:szCs w:val="24"/>
        </w:rPr>
        <w:t xml:space="preserve"> </w:t>
      </w:r>
      <w:r w:rsidR="00C14313" w:rsidRPr="00583D21">
        <w:rPr>
          <w:szCs w:val="24"/>
        </w:rPr>
        <w:t xml:space="preserve">probably </w:t>
      </w:r>
      <w:r w:rsidR="00C743DF" w:rsidRPr="00583D21">
        <w:rPr>
          <w:szCs w:val="24"/>
        </w:rPr>
        <w:t xml:space="preserve">had roots </w:t>
      </w:r>
      <w:r w:rsidR="00C14313" w:rsidRPr="00583D21">
        <w:rPr>
          <w:szCs w:val="24"/>
        </w:rPr>
        <w:t>dating to the Sasanian Empire (224–551</w:t>
      </w:r>
      <w:r w:rsidR="008656A6">
        <w:rPr>
          <w:szCs w:val="24"/>
        </w:rPr>
        <w:t xml:space="preserve"> CE</w:t>
      </w:r>
      <w:r w:rsidR="00C14313" w:rsidRPr="00583D21">
        <w:rPr>
          <w:szCs w:val="24"/>
        </w:rPr>
        <w:t>).</w:t>
      </w:r>
      <w:r w:rsidR="00C14313" w:rsidRPr="00583D21">
        <w:rPr>
          <w:szCs w:val="24"/>
          <w:vertAlign w:val="superscript"/>
        </w:rPr>
        <w:endnoteReference w:id="34"/>
      </w:r>
      <w:r w:rsidR="00C14313" w:rsidRPr="00583D21">
        <w:rPr>
          <w:szCs w:val="24"/>
        </w:rPr>
        <w:t xml:space="preserve"> </w:t>
      </w:r>
      <w:r w:rsidR="003273E5" w:rsidRPr="00583D21">
        <w:rPr>
          <w:szCs w:val="24"/>
        </w:rPr>
        <w:t xml:space="preserve">At the same time, however, </w:t>
      </w:r>
      <w:r w:rsidR="00E72F4E">
        <w:rPr>
          <w:szCs w:val="24"/>
        </w:rPr>
        <w:t>Agha</w:t>
      </w:r>
      <w:r w:rsidR="003273E5" w:rsidRPr="00583D21">
        <w:rPr>
          <w:szCs w:val="24"/>
        </w:rPr>
        <w:t xml:space="preserve"> Muhammad Khan and Fath-</w:t>
      </w:r>
      <w:proofErr w:type="spellStart"/>
      <w:r w:rsidR="008656A6" w:rsidRPr="005A7921">
        <w:rPr>
          <w:rFonts w:ascii="JaghbUni" w:hAnsi="JaghbUni"/>
          <w:szCs w:val="24"/>
        </w:rPr>
        <w:t>ʿ</w:t>
      </w:r>
      <w:r w:rsidR="003273E5" w:rsidRPr="00583D21">
        <w:rPr>
          <w:szCs w:val="24"/>
        </w:rPr>
        <w:t>Ali</w:t>
      </w:r>
      <w:proofErr w:type="spellEnd"/>
      <w:r w:rsidR="003273E5" w:rsidRPr="00583D21">
        <w:rPr>
          <w:szCs w:val="24"/>
        </w:rPr>
        <w:t xml:space="preserve"> Shah expanded their territorial reach to former Safavid domains. </w:t>
      </w:r>
      <w:r w:rsidR="00FC0D7E" w:rsidRPr="00583D21">
        <w:rPr>
          <w:szCs w:val="24"/>
        </w:rPr>
        <w:t xml:space="preserve">In 1785, Qajar control was limited to the </w:t>
      </w:r>
      <w:proofErr w:type="spellStart"/>
      <w:r w:rsidR="00FC0D7E" w:rsidRPr="00583D21">
        <w:rPr>
          <w:szCs w:val="24"/>
        </w:rPr>
        <w:t>Alburz</w:t>
      </w:r>
      <w:proofErr w:type="spellEnd"/>
      <w:r w:rsidR="00FC0D7E" w:rsidRPr="00583D21">
        <w:rPr>
          <w:szCs w:val="24"/>
        </w:rPr>
        <w:t xml:space="preserve"> region, along the southern littoral of the Caspian Sea, and beyond that, to some areas in northern and northwestern Iran.</w:t>
      </w:r>
      <w:r w:rsidR="00FC0D7E" w:rsidRPr="00583D21">
        <w:rPr>
          <w:szCs w:val="24"/>
          <w:vertAlign w:val="superscript"/>
        </w:rPr>
        <w:endnoteReference w:id="35"/>
      </w:r>
      <w:r w:rsidR="00FC0D7E" w:rsidRPr="00583D21">
        <w:rPr>
          <w:szCs w:val="24"/>
        </w:rPr>
        <w:t xml:space="preserve"> By the middle of the first decade of the </w:t>
      </w:r>
      <w:r w:rsidR="00753539" w:rsidRPr="00583D21">
        <w:rPr>
          <w:szCs w:val="24"/>
        </w:rPr>
        <w:t>19th</w:t>
      </w:r>
      <w:r w:rsidR="00FC0D7E" w:rsidRPr="00583D21">
        <w:rPr>
          <w:szCs w:val="24"/>
        </w:rPr>
        <w:t xml:space="preserve"> century, the </w:t>
      </w:r>
      <w:proofErr w:type="spellStart"/>
      <w:r w:rsidR="00FC0D7E" w:rsidRPr="00583D21">
        <w:rPr>
          <w:szCs w:val="24"/>
        </w:rPr>
        <w:t>Qajars</w:t>
      </w:r>
      <w:proofErr w:type="spellEnd"/>
      <w:r w:rsidR="00FC0D7E" w:rsidRPr="00583D21">
        <w:rPr>
          <w:szCs w:val="24"/>
        </w:rPr>
        <w:t xml:space="preserve"> had effectively extended their authority from the Caucasus in the north to the Persian Gulf in the south, and from Kermanshah in the west to Khurasan in the east</w:t>
      </w:r>
      <w:r w:rsidR="00750850" w:rsidRPr="00583D21">
        <w:rPr>
          <w:szCs w:val="24"/>
        </w:rPr>
        <w:t>—</w:t>
      </w:r>
      <w:r w:rsidR="00FC0D7E" w:rsidRPr="00583D21">
        <w:rPr>
          <w:szCs w:val="24"/>
        </w:rPr>
        <w:t xml:space="preserve">the approximate frontiers of the Safavid Empire in the late </w:t>
      </w:r>
      <w:r w:rsidR="00753539" w:rsidRPr="00583D21">
        <w:rPr>
          <w:szCs w:val="24"/>
        </w:rPr>
        <w:t>17th</w:t>
      </w:r>
      <w:r w:rsidR="00FC0D7E" w:rsidRPr="00583D21">
        <w:rPr>
          <w:szCs w:val="24"/>
        </w:rPr>
        <w:t xml:space="preserve"> century.</w:t>
      </w:r>
      <w:r w:rsidR="00FC0D7E" w:rsidRPr="00583D21">
        <w:rPr>
          <w:szCs w:val="24"/>
          <w:vertAlign w:val="superscript"/>
        </w:rPr>
        <w:endnoteReference w:id="36"/>
      </w:r>
      <w:r w:rsidR="00FC0D7E" w:rsidRPr="00583D21">
        <w:rPr>
          <w:szCs w:val="24"/>
        </w:rPr>
        <w:t xml:space="preserve"> </w:t>
      </w:r>
      <w:r w:rsidR="003273E5" w:rsidRPr="00583D21">
        <w:rPr>
          <w:szCs w:val="24"/>
        </w:rPr>
        <w:t xml:space="preserve">In that sense, the growth in the number and organization of offices should </w:t>
      </w:r>
      <w:r w:rsidR="00351C9B" w:rsidRPr="00583D21">
        <w:rPr>
          <w:szCs w:val="24"/>
        </w:rPr>
        <w:t xml:space="preserve">also </w:t>
      </w:r>
      <w:r w:rsidR="003273E5" w:rsidRPr="00583D21">
        <w:rPr>
          <w:szCs w:val="24"/>
        </w:rPr>
        <w:t xml:space="preserve">be seen </w:t>
      </w:r>
      <w:r w:rsidR="00351C9B" w:rsidRPr="00583D21">
        <w:rPr>
          <w:szCs w:val="24"/>
        </w:rPr>
        <w:t xml:space="preserve">as reflecting the rising </w:t>
      </w:r>
      <w:r w:rsidR="003273E5" w:rsidRPr="00583D21">
        <w:rPr>
          <w:szCs w:val="24"/>
        </w:rPr>
        <w:t xml:space="preserve">demands of </w:t>
      </w:r>
      <w:r w:rsidR="00197DDB" w:rsidRPr="00583D21">
        <w:rPr>
          <w:szCs w:val="24"/>
        </w:rPr>
        <w:t xml:space="preserve">a growing </w:t>
      </w:r>
      <w:r w:rsidR="00351C9B" w:rsidRPr="00583D21">
        <w:rPr>
          <w:szCs w:val="24"/>
        </w:rPr>
        <w:t>empire.</w:t>
      </w:r>
      <w:r w:rsidR="00FC0D7E" w:rsidRPr="00583D21">
        <w:rPr>
          <w:szCs w:val="24"/>
        </w:rPr>
        <w:t xml:space="preserve"> </w:t>
      </w:r>
    </w:p>
    <w:p w14:paraId="284AB14B" w14:textId="17122F37" w:rsidR="00E425B4" w:rsidRPr="00583D21" w:rsidRDefault="00197DDB" w:rsidP="003B11A9">
      <w:pPr>
        <w:spacing w:line="480" w:lineRule="auto"/>
        <w:ind w:firstLine="720"/>
        <w:rPr>
          <w:szCs w:val="24"/>
        </w:rPr>
      </w:pPr>
      <w:r w:rsidRPr="00583D21">
        <w:rPr>
          <w:szCs w:val="24"/>
        </w:rPr>
        <w:t xml:space="preserve">Expanding </w:t>
      </w:r>
      <w:r w:rsidR="007E2F64" w:rsidRPr="00583D21">
        <w:rPr>
          <w:szCs w:val="24"/>
        </w:rPr>
        <w:t xml:space="preserve">Qajar </w:t>
      </w:r>
      <w:r w:rsidR="00070EC1" w:rsidRPr="00583D21">
        <w:rPr>
          <w:szCs w:val="24"/>
        </w:rPr>
        <w:t>territorial control</w:t>
      </w:r>
      <w:r w:rsidR="007E2F64" w:rsidRPr="00583D21">
        <w:rPr>
          <w:szCs w:val="24"/>
        </w:rPr>
        <w:t xml:space="preserve"> also meant that th</w:t>
      </w:r>
      <w:r w:rsidR="00070EC1" w:rsidRPr="00583D21">
        <w:rPr>
          <w:szCs w:val="24"/>
        </w:rPr>
        <w:t xml:space="preserve">ere was a need for ministers and </w:t>
      </w:r>
      <w:r w:rsidR="003B11A9" w:rsidRPr="00583D21">
        <w:rPr>
          <w:szCs w:val="24"/>
        </w:rPr>
        <w:t>secretaries</w:t>
      </w:r>
      <w:r w:rsidR="00070EC1" w:rsidRPr="00583D21">
        <w:rPr>
          <w:szCs w:val="24"/>
        </w:rPr>
        <w:t xml:space="preserve"> to be based in cities and towns across the empire. </w:t>
      </w:r>
      <w:r w:rsidR="007E2F64" w:rsidRPr="00583D21">
        <w:rPr>
          <w:szCs w:val="24"/>
        </w:rPr>
        <w:t>Provincial cities across Qajar Iran</w:t>
      </w:r>
      <w:r w:rsidR="00070EC1" w:rsidRPr="00583D21">
        <w:rPr>
          <w:szCs w:val="24"/>
        </w:rPr>
        <w:t xml:space="preserve">, including Tabriz, Shiraz, Mashhad, Isfahan, Kermanshah, Qazvin, Yazd, and Kerman, all had Qajar prince-governors with their respective ministers, secretaries, and scribes. Some of these provincial </w:t>
      </w:r>
      <w:proofErr w:type="spellStart"/>
      <w:r w:rsidR="00070EC1" w:rsidRPr="00583D21">
        <w:rPr>
          <w:i/>
          <w:iCs/>
          <w:szCs w:val="24"/>
        </w:rPr>
        <w:t>dīvān</w:t>
      </w:r>
      <w:proofErr w:type="spellEnd"/>
      <w:r w:rsidR="00070EC1" w:rsidRPr="00583D21">
        <w:rPr>
          <w:szCs w:val="24"/>
        </w:rPr>
        <w:t xml:space="preserve"> </w:t>
      </w:r>
      <w:r w:rsidR="007E2F64" w:rsidRPr="00583D21">
        <w:rPr>
          <w:szCs w:val="24"/>
        </w:rPr>
        <w:t xml:space="preserve">officials </w:t>
      </w:r>
      <w:r w:rsidR="00070EC1" w:rsidRPr="00583D21">
        <w:rPr>
          <w:szCs w:val="24"/>
        </w:rPr>
        <w:t xml:space="preserve">were promoted up the chain to </w:t>
      </w:r>
      <w:r w:rsidR="007E2F64" w:rsidRPr="00583D21">
        <w:rPr>
          <w:szCs w:val="24"/>
        </w:rPr>
        <w:t xml:space="preserve">Tehran, with Tabriz and Shiraz being especially noteworthy “feeder” </w:t>
      </w:r>
      <w:r w:rsidR="00070EC1" w:rsidRPr="00583D21">
        <w:rPr>
          <w:szCs w:val="24"/>
        </w:rPr>
        <w:t>cities</w:t>
      </w:r>
      <w:r w:rsidR="007E2F64" w:rsidRPr="00583D21">
        <w:rPr>
          <w:szCs w:val="24"/>
        </w:rPr>
        <w:t>.</w:t>
      </w:r>
      <w:r w:rsidR="007E2F64" w:rsidRPr="00583D21">
        <w:rPr>
          <w:rStyle w:val="EndnoteReference"/>
          <w:szCs w:val="24"/>
        </w:rPr>
        <w:endnoteReference w:id="37"/>
      </w:r>
      <w:r w:rsidR="007E2F64" w:rsidRPr="00583D21">
        <w:rPr>
          <w:szCs w:val="24"/>
        </w:rPr>
        <w:t xml:space="preserve"> But an underappreciated point is that the provincial administrative system was not limited to well-known </w:t>
      </w:r>
      <w:r w:rsidR="00070EC1" w:rsidRPr="00583D21">
        <w:rPr>
          <w:szCs w:val="24"/>
        </w:rPr>
        <w:t>provincial capital</w:t>
      </w:r>
      <w:r w:rsidR="007E2F64" w:rsidRPr="00583D21">
        <w:rPr>
          <w:szCs w:val="24"/>
        </w:rPr>
        <w:t xml:space="preserve"> cities. The city of </w:t>
      </w:r>
      <w:proofErr w:type="spellStart"/>
      <w:r w:rsidR="007E2F64" w:rsidRPr="00583D21">
        <w:rPr>
          <w:szCs w:val="24"/>
        </w:rPr>
        <w:t>Nakhchivan</w:t>
      </w:r>
      <w:proofErr w:type="spellEnd"/>
      <w:r w:rsidR="007E2F64" w:rsidRPr="00583D21">
        <w:rPr>
          <w:szCs w:val="24"/>
        </w:rPr>
        <w:t xml:space="preserve">, which until 1828 was part of the Qajar province of Azerbaijan and under the aegis of </w:t>
      </w:r>
      <w:proofErr w:type="spellStart"/>
      <w:r w:rsidR="008656A6" w:rsidRPr="005A7921">
        <w:rPr>
          <w:rFonts w:ascii="JaghbUni" w:hAnsi="JaghbUni"/>
          <w:szCs w:val="24"/>
        </w:rPr>
        <w:t>ʿ</w:t>
      </w:r>
      <w:r w:rsidR="007E2F64" w:rsidRPr="00583D21">
        <w:rPr>
          <w:szCs w:val="24"/>
        </w:rPr>
        <w:t>Abbas</w:t>
      </w:r>
      <w:proofErr w:type="spellEnd"/>
      <w:r w:rsidR="007E2F64" w:rsidRPr="00583D21">
        <w:rPr>
          <w:szCs w:val="24"/>
        </w:rPr>
        <w:t xml:space="preserve"> Mirza, is a good example. Hundreds of </w:t>
      </w:r>
      <w:r w:rsidR="00070EC1" w:rsidRPr="00583D21">
        <w:rPr>
          <w:szCs w:val="24"/>
        </w:rPr>
        <w:t xml:space="preserve">early </w:t>
      </w:r>
      <w:r w:rsidR="00753539" w:rsidRPr="00583D21">
        <w:rPr>
          <w:szCs w:val="24"/>
        </w:rPr>
        <w:t>19th</w:t>
      </w:r>
      <w:r w:rsidR="00070EC1" w:rsidRPr="00583D21">
        <w:rPr>
          <w:szCs w:val="24"/>
        </w:rPr>
        <w:t xml:space="preserve">-century </w:t>
      </w:r>
      <w:r w:rsidR="00293761" w:rsidRPr="00583D21">
        <w:rPr>
          <w:szCs w:val="24"/>
        </w:rPr>
        <w:t>decrees (</w:t>
      </w:r>
      <w:proofErr w:type="spellStart"/>
      <w:r w:rsidR="00293761" w:rsidRPr="00583D21">
        <w:rPr>
          <w:i/>
          <w:iCs/>
          <w:szCs w:val="24"/>
        </w:rPr>
        <w:t>firmān</w:t>
      </w:r>
      <w:proofErr w:type="spellEnd"/>
      <w:r w:rsidR="00293761" w:rsidRPr="00583D21">
        <w:rPr>
          <w:szCs w:val="24"/>
        </w:rPr>
        <w:t>)</w:t>
      </w:r>
      <w:r w:rsidR="007E2F64" w:rsidRPr="00583D21">
        <w:rPr>
          <w:szCs w:val="24"/>
        </w:rPr>
        <w:t>, petitions, and other forms of correspondence</w:t>
      </w:r>
      <w:r w:rsidR="00893A0B" w:rsidRPr="00583D21">
        <w:rPr>
          <w:szCs w:val="24"/>
        </w:rPr>
        <w:t xml:space="preserve"> survive from the local </w:t>
      </w:r>
      <w:proofErr w:type="spellStart"/>
      <w:r w:rsidR="00893A0B" w:rsidRPr="00583D21">
        <w:rPr>
          <w:szCs w:val="24"/>
        </w:rPr>
        <w:t>Nakhchivan</w:t>
      </w:r>
      <w:proofErr w:type="spellEnd"/>
      <w:r w:rsidR="00893A0B" w:rsidRPr="00583D21">
        <w:rPr>
          <w:szCs w:val="24"/>
        </w:rPr>
        <w:t xml:space="preserve"> </w:t>
      </w:r>
      <w:proofErr w:type="spellStart"/>
      <w:r w:rsidR="00893A0B" w:rsidRPr="00583D21">
        <w:rPr>
          <w:i/>
          <w:iCs/>
          <w:szCs w:val="24"/>
        </w:rPr>
        <w:t>dīvān</w:t>
      </w:r>
      <w:proofErr w:type="spellEnd"/>
      <w:r w:rsidR="00893A0B" w:rsidRPr="00583D21">
        <w:rPr>
          <w:szCs w:val="24"/>
        </w:rPr>
        <w:t xml:space="preserve">. Because the correspondence includes political orders and requests exchanged between Tehran, Tabriz, </w:t>
      </w:r>
      <w:proofErr w:type="spellStart"/>
      <w:r w:rsidR="00893A0B" w:rsidRPr="00583D21">
        <w:rPr>
          <w:szCs w:val="24"/>
        </w:rPr>
        <w:t>Nakhchivan</w:t>
      </w:r>
      <w:proofErr w:type="spellEnd"/>
      <w:r w:rsidR="00893A0B" w:rsidRPr="00583D21">
        <w:rPr>
          <w:szCs w:val="24"/>
        </w:rPr>
        <w:t>, and other locales, two noteworthy points emerge</w:t>
      </w:r>
      <w:r w:rsidR="00293761" w:rsidRPr="00583D21">
        <w:rPr>
          <w:szCs w:val="24"/>
        </w:rPr>
        <w:t>: first</w:t>
      </w:r>
      <w:r w:rsidR="00893A0B" w:rsidRPr="00583D21">
        <w:rPr>
          <w:szCs w:val="24"/>
        </w:rPr>
        <w:t>,</w:t>
      </w:r>
      <w:r w:rsidR="00293761" w:rsidRPr="00583D21">
        <w:rPr>
          <w:szCs w:val="24"/>
        </w:rPr>
        <w:t xml:space="preserve"> the provincial town of </w:t>
      </w:r>
      <w:proofErr w:type="spellStart"/>
      <w:r w:rsidR="00293761" w:rsidRPr="00583D21">
        <w:rPr>
          <w:szCs w:val="24"/>
        </w:rPr>
        <w:lastRenderedPageBreak/>
        <w:t>Nakhchivan</w:t>
      </w:r>
      <w:proofErr w:type="spellEnd"/>
      <w:r w:rsidR="00293761" w:rsidRPr="00583D21">
        <w:rPr>
          <w:szCs w:val="24"/>
        </w:rPr>
        <w:t xml:space="preserve"> was linked to other Qajar provincial cities</w:t>
      </w:r>
      <w:r w:rsidR="00EE509C" w:rsidRPr="00583D21">
        <w:rPr>
          <w:szCs w:val="24"/>
        </w:rPr>
        <w:t>,</w:t>
      </w:r>
      <w:r w:rsidR="00293761" w:rsidRPr="00583D21">
        <w:rPr>
          <w:szCs w:val="24"/>
        </w:rPr>
        <w:t xml:space="preserve"> as well as to larger capital cities; second, there were </w:t>
      </w:r>
      <w:r w:rsidR="007E2F64" w:rsidRPr="00583D21">
        <w:rPr>
          <w:szCs w:val="24"/>
        </w:rPr>
        <w:t xml:space="preserve">secretaries and scribes </w:t>
      </w:r>
      <w:r w:rsidR="00293761" w:rsidRPr="00583D21">
        <w:rPr>
          <w:szCs w:val="24"/>
        </w:rPr>
        <w:t xml:space="preserve">active in the local </w:t>
      </w:r>
      <w:proofErr w:type="spellStart"/>
      <w:r w:rsidR="00293761" w:rsidRPr="00583D21">
        <w:rPr>
          <w:szCs w:val="24"/>
        </w:rPr>
        <w:t>Nakhchivan</w:t>
      </w:r>
      <w:proofErr w:type="spellEnd"/>
      <w:r w:rsidR="00293761" w:rsidRPr="00583D21">
        <w:rPr>
          <w:szCs w:val="24"/>
        </w:rPr>
        <w:t xml:space="preserve"> </w:t>
      </w:r>
      <w:proofErr w:type="spellStart"/>
      <w:r w:rsidR="00293761" w:rsidRPr="00583D21">
        <w:rPr>
          <w:i/>
          <w:iCs/>
          <w:szCs w:val="24"/>
        </w:rPr>
        <w:t>dīvān</w:t>
      </w:r>
      <w:proofErr w:type="spellEnd"/>
      <w:r w:rsidR="00293761" w:rsidRPr="00583D21">
        <w:rPr>
          <w:szCs w:val="24"/>
        </w:rPr>
        <w:t xml:space="preserve"> </w:t>
      </w:r>
      <w:r w:rsidR="007E2F64" w:rsidRPr="00583D21">
        <w:rPr>
          <w:iCs/>
          <w:szCs w:val="24"/>
        </w:rPr>
        <w:t xml:space="preserve">who wrote and recorded the </w:t>
      </w:r>
      <w:r w:rsidR="00293761" w:rsidRPr="00583D21">
        <w:rPr>
          <w:iCs/>
          <w:szCs w:val="24"/>
        </w:rPr>
        <w:t>political correspondence</w:t>
      </w:r>
      <w:r w:rsidR="00893A0B" w:rsidRPr="00583D21">
        <w:rPr>
          <w:iCs/>
          <w:szCs w:val="24"/>
        </w:rPr>
        <w:t xml:space="preserve"> that now survives</w:t>
      </w:r>
      <w:r w:rsidR="007E2F64" w:rsidRPr="00583D21">
        <w:rPr>
          <w:iCs/>
          <w:szCs w:val="24"/>
        </w:rPr>
        <w:t>.</w:t>
      </w:r>
      <w:r w:rsidR="007E2F64" w:rsidRPr="00583D21">
        <w:rPr>
          <w:szCs w:val="24"/>
          <w:vertAlign w:val="superscript"/>
        </w:rPr>
        <w:endnoteReference w:id="38"/>
      </w:r>
      <w:r w:rsidR="007E2F64" w:rsidRPr="00583D21">
        <w:rPr>
          <w:szCs w:val="24"/>
        </w:rPr>
        <w:t xml:space="preserve"> </w:t>
      </w:r>
      <w:r w:rsidR="00070EC1" w:rsidRPr="00583D21">
        <w:rPr>
          <w:szCs w:val="24"/>
        </w:rPr>
        <w:t>It is not unreasonable to imagine similar situations in smaller cities and towns across Qajar domains.</w:t>
      </w:r>
    </w:p>
    <w:p w14:paraId="2CD30F3A" w14:textId="5616DA5E" w:rsidR="003B0C7F" w:rsidRPr="00583D21" w:rsidRDefault="00E425B4" w:rsidP="00DD669E">
      <w:pPr>
        <w:spacing w:line="480" w:lineRule="auto"/>
        <w:ind w:firstLine="720"/>
        <w:rPr>
          <w:szCs w:val="24"/>
        </w:rPr>
      </w:pPr>
      <w:r w:rsidRPr="00583D21">
        <w:rPr>
          <w:szCs w:val="24"/>
        </w:rPr>
        <w:t xml:space="preserve">A growing administration at the capital, provincial, and local levels also </w:t>
      </w:r>
      <w:r w:rsidR="000B684A" w:rsidRPr="00583D21">
        <w:rPr>
          <w:szCs w:val="24"/>
        </w:rPr>
        <w:t xml:space="preserve">contributed to the </w:t>
      </w:r>
      <w:r w:rsidR="00FF42E8" w:rsidRPr="00583D21">
        <w:rPr>
          <w:szCs w:val="24"/>
        </w:rPr>
        <w:t xml:space="preserve">relative political stability </w:t>
      </w:r>
      <w:r w:rsidR="000B684A" w:rsidRPr="00583D21">
        <w:rPr>
          <w:szCs w:val="24"/>
        </w:rPr>
        <w:t>under early Qajar rulers</w:t>
      </w:r>
      <w:r w:rsidR="00FF42E8" w:rsidRPr="00583D21">
        <w:rPr>
          <w:szCs w:val="24"/>
        </w:rPr>
        <w:t>, especially when compared to the 18th century</w:t>
      </w:r>
      <w:r w:rsidR="003B0C7F" w:rsidRPr="00583D21">
        <w:rPr>
          <w:szCs w:val="24"/>
        </w:rPr>
        <w:t>.</w:t>
      </w:r>
      <w:r w:rsidR="003B0C7F" w:rsidRPr="00583D21">
        <w:rPr>
          <w:szCs w:val="24"/>
          <w:vertAlign w:val="superscript"/>
        </w:rPr>
        <w:endnoteReference w:id="39"/>
      </w:r>
      <w:r w:rsidR="005B63D3" w:rsidRPr="00583D21">
        <w:rPr>
          <w:szCs w:val="24"/>
        </w:rPr>
        <w:t xml:space="preserve"> While other factors besides the </w:t>
      </w:r>
      <w:proofErr w:type="spellStart"/>
      <w:r w:rsidR="005B63D3" w:rsidRPr="00583D21">
        <w:rPr>
          <w:i/>
          <w:iCs/>
          <w:szCs w:val="24"/>
        </w:rPr>
        <w:t>dīvān</w:t>
      </w:r>
      <w:proofErr w:type="spellEnd"/>
      <w:r w:rsidR="00750850" w:rsidRPr="00583D21">
        <w:rPr>
          <w:szCs w:val="24"/>
        </w:rPr>
        <w:t>—</w:t>
      </w:r>
      <w:r w:rsidR="005B63D3" w:rsidRPr="00583D21">
        <w:rPr>
          <w:szCs w:val="24"/>
        </w:rPr>
        <w:t xml:space="preserve">including </w:t>
      </w:r>
      <w:r w:rsidR="00A47239" w:rsidRPr="00583D21">
        <w:rPr>
          <w:szCs w:val="24"/>
        </w:rPr>
        <w:t xml:space="preserve">legal institutions, </w:t>
      </w:r>
      <w:r w:rsidR="005B63D3" w:rsidRPr="00583D21">
        <w:rPr>
          <w:szCs w:val="24"/>
        </w:rPr>
        <w:t xml:space="preserve">provincial households, </w:t>
      </w:r>
      <w:r w:rsidR="00A47239" w:rsidRPr="00583D21">
        <w:rPr>
          <w:szCs w:val="24"/>
        </w:rPr>
        <w:t>and mercantile activity</w:t>
      </w:r>
      <w:r w:rsidR="00750850" w:rsidRPr="00583D21">
        <w:rPr>
          <w:szCs w:val="24"/>
        </w:rPr>
        <w:t>—</w:t>
      </w:r>
      <w:r w:rsidR="00A47239" w:rsidRPr="00583D21">
        <w:rPr>
          <w:szCs w:val="24"/>
        </w:rPr>
        <w:t xml:space="preserve">undoubtedly contributed to the </w:t>
      </w:r>
      <w:r w:rsidR="00FF42E8" w:rsidRPr="00583D21">
        <w:rPr>
          <w:szCs w:val="24"/>
        </w:rPr>
        <w:t xml:space="preserve">political and economic recovery </w:t>
      </w:r>
      <w:r w:rsidR="000B684A" w:rsidRPr="00583D21">
        <w:rPr>
          <w:szCs w:val="24"/>
        </w:rPr>
        <w:t xml:space="preserve">of the Qajar period, an </w:t>
      </w:r>
      <w:r w:rsidR="006E7E16" w:rsidRPr="00583D21">
        <w:rPr>
          <w:szCs w:val="24"/>
        </w:rPr>
        <w:t>expansion in the</w:t>
      </w:r>
      <w:r w:rsidR="000B684A" w:rsidRPr="00583D21">
        <w:rPr>
          <w:szCs w:val="24"/>
        </w:rPr>
        <w:t xml:space="preserve"> number of ministers, secretaries, and scribes </w:t>
      </w:r>
      <w:r w:rsidR="006E7E16" w:rsidRPr="00583D21">
        <w:rPr>
          <w:szCs w:val="24"/>
        </w:rPr>
        <w:t>meant that the business of governing could be done</w:t>
      </w:r>
      <w:r w:rsidR="000B684A" w:rsidRPr="00583D21">
        <w:rPr>
          <w:szCs w:val="24"/>
        </w:rPr>
        <w:t xml:space="preserve">. </w:t>
      </w:r>
      <w:r w:rsidR="003B0C7F" w:rsidRPr="00583D21">
        <w:rPr>
          <w:szCs w:val="24"/>
        </w:rPr>
        <w:t xml:space="preserve">The evidence for economic recuperation under the early </w:t>
      </w:r>
      <w:proofErr w:type="spellStart"/>
      <w:r w:rsidR="003B0C7F" w:rsidRPr="00583D21">
        <w:rPr>
          <w:szCs w:val="24"/>
        </w:rPr>
        <w:t>Qajars</w:t>
      </w:r>
      <w:proofErr w:type="spellEnd"/>
      <w:r w:rsidR="003B0C7F" w:rsidRPr="00583D21">
        <w:rPr>
          <w:szCs w:val="24"/>
        </w:rPr>
        <w:t xml:space="preserve"> is fragmentary, but a statement of revenue from 1811, for example, captures the Qajar state’s ability to raise and collect taxes. The statement is a record of the 1.7 million </w:t>
      </w:r>
      <w:proofErr w:type="spellStart"/>
      <w:r w:rsidR="003B0C7F" w:rsidRPr="00583D21">
        <w:rPr>
          <w:i/>
          <w:szCs w:val="24"/>
        </w:rPr>
        <w:t>tūmān</w:t>
      </w:r>
      <w:proofErr w:type="spellEnd"/>
      <w:r w:rsidR="003B0C7F" w:rsidRPr="00583D21">
        <w:rPr>
          <w:szCs w:val="24"/>
        </w:rPr>
        <w:t xml:space="preserve"> in cash and kind raised from various provinces, districts, and tribes (</w:t>
      </w:r>
      <w:proofErr w:type="spellStart"/>
      <w:r w:rsidR="003B0C7F" w:rsidRPr="00583D21">
        <w:rPr>
          <w:i/>
          <w:szCs w:val="24"/>
        </w:rPr>
        <w:t>īlāt</w:t>
      </w:r>
      <w:proofErr w:type="spellEnd"/>
      <w:r w:rsidR="003B0C7F" w:rsidRPr="00583D21">
        <w:rPr>
          <w:szCs w:val="24"/>
        </w:rPr>
        <w:t>) across Qajar territories.</w:t>
      </w:r>
      <w:r w:rsidR="003B0C7F" w:rsidRPr="00583D21">
        <w:rPr>
          <w:szCs w:val="24"/>
          <w:vertAlign w:val="superscript"/>
        </w:rPr>
        <w:endnoteReference w:id="40"/>
      </w:r>
      <w:r w:rsidR="003B0C7F" w:rsidRPr="00583D21">
        <w:rPr>
          <w:szCs w:val="24"/>
        </w:rPr>
        <w:t xml:space="preserve"> Taxes collected at the local level were sent to the district level, </w:t>
      </w:r>
      <w:r w:rsidR="00DD669E">
        <w:rPr>
          <w:szCs w:val="24"/>
        </w:rPr>
        <w:t>then</w:t>
      </w:r>
      <w:r w:rsidR="003B0C7F" w:rsidRPr="00583D21">
        <w:rPr>
          <w:szCs w:val="24"/>
        </w:rPr>
        <w:t xml:space="preserve"> up to the provincial level, until finally reaching the capital, Tehran.</w:t>
      </w:r>
      <w:r w:rsidR="003B0C7F" w:rsidRPr="00583D21">
        <w:rPr>
          <w:szCs w:val="24"/>
          <w:vertAlign w:val="superscript"/>
        </w:rPr>
        <w:endnoteReference w:id="41"/>
      </w:r>
      <w:r w:rsidR="003B0C7F" w:rsidRPr="00583D21">
        <w:rPr>
          <w:szCs w:val="24"/>
        </w:rPr>
        <w:t xml:space="preserve"> While much of Iran’s financial situation during the </w:t>
      </w:r>
      <w:r w:rsidR="00BE3D1B" w:rsidRPr="00583D21">
        <w:rPr>
          <w:szCs w:val="24"/>
        </w:rPr>
        <w:t>18th</w:t>
      </w:r>
      <w:r w:rsidR="003B0C7F" w:rsidRPr="00583D21">
        <w:rPr>
          <w:szCs w:val="24"/>
        </w:rPr>
        <w:t xml:space="preserve"> century remains obscure, and thus difficult to compare to the situation of the early </w:t>
      </w:r>
      <w:r w:rsidR="007C5C08" w:rsidRPr="00583D21">
        <w:rPr>
          <w:szCs w:val="24"/>
        </w:rPr>
        <w:t xml:space="preserve">19th </w:t>
      </w:r>
      <w:r w:rsidR="003B0C7F" w:rsidRPr="00583D21">
        <w:rPr>
          <w:szCs w:val="24"/>
        </w:rPr>
        <w:t xml:space="preserve">century, the evidence suggests that the </w:t>
      </w:r>
      <w:r w:rsidR="007C5C08" w:rsidRPr="00583D21">
        <w:rPr>
          <w:szCs w:val="24"/>
        </w:rPr>
        <w:t>government</w:t>
      </w:r>
      <w:r w:rsidR="003B0C7F" w:rsidRPr="00583D21">
        <w:rPr>
          <w:szCs w:val="24"/>
        </w:rPr>
        <w:t xml:space="preserve"> improved its ability to raise revenue under Qajar rule.</w:t>
      </w:r>
      <w:r w:rsidR="003B0C7F" w:rsidRPr="00583D21">
        <w:rPr>
          <w:szCs w:val="24"/>
          <w:vertAlign w:val="superscript"/>
        </w:rPr>
        <w:endnoteReference w:id="42"/>
      </w:r>
      <w:r w:rsidR="003B0C7F" w:rsidRPr="00583D21">
        <w:rPr>
          <w:szCs w:val="24"/>
        </w:rPr>
        <w:t xml:space="preserve"> It would be no exaggeration to say that the </w:t>
      </w:r>
      <w:r w:rsidR="000B684A" w:rsidRPr="00583D21">
        <w:rPr>
          <w:szCs w:val="24"/>
        </w:rPr>
        <w:t>ministers of the</w:t>
      </w:r>
      <w:r w:rsidR="000B684A" w:rsidRPr="00583D21">
        <w:rPr>
          <w:i/>
          <w:iCs/>
          <w:szCs w:val="24"/>
        </w:rPr>
        <w:t xml:space="preserve"> </w:t>
      </w:r>
      <w:proofErr w:type="spellStart"/>
      <w:r w:rsidR="000B684A" w:rsidRPr="00583D21">
        <w:rPr>
          <w:i/>
          <w:iCs/>
          <w:szCs w:val="24"/>
        </w:rPr>
        <w:t>dīvān</w:t>
      </w:r>
      <w:proofErr w:type="spellEnd"/>
      <w:r w:rsidR="000B684A" w:rsidRPr="00583D21">
        <w:rPr>
          <w:szCs w:val="24"/>
        </w:rPr>
        <w:t xml:space="preserve">, </w:t>
      </w:r>
      <w:r w:rsidR="003B0C7F" w:rsidRPr="00583D21">
        <w:rPr>
          <w:szCs w:val="24"/>
        </w:rPr>
        <w:t>who maintained financial records and ledgers</w:t>
      </w:r>
      <w:r w:rsidR="003B0C7F" w:rsidRPr="00583D21">
        <w:rPr>
          <w:iCs/>
          <w:szCs w:val="24"/>
        </w:rPr>
        <w:t xml:space="preserve"> across Qajar territories</w:t>
      </w:r>
      <w:r w:rsidR="000B684A" w:rsidRPr="00583D21">
        <w:rPr>
          <w:iCs/>
          <w:szCs w:val="24"/>
        </w:rPr>
        <w:t>,</w:t>
      </w:r>
      <w:r w:rsidR="003B0C7F" w:rsidRPr="00583D21">
        <w:rPr>
          <w:iCs/>
          <w:szCs w:val="24"/>
        </w:rPr>
        <w:t xml:space="preserve"> made much of this economic recuperation possible.</w:t>
      </w:r>
    </w:p>
    <w:p w14:paraId="028DAC97" w14:textId="00F85581" w:rsidR="001907ED" w:rsidRPr="00583D21" w:rsidRDefault="00197DDB" w:rsidP="00CC0230">
      <w:pPr>
        <w:spacing w:line="480" w:lineRule="auto"/>
        <w:ind w:firstLine="720"/>
        <w:rPr>
          <w:szCs w:val="24"/>
        </w:rPr>
      </w:pPr>
      <w:r w:rsidRPr="00583D21">
        <w:rPr>
          <w:szCs w:val="24"/>
        </w:rPr>
        <w:t>On the other hand</w:t>
      </w:r>
      <w:r w:rsidR="00A825ED" w:rsidRPr="00583D21">
        <w:rPr>
          <w:szCs w:val="24"/>
        </w:rPr>
        <w:t>,</w:t>
      </w:r>
      <w:r w:rsidR="0088527F" w:rsidRPr="00583D21">
        <w:rPr>
          <w:szCs w:val="24"/>
        </w:rPr>
        <w:t xml:space="preserve"> </w:t>
      </w:r>
      <w:r w:rsidR="00790BBB" w:rsidRPr="00583D21">
        <w:rPr>
          <w:szCs w:val="24"/>
        </w:rPr>
        <w:t>too great an emphasis on the</w:t>
      </w:r>
      <w:r w:rsidR="00662C11" w:rsidRPr="00583D21">
        <w:rPr>
          <w:szCs w:val="24"/>
        </w:rPr>
        <w:t xml:space="preserve"> growing institutions of the Qajar state obscures the personal and patrimonial ties that ran through the Qajar government. There is perh</w:t>
      </w:r>
      <w:r w:rsidR="00B1653E" w:rsidRPr="00583D21">
        <w:rPr>
          <w:szCs w:val="24"/>
        </w:rPr>
        <w:t xml:space="preserve">aps no greater evidence for how important family genealogies were in the early Qajar period </w:t>
      </w:r>
      <w:r w:rsidR="00B1653E" w:rsidRPr="00583D21">
        <w:rPr>
          <w:szCs w:val="24"/>
        </w:rPr>
        <w:lastRenderedPageBreak/>
        <w:t xml:space="preserve">than in the abundance of </w:t>
      </w:r>
      <w:r w:rsidR="00C53486" w:rsidRPr="00583D21">
        <w:rPr>
          <w:szCs w:val="24"/>
        </w:rPr>
        <w:t>details</w:t>
      </w:r>
      <w:r w:rsidR="00B1653E" w:rsidRPr="00583D21">
        <w:rPr>
          <w:szCs w:val="24"/>
        </w:rPr>
        <w:t xml:space="preserve"> about those genealogies </w:t>
      </w:r>
      <w:r w:rsidR="003650F9" w:rsidRPr="00583D21">
        <w:rPr>
          <w:szCs w:val="24"/>
        </w:rPr>
        <w:t xml:space="preserve">scattered </w:t>
      </w:r>
      <w:r w:rsidR="00B1653E" w:rsidRPr="00583D21">
        <w:rPr>
          <w:szCs w:val="24"/>
        </w:rPr>
        <w:t>across different sources.</w:t>
      </w:r>
      <w:r w:rsidR="006E7E16" w:rsidRPr="00583D21">
        <w:rPr>
          <w:rStyle w:val="EndnoteReference"/>
          <w:szCs w:val="24"/>
        </w:rPr>
        <w:endnoteReference w:id="43"/>
      </w:r>
      <w:r w:rsidR="00B1653E" w:rsidRPr="00583D21">
        <w:rPr>
          <w:szCs w:val="24"/>
        </w:rPr>
        <w:t xml:space="preserve"> </w:t>
      </w:r>
      <w:r w:rsidR="0088527F" w:rsidRPr="00583D21">
        <w:rPr>
          <w:szCs w:val="24"/>
        </w:rPr>
        <w:t>The names and background of ministers and secretaries are often found</w:t>
      </w:r>
      <w:r w:rsidR="008A2114" w:rsidRPr="00583D21">
        <w:rPr>
          <w:szCs w:val="24"/>
        </w:rPr>
        <w:t>, for instance,</w:t>
      </w:r>
      <w:r w:rsidR="0088527F" w:rsidRPr="00583D21">
        <w:rPr>
          <w:szCs w:val="24"/>
        </w:rPr>
        <w:t xml:space="preserve"> in early Qajar-era biographical anthologies (</w:t>
      </w:r>
      <w:proofErr w:type="spellStart"/>
      <w:r w:rsidR="0088527F" w:rsidRPr="00583D21">
        <w:rPr>
          <w:i/>
          <w:szCs w:val="24"/>
        </w:rPr>
        <w:t>taẕkirih</w:t>
      </w:r>
      <w:proofErr w:type="spellEnd"/>
      <w:r w:rsidR="0088527F" w:rsidRPr="00583D21">
        <w:rPr>
          <w:iCs/>
          <w:szCs w:val="24"/>
        </w:rPr>
        <w:t>)</w:t>
      </w:r>
      <w:r w:rsidR="0088527F" w:rsidRPr="00583D21">
        <w:rPr>
          <w:szCs w:val="24"/>
        </w:rPr>
        <w:t>, among the names of poets, historians, and other lettered men (and sometimes women).</w:t>
      </w:r>
      <w:r w:rsidR="0088527F" w:rsidRPr="00583D21">
        <w:rPr>
          <w:rStyle w:val="EndnoteReference"/>
          <w:szCs w:val="24"/>
        </w:rPr>
        <w:endnoteReference w:id="44"/>
      </w:r>
      <w:r w:rsidR="0088527F" w:rsidRPr="00583D21">
        <w:rPr>
          <w:szCs w:val="24"/>
        </w:rPr>
        <w:t xml:space="preserve"> If the individuals were descendants of the prophet Muhammad’s family, this would deserve special mention.</w:t>
      </w:r>
      <w:r w:rsidR="0088527F" w:rsidRPr="00583D21">
        <w:rPr>
          <w:szCs w:val="24"/>
          <w:vertAlign w:val="superscript"/>
        </w:rPr>
        <w:endnoteReference w:id="45"/>
      </w:r>
      <w:r w:rsidR="0088527F" w:rsidRPr="00583D21">
        <w:rPr>
          <w:szCs w:val="24"/>
        </w:rPr>
        <w:t xml:space="preserve"> In other cases, entries declare the family’s long background in politics, as in the case of the </w:t>
      </w:r>
      <w:proofErr w:type="spellStart"/>
      <w:r w:rsidR="00CC0230" w:rsidRPr="00583D21">
        <w:rPr>
          <w:szCs w:val="24"/>
        </w:rPr>
        <w:t>Qa</w:t>
      </w:r>
      <w:r w:rsidR="00CC0230" w:rsidRPr="005A7921">
        <w:rPr>
          <w:rFonts w:ascii="JaghbUni" w:hAnsi="JaghbUni"/>
          <w:szCs w:val="24"/>
        </w:rPr>
        <w:t>ʾ</w:t>
      </w:r>
      <w:r w:rsidR="00CC0230" w:rsidRPr="00583D21">
        <w:rPr>
          <w:szCs w:val="24"/>
        </w:rPr>
        <w:t>im</w:t>
      </w:r>
      <w:proofErr w:type="spellEnd"/>
      <w:r w:rsidR="005D1870" w:rsidRPr="00583D21">
        <w:rPr>
          <w:szCs w:val="24"/>
        </w:rPr>
        <w:t>-M</w:t>
      </w:r>
      <w:r w:rsidR="00E72F4E">
        <w:rPr>
          <w:szCs w:val="24"/>
        </w:rPr>
        <w:t>aqa</w:t>
      </w:r>
      <w:r w:rsidR="005D1870" w:rsidRPr="00583D21">
        <w:rPr>
          <w:szCs w:val="24"/>
        </w:rPr>
        <w:t>m</w:t>
      </w:r>
      <w:r w:rsidR="00873248" w:rsidRPr="00583D21">
        <w:rPr>
          <w:szCs w:val="24"/>
        </w:rPr>
        <w:t xml:space="preserve"> </w:t>
      </w:r>
      <w:proofErr w:type="spellStart"/>
      <w:r w:rsidR="00873248" w:rsidRPr="00583D21">
        <w:rPr>
          <w:szCs w:val="24"/>
        </w:rPr>
        <w:t>Farahani</w:t>
      </w:r>
      <w:proofErr w:type="spellEnd"/>
      <w:r w:rsidR="0088527F" w:rsidRPr="00583D21">
        <w:rPr>
          <w:szCs w:val="24"/>
        </w:rPr>
        <w:t xml:space="preserve"> family: “the majority of his</w:t>
      </w:r>
      <w:r w:rsidR="00873248" w:rsidRPr="00583D21">
        <w:rPr>
          <w:szCs w:val="24"/>
        </w:rPr>
        <w:t xml:space="preserve"> [Mirza </w:t>
      </w:r>
      <w:r w:rsidR="00240626" w:rsidRPr="00583D21">
        <w:rPr>
          <w:szCs w:val="24"/>
        </w:rPr>
        <w:t>Abu</w:t>
      </w:r>
      <w:r w:rsidR="00CC0230">
        <w:rPr>
          <w:szCs w:val="24"/>
        </w:rPr>
        <w:t xml:space="preserve"> a</w:t>
      </w:r>
      <w:r w:rsidR="00240626" w:rsidRPr="00583D21">
        <w:rPr>
          <w:szCs w:val="24"/>
        </w:rPr>
        <w:t xml:space="preserve">l-Hasan </w:t>
      </w:r>
      <w:proofErr w:type="spellStart"/>
      <w:r w:rsidR="00CC0230" w:rsidRPr="005A7921">
        <w:rPr>
          <w:rFonts w:ascii="JaghbUni" w:hAnsi="JaghbUni"/>
          <w:szCs w:val="24"/>
        </w:rPr>
        <w:t>ʿ</w:t>
      </w:r>
      <w:r w:rsidR="00873248" w:rsidRPr="00583D21">
        <w:rPr>
          <w:szCs w:val="24"/>
        </w:rPr>
        <w:t>Isa</w:t>
      </w:r>
      <w:proofErr w:type="spellEnd"/>
      <w:r w:rsidR="00873248" w:rsidRPr="00583D21">
        <w:rPr>
          <w:szCs w:val="24"/>
        </w:rPr>
        <w:t>]</w:t>
      </w:r>
      <w:r w:rsidR="0088527F" w:rsidRPr="00583D21">
        <w:rPr>
          <w:szCs w:val="24"/>
        </w:rPr>
        <w:t xml:space="preserve"> ancestors, ancestor after ancestor, grandee after grandee, served in the ministries of illustrious sultans.”</w:t>
      </w:r>
      <w:r w:rsidR="0088527F" w:rsidRPr="00583D21">
        <w:rPr>
          <w:szCs w:val="24"/>
          <w:vertAlign w:val="superscript"/>
        </w:rPr>
        <w:endnoteReference w:id="46"/>
      </w:r>
      <w:r w:rsidR="0088527F" w:rsidRPr="00583D21">
        <w:rPr>
          <w:szCs w:val="24"/>
        </w:rPr>
        <w:t xml:space="preserve"> Chronicles and other histories often provide similar kinds of statements.</w:t>
      </w:r>
      <w:r w:rsidR="0088527F" w:rsidRPr="00583D21">
        <w:rPr>
          <w:szCs w:val="24"/>
          <w:vertAlign w:val="superscript"/>
        </w:rPr>
        <w:endnoteReference w:id="47"/>
      </w:r>
      <w:r w:rsidR="001907ED" w:rsidRPr="00583D21">
        <w:rPr>
          <w:szCs w:val="24"/>
        </w:rPr>
        <w:t xml:space="preserve"> </w:t>
      </w:r>
    </w:p>
    <w:p w14:paraId="660ECC50" w14:textId="6B218FFC" w:rsidR="00FC0D7E" w:rsidRPr="00583D21" w:rsidRDefault="00C36E4E" w:rsidP="002E66CD">
      <w:pPr>
        <w:spacing w:line="480" w:lineRule="auto"/>
        <w:ind w:firstLine="720"/>
        <w:rPr>
          <w:szCs w:val="24"/>
        </w:rPr>
      </w:pPr>
      <w:r>
        <w:rPr>
          <w:szCs w:val="24"/>
        </w:rPr>
        <w:t>A</w:t>
      </w:r>
      <w:r w:rsidRPr="00583D21">
        <w:rPr>
          <w:szCs w:val="24"/>
        </w:rPr>
        <w:t>s the following section will illustrat</w:t>
      </w:r>
      <w:r>
        <w:rPr>
          <w:szCs w:val="24"/>
        </w:rPr>
        <w:t>e, a</w:t>
      </w:r>
      <w:r w:rsidR="006E7E16" w:rsidRPr="00583D21">
        <w:rPr>
          <w:szCs w:val="24"/>
        </w:rPr>
        <w:t xml:space="preserve">lthough family lineage was by no means the only consideration for choosing </w:t>
      </w:r>
      <w:proofErr w:type="spellStart"/>
      <w:r w:rsidR="006E7E16" w:rsidRPr="00583D21">
        <w:rPr>
          <w:i/>
          <w:iCs/>
          <w:szCs w:val="24"/>
        </w:rPr>
        <w:t>dīvān</w:t>
      </w:r>
      <w:proofErr w:type="spellEnd"/>
      <w:r w:rsidR="006E7E16" w:rsidRPr="00583D21">
        <w:rPr>
          <w:i/>
          <w:iCs/>
          <w:szCs w:val="24"/>
        </w:rPr>
        <w:t xml:space="preserve"> </w:t>
      </w:r>
      <w:r w:rsidR="006E7E16" w:rsidRPr="00583D21">
        <w:rPr>
          <w:szCs w:val="24"/>
        </w:rPr>
        <w:t>ministers</w:t>
      </w:r>
      <w:r>
        <w:rPr>
          <w:szCs w:val="24"/>
        </w:rPr>
        <w:t xml:space="preserve"> </w:t>
      </w:r>
      <w:r w:rsidR="006E7E16" w:rsidRPr="00583D21">
        <w:rPr>
          <w:szCs w:val="24"/>
        </w:rPr>
        <w:t xml:space="preserve">it was undoubtedly among the main factors in who was selected. </w:t>
      </w:r>
      <w:r w:rsidR="001907ED" w:rsidRPr="00583D21">
        <w:rPr>
          <w:szCs w:val="24"/>
        </w:rPr>
        <w:t>By the time Fath-</w:t>
      </w:r>
      <w:proofErr w:type="spellStart"/>
      <w:r w:rsidR="00CC0230" w:rsidRPr="005A7921">
        <w:rPr>
          <w:rFonts w:ascii="JaghbUni" w:hAnsi="JaghbUni"/>
          <w:szCs w:val="24"/>
        </w:rPr>
        <w:t>ʿ</w:t>
      </w:r>
      <w:r w:rsidR="001907ED" w:rsidRPr="00583D21">
        <w:rPr>
          <w:szCs w:val="24"/>
        </w:rPr>
        <w:t>Ali</w:t>
      </w:r>
      <w:proofErr w:type="spellEnd"/>
      <w:r w:rsidR="001907ED" w:rsidRPr="00583D21">
        <w:rPr>
          <w:szCs w:val="24"/>
        </w:rPr>
        <w:t xml:space="preserve"> Shah died in 1834, at least sixteen different individuals had held the </w:t>
      </w:r>
      <w:r w:rsidR="00ED278C" w:rsidRPr="00583D21">
        <w:rPr>
          <w:szCs w:val="24"/>
        </w:rPr>
        <w:t xml:space="preserve">positions of prime minister, imperial secretary, and imperial treasurer </w:t>
      </w:r>
      <w:r w:rsidR="001907ED" w:rsidRPr="00583D21">
        <w:rPr>
          <w:szCs w:val="24"/>
        </w:rPr>
        <w:t xml:space="preserve">(see Table 1), and </w:t>
      </w:r>
      <w:r w:rsidR="002E66CD" w:rsidRPr="00583D21">
        <w:rPr>
          <w:szCs w:val="24"/>
        </w:rPr>
        <w:t>four of them were descended from men who held a high-ranking post in earlier polities</w:t>
      </w:r>
      <w:r w:rsidR="001907ED" w:rsidRPr="00583D21">
        <w:rPr>
          <w:szCs w:val="24"/>
        </w:rPr>
        <w:t>.</w:t>
      </w:r>
      <w:r w:rsidR="002E66CD" w:rsidRPr="00583D21">
        <w:rPr>
          <w:szCs w:val="24"/>
        </w:rPr>
        <w:t xml:space="preserve"> Others may have been descended from local officials who held less noteworthy positions. It is true that under Fath-</w:t>
      </w:r>
      <w:proofErr w:type="spellStart"/>
      <w:r w:rsidR="00CC0230" w:rsidRPr="005A7921">
        <w:rPr>
          <w:rFonts w:ascii="JaghbUni" w:hAnsi="JaghbUni"/>
          <w:szCs w:val="24"/>
        </w:rPr>
        <w:t>ʿ</w:t>
      </w:r>
      <w:r w:rsidR="002E66CD" w:rsidRPr="00583D21">
        <w:rPr>
          <w:szCs w:val="24"/>
        </w:rPr>
        <w:t>Ali</w:t>
      </w:r>
      <w:proofErr w:type="spellEnd"/>
      <w:r w:rsidR="002E66CD" w:rsidRPr="00583D21">
        <w:rPr>
          <w:szCs w:val="24"/>
        </w:rPr>
        <w:t xml:space="preserve"> Shah the Qajar administrative structure grew and differentiated into discrete political offices. But patrimonial and informal networks of power persisted well into the Qajar period.</w:t>
      </w:r>
    </w:p>
    <w:p w14:paraId="589A08A8" w14:textId="76C988F8" w:rsidR="00FC0D7E" w:rsidRPr="00583D21" w:rsidRDefault="00FC0D7E" w:rsidP="0084632A">
      <w:pPr>
        <w:spacing w:line="480" w:lineRule="auto"/>
        <w:outlineLvl w:val="0"/>
        <w:rPr>
          <w:szCs w:val="24"/>
        </w:rPr>
      </w:pPr>
    </w:p>
    <w:p w14:paraId="72551EDD" w14:textId="1D4FD4B8" w:rsidR="00E1718D" w:rsidRPr="005A7921" w:rsidRDefault="004227D3" w:rsidP="004227D3">
      <w:pPr>
        <w:spacing w:line="480" w:lineRule="auto"/>
        <w:rPr>
          <w:b/>
          <w:bCs/>
          <w:szCs w:val="24"/>
        </w:rPr>
      </w:pPr>
      <w:r w:rsidRPr="005A7921">
        <w:rPr>
          <w:b/>
          <w:bCs/>
          <w:szCs w:val="24"/>
        </w:rPr>
        <w:t>Continuity and Change</w:t>
      </w:r>
    </w:p>
    <w:p w14:paraId="74E3B48E" w14:textId="05C86716" w:rsidR="00EB5C7D" w:rsidRPr="00583D21" w:rsidRDefault="00EB5C7D" w:rsidP="00A23BCB">
      <w:pPr>
        <w:spacing w:line="480" w:lineRule="auto"/>
        <w:rPr>
          <w:color w:val="FF0000"/>
          <w:szCs w:val="24"/>
        </w:rPr>
      </w:pPr>
      <w:r w:rsidRPr="00583D21">
        <w:rPr>
          <w:szCs w:val="24"/>
        </w:rPr>
        <w:t>The Qajar state was</w:t>
      </w:r>
      <w:r w:rsidR="009D719D">
        <w:rPr>
          <w:szCs w:val="24"/>
        </w:rPr>
        <w:t xml:space="preserve"> </w:t>
      </w:r>
      <w:proofErr w:type="spellStart"/>
      <w:r w:rsidR="009D719D">
        <w:rPr>
          <w:szCs w:val="24"/>
        </w:rPr>
        <w:t>simultanesouly</w:t>
      </w:r>
      <w:proofErr w:type="spellEnd"/>
      <w:r w:rsidRPr="00583D21">
        <w:rPr>
          <w:szCs w:val="24"/>
        </w:rPr>
        <w:t xml:space="preserve"> a continuation of older </w:t>
      </w:r>
      <w:proofErr w:type="gramStart"/>
      <w:r w:rsidRPr="00583D21">
        <w:rPr>
          <w:szCs w:val="24"/>
        </w:rPr>
        <w:t>polities, and</w:t>
      </w:r>
      <w:proofErr w:type="gramEnd"/>
      <w:r w:rsidRPr="00583D21">
        <w:rPr>
          <w:szCs w:val="24"/>
        </w:rPr>
        <w:t xml:space="preserve"> represented a break with those polities. This is different than saying that Qajar political culture drew on a rich tradition of Persian, Islamic, and Turco-Mongolian rituals and concepts while adapting them to the </w:t>
      </w:r>
      <w:r w:rsidRPr="00583D21">
        <w:rPr>
          <w:szCs w:val="24"/>
        </w:rPr>
        <w:lastRenderedPageBreak/>
        <w:t xml:space="preserve">circumstances of the </w:t>
      </w:r>
      <w:r w:rsidR="00753539" w:rsidRPr="00583D21">
        <w:rPr>
          <w:szCs w:val="24"/>
        </w:rPr>
        <w:t>19th</w:t>
      </w:r>
      <w:r w:rsidRPr="00583D21">
        <w:rPr>
          <w:szCs w:val="24"/>
        </w:rPr>
        <w:t xml:space="preserve"> century, or that the administrative offices created by rulers like Fath-</w:t>
      </w:r>
      <w:proofErr w:type="spellStart"/>
      <w:r w:rsidR="009D719D" w:rsidRPr="005A7921">
        <w:rPr>
          <w:rFonts w:ascii="JaghbUni" w:hAnsi="JaghbUni"/>
          <w:szCs w:val="24"/>
        </w:rPr>
        <w:t>ʿ</w:t>
      </w:r>
      <w:r w:rsidRPr="00583D21">
        <w:rPr>
          <w:szCs w:val="24"/>
        </w:rPr>
        <w:t>Ali</w:t>
      </w:r>
      <w:proofErr w:type="spellEnd"/>
      <w:r w:rsidRPr="00583D21">
        <w:rPr>
          <w:szCs w:val="24"/>
        </w:rPr>
        <w:t xml:space="preserve"> Shah had roots in earlier polities</w:t>
      </w:r>
      <w:r w:rsidR="00750850" w:rsidRPr="00583D21">
        <w:rPr>
          <w:szCs w:val="24"/>
        </w:rPr>
        <w:t>—</w:t>
      </w:r>
      <w:r w:rsidRPr="00583D21">
        <w:rPr>
          <w:szCs w:val="24"/>
        </w:rPr>
        <w:t>both of which earlier scholars have demonstrated.</w:t>
      </w:r>
      <w:r w:rsidR="000170C4" w:rsidRPr="00583D21">
        <w:rPr>
          <w:rStyle w:val="EndnoteReference"/>
          <w:szCs w:val="24"/>
        </w:rPr>
        <w:endnoteReference w:id="48"/>
      </w:r>
      <w:r w:rsidRPr="00583D21">
        <w:rPr>
          <w:szCs w:val="24"/>
        </w:rPr>
        <w:t xml:space="preserve"> Instead, the point here is that the social composition of the state was both old and new. Qajar rulers recruited men </w:t>
      </w:r>
      <w:r w:rsidR="00FE3433" w:rsidRPr="00583D21">
        <w:rPr>
          <w:szCs w:val="24"/>
        </w:rPr>
        <w:t xml:space="preserve">into their </w:t>
      </w:r>
      <w:proofErr w:type="spellStart"/>
      <w:r w:rsidR="00FE3433" w:rsidRPr="00FE3433">
        <w:rPr>
          <w:i/>
          <w:iCs/>
          <w:szCs w:val="24"/>
        </w:rPr>
        <w:t>dīvān</w:t>
      </w:r>
      <w:proofErr w:type="spellEnd"/>
      <w:r w:rsidR="00FE3433">
        <w:rPr>
          <w:szCs w:val="24"/>
        </w:rPr>
        <w:t xml:space="preserve"> </w:t>
      </w:r>
      <w:r w:rsidRPr="00FE3433">
        <w:rPr>
          <w:szCs w:val="24"/>
        </w:rPr>
        <w:t>who</w:t>
      </w:r>
      <w:r w:rsidRPr="00583D21">
        <w:rPr>
          <w:szCs w:val="24"/>
        </w:rPr>
        <w:t xml:space="preserve"> themselves had served earlier governments, or were descended from families with long administrative experience, but they also recruited men with little or no administrative background. These men then married into the Qajar house, and their </w:t>
      </w:r>
      <w:r w:rsidR="007F6B1F" w:rsidRPr="00583D21">
        <w:rPr>
          <w:szCs w:val="24"/>
        </w:rPr>
        <w:t xml:space="preserve">descendants </w:t>
      </w:r>
      <w:r w:rsidRPr="00583D21">
        <w:rPr>
          <w:szCs w:val="24"/>
        </w:rPr>
        <w:t xml:space="preserve">became princes, princesses, </w:t>
      </w:r>
      <w:r w:rsidR="00B471FF" w:rsidRPr="00583D21">
        <w:rPr>
          <w:szCs w:val="24"/>
        </w:rPr>
        <w:t xml:space="preserve">and </w:t>
      </w:r>
      <w:r w:rsidR="00A94ACC" w:rsidRPr="00583D21">
        <w:rPr>
          <w:szCs w:val="24"/>
        </w:rPr>
        <w:t xml:space="preserve">statesmen themselves. Well into the </w:t>
      </w:r>
      <w:r w:rsidR="00753539" w:rsidRPr="00583D21">
        <w:rPr>
          <w:szCs w:val="24"/>
        </w:rPr>
        <w:t>20th</w:t>
      </w:r>
      <w:r w:rsidR="00A94ACC" w:rsidRPr="00583D21">
        <w:rPr>
          <w:szCs w:val="24"/>
        </w:rPr>
        <w:t xml:space="preserve"> century, descendants of Qajar-era marriages were among Iran’s political and cultural elite.</w:t>
      </w:r>
    </w:p>
    <w:p w14:paraId="6801B3FF" w14:textId="461B7BDC" w:rsidR="00D23AE1" w:rsidRPr="00583D21" w:rsidRDefault="00FC0D7E" w:rsidP="004E1ABC">
      <w:pPr>
        <w:spacing w:line="480" w:lineRule="auto"/>
        <w:ind w:firstLine="720"/>
        <w:rPr>
          <w:szCs w:val="24"/>
        </w:rPr>
      </w:pPr>
      <w:r w:rsidRPr="00583D21">
        <w:rPr>
          <w:szCs w:val="24"/>
        </w:rPr>
        <w:t xml:space="preserve">Continuities between Afsharid, </w:t>
      </w:r>
      <w:proofErr w:type="spellStart"/>
      <w:r w:rsidRPr="00583D21">
        <w:rPr>
          <w:szCs w:val="24"/>
        </w:rPr>
        <w:t>Zand</w:t>
      </w:r>
      <w:proofErr w:type="spellEnd"/>
      <w:r w:rsidRPr="00583D21">
        <w:rPr>
          <w:szCs w:val="24"/>
        </w:rPr>
        <w:t>, and Qajar rule ran deep and cut across all of the major positions in the Qajar</w:t>
      </w:r>
      <w:r w:rsidRPr="00583D21">
        <w:rPr>
          <w:iCs/>
          <w:szCs w:val="24"/>
        </w:rPr>
        <w:t xml:space="preserve"> </w:t>
      </w:r>
      <w:r w:rsidR="000648CA" w:rsidRPr="00583D21">
        <w:rPr>
          <w:iCs/>
          <w:szCs w:val="24"/>
        </w:rPr>
        <w:t>administration</w:t>
      </w:r>
      <w:r w:rsidR="00DE623F" w:rsidRPr="00583D21">
        <w:rPr>
          <w:szCs w:val="24"/>
        </w:rPr>
        <w:t xml:space="preserve">. The first prime minister </w:t>
      </w:r>
      <w:r w:rsidRPr="00583D21">
        <w:rPr>
          <w:szCs w:val="24"/>
        </w:rPr>
        <w:t xml:space="preserve">under the </w:t>
      </w:r>
      <w:proofErr w:type="spellStart"/>
      <w:r w:rsidRPr="00583D21">
        <w:rPr>
          <w:szCs w:val="24"/>
        </w:rPr>
        <w:t>Qajars</w:t>
      </w:r>
      <w:proofErr w:type="spellEnd"/>
      <w:r w:rsidRPr="00583D21">
        <w:rPr>
          <w:szCs w:val="24"/>
        </w:rPr>
        <w:t xml:space="preserve">, Muhammad Ibrahim </w:t>
      </w:r>
      <w:proofErr w:type="spellStart"/>
      <w:r w:rsidR="001E46DB" w:rsidRPr="00583D21">
        <w:rPr>
          <w:szCs w:val="24"/>
        </w:rPr>
        <w:t>I</w:t>
      </w:r>
      <w:r w:rsidR="004E1ABC" w:rsidRPr="005A7921">
        <w:rPr>
          <w:rFonts w:ascii="JaghbUni" w:hAnsi="JaghbUni"/>
          <w:szCs w:val="24"/>
        </w:rPr>
        <w:t>ʿ</w:t>
      </w:r>
      <w:r w:rsidR="001E46DB" w:rsidRPr="00583D21">
        <w:rPr>
          <w:szCs w:val="24"/>
        </w:rPr>
        <w:t>timad</w:t>
      </w:r>
      <w:proofErr w:type="spellEnd"/>
      <w:r w:rsidRPr="00583D21">
        <w:rPr>
          <w:szCs w:val="24"/>
        </w:rPr>
        <w:t xml:space="preserve"> al-</w:t>
      </w:r>
      <w:proofErr w:type="spellStart"/>
      <w:r w:rsidRPr="00583D21">
        <w:rPr>
          <w:szCs w:val="24"/>
        </w:rPr>
        <w:t>Dawlih</w:t>
      </w:r>
      <w:proofErr w:type="spellEnd"/>
      <w:r w:rsidRPr="00583D21">
        <w:rPr>
          <w:szCs w:val="24"/>
        </w:rPr>
        <w:t xml:space="preserve">, is particularly noteworthy because of the circumstances under which he came into Qajar service. His family was originally from Qazvin, until Nadir Shah made Muhammad Ibrahim’s father, Muhammad </w:t>
      </w:r>
      <w:proofErr w:type="spellStart"/>
      <w:r w:rsidRPr="00583D21">
        <w:rPr>
          <w:szCs w:val="24"/>
        </w:rPr>
        <w:t>Hashim</w:t>
      </w:r>
      <w:proofErr w:type="spellEnd"/>
      <w:r w:rsidRPr="00583D21">
        <w:rPr>
          <w:szCs w:val="24"/>
        </w:rPr>
        <w:t>, the alderman (</w:t>
      </w:r>
      <w:proofErr w:type="spellStart"/>
      <w:r w:rsidRPr="00583D21">
        <w:rPr>
          <w:i/>
          <w:szCs w:val="24"/>
        </w:rPr>
        <w:t>kadkhudā</w:t>
      </w:r>
      <w:proofErr w:type="spellEnd"/>
      <w:r w:rsidRPr="00583D21">
        <w:rPr>
          <w:szCs w:val="24"/>
        </w:rPr>
        <w:t xml:space="preserve">) of the </w:t>
      </w:r>
      <w:proofErr w:type="spellStart"/>
      <w:r w:rsidRPr="00583D21">
        <w:rPr>
          <w:szCs w:val="24"/>
        </w:rPr>
        <w:t>Haydari</w:t>
      </w:r>
      <w:proofErr w:type="spellEnd"/>
      <w:r w:rsidRPr="00583D21">
        <w:rPr>
          <w:szCs w:val="24"/>
        </w:rPr>
        <w:t xml:space="preserve"> quarter of Shiraz. Muhammad Ibrahim’s own political career began later, under the </w:t>
      </w:r>
      <w:proofErr w:type="spellStart"/>
      <w:r w:rsidRPr="00583D21">
        <w:rPr>
          <w:szCs w:val="24"/>
        </w:rPr>
        <w:t>Zands</w:t>
      </w:r>
      <w:proofErr w:type="spellEnd"/>
      <w:r w:rsidRPr="00583D21">
        <w:rPr>
          <w:szCs w:val="24"/>
        </w:rPr>
        <w:t>, when he worked under the mentorship of the mayor (</w:t>
      </w:r>
      <w:proofErr w:type="spellStart"/>
      <w:r w:rsidRPr="00583D21">
        <w:rPr>
          <w:i/>
          <w:szCs w:val="24"/>
        </w:rPr>
        <w:t>kalāntar</w:t>
      </w:r>
      <w:proofErr w:type="spellEnd"/>
      <w:r w:rsidR="00632840" w:rsidRPr="00583D21">
        <w:rPr>
          <w:szCs w:val="24"/>
        </w:rPr>
        <w:t xml:space="preserve">) of Shiraz, Mirza Muhammad, before being promoted </w:t>
      </w:r>
      <w:r w:rsidRPr="00583D21">
        <w:rPr>
          <w:szCs w:val="24"/>
        </w:rPr>
        <w:t xml:space="preserve">to mayor of </w:t>
      </w:r>
      <w:r w:rsidR="00632840" w:rsidRPr="00583D21">
        <w:rPr>
          <w:szCs w:val="24"/>
        </w:rPr>
        <w:t xml:space="preserve">the city himself </w:t>
      </w:r>
      <w:r w:rsidRPr="00583D21">
        <w:rPr>
          <w:szCs w:val="24"/>
        </w:rPr>
        <w:t>in 1785.</w:t>
      </w:r>
      <w:r w:rsidRPr="00583D21">
        <w:rPr>
          <w:szCs w:val="24"/>
          <w:vertAlign w:val="superscript"/>
        </w:rPr>
        <w:endnoteReference w:id="49"/>
      </w:r>
      <w:r w:rsidRPr="00583D21">
        <w:rPr>
          <w:szCs w:val="24"/>
        </w:rPr>
        <w:t xml:space="preserve"> During the </w:t>
      </w:r>
      <w:r w:rsidR="00632840" w:rsidRPr="00583D21">
        <w:rPr>
          <w:szCs w:val="24"/>
        </w:rPr>
        <w:t xml:space="preserve">Qajar </w:t>
      </w:r>
      <w:r w:rsidRPr="00583D21">
        <w:rPr>
          <w:szCs w:val="24"/>
        </w:rPr>
        <w:t xml:space="preserve">siege of </w:t>
      </w:r>
      <w:r w:rsidR="00632840" w:rsidRPr="00583D21">
        <w:rPr>
          <w:szCs w:val="24"/>
        </w:rPr>
        <w:t xml:space="preserve">Shiraz </w:t>
      </w:r>
      <w:r w:rsidRPr="00583D21">
        <w:rPr>
          <w:szCs w:val="24"/>
        </w:rPr>
        <w:t>in 1790</w:t>
      </w:r>
      <w:r w:rsidR="004E1ABC">
        <w:rPr>
          <w:szCs w:val="24"/>
        </w:rPr>
        <w:t>–</w:t>
      </w:r>
      <w:r w:rsidRPr="00583D21">
        <w:rPr>
          <w:szCs w:val="24"/>
        </w:rPr>
        <w:t xml:space="preserve">91, Muhammad Ibrahim sensed the imminent downfall of the </w:t>
      </w:r>
      <w:proofErr w:type="spellStart"/>
      <w:r w:rsidRPr="00583D21">
        <w:rPr>
          <w:szCs w:val="24"/>
        </w:rPr>
        <w:t>Zands</w:t>
      </w:r>
      <w:proofErr w:type="spellEnd"/>
      <w:r w:rsidRPr="00583D21">
        <w:rPr>
          <w:szCs w:val="24"/>
        </w:rPr>
        <w:t xml:space="preserve">, defected against his </w:t>
      </w:r>
      <w:proofErr w:type="spellStart"/>
      <w:r w:rsidRPr="00583D21">
        <w:rPr>
          <w:szCs w:val="24"/>
        </w:rPr>
        <w:t>Zand</w:t>
      </w:r>
      <w:proofErr w:type="spellEnd"/>
      <w:r w:rsidRPr="00583D21">
        <w:rPr>
          <w:szCs w:val="24"/>
        </w:rPr>
        <w:t xml:space="preserve"> overlords, and pledged allegiance to the </w:t>
      </w:r>
      <w:proofErr w:type="spellStart"/>
      <w:r w:rsidRPr="00583D21">
        <w:rPr>
          <w:szCs w:val="24"/>
        </w:rPr>
        <w:t>Qajars</w:t>
      </w:r>
      <w:proofErr w:type="spellEnd"/>
      <w:r w:rsidRPr="00583D21">
        <w:rPr>
          <w:szCs w:val="24"/>
        </w:rPr>
        <w:t>.</w:t>
      </w:r>
      <w:r w:rsidRPr="00583D21">
        <w:rPr>
          <w:szCs w:val="24"/>
          <w:vertAlign w:val="superscript"/>
        </w:rPr>
        <w:endnoteReference w:id="50"/>
      </w:r>
      <w:r w:rsidRPr="00583D21">
        <w:rPr>
          <w:szCs w:val="24"/>
        </w:rPr>
        <w:t xml:space="preserve"> A few years later, </w:t>
      </w:r>
      <w:r w:rsidR="00E72F4E">
        <w:rPr>
          <w:szCs w:val="24"/>
        </w:rPr>
        <w:t>Agha</w:t>
      </w:r>
      <w:r w:rsidRPr="00583D21">
        <w:rPr>
          <w:szCs w:val="24"/>
        </w:rPr>
        <w:t xml:space="preserve"> Muhammad Khan made him </w:t>
      </w:r>
      <w:r w:rsidR="007C0CD7" w:rsidRPr="00583D21">
        <w:rPr>
          <w:szCs w:val="24"/>
        </w:rPr>
        <w:t>prime minister</w:t>
      </w:r>
      <w:r w:rsidR="004E1ABC">
        <w:rPr>
          <w:szCs w:val="24"/>
        </w:rPr>
        <w:t>, marking</w:t>
      </w:r>
      <w:r w:rsidRPr="00583D21">
        <w:rPr>
          <w:szCs w:val="24"/>
        </w:rPr>
        <w:t xml:space="preserve"> the beginning of his political career with the </w:t>
      </w:r>
      <w:proofErr w:type="spellStart"/>
      <w:r w:rsidRPr="00583D21">
        <w:rPr>
          <w:szCs w:val="24"/>
        </w:rPr>
        <w:t>Qajars</w:t>
      </w:r>
      <w:proofErr w:type="spellEnd"/>
      <w:r w:rsidRPr="00583D21">
        <w:rPr>
          <w:szCs w:val="24"/>
        </w:rPr>
        <w:t xml:space="preserve"> (see image below).</w:t>
      </w:r>
      <w:r w:rsidRPr="00583D21">
        <w:rPr>
          <w:szCs w:val="24"/>
          <w:vertAlign w:val="superscript"/>
        </w:rPr>
        <w:endnoteReference w:id="51"/>
      </w:r>
    </w:p>
    <w:p w14:paraId="518782BC" w14:textId="1848DE85" w:rsidR="00FC0D7E" w:rsidRPr="00583D21" w:rsidRDefault="002C0D41" w:rsidP="00DA6653">
      <w:pPr>
        <w:spacing w:line="480" w:lineRule="auto"/>
        <w:jc w:val="center"/>
        <w:rPr>
          <w:szCs w:val="24"/>
        </w:rPr>
      </w:pPr>
      <w:r>
        <w:rPr>
          <w:iCs/>
          <w:szCs w:val="24"/>
        </w:rPr>
        <w:t xml:space="preserve">INSERT </w:t>
      </w:r>
      <w:r w:rsidR="00DA6653">
        <w:rPr>
          <w:szCs w:val="24"/>
        </w:rPr>
        <w:t>FIGURE 1</w:t>
      </w:r>
    </w:p>
    <w:p w14:paraId="755EBCC6" w14:textId="78CC46F3" w:rsidR="00FC0D7E" w:rsidRPr="00583D21" w:rsidRDefault="00705284" w:rsidP="004E1ABC">
      <w:pPr>
        <w:spacing w:line="480" w:lineRule="auto"/>
        <w:ind w:firstLine="720"/>
        <w:rPr>
          <w:szCs w:val="24"/>
          <w:highlight w:val="white"/>
        </w:rPr>
      </w:pPr>
      <w:r w:rsidRPr="00583D21">
        <w:rPr>
          <w:szCs w:val="24"/>
        </w:rPr>
        <w:t>S</w:t>
      </w:r>
      <w:r w:rsidR="00FC0D7E" w:rsidRPr="00583D21">
        <w:rPr>
          <w:szCs w:val="24"/>
        </w:rPr>
        <w:t>everal other individuals with similar backgrounds</w:t>
      </w:r>
      <w:r w:rsidRPr="00583D21">
        <w:rPr>
          <w:szCs w:val="24"/>
        </w:rPr>
        <w:t xml:space="preserve"> were recruited in the early years of Qajar rule</w:t>
      </w:r>
      <w:r w:rsidR="00FC0D7E" w:rsidRPr="00583D21">
        <w:rPr>
          <w:szCs w:val="24"/>
        </w:rPr>
        <w:t xml:space="preserve">. Mirza </w:t>
      </w:r>
      <w:proofErr w:type="spellStart"/>
      <w:r w:rsidR="00FC0D7E" w:rsidRPr="00583D21">
        <w:rPr>
          <w:szCs w:val="24"/>
        </w:rPr>
        <w:t>Shafi</w:t>
      </w:r>
      <w:r w:rsidR="004E1ABC" w:rsidRPr="005A7921">
        <w:rPr>
          <w:rFonts w:ascii="JaghbUni" w:hAnsi="JaghbUni"/>
          <w:szCs w:val="24"/>
        </w:rPr>
        <w:t>ʿ</w:t>
      </w:r>
      <w:proofErr w:type="spellEnd"/>
      <w:r w:rsidR="00FC0D7E" w:rsidRPr="00583D21">
        <w:rPr>
          <w:szCs w:val="24"/>
        </w:rPr>
        <w:t xml:space="preserve">, the second </w:t>
      </w:r>
      <w:r w:rsidR="00DE623F" w:rsidRPr="00583D21">
        <w:rPr>
          <w:szCs w:val="24"/>
        </w:rPr>
        <w:t xml:space="preserve">prime minister </w:t>
      </w:r>
      <w:r w:rsidR="00FC0D7E" w:rsidRPr="00583D21">
        <w:rPr>
          <w:szCs w:val="24"/>
        </w:rPr>
        <w:t xml:space="preserve">of the Qajar period, was the son of Haji </w:t>
      </w:r>
      <w:r w:rsidR="00FC0D7E" w:rsidRPr="00583D21">
        <w:rPr>
          <w:szCs w:val="24"/>
        </w:rPr>
        <w:lastRenderedPageBreak/>
        <w:t>Mirza Ahmad, who had served Nadir Shah.</w:t>
      </w:r>
      <w:r w:rsidR="00FC0D7E" w:rsidRPr="00583D21">
        <w:rPr>
          <w:szCs w:val="24"/>
          <w:vertAlign w:val="superscript"/>
        </w:rPr>
        <w:endnoteReference w:id="52"/>
      </w:r>
      <w:r w:rsidR="00FC0D7E" w:rsidRPr="00583D21">
        <w:rPr>
          <w:szCs w:val="24"/>
        </w:rPr>
        <w:t xml:space="preserve"> The </w:t>
      </w:r>
      <w:r w:rsidR="005D1870" w:rsidRPr="00583D21">
        <w:rPr>
          <w:szCs w:val="24"/>
        </w:rPr>
        <w:t>Amin</w:t>
      </w:r>
      <w:r w:rsidR="00FC0D7E" w:rsidRPr="00583D21">
        <w:rPr>
          <w:szCs w:val="24"/>
        </w:rPr>
        <w:t xml:space="preserve"> al-</w:t>
      </w:r>
      <w:proofErr w:type="spellStart"/>
      <w:r w:rsidR="00FC0D7E" w:rsidRPr="00583D21">
        <w:rPr>
          <w:szCs w:val="24"/>
        </w:rPr>
        <w:t>Dawlih’s</w:t>
      </w:r>
      <w:proofErr w:type="spellEnd"/>
      <w:r w:rsidR="00FC0D7E" w:rsidRPr="00583D21">
        <w:rPr>
          <w:szCs w:val="24"/>
        </w:rPr>
        <w:t xml:space="preserve"> father and grandfather served as “</w:t>
      </w:r>
      <w:r w:rsidR="00D53216" w:rsidRPr="00583D21">
        <w:rPr>
          <w:szCs w:val="24"/>
        </w:rPr>
        <w:t>stewards</w:t>
      </w:r>
      <w:r w:rsidR="00FC0D7E" w:rsidRPr="00583D21">
        <w:rPr>
          <w:szCs w:val="24"/>
        </w:rPr>
        <w:t>” (</w:t>
      </w:r>
      <w:proofErr w:type="spellStart"/>
      <w:r w:rsidR="00FC0D7E" w:rsidRPr="00583D21">
        <w:rPr>
          <w:i/>
          <w:szCs w:val="24"/>
        </w:rPr>
        <w:t>mubāshir</w:t>
      </w:r>
      <w:proofErr w:type="spellEnd"/>
      <w:r w:rsidR="00FC0D7E" w:rsidRPr="00583D21">
        <w:rPr>
          <w:szCs w:val="24"/>
        </w:rPr>
        <w:t xml:space="preserve">) of Isfahan during the </w:t>
      </w:r>
      <w:proofErr w:type="spellStart"/>
      <w:r w:rsidR="00FC0D7E" w:rsidRPr="00583D21">
        <w:rPr>
          <w:szCs w:val="24"/>
        </w:rPr>
        <w:t>Zand</w:t>
      </w:r>
      <w:proofErr w:type="spellEnd"/>
      <w:r w:rsidR="00FC0D7E" w:rsidRPr="00583D21">
        <w:rPr>
          <w:szCs w:val="24"/>
        </w:rPr>
        <w:t xml:space="preserve"> period.</w:t>
      </w:r>
      <w:r w:rsidR="00FC0D7E" w:rsidRPr="00583D21">
        <w:rPr>
          <w:szCs w:val="24"/>
          <w:vertAlign w:val="superscript"/>
        </w:rPr>
        <w:endnoteReference w:id="53"/>
      </w:r>
      <w:r w:rsidR="00FC0D7E" w:rsidRPr="00583D21">
        <w:rPr>
          <w:szCs w:val="24"/>
        </w:rPr>
        <w:t xml:space="preserve"> And Mirza Muhammad Riza “</w:t>
      </w:r>
      <w:proofErr w:type="spellStart"/>
      <w:r w:rsidR="00FC0D7E" w:rsidRPr="00583D21">
        <w:rPr>
          <w:szCs w:val="24"/>
        </w:rPr>
        <w:t>Bandih</w:t>
      </w:r>
      <w:proofErr w:type="spellEnd"/>
      <w:r w:rsidR="004E1ABC">
        <w:rPr>
          <w:szCs w:val="24"/>
        </w:rPr>
        <w:t>,</w:t>
      </w:r>
      <w:r w:rsidR="00FC0D7E" w:rsidRPr="00583D21">
        <w:rPr>
          <w:szCs w:val="24"/>
        </w:rPr>
        <w:t>” who under the orders of Fath-</w:t>
      </w:r>
      <w:proofErr w:type="spellStart"/>
      <w:r w:rsidR="004E1ABC" w:rsidRPr="005A7921">
        <w:rPr>
          <w:rFonts w:ascii="JaghbUni" w:hAnsi="JaghbUni"/>
          <w:szCs w:val="24"/>
        </w:rPr>
        <w:t>ʿ</w:t>
      </w:r>
      <w:r w:rsidR="00FC0D7E" w:rsidRPr="00583D21">
        <w:rPr>
          <w:szCs w:val="24"/>
        </w:rPr>
        <w:t>Ali</w:t>
      </w:r>
      <w:proofErr w:type="spellEnd"/>
      <w:r w:rsidR="00FC0D7E" w:rsidRPr="00583D21">
        <w:rPr>
          <w:szCs w:val="24"/>
        </w:rPr>
        <w:t xml:space="preserve"> Shah helped compile the general chronicle </w:t>
      </w:r>
      <w:proofErr w:type="spellStart"/>
      <w:r w:rsidR="00FC0D7E" w:rsidRPr="00583D21">
        <w:rPr>
          <w:i/>
          <w:szCs w:val="24"/>
        </w:rPr>
        <w:t>Zīnat</w:t>
      </w:r>
      <w:proofErr w:type="spellEnd"/>
      <w:r w:rsidR="00FC0D7E" w:rsidRPr="00583D21">
        <w:rPr>
          <w:i/>
          <w:szCs w:val="24"/>
        </w:rPr>
        <w:t xml:space="preserve"> al-</w:t>
      </w:r>
      <w:proofErr w:type="spellStart"/>
      <w:r w:rsidR="00FC0D7E" w:rsidRPr="00583D21">
        <w:rPr>
          <w:i/>
          <w:szCs w:val="24"/>
        </w:rPr>
        <w:t>Tavārīkh</w:t>
      </w:r>
      <w:proofErr w:type="spellEnd"/>
      <w:r w:rsidR="00B5397E">
        <w:rPr>
          <w:i/>
          <w:szCs w:val="24"/>
        </w:rPr>
        <w:t xml:space="preserve"> </w:t>
      </w:r>
      <w:r w:rsidR="00B5397E">
        <w:rPr>
          <w:iCs/>
          <w:szCs w:val="24"/>
        </w:rPr>
        <w:t>(The Ornament of Histories)</w:t>
      </w:r>
      <w:r w:rsidR="00FC0D7E" w:rsidRPr="00583D21">
        <w:rPr>
          <w:szCs w:val="24"/>
        </w:rPr>
        <w:t xml:space="preserve">, was the son of Mirza Muhammad </w:t>
      </w:r>
      <w:proofErr w:type="spellStart"/>
      <w:r w:rsidR="00FC0D7E" w:rsidRPr="00583D21">
        <w:rPr>
          <w:szCs w:val="24"/>
        </w:rPr>
        <w:t>Shafi</w:t>
      </w:r>
      <w:r w:rsidR="004E1ABC" w:rsidRPr="005A7921">
        <w:rPr>
          <w:rFonts w:ascii="JaghbUni" w:hAnsi="JaghbUni"/>
          <w:szCs w:val="24"/>
        </w:rPr>
        <w:t>ʿ</w:t>
      </w:r>
      <w:proofErr w:type="spellEnd"/>
      <w:r w:rsidR="004E1ABC" w:rsidRPr="005A7921">
        <w:rPr>
          <w:rFonts w:ascii="JaghbUni" w:hAnsi="JaghbUni"/>
          <w:szCs w:val="24"/>
        </w:rPr>
        <w:t xml:space="preserve"> </w:t>
      </w:r>
      <w:r w:rsidR="00FC0D7E" w:rsidRPr="00583D21">
        <w:rPr>
          <w:szCs w:val="24"/>
        </w:rPr>
        <w:t xml:space="preserve">Tabrizi, a </w:t>
      </w:r>
      <w:r w:rsidRPr="00583D21">
        <w:rPr>
          <w:iCs/>
          <w:szCs w:val="24"/>
        </w:rPr>
        <w:t>financial officer for</w:t>
      </w:r>
      <w:r w:rsidR="00FC0D7E" w:rsidRPr="00583D21">
        <w:rPr>
          <w:szCs w:val="24"/>
        </w:rPr>
        <w:t xml:space="preserve"> both Nadir Shah and </w:t>
      </w:r>
      <w:r w:rsidR="00E72F4E">
        <w:rPr>
          <w:szCs w:val="24"/>
        </w:rPr>
        <w:t>Agha</w:t>
      </w:r>
      <w:r w:rsidR="00FC0D7E" w:rsidRPr="00583D21">
        <w:rPr>
          <w:szCs w:val="24"/>
        </w:rPr>
        <w:t xml:space="preserve"> Muhammad Khan.</w:t>
      </w:r>
      <w:r w:rsidR="00FC0D7E" w:rsidRPr="00583D21">
        <w:rPr>
          <w:szCs w:val="24"/>
          <w:vertAlign w:val="superscript"/>
        </w:rPr>
        <w:endnoteReference w:id="54"/>
      </w:r>
    </w:p>
    <w:p w14:paraId="114E1A14" w14:textId="4F998E10" w:rsidR="00FC0D7E" w:rsidRPr="00583D21" w:rsidRDefault="00D33F1B" w:rsidP="00D8089B">
      <w:pPr>
        <w:spacing w:line="480" w:lineRule="auto"/>
        <w:ind w:firstLine="720"/>
        <w:rPr>
          <w:szCs w:val="24"/>
        </w:rPr>
      </w:pPr>
      <w:r w:rsidRPr="00583D21">
        <w:rPr>
          <w:szCs w:val="24"/>
        </w:rPr>
        <w:t xml:space="preserve">The case of the </w:t>
      </w:r>
      <w:proofErr w:type="spellStart"/>
      <w:r w:rsidRPr="00583D21">
        <w:rPr>
          <w:szCs w:val="24"/>
        </w:rPr>
        <w:t>Farahani</w:t>
      </w:r>
      <w:proofErr w:type="spellEnd"/>
      <w:r w:rsidRPr="00583D21">
        <w:rPr>
          <w:szCs w:val="24"/>
        </w:rPr>
        <w:t xml:space="preserve"> family, meanwhile, </w:t>
      </w:r>
      <w:r w:rsidR="00FC0D7E" w:rsidRPr="00583D21">
        <w:rPr>
          <w:szCs w:val="24"/>
        </w:rPr>
        <w:t xml:space="preserve">is </w:t>
      </w:r>
      <w:r w:rsidR="00D47AAF" w:rsidRPr="00583D21">
        <w:rPr>
          <w:szCs w:val="24"/>
        </w:rPr>
        <w:t xml:space="preserve">especially </w:t>
      </w:r>
      <w:r w:rsidR="00FC0D7E" w:rsidRPr="00583D21">
        <w:rPr>
          <w:szCs w:val="24"/>
        </w:rPr>
        <w:t xml:space="preserve">noteworthy </w:t>
      </w:r>
      <w:r w:rsidR="00D47AAF" w:rsidRPr="00583D21">
        <w:rPr>
          <w:szCs w:val="24"/>
        </w:rPr>
        <w:t xml:space="preserve">because they served Safavid, </w:t>
      </w:r>
      <w:proofErr w:type="spellStart"/>
      <w:r w:rsidR="00D47AAF" w:rsidRPr="00583D21">
        <w:rPr>
          <w:szCs w:val="24"/>
        </w:rPr>
        <w:t>Zand</w:t>
      </w:r>
      <w:proofErr w:type="spellEnd"/>
      <w:r w:rsidR="00D47AAF" w:rsidRPr="00583D21">
        <w:rPr>
          <w:szCs w:val="24"/>
        </w:rPr>
        <w:t xml:space="preserve">, and Qajar rulers and therefore represented a chain of continuity through the </w:t>
      </w:r>
      <w:r w:rsidR="00F738B3" w:rsidRPr="00583D21">
        <w:rPr>
          <w:szCs w:val="24"/>
        </w:rPr>
        <w:t>vagaries</w:t>
      </w:r>
      <w:r w:rsidR="00937AE4" w:rsidRPr="00583D21">
        <w:rPr>
          <w:szCs w:val="24"/>
        </w:rPr>
        <w:t xml:space="preserve"> of</w:t>
      </w:r>
      <w:r w:rsidR="00D47AAF" w:rsidRPr="00583D21">
        <w:rPr>
          <w:szCs w:val="24"/>
        </w:rPr>
        <w:t xml:space="preserve"> </w:t>
      </w:r>
      <w:r w:rsidR="00753539" w:rsidRPr="00583D21">
        <w:rPr>
          <w:szCs w:val="24"/>
        </w:rPr>
        <w:t>18th</w:t>
      </w:r>
      <w:r w:rsidR="00937AE4" w:rsidRPr="00583D21">
        <w:rPr>
          <w:szCs w:val="24"/>
        </w:rPr>
        <w:t>-</w:t>
      </w:r>
      <w:r w:rsidR="00D47AAF" w:rsidRPr="00583D21">
        <w:rPr>
          <w:szCs w:val="24"/>
        </w:rPr>
        <w:t>century</w:t>
      </w:r>
      <w:r w:rsidR="00937AE4" w:rsidRPr="00583D21">
        <w:rPr>
          <w:szCs w:val="24"/>
        </w:rPr>
        <w:t xml:space="preserve"> politics</w:t>
      </w:r>
      <w:r w:rsidR="00FC0D7E" w:rsidRPr="00583D21">
        <w:rPr>
          <w:szCs w:val="24"/>
        </w:rPr>
        <w:t>.</w:t>
      </w:r>
      <w:r w:rsidR="00FC0D7E" w:rsidRPr="00583D21">
        <w:rPr>
          <w:szCs w:val="24"/>
          <w:vertAlign w:val="superscript"/>
        </w:rPr>
        <w:endnoteReference w:id="55"/>
      </w:r>
      <w:r w:rsidR="00FC0D7E" w:rsidRPr="00583D21">
        <w:rPr>
          <w:szCs w:val="24"/>
        </w:rPr>
        <w:t xml:space="preserve"> Ancestors of Mirza Abu</w:t>
      </w:r>
      <w:r w:rsidR="00AC100A">
        <w:rPr>
          <w:szCs w:val="24"/>
        </w:rPr>
        <w:t xml:space="preserve"> a</w:t>
      </w:r>
      <w:r w:rsidR="00FC0D7E" w:rsidRPr="00583D21">
        <w:rPr>
          <w:szCs w:val="24"/>
        </w:rPr>
        <w:t>l-</w:t>
      </w:r>
      <w:proofErr w:type="spellStart"/>
      <w:r w:rsidR="00FC0D7E" w:rsidRPr="00583D21">
        <w:rPr>
          <w:szCs w:val="24"/>
        </w:rPr>
        <w:t>Qasim</w:t>
      </w:r>
      <w:proofErr w:type="spellEnd"/>
      <w:r w:rsidR="00FC0D7E" w:rsidRPr="00583D21">
        <w:rPr>
          <w:szCs w:val="24"/>
        </w:rPr>
        <w:t xml:space="preserve"> </w:t>
      </w:r>
      <w:proofErr w:type="spellStart"/>
      <w:r w:rsidR="00FC0D7E" w:rsidRPr="00583D21">
        <w:rPr>
          <w:szCs w:val="24"/>
        </w:rPr>
        <w:t>Farahani</w:t>
      </w:r>
      <w:proofErr w:type="spellEnd"/>
      <w:r w:rsidR="00FC0D7E" w:rsidRPr="00583D21">
        <w:rPr>
          <w:szCs w:val="24"/>
        </w:rPr>
        <w:t xml:space="preserve"> had served numerous shahs through the centuries, and by the late Safavid period, Mir Abu</w:t>
      </w:r>
      <w:r w:rsidR="00000622">
        <w:rPr>
          <w:szCs w:val="24"/>
        </w:rPr>
        <w:t xml:space="preserve"> a</w:t>
      </w:r>
      <w:r w:rsidR="00FC0D7E" w:rsidRPr="00583D21">
        <w:rPr>
          <w:szCs w:val="24"/>
        </w:rPr>
        <w:t xml:space="preserve">l-Fath </w:t>
      </w:r>
      <w:proofErr w:type="spellStart"/>
      <w:r w:rsidR="00FC0D7E" w:rsidRPr="00583D21">
        <w:rPr>
          <w:szCs w:val="24"/>
        </w:rPr>
        <w:t>Farahani</w:t>
      </w:r>
      <w:proofErr w:type="spellEnd"/>
      <w:r w:rsidR="00FC0D7E" w:rsidRPr="00583D21">
        <w:rPr>
          <w:szCs w:val="24"/>
        </w:rPr>
        <w:t xml:space="preserve"> was the keeper of the seal (</w:t>
      </w:r>
      <w:proofErr w:type="spellStart"/>
      <w:r w:rsidR="00FC0D7E" w:rsidRPr="00583D21">
        <w:rPr>
          <w:i/>
          <w:szCs w:val="24"/>
        </w:rPr>
        <w:t>mīr-i</w:t>
      </w:r>
      <w:proofErr w:type="spellEnd"/>
      <w:r w:rsidR="00FC0D7E" w:rsidRPr="00583D21">
        <w:rPr>
          <w:i/>
          <w:szCs w:val="24"/>
        </w:rPr>
        <w:t xml:space="preserve"> </w:t>
      </w:r>
      <w:proofErr w:type="spellStart"/>
      <w:r w:rsidR="00FC0D7E" w:rsidRPr="00583D21">
        <w:rPr>
          <w:i/>
          <w:szCs w:val="24"/>
        </w:rPr>
        <w:t>muhrdār</w:t>
      </w:r>
      <w:proofErr w:type="spellEnd"/>
      <w:r w:rsidR="00FC0D7E" w:rsidRPr="00583D21">
        <w:rPr>
          <w:szCs w:val="24"/>
        </w:rPr>
        <w:t>) in the Safavid court.</w:t>
      </w:r>
      <w:r w:rsidR="00FC0D7E" w:rsidRPr="00583D21">
        <w:rPr>
          <w:szCs w:val="24"/>
          <w:vertAlign w:val="superscript"/>
        </w:rPr>
        <w:endnoteReference w:id="56"/>
      </w:r>
      <w:r w:rsidR="00FC0D7E" w:rsidRPr="00583D21">
        <w:rPr>
          <w:szCs w:val="24"/>
        </w:rPr>
        <w:t xml:space="preserve"> Mir Abu</w:t>
      </w:r>
      <w:r w:rsidR="00000622">
        <w:rPr>
          <w:szCs w:val="24"/>
        </w:rPr>
        <w:t xml:space="preserve"> a</w:t>
      </w:r>
      <w:r w:rsidR="00FC0D7E" w:rsidRPr="00583D21">
        <w:rPr>
          <w:szCs w:val="24"/>
        </w:rPr>
        <w:t>l-</w:t>
      </w:r>
      <w:proofErr w:type="spellStart"/>
      <w:r w:rsidR="00FC0D7E" w:rsidRPr="00583D21">
        <w:rPr>
          <w:szCs w:val="24"/>
        </w:rPr>
        <w:t>Fath’s</w:t>
      </w:r>
      <w:proofErr w:type="spellEnd"/>
      <w:r w:rsidR="00FC0D7E" w:rsidRPr="00583D21">
        <w:rPr>
          <w:szCs w:val="24"/>
        </w:rPr>
        <w:t xml:space="preserve"> son, and the later </w:t>
      </w:r>
      <w:proofErr w:type="spellStart"/>
      <w:r w:rsidR="005D1870" w:rsidRPr="00583D21">
        <w:rPr>
          <w:szCs w:val="24"/>
        </w:rPr>
        <w:t>Qa</w:t>
      </w:r>
      <w:r w:rsidR="00000622" w:rsidRPr="005A7921">
        <w:rPr>
          <w:rFonts w:ascii="JaghbUni" w:hAnsi="JaghbUni"/>
          <w:szCs w:val="24"/>
        </w:rPr>
        <w:t>ʾ</w:t>
      </w:r>
      <w:r w:rsidR="005D1870" w:rsidRPr="00583D21">
        <w:rPr>
          <w:szCs w:val="24"/>
        </w:rPr>
        <w:t>im</w:t>
      </w:r>
      <w:proofErr w:type="spellEnd"/>
      <w:r w:rsidR="005D1870" w:rsidRPr="00583D21">
        <w:rPr>
          <w:szCs w:val="24"/>
        </w:rPr>
        <w:t>-M</w:t>
      </w:r>
      <w:r w:rsidR="00E72F4E">
        <w:rPr>
          <w:szCs w:val="24"/>
        </w:rPr>
        <w:t>aqam</w:t>
      </w:r>
      <w:r w:rsidR="00FC0D7E" w:rsidRPr="00583D21">
        <w:rPr>
          <w:szCs w:val="24"/>
        </w:rPr>
        <w:t xml:space="preserve">’s paternal great-uncle, Mirza Muhammad </w:t>
      </w:r>
      <w:proofErr w:type="spellStart"/>
      <w:r w:rsidR="00FC0D7E" w:rsidRPr="00583D21">
        <w:rPr>
          <w:szCs w:val="24"/>
        </w:rPr>
        <w:t>Husayn</w:t>
      </w:r>
      <w:proofErr w:type="spellEnd"/>
      <w:r w:rsidR="00FC0D7E" w:rsidRPr="00583D21">
        <w:rPr>
          <w:szCs w:val="24"/>
        </w:rPr>
        <w:t xml:space="preserve"> </w:t>
      </w:r>
      <w:proofErr w:type="spellStart"/>
      <w:r w:rsidR="00FC0D7E" w:rsidRPr="00583D21">
        <w:rPr>
          <w:szCs w:val="24"/>
        </w:rPr>
        <w:t>Farahani</w:t>
      </w:r>
      <w:proofErr w:type="spellEnd"/>
      <w:r w:rsidR="00FC0D7E" w:rsidRPr="00583D21">
        <w:rPr>
          <w:szCs w:val="24"/>
        </w:rPr>
        <w:t xml:space="preserve"> “</w:t>
      </w:r>
      <w:proofErr w:type="spellStart"/>
      <w:r w:rsidR="00827DBD" w:rsidRPr="00583D21">
        <w:rPr>
          <w:szCs w:val="24"/>
        </w:rPr>
        <w:t>Vafa</w:t>
      </w:r>
      <w:proofErr w:type="spellEnd"/>
      <w:r w:rsidR="004C6E06">
        <w:rPr>
          <w:szCs w:val="24"/>
        </w:rPr>
        <w:t>,</w:t>
      </w:r>
      <w:r w:rsidR="00FC0D7E" w:rsidRPr="00583D21">
        <w:rPr>
          <w:szCs w:val="24"/>
        </w:rPr>
        <w:t xml:space="preserve">” served the </w:t>
      </w:r>
      <w:proofErr w:type="spellStart"/>
      <w:r w:rsidR="00FC0D7E" w:rsidRPr="00583D21">
        <w:rPr>
          <w:szCs w:val="24"/>
        </w:rPr>
        <w:t>Zands</w:t>
      </w:r>
      <w:proofErr w:type="spellEnd"/>
      <w:r w:rsidR="00FC0D7E" w:rsidRPr="00583D21">
        <w:rPr>
          <w:szCs w:val="24"/>
        </w:rPr>
        <w:t xml:space="preserve"> as</w:t>
      </w:r>
      <w:r w:rsidR="00D47AAF" w:rsidRPr="00583D21">
        <w:rPr>
          <w:szCs w:val="24"/>
        </w:rPr>
        <w:t xml:space="preserve"> a chief minister</w:t>
      </w:r>
      <w:r w:rsidR="00FC0D7E" w:rsidRPr="00583D21">
        <w:rPr>
          <w:szCs w:val="24"/>
        </w:rPr>
        <w:t xml:space="preserve"> </w:t>
      </w:r>
      <w:r w:rsidR="00D47AAF" w:rsidRPr="00583D21">
        <w:rPr>
          <w:szCs w:val="24"/>
        </w:rPr>
        <w:t>(</w:t>
      </w:r>
      <w:proofErr w:type="spellStart"/>
      <w:r w:rsidR="00FC0D7E" w:rsidRPr="00583D21">
        <w:rPr>
          <w:i/>
          <w:szCs w:val="24"/>
        </w:rPr>
        <w:t>vazīr-i</w:t>
      </w:r>
      <w:proofErr w:type="spellEnd"/>
      <w:r w:rsidR="00FC0D7E" w:rsidRPr="00583D21">
        <w:rPr>
          <w:i/>
          <w:szCs w:val="24"/>
        </w:rPr>
        <w:t xml:space="preserve"> </w:t>
      </w:r>
      <w:proofErr w:type="spellStart"/>
      <w:r w:rsidR="00FC0D7E" w:rsidRPr="00583D21">
        <w:rPr>
          <w:i/>
          <w:szCs w:val="24"/>
        </w:rPr>
        <w:t>sarkār-i</w:t>
      </w:r>
      <w:proofErr w:type="spellEnd"/>
      <w:r w:rsidR="00FC0D7E" w:rsidRPr="00583D21">
        <w:rPr>
          <w:i/>
          <w:szCs w:val="24"/>
        </w:rPr>
        <w:t xml:space="preserve"> </w:t>
      </w:r>
      <w:proofErr w:type="spellStart"/>
      <w:r w:rsidR="00FC0D7E" w:rsidRPr="00583D21">
        <w:rPr>
          <w:i/>
          <w:szCs w:val="24"/>
        </w:rPr>
        <w:t>umarā</w:t>
      </w:r>
      <w:r w:rsidR="004C6E06" w:rsidRPr="005A7921">
        <w:rPr>
          <w:rFonts w:ascii="JaghbUni" w:hAnsi="JaghbUni"/>
          <w:i/>
          <w:szCs w:val="24"/>
        </w:rPr>
        <w:t>ʾ</w:t>
      </w:r>
      <w:proofErr w:type="spellEnd"/>
      <w:r w:rsidR="00D47AAF" w:rsidRPr="00583D21">
        <w:rPr>
          <w:iCs/>
          <w:szCs w:val="24"/>
        </w:rPr>
        <w:t>)</w:t>
      </w:r>
      <w:r w:rsidR="00FC0D7E" w:rsidRPr="00583D21">
        <w:rPr>
          <w:szCs w:val="24"/>
        </w:rPr>
        <w:t xml:space="preserve"> and </w:t>
      </w:r>
      <w:r w:rsidR="00D47AAF" w:rsidRPr="00583D21">
        <w:rPr>
          <w:szCs w:val="24"/>
        </w:rPr>
        <w:t xml:space="preserve">imperial </w:t>
      </w:r>
      <w:r w:rsidR="00856862">
        <w:rPr>
          <w:szCs w:val="24"/>
        </w:rPr>
        <w:t>accountant</w:t>
      </w:r>
      <w:r w:rsidR="00FC0D7E" w:rsidRPr="00583D21">
        <w:rPr>
          <w:szCs w:val="24"/>
        </w:rPr>
        <w:t>.</w:t>
      </w:r>
      <w:r w:rsidR="00FC0D7E" w:rsidRPr="00583D21">
        <w:rPr>
          <w:szCs w:val="24"/>
          <w:vertAlign w:val="superscript"/>
        </w:rPr>
        <w:endnoteReference w:id="57"/>
      </w:r>
      <w:r w:rsidR="00FC0D7E" w:rsidRPr="00583D21">
        <w:rPr>
          <w:szCs w:val="24"/>
        </w:rPr>
        <w:t xml:space="preserve"> Mirza Abu</w:t>
      </w:r>
      <w:r w:rsidR="004C6E06">
        <w:rPr>
          <w:szCs w:val="24"/>
        </w:rPr>
        <w:t xml:space="preserve"> a</w:t>
      </w:r>
      <w:r w:rsidR="00FC0D7E" w:rsidRPr="00583D21">
        <w:rPr>
          <w:szCs w:val="24"/>
        </w:rPr>
        <w:t>l-</w:t>
      </w:r>
      <w:proofErr w:type="spellStart"/>
      <w:r w:rsidR="00FC0D7E" w:rsidRPr="00583D21">
        <w:rPr>
          <w:szCs w:val="24"/>
        </w:rPr>
        <w:t>Qasim’s</w:t>
      </w:r>
      <w:proofErr w:type="spellEnd"/>
      <w:r w:rsidR="00FC0D7E" w:rsidRPr="00583D21">
        <w:rPr>
          <w:szCs w:val="24"/>
        </w:rPr>
        <w:t xml:space="preserve"> father, the first </w:t>
      </w:r>
      <w:proofErr w:type="spellStart"/>
      <w:r w:rsidR="005D1870" w:rsidRPr="00583D21">
        <w:rPr>
          <w:szCs w:val="24"/>
        </w:rPr>
        <w:t>Qa</w:t>
      </w:r>
      <w:r w:rsidR="004C6E06" w:rsidRPr="005A7921">
        <w:rPr>
          <w:rFonts w:ascii="JaghbUni" w:hAnsi="JaghbUni"/>
          <w:szCs w:val="24"/>
        </w:rPr>
        <w:t>ʾ</w:t>
      </w:r>
      <w:r w:rsidR="005D1870" w:rsidRPr="00583D21">
        <w:rPr>
          <w:szCs w:val="24"/>
        </w:rPr>
        <w:t>im</w:t>
      </w:r>
      <w:proofErr w:type="spellEnd"/>
      <w:r w:rsidR="005D1870" w:rsidRPr="00583D21">
        <w:rPr>
          <w:szCs w:val="24"/>
        </w:rPr>
        <w:t>-M</w:t>
      </w:r>
      <w:r w:rsidR="00E72F4E">
        <w:rPr>
          <w:szCs w:val="24"/>
        </w:rPr>
        <w:t>aqam</w:t>
      </w:r>
      <w:r w:rsidR="00FC0D7E" w:rsidRPr="00583D21">
        <w:rPr>
          <w:szCs w:val="24"/>
        </w:rPr>
        <w:t xml:space="preserve"> Mirza Abu</w:t>
      </w:r>
      <w:r w:rsidR="004C6E06">
        <w:rPr>
          <w:szCs w:val="24"/>
        </w:rPr>
        <w:t xml:space="preserve"> a</w:t>
      </w:r>
      <w:r w:rsidR="00FC0D7E" w:rsidRPr="00583D21">
        <w:rPr>
          <w:szCs w:val="24"/>
        </w:rPr>
        <w:t xml:space="preserve">l-Hasan </w:t>
      </w:r>
      <w:proofErr w:type="spellStart"/>
      <w:r w:rsidR="004C6E06" w:rsidRPr="005A7921">
        <w:rPr>
          <w:rFonts w:ascii="JaghbUni" w:hAnsi="JaghbUni"/>
          <w:szCs w:val="24"/>
        </w:rPr>
        <w:t>ʿ</w:t>
      </w:r>
      <w:r w:rsidR="00FC0D7E" w:rsidRPr="00583D21">
        <w:rPr>
          <w:szCs w:val="24"/>
        </w:rPr>
        <w:t>Isa</w:t>
      </w:r>
      <w:proofErr w:type="spellEnd"/>
      <w:r w:rsidR="00FC0D7E" w:rsidRPr="00583D21">
        <w:rPr>
          <w:szCs w:val="24"/>
        </w:rPr>
        <w:t xml:space="preserve">, had entered Qajar service during the reign of </w:t>
      </w:r>
      <w:r w:rsidR="00E72F4E">
        <w:rPr>
          <w:szCs w:val="24"/>
        </w:rPr>
        <w:t>Agha</w:t>
      </w:r>
      <w:r w:rsidR="00FC0D7E" w:rsidRPr="00583D21">
        <w:rPr>
          <w:szCs w:val="24"/>
        </w:rPr>
        <w:t xml:space="preserve"> Muhammad Shah. After Fath-</w:t>
      </w:r>
      <w:proofErr w:type="spellStart"/>
      <w:r w:rsidR="004C6E06" w:rsidRPr="005A7921">
        <w:rPr>
          <w:rFonts w:ascii="JaghbUni" w:hAnsi="JaghbUni"/>
          <w:szCs w:val="24"/>
        </w:rPr>
        <w:t>ʿ</w:t>
      </w:r>
      <w:r w:rsidR="00FC0D7E" w:rsidRPr="00583D21">
        <w:rPr>
          <w:szCs w:val="24"/>
        </w:rPr>
        <w:t>Ali</w:t>
      </w:r>
      <w:proofErr w:type="spellEnd"/>
      <w:r w:rsidR="00FC0D7E" w:rsidRPr="00583D21">
        <w:rPr>
          <w:szCs w:val="24"/>
        </w:rPr>
        <w:t xml:space="preserve"> Shah acceded to the throne in 1797, he first appointed Mirza Abu</w:t>
      </w:r>
      <w:r w:rsidR="004C6E06">
        <w:rPr>
          <w:szCs w:val="24"/>
        </w:rPr>
        <w:t xml:space="preserve"> a</w:t>
      </w:r>
      <w:r w:rsidR="00FC0D7E" w:rsidRPr="00583D21">
        <w:rPr>
          <w:szCs w:val="24"/>
        </w:rPr>
        <w:t>l-Hasan as minister to his son Hasan</w:t>
      </w:r>
      <w:r w:rsidR="00D8089B" w:rsidRPr="00583D21">
        <w:rPr>
          <w:szCs w:val="24"/>
        </w:rPr>
        <w:t>-</w:t>
      </w:r>
      <w:proofErr w:type="spellStart"/>
      <w:r w:rsidR="004C6E06" w:rsidRPr="005A7921">
        <w:rPr>
          <w:rFonts w:ascii="JaghbUni" w:hAnsi="JaghbUni"/>
          <w:szCs w:val="24"/>
        </w:rPr>
        <w:t>ʿ</w:t>
      </w:r>
      <w:r w:rsidR="00FC0D7E" w:rsidRPr="00583D21">
        <w:rPr>
          <w:szCs w:val="24"/>
        </w:rPr>
        <w:t>Ali</w:t>
      </w:r>
      <w:proofErr w:type="spellEnd"/>
      <w:r w:rsidR="00FC0D7E" w:rsidRPr="00583D21">
        <w:rPr>
          <w:szCs w:val="24"/>
        </w:rPr>
        <w:t xml:space="preserve"> Mirza in Tehran, before moving him to the court of </w:t>
      </w:r>
      <w:proofErr w:type="spellStart"/>
      <w:r w:rsidR="004C6E06" w:rsidRPr="005A7921">
        <w:rPr>
          <w:rFonts w:ascii="JaghbUni" w:hAnsi="JaghbUni"/>
          <w:szCs w:val="24"/>
        </w:rPr>
        <w:t>ʿ</w:t>
      </w:r>
      <w:r w:rsidR="00FC0D7E" w:rsidRPr="00583D21">
        <w:rPr>
          <w:szCs w:val="24"/>
        </w:rPr>
        <w:t>Abbas</w:t>
      </w:r>
      <w:proofErr w:type="spellEnd"/>
      <w:r w:rsidR="00FC0D7E" w:rsidRPr="00583D21">
        <w:rPr>
          <w:szCs w:val="24"/>
        </w:rPr>
        <w:t xml:space="preserve"> Mirza, where he took the title </w:t>
      </w:r>
      <w:proofErr w:type="spellStart"/>
      <w:r w:rsidR="005D1870" w:rsidRPr="00583D21">
        <w:rPr>
          <w:szCs w:val="24"/>
        </w:rPr>
        <w:t>Qa</w:t>
      </w:r>
      <w:r w:rsidR="004C6E06" w:rsidRPr="005A7921">
        <w:rPr>
          <w:rFonts w:ascii="JaghbUni" w:hAnsi="JaghbUni"/>
          <w:szCs w:val="24"/>
        </w:rPr>
        <w:t>ʾ</w:t>
      </w:r>
      <w:r w:rsidR="005D1870" w:rsidRPr="00583D21">
        <w:rPr>
          <w:szCs w:val="24"/>
        </w:rPr>
        <w:t>im</w:t>
      </w:r>
      <w:proofErr w:type="spellEnd"/>
      <w:r w:rsidR="005D1870" w:rsidRPr="00583D21">
        <w:rPr>
          <w:szCs w:val="24"/>
        </w:rPr>
        <w:t>-Maqam</w:t>
      </w:r>
      <w:r w:rsidR="00FC0D7E" w:rsidRPr="00583D21">
        <w:rPr>
          <w:szCs w:val="24"/>
        </w:rPr>
        <w:t xml:space="preserve"> and served until he died of plague in </w:t>
      </w:r>
      <w:r w:rsidR="00D46728" w:rsidRPr="00583D21">
        <w:rPr>
          <w:szCs w:val="24"/>
        </w:rPr>
        <w:t xml:space="preserve">1821 or </w:t>
      </w:r>
      <w:r w:rsidR="00FC0D7E" w:rsidRPr="00583D21">
        <w:rPr>
          <w:szCs w:val="24"/>
        </w:rPr>
        <w:t>1822.</w:t>
      </w:r>
      <w:r w:rsidR="00FC0D7E" w:rsidRPr="00583D21">
        <w:rPr>
          <w:szCs w:val="24"/>
          <w:vertAlign w:val="superscript"/>
        </w:rPr>
        <w:endnoteReference w:id="58"/>
      </w:r>
      <w:r w:rsidR="00FC0D7E" w:rsidRPr="00583D21">
        <w:rPr>
          <w:szCs w:val="24"/>
        </w:rPr>
        <w:t xml:space="preserve"> He was replaced by his son, Mirza Abu</w:t>
      </w:r>
      <w:r w:rsidR="004C6E06">
        <w:rPr>
          <w:szCs w:val="24"/>
        </w:rPr>
        <w:t xml:space="preserve"> a</w:t>
      </w:r>
      <w:r w:rsidR="00FC0D7E" w:rsidRPr="00583D21">
        <w:rPr>
          <w:szCs w:val="24"/>
        </w:rPr>
        <w:t>l-</w:t>
      </w:r>
      <w:proofErr w:type="spellStart"/>
      <w:r w:rsidR="00FC0D7E" w:rsidRPr="00583D21">
        <w:rPr>
          <w:szCs w:val="24"/>
        </w:rPr>
        <w:t>Qasim</w:t>
      </w:r>
      <w:proofErr w:type="spellEnd"/>
      <w:r w:rsidR="00FC0D7E" w:rsidRPr="00583D21">
        <w:rPr>
          <w:szCs w:val="24"/>
        </w:rPr>
        <w:t xml:space="preserve"> who became the new </w:t>
      </w:r>
      <w:proofErr w:type="spellStart"/>
      <w:r w:rsidR="005D1870" w:rsidRPr="00583D21">
        <w:rPr>
          <w:szCs w:val="24"/>
        </w:rPr>
        <w:t>Qa</w:t>
      </w:r>
      <w:r w:rsidR="004C6E06" w:rsidRPr="005A7921">
        <w:rPr>
          <w:rFonts w:ascii="JaghbUni" w:hAnsi="JaghbUni"/>
          <w:szCs w:val="24"/>
        </w:rPr>
        <w:t>ʾ</w:t>
      </w:r>
      <w:r w:rsidR="005D1870" w:rsidRPr="00583D21">
        <w:rPr>
          <w:szCs w:val="24"/>
        </w:rPr>
        <w:t>im</w:t>
      </w:r>
      <w:proofErr w:type="spellEnd"/>
      <w:r w:rsidR="005D1870" w:rsidRPr="00583D21">
        <w:rPr>
          <w:szCs w:val="24"/>
        </w:rPr>
        <w:t>-Maqam</w:t>
      </w:r>
      <w:r w:rsidR="00FC0D7E" w:rsidRPr="00583D21">
        <w:rPr>
          <w:szCs w:val="24"/>
        </w:rPr>
        <w:t xml:space="preserve"> upon his father’s death. In addition to these two ministers, </w:t>
      </w:r>
      <w:proofErr w:type="spellStart"/>
      <w:r w:rsidR="004C6E06" w:rsidRPr="005A7921">
        <w:rPr>
          <w:rFonts w:ascii="JaghbUni" w:hAnsi="JaghbUni"/>
          <w:szCs w:val="24"/>
        </w:rPr>
        <w:t>ʿ</w:t>
      </w:r>
      <w:r w:rsidR="00FC0D7E" w:rsidRPr="00583D21">
        <w:rPr>
          <w:szCs w:val="24"/>
        </w:rPr>
        <w:t>Abbas</w:t>
      </w:r>
      <w:proofErr w:type="spellEnd"/>
      <w:r w:rsidR="00FC0D7E" w:rsidRPr="00583D21">
        <w:rPr>
          <w:szCs w:val="24"/>
        </w:rPr>
        <w:t xml:space="preserve"> Mirza appointed Haji </w:t>
      </w:r>
      <w:proofErr w:type="spellStart"/>
      <w:r w:rsidR="00FC0D7E" w:rsidRPr="00583D21">
        <w:rPr>
          <w:szCs w:val="24"/>
        </w:rPr>
        <w:t>Haydar</w:t>
      </w:r>
      <w:proofErr w:type="spellEnd"/>
      <w:r w:rsidR="00FC0D7E" w:rsidRPr="00583D21">
        <w:rPr>
          <w:szCs w:val="24"/>
        </w:rPr>
        <w:t xml:space="preserve"> Ali Khan as his</w:t>
      </w:r>
      <w:r w:rsidR="007E064F">
        <w:rPr>
          <w:szCs w:val="24"/>
        </w:rPr>
        <w:t xml:space="preserve"> vizier</w:t>
      </w:r>
      <w:r w:rsidR="00FC0D7E" w:rsidRPr="00583D21">
        <w:rPr>
          <w:szCs w:val="24"/>
        </w:rPr>
        <w:t xml:space="preserve"> </w:t>
      </w:r>
      <w:r w:rsidR="007E064F">
        <w:rPr>
          <w:szCs w:val="24"/>
        </w:rPr>
        <w:t>(</w:t>
      </w:r>
      <w:proofErr w:type="spellStart"/>
      <w:r w:rsidR="00FC0D7E" w:rsidRPr="00583D21">
        <w:rPr>
          <w:i/>
          <w:iCs/>
          <w:szCs w:val="24"/>
        </w:rPr>
        <w:t>ṣadr</w:t>
      </w:r>
      <w:proofErr w:type="spellEnd"/>
      <w:r w:rsidR="007E064F">
        <w:rPr>
          <w:szCs w:val="24"/>
        </w:rPr>
        <w:t>)</w:t>
      </w:r>
      <w:r w:rsidR="00FC0D7E" w:rsidRPr="00583D21">
        <w:rPr>
          <w:i/>
          <w:iCs/>
          <w:szCs w:val="24"/>
        </w:rPr>
        <w:t xml:space="preserve"> </w:t>
      </w:r>
      <w:r w:rsidR="00FC0D7E" w:rsidRPr="00583D21">
        <w:rPr>
          <w:szCs w:val="24"/>
        </w:rPr>
        <w:t xml:space="preserve">for a couple years. Further underlining the continuities between </w:t>
      </w:r>
      <w:proofErr w:type="spellStart"/>
      <w:r w:rsidR="00FC0D7E" w:rsidRPr="00583D21">
        <w:rPr>
          <w:szCs w:val="24"/>
        </w:rPr>
        <w:t>Zand</w:t>
      </w:r>
      <w:proofErr w:type="spellEnd"/>
      <w:r w:rsidR="00FC0D7E" w:rsidRPr="00583D21">
        <w:rPr>
          <w:szCs w:val="24"/>
        </w:rPr>
        <w:t xml:space="preserve"> and Qajar rule, </w:t>
      </w:r>
      <w:proofErr w:type="spellStart"/>
      <w:r w:rsidR="00FC0D7E" w:rsidRPr="00583D21">
        <w:rPr>
          <w:szCs w:val="24"/>
        </w:rPr>
        <w:t>Haydar</w:t>
      </w:r>
      <w:proofErr w:type="spellEnd"/>
      <w:r w:rsidR="00FC0D7E" w:rsidRPr="00583D21">
        <w:rPr>
          <w:szCs w:val="24"/>
        </w:rPr>
        <w:t xml:space="preserve"> Ali was related to </w:t>
      </w:r>
      <w:proofErr w:type="spellStart"/>
      <w:r w:rsidR="001E46DB" w:rsidRPr="00583D21">
        <w:rPr>
          <w:szCs w:val="24"/>
        </w:rPr>
        <w:t>I</w:t>
      </w:r>
      <w:r w:rsidR="004C6E06" w:rsidRPr="005A7921">
        <w:rPr>
          <w:rFonts w:ascii="JaghbUni" w:hAnsi="JaghbUni"/>
          <w:szCs w:val="24"/>
        </w:rPr>
        <w:t>ʿ</w:t>
      </w:r>
      <w:r w:rsidR="001E46DB" w:rsidRPr="00583D21">
        <w:rPr>
          <w:szCs w:val="24"/>
        </w:rPr>
        <w:t>timad</w:t>
      </w:r>
      <w:proofErr w:type="spellEnd"/>
      <w:r w:rsidR="00FC0D7E" w:rsidRPr="00583D21">
        <w:rPr>
          <w:szCs w:val="24"/>
        </w:rPr>
        <w:t xml:space="preserve"> al-</w:t>
      </w:r>
      <w:proofErr w:type="spellStart"/>
      <w:r w:rsidR="00FC0D7E" w:rsidRPr="00583D21">
        <w:rPr>
          <w:szCs w:val="24"/>
        </w:rPr>
        <w:t>Dawlih</w:t>
      </w:r>
      <w:proofErr w:type="spellEnd"/>
      <w:r w:rsidR="00FC0D7E" w:rsidRPr="00583D21">
        <w:rPr>
          <w:szCs w:val="24"/>
        </w:rPr>
        <w:t xml:space="preserve">, the first Qajar </w:t>
      </w:r>
      <w:proofErr w:type="spellStart"/>
      <w:r w:rsidR="00FC0D7E" w:rsidRPr="00583D21">
        <w:rPr>
          <w:i/>
          <w:iCs/>
          <w:szCs w:val="24"/>
        </w:rPr>
        <w:t>ṣadr</w:t>
      </w:r>
      <w:proofErr w:type="spellEnd"/>
      <w:r w:rsidR="00FC0D7E" w:rsidRPr="00583D21">
        <w:rPr>
          <w:i/>
          <w:iCs/>
          <w:szCs w:val="24"/>
        </w:rPr>
        <w:t xml:space="preserve"> </w:t>
      </w:r>
      <w:r w:rsidR="00FC0D7E" w:rsidRPr="00583D21">
        <w:rPr>
          <w:szCs w:val="24"/>
        </w:rPr>
        <w:t xml:space="preserve">who had also served the </w:t>
      </w:r>
      <w:proofErr w:type="spellStart"/>
      <w:r w:rsidR="00FC0D7E" w:rsidRPr="00583D21">
        <w:rPr>
          <w:szCs w:val="24"/>
        </w:rPr>
        <w:t>Zands</w:t>
      </w:r>
      <w:proofErr w:type="spellEnd"/>
      <w:r w:rsidR="00FC0D7E" w:rsidRPr="00583D21">
        <w:rPr>
          <w:szCs w:val="24"/>
        </w:rPr>
        <w:t>.</w:t>
      </w:r>
      <w:r w:rsidR="00FC0D7E" w:rsidRPr="00583D21">
        <w:rPr>
          <w:szCs w:val="24"/>
          <w:vertAlign w:val="superscript"/>
        </w:rPr>
        <w:endnoteReference w:id="59"/>
      </w:r>
    </w:p>
    <w:p w14:paraId="5F69835F" w14:textId="11B544E6" w:rsidR="00FC0D7E" w:rsidRPr="00583D21" w:rsidRDefault="00FC0D7E" w:rsidP="004C6E06">
      <w:pPr>
        <w:spacing w:line="480" w:lineRule="auto"/>
        <w:ind w:firstLine="720"/>
        <w:rPr>
          <w:szCs w:val="24"/>
        </w:rPr>
      </w:pPr>
      <w:r w:rsidRPr="00583D21">
        <w:rPr>
          <w:szCs w:val="24"/>
        </w:rPr>
        <w:t xml:space="preserve">The background of the </w:t>
      </w:r>
      <w:proofErr w:type="spellStart"/>
      <w:r w:rsidRPr="00583D21">
        <w:rPr>
          <w:szCs w:val="24"/>
        </w:rPr>
        <w:t>Farahanis</w:t>
      </w:r>
      <w:proofErr w:type="spellEnd"/>
      <w:r w:rsidRPr="00583D21">
        <w:rPr>
          <w:szCs w:val="24"/>
        </w:rPr>
        <w:t xml:space="preserve"> points to another feature of</w:t>
      </w:r>
      <w:r w:rsidR="00690190" w:rsidRPr="00583D21">
        <w:rPr>
          <w:szCs w:val="24"/>
        </w:rPr>
        <w:t xml:space="preserve"> the</w:t>
      </w:r>
      <w:r w:rsidRPr="00583D21">
        <w:rPr>
          <w:szCs w:val="24"/>
        </w:rPr>
        <w:t xml:space="preserve"> early Qajar </w:t>
      </w:r>
      <w:r w:rsidR="00690190" w:rsidRPr="00583D21">
        <w:rPr>
          <w:szCs w:val="24"/>
        </w:rPr>
        <w:t>administration</w:t>
      </w:r>
      <w:r w:rsidR="00650E37" w:rsidRPr="00583D21">
        <w:rPr>
          <w:szCs w:val="24"/>
        </w:rPr>
        <w:t xml:space="preserve">: </w:t>
      </w:r>
      <w:r w:rsidR="00F533B4" w:rsidRPr="00583D21">
        <w:rPr>
          <w:szCs w:val="24"/>
        </w:rPr>
        <w:t xml:space="preserve">the apprenticeship and education </w:t>
      </w:r>
      <w:r w:rsidR="00003910" w:rsidRPr="00583D21">
        <w:rPr>
          <w:szCs w:val="24"/>
        </w:rPr>
        <w:t xml:space="preserve">that </w:t>
      </w:r>
      <w:r w:rsidR="00F533B4" w:rsidRPr="00583D21">
        <w:rPr>
          <w:szCs w:val="24"/>
        </w:rPr>
        <w:t>ministers received</w:t>
      </w:r>
      <w:r w:rsidR="00832F7D" w:rsidRPr="00583D21">
        <w:rPr>
          <w:szCs w:val="24"/>
        </w:rPr>
        <w:t xml:space="preserve"> </w:t>
      </w:r>
      <w:r w:rsidR="00F533B4" w:rsidRPr="00583D21">
        <w:rPr>
          <w:szCs w:val="24"/>
        </w:rPr>
        <w:t xml:space="preserve">was an additional </w:t>
      </w:r>
      <w:r w:rsidR="00553883" w:rsidRPr="00583D21">
        <w:rPr>
          <w:szCs w:val="24"/>
        </w:rPr>
        <w:lastRenderedPageBreak/>
        <w:t xml:space="preserve">conduit of continuity through different </w:t>
      </w:r>
      <w:r w:rsidR="007B1AA1" w:rsidRPr="00583D21">
        <w:rPr>
          <w:szCs w:val="24"/>
        </w:rPr>
        <w:t>political rulers.</w:t>
      </w:r>
      <w:r w:rsidR="002C2DA0" w:rsidRPr="00583D21">
        <w:rPr>
          <w:szCs w:val="24"/>
        </w:rPr>
        <w:t xml:space="preserve"> </w:t>
      </w:r>
      <w:r w:rsidR="00FF4FFA" w:rsidRPr="00583D21">
        <w:rPr>
          <w:szCs w:val="24"/>
        </w:rPr>
        <w:t xml:space="preserve">Sources </w:t>
      </w:r>
      <w:r w:rsidR="00C53486" w:rsidRPr="00583D21">
        <w:rPr>
          <w:szCs w:val="24"/>
        </w:rPr>
        <w:t xml:space="preserve">therefore also provide information about </w:t>
      </w:r>
      <w:r w:rsidR="000C5F8E" w:rsidRPr="00583D21">
        <w:rPr>
          <w:szCs w:val="24"/>
        </w:rPr>
        <w:t xml:space="preserve">ministers’ training and </w:t>
      </w:r>
      <w:r w:rsidR="004C6E06">
        <w:rPr>
          <w:szCs w:val="24"/>
        </w:rPr>
        <w:t>the</w:t>
      </w:r>
      <w:r w:rsidR="000C5F8E" w:rsidRPr="00583D21">
        <w:rPr>
          <w:szCs w:val="24"/>
        </w:rPr>
        <w:t xml:space="preserve"> supervision </w:t>
      </w:r>
      <w:r w:rsidR="004C6E06">
        <w:rPr>
          <w:szCs w:val="24"/>
        </w:rPr>
        <w:t xml:space="preserve">under which </w:t>
      </w:r>
      <w:r w:rsidR="000C5F8E" w:rsidRPr="00583D21">
        <w:rPr>
          <w:szCs w:val="24"/>
        </w:rPr>
        <w:t>ministers began their careers</w:t>
      </w:r>
      <w:r w:rsidR="002C2DA0" w:rsidRPr="00583D21">
        <w:rPr>
          <w:szCs w:val="24"/>
        </w:rPr>
        <w:t xml:space="preserve">. </w:t>
      </w:r>
      <w:r w:rsidRPr="00583D21">
        <w:rPr>
          <w:szCs w:val="24"/>
        </w:rPr>
        <w:t xml:space="preserve">To give a few examples: </w:t>
      </w:r>
      <w:proofErr w:type="spellStart"/>
      <w:r w:rsidR="001E46DB" w:rsidRPr="00583D21">
        <w:rPr>
          <w:szCs w:val="24"/>
        </w:rPr>
        <w:t>I</w:t>
      </w:r>
      <w:r w:rsidR="004C6E06" w:rsidRPr="005A7921">
        <w:rPr>
          <w:rFonts w:ascii="JaghbUni" w:hAnsi="JaghbUni"/>
          <w:szCs w:val="24"/>
        </w:rPr>
        <w:t>ʿ</w:t>
      </w:r>
      <w:r w:rsidR="001E46DB" w:rsidRPr="00583D21">
        <w:rPr>
          <w:szCs w:val="24"/>
        </w:rPr>
        <w:t>timad</w:t>
      </w:r>
      <w:proofErr w:type="spellEnd"/>
      <w:r w:rsidRPr="00583D21">
        <w:rPr>
          <w:szCs w:val="24"/>
        </w:rPr>
        <w:t xml:space="preserve"> al-</w:t>
      </w:r>
      <w:proofErr w:type="spellStart"/>
      <w:r w:rsidRPr="00583D21">
        <w:rPr>
          <w:szCs w:val="24"/>
        </w:rPr>
        <w:t>Dawlih</w:t>
      </w:r>
      <w:proofErr w:type="spellEnd"/>
      <w:r w:rsidRPr="00583D21">
        <w:rPr>
          <w:szCs w:val="24"/>
        </w:rPr>
        <w:t xml:space="preserve">, aside from being the </w:t>
      </w:r>
      <w:r w:rsidR="002C2DA0" w:rsidRPr="00583D21">
        <w:rPr>
          <w:iCs/>
          <w:szCs w:val="24"/>
        </w:rPr>
        <w:t>mayor</w:t>
      </w:r>
      <w:r w:rsidRPr="00583D21">
        <w:rPr>
          <w:i/>
          <w:szCs w:val="24"/>
        </w:rPr>
        <w:t xml:space="preserve"> </w:t>
      </w:r>
      <w:r w:rsidRPr="00583D21">
        <w:rPr>
          <w:szCs w:val="24"/>
        </w:rPr>
        <w:t xml:space="preserve">of Shiraz under the </w:t>
      </w:r>
      <w:proofErr w:type="spellStart"/>
      <w:r w:rsidRPr="00583D21">
        <w:rPr>
          <w:szCs w:val="24"/>
        </w:rPr>
        <w:t>Zands</w:t>
      </w:r>
      <w:proofErr w:type="spellEnd"/>
      <w:r w:rsidRPr="00583D21">
        <w:rPr>
          <w:szCs w:val="24"/>
        </w:rPr>
        <w:t xml:space="preserve">, also served </w:t>
      </w:r>
      <w:r w:rsidR="002C2DA0" w:rsidRPr="00583D21">
        <w:rPr>
          <w:szCs w:val="24"/>
        </w:rPr>
        <w:t xml:space="preserve">as an apprentice </w:t>
      </w:r>
      <w:r w:rsidRPr="00583D21">
        <w:rPr>
          <w:szCs w:val="24"/>
        </w:rPr>
        <w:t xml:space="preserve">under Mirza Muhammad </w:t>
      </w:r>
      <w:proofErr w:type="spellStart"/>
      <w:r w:rsidRPr="00583D21">
        <w:rPr>
          <w:szCs w:val="24"/>
        </w:rPr>
        <w:t>Husayn</w:t>
      </w:r>
      <w:proofErr w:type="spellEnd"/>
      <w:r w:rsidRPr="00583D21">
        <w:rPr>
          <w:szCs w:val="24"/>
        </w:rPr>
        <w:t xml:space="preserve"> </w:t>
      </w:r>
      <w:proofErr w:type="spellStart"/>
      <w:r w:rsidR="00827DBD" w:rsidRPr="00583D21">
        <w:rPr>
          <w:szCs w:val="24"/>
        </w:rPr>
        <w:t>Vafa</w:t>
      </w:r>
      <w:proofErr w:type="spellEnd"/>
      <w:r w:rsidRPr="00583D21">
        <w:rPr>
          <w:szCs w:val="24"/>
        </w:rPr>
        <w:t xml:space="preserve">, the head of the </w:t>
      </w:r>
      <w:proofErr w:type="spellStart"/>
      <w:r w:rsidRPr="00583D21">
        <w:rPr>
          <w:szCs w:val="24"/>
        </w:rPr>
        <w:t>Farahani</w:t>
      </w:r>
      <w:proofErr w:type="spellEnd"/>
      <w:r w:rsidRPr="00583D21">
        <w:rPr>
          <w:szCs w:val="24"/>
        </w:rPr>
        <w:t xml:space="preserve"> family, in effect linking him back to the late Safavid bureaucratic elite</w:t>
      </w:r>
      <w:r w:rsidR="002C2DA0" w:rsidRPr="00583D21">
        <w:rPr>
          <w:szCs w:val="24"/>
        </w:rPr>
        <w:t xml:space="preserve"> as well</w:t>
      </w:r>
      <w:r w:rsidRPr="00583D21">
        <w:rPr>
          <w:szCs w:val="24"/>
        </w:rPr>
        <w:t>.</w:t>
      </w:r>
      <w:r w:rsidRPr="00583D21">
        <w:rPr>
          <w:szCs w:val="24"/>
          <w:vertAlign w:val="superscript"/>
        </w:rPr>
        <w:endnoteReference w:id="60"/>
      </w:r>
      <w:r w:rsidR="00CB28AD" w:rsidRPr="00583D21">
        <w:rPr>
          <w:szCs w:val="24"/>
        </w:rPr>
        <w:t xml:space="preserve"> Meanwhile, Mirza </w:t>
      </w:r>
      <w:proofErr w:type="spellStart"/>
      <w:r w:rsidR="00CB28AD" w:rsidRPr="00583D21">
        <w:rPr>
          <w:szCs w:val="24"/>
        </w:rPr>
        <w:t>Mirza</w:t>
      </w:r>
      <w:proofErr w:type="spellEnd"/>
      <w:r w:rsidR="00CB28AD" w:rsidRPr="00583D21">
        <w:rPr>
          <w:szCs w:val="24"/>
        </w:rPr>
        <w:t xml:space="preserve"> Isa </w:t>
      </w:r>
      <w:proofErr w:type="spellStart"/>
      <w:r w:rsidR="00CB28AD" w:rsidRPr="00583D21">
        <w:rPr>
          <w:szCs w:val="24"/>
        </w:rPr>
        <w:t>Qa</w:t>
      </w:r>
      <w:r w:rsidR="00E84D5A" w:rsidRPr="005A7921">
        <w:rPr>
          <w:rFonts w:ascii="JaghbUni" w:hAnsi="JaghbUni"/>
          <w:szCs w:val="24"/>
        </w:rPr>
        <w:t>ʾ</w:t>
      </w:r>
      <w:r w:rsidR="00CB28AD" w:rsidRPr="00583D21">
        <w:rPr>
          <w:szCs w:val="24"/>
        </w:rPr>
        <w:t>im</w:t>
      </w:r>
      <w:proofErr w:type="spellEnd"/>
      <w:r w:rsidR="00CB28AD" w:rsidRPr="00583D21">
        <w:rPr>
          <w:szCs w:val="24"/>
        </w:rPr>
        <w:t>-Maqa</w:t>
      </w:r>
      <w:r w:rsidRPr="00583D21">
        <w:rPr>
          <w:szCs w:val="24"/>
        </w:rPr>
        <w:t>m was</w:t>
      </w:r>
      <w:r w:rsidR="002C2DA0" w:rsidRPr="00583D21">
        <w:rPr>
          <w:szCs w:val="24"/>
        </w:rPr>
        <w:t xml:space="preserve"> in turn</w:t>
      </w:r>
      <w:r w:rsidRPr="00583D21">
        <w:rPr>
          <w:szCs w:val="24"/>
        </w:rPr>
        <w:t xml:space="preserve"> trained by </w:t>
      </w:r>
      <w:proofErr w:type="spellStart"/>
      <w:r w:rsidR="001E46DB" w:rsidRPr="00583D21">
        <w:rPr>
          <w:szCs w:val="24"/>
        </w:rPr>
        <w:t>I</w:t>
      </w:r>
      <w:r w:rsidR="00E84D5A" w:rsidRPr="005A7921">
        <w:rPr>
          <w:rFonts w:ascii="JaghbUni" w:hAnsi="JaghbUni"/>
          <w:szCs w:val="24"/>
        </w:rPr>
        <w:t>ʿ</w:t>
      </w:r>
      <w:r w:rsidR="001E46DB" w:rsidRPr="00583D21">
        <w:rPr>
          <w:szCs w:val="24"/>
        </w:rPr>
        <w:t>timad</w:t>
      </w:r>
      <w:proofErr w:type="spellEnd"/>
      <w:r w:rsidRPr="00583D21">
        <w:rPr>
          <w:szCs w:val="24"/>
        </w:rPr>
        <w:t xml:space="preserve"> al-</w:t>
      </w:r>
      <w:proofErr w:type="spellStart"/>
      <w:r w:rsidRPr="00583D21">
        <w:rPr>
          <w:szCs w:val="24"/>
        </w:rPr>
        <w:t>Dawlih</w:t>
      </w:r>
      <w:proofErr w:type="spellEnd"/>
      <w:r w:rsidRPr="00583D21">
        <w:rPr>
          <w:szCs w:val="24"/>
        </w:rPr>
        <w:t>.</w:t>
      </w:r>
      <w:r w:rsidRPr="00583D21">
        <w:rPr>
          <w:szCs w:val="24"/>
          <w:vertAlign w:val="superscript"/>
        </w:rPr>
        <w:endnoteReference w:id="61"/>
      </w:r>
      <w:r w:rsidRPr="00583D21">
        <w:rPr>
          <w:szCs w:val="24"/>
        </w:rPr>
        <w:t xml:space="preserve"> </w:t>
      </w:r>
    </w:p>
    <w:p w14:paraId="32FC6AF0" w14:textId="50C78485" w:rsidR="00FC0D7E" w:rsidRPr="00583D21" w:rsidRDefault="00FC0D7E" w:rsidP="00F64961">
      <w:pPr>
        <w:spacing w:line="480" w:lineRule="auto"/>
        <w:ind w:firstLine="720"/>
        <w:rPr>
          <w:szCs w:val="24"/>
        </w:rPr>
      </w:pPr>
      <w:r w:rsidRPr="00583D21">
        <w:rPr>
          <w:szCs w:val="24"/>
        </w:rPr>
        <w:t>Continuities</w:t>
      </w:r>
      <w:r w:rsidR="002C2DA0" w:rsidRPr="00583D21">
        <w:rPr>
          <w:szCs w:val="24"/>
        </w:rPr>
        <w:t xml:space="preserve"> such as these</w:t>
      </w:r>
      <w:r w:rsidRPr="00583D21">
        <w:rPr>
          <w:szCs w:val="24"/>
        </w:rPr>
        <w:t xml:space="preserve"> were </w:t>
      </w:r>
      <w:r w:rsidR="008837DA" w:rsidRPr="00583D21">
        <w:rPr>
          <w:szCs w:val="24"/>
        </w:rPr>
        <w:t>not limited to the central</w:t>
      </w:r>
      <w:r w:rsidR="00031530" w:rsidRPr="00583D21">
        <w:rPr>
          <w:szCs w:val="24"/>
        </w:rPr>
        <w:t xml:space="preserve"> administration </w:t>
      </w:r>
      <w:r w:rsidR="008837DA" w:rsidRPr="00583D21">
        <w:rPr>
          <w:szCs w:val="24"/>
        </w:rPr>
        <w:t xml:space="preserve">in </w:t>
      </w:r>
      <w:proofErr w:type="gramStart"/>
      <w:r w:rsidR="008837DA" w:rsidRPr="00583D21">
        <w:rPr>
          <w:szCs w:val="24"/>
        </w:rPr>
        <w:t>Tehran, but</w:t>
      </w:r>
      <w:proofErr w:type="gramEnd"/>
      <w:r w:rsidR="008837DA" w:rsidRPr="00583D21">
        <w:rPr>
          <w:szCs w:val="24"/>
        </w:rPr>
        <w:t xml:space="preserve"> were also evident at the provincial and local levels.</w:t>
      </w:r>
      <w:r w:rsidRPr="00583D21">
        <w:rPr>
          <w:szCs w:val="24"/>
        </w:rPr>
        <w:t xml:space="preserve"> Qajar rulers preferred to leave secretari</w:t>
      </w:r>
      <w:r w:rsidR="008837DA" w:rsidRPr="00583D21">
        <w:rPr>
          <w:szCs w:val="24"/>
        </w:rPr>
        <w:t xml:space="preserve">es and fiscal officers in place, </w:t>
      </w:r>
      <w:r w:rsidRPr="00583D21">
        <w:rPr>
          <w:szCs w:val="24"/>
        </w:rPr>
        <w:t>rather than appoint new officials</w:t>
      </w:r>
      <w:r w:rsidR="008837DA" w:rsidRPr="00583D21">
        <w:rPr>
          <w:szCs w:val="24"/>
        </w:rPr>
        <w:t>, after conquering new territory</w:t>
      </w:r>
      <w:r w:rsidRPr="00583D21">
        <w:rPr>
          <w:szCs w:val="24"/>
        </w:rPr>
        <w:t xml:space="preserve">. Mirza </w:t>
      </w:r>
      <w:proofErr w:type="spellStart"/>
      <w:r w:rsidR="00F64961" w:rsidRPr="005A7921">
        <w:rPr>
          <w:rFonts w:ascii="JaghbUni" w:hAnsi="JaghbUni"/>
          <w:szCs w:val="24"/>
        </w:rPr>
        <w:t>ʿ</w:t>
      </w:r>
      <w:r w:rsidRPr="00583D21">
        <w:rPr>
          <w:szCs w:val="24"/>
        </w:rPr>
        <w:t>Ali</w:t>
      </w:r>
      <w:proofErr w:type="spellEnd"/>
      <w:r w:rsidRPr="00583D21">
        <w:rPr>
          <w:szCs w:val="24"/>
        </w:rPr>
        <w:t xml:space="preserve"> </w:t>
      </w:r>
      <w:proofErr w:type="spellStart"/>
      <w:r w:rsidRPr="00583D21">
        <w:rPr>
          <w:szCs w:val="24"/>
        </w:rPr>
        <w:t>Bayg</w:t>
      </w:r>
      <w:proofErr w:type="spellEnd"/>
      <w:r w:rsidRPr="00583D21">
        <w:rPr>
          <w:szCs w:val="24"/>
        </w:rPr>
        <w:t>, a secretary</w:t>
      </w:r>
      <w:r w:rsidR="00880C98" w:rsidRPr="00583D21">
        <w:rPr>
          <w:szCs w:val="24"/>
        </w:rPr>
        <w:t xml:space="preserve"> (</w:t>
      </w:r>
      <w:proofErr w:type="spellStart"/>
      <w:r w:rsidR="00880C98" w:rsidRPr="00583D21">
        <w:rPr>
          <w:i/>
          <w:iCs/>
          <w:szCs w:val="24"/>
        </w:rPr>
        <w:t>munshī</w:t>
      </w:r>
      <w:proofErr w:type="spellEnd"/>
      <w:r w:rsidR="00880C98" w:rsidRPr="00583D21">
        <w:rPr>
          <w:szCs w:val="24"/>
        </w:rPr>
        <w:t>)</w:t>
      </w:r>
      <w:r w:rsidRPr="00583D21">
        <w:rPr>
          <w:szCs w:val="24"/>
        </w:rPr>
        <w:t xml:space="preserve"> in </w:t>
      </w:r>
      <w:proofErr w:type="spellStart"/>
      <w:r w:rsidRPr="00583D21">
        <w:rPr>
          <w:szCs w:val="24"/>
        </w:rPr>
        <w:t>Nakhchivan’s</w:t>
      </w:r>
      <w:proofErr w:type="spellEnd"/>
      <w:r w:rsidR="00650E37" w:rsidRPr="00583D21">
        <w:rPr>
          <w:i/>
          <w:iCs/>
          <w:szCs w:val="24"/>
        </w:rPr>
        <w:t xml:space="preserve"> </w:t>
      </w:r>
      <w:proofErr w:type="spellStart"/>
      <w:r w:rsidR="00031530" w:rsidRPr="00583D21">
        <w:rPr>
          <w:i/>
          <w:iCs/>
          <w:szCs w:val="24"/>
        </w:rPr>
        <w:t>dīvān</w:t>
      </w:r>
      <w:proofErr w:type="spellEnd"/>
      <w:r w:rsidRPr="00583D21">
        <w:rPr>
          <w:szCs w:val="24"/>
        </w:rPr>
        <w:t>, provides an illustrative example.</w:t>
      </w:r>
      <w:r w:rsidRPr="005A7921">
        <w:rPr>
          <w:rFonts w:ascii="JaghbUni" w:hAnsi="JaghbUni"/>
          <w:szCs w:val="24"/>
        </w:rPr>
        <w:t xml:space="preserve"> </w:t>
      </w:r>
      <w:proofErr w:type="spellStart"/>
      <w:r w:rsidR="00F64961" w:rsidRPr="005A7921">
        <w:rPr>
          <w:rFonts w:ascii="JaghbUni" w:hAnsi="JaghbUni"/>
          <w:szCs w:val="24"/>
        </w:rPr>
        <w:t>ʿ</w:t>
      </w:r>
      <w:r w:rsidRPr="005A7921">
        <w:rPr>
          <w:rFonts w:ascii="JaghbUni" w:hAnsi="JaghbUni"/>
          <w:szCs w:val="24"/>
        </w:rPr>
        <w:t>Ali</w:t>
      </w:r>
      <w:proofErr w:type="spellEnd"/>
      <w:r w:rsidRPr="00583D21">
        <w:rPr>
          <w:szCs w:val="24"/>
        </w:rPr>
        <w:t xml:space="preserve"> </w:t>
      </w:r>
      <w:proofErr w:type="spellStart"/>
      <w:r w:rsidRPr="00583D21">
        <w:rPr>
          <w:szCs w:val="24"/>
        </w:rPr>
        <w:t>Bayg</w:t>
      </w:r>
      <w:proofErr w:type="spellEnd"/>
      <w:r w:rsidR="00D9224B" w:rsidRPr="00583D21">
        <w:rPr>
          <w:szCs w:val="24"/>
        </w:rPr>
        <w:t xml:space="preserve"> was born before the Qajar conquest of </w:t>
      </w:r>
      <w:proofErr w:type="spellStart"/>
      <w:r w:rsidR="00D9224B" w:rsidRPr="00583D21">
        <w:rPr>
          <w:szCs w:val="24"/>
        </w:rPr>
        <w:t>Nakhchivan</w:t>
      </w:r>
      <w:proofErr w:type="spellEnd"/>
      <w:r w:rsidR="00D9224B" w:rsidRPr="00583D21">
        <w:rPr>
          <w:szCs w:val="24"/>
        </w:rPr>
        <w:t xml:space="preserve">, in the late </w:t>
      </w:r>
      <w:r w:rsidR="00753539" w:rsidRPr="00583D21">
        <w:rPr>
          <w:szCs w:val="24"/>
        </w:rPr>
        <w:t>18th</w:t>
      </w:r>
      <w:r w:rsidR="00D9224B" w:rsidRPr="00583D21">
        <w:rPr>
          <w:szCs w:val="24"/>
        </w:rPr>
        <w:t xml:space="preserve"> century, to a family that had served as secretaries in the region for years.</w:t>
      </w:r>
      <w:r w:rsidR="00D9224B" w:rsidRPr="00583D21">
        <w:rPr>
          <w:szCs w:val="24"/>
          <w:vertAlign w:val="superscript"/>
        </w:rPr>
        <w:endnoteReference w:id="62"/>
      </w:r>
      <w:r w:rsidR="00D9224B" w:rsidRPr="00583D21">
        <w:rPr>
          <w:szCs w:val="24"/>
        </w:rPr>
        <w:t xml:space="preserve"> He</w:t>
      </w:r>
      <w:r w:rsidR="002F08E8" w:rsidRPr="00583D21">
        <w:rPr>
          <w:szCs w:val="24"/>
        </w:rPr>
        <w:t xml:space="preserve"> seems to have been responsible for collecting, </w:t>
      </w:r>
      <w:r w:rsidR="00880C98" w:rsidRPr="00583D21">
        <w:rPr>
          <w:szCs w:val="24"/>
        </w:rPr>
        <w:t>copying</w:t>
      </w:r>
      <w:r w:rsidR="002F08E8" w:rsidRPr="00583D21">
        <w:rPr>
          <w:szCs w:val="24"/>
        </w:rPr>
        <w:t xml:space="preserve">, and </w:t>
      </w:r>
      <w:r w:rsidR="00880C98" w:rsidRPr="00583D21">
        <w:rPr>
          <w:szCs w:val="24"/>
        </w:rPr>
        <w:t xml:space="preserve">compiling </w:t>
      </w:r>
      <w:r w:rsidR="002F08E8" w:rsidRPr="00583D21">
        <w:rPr>
          <w:szCs w:val="24"/>
        </w:rPr>
        <w:t>dozens of petitions, decrees (</w:t>
      </w:r>
      <w:proofErr w:type="spellStart"/>
      <w:r w:rsidR="002F08E8" w:rsidRPr="00583D21">
        <w:rPr>
          <w:i/>
          <w:iCs/>
          <w:szCs w:val="24"/>
        </w:rPr>
        <w:t>firmān</w:t>
      </w:r>
      <w:proofErr w:type="spellEnd"/>
      <w:r w:rsidR="002F08E8" w:rsidRPr="00583D21">
        <w:rPr>
          <w:szCs w:val="24"/>
        </w:rPr>
        <w:t xml:space="preserve">), and other correspondence from the </w:t>
      </w:r>
      <w:proofErr w:type="spellStart"/>
      <w:r w:rsidR="002F08E8" w:rsidRPr="00583D21">
        <w:rPr>
          <w:szCs w:val="24"/>
        </w:rPr>
        <w:t>Nakhchivan</w:t>
      </w:r>
      <w:proofErr w:type="spellEnd"/>
      <w:r w:rsidR="002F08E8" w:rsidRPr="00583D21">
        <w:rPr>
          <w:szCs w:val="24"/>
        </w:rPr>
        <w:t xml:space="preserve"> archives </w:t>
      </w:r>
      <w:r w:rsidR="00880C98" w:rsidRPr="00583D21">
        <w:rPr>
          <w:szCs w:val="24"/>
        </w:rPr>
        <w:t xml:space="preserve">that stretched from the early </w:t>
      </w:r>
      <w:r w:rsidR="00753539" w:rsidRPr="00583D21">
        <w:rPr>
          <w:szCs w:val="24"/>
        </w:rPr>
        <w:t>18th</w:t>
      </w:r>
      <w:r w:rsidR="00880C98" w:rsidRPr="00583D21">
        <w:rPr>
          <w:szCs w:val="24"/>
        </w:rPr>
        <w:t xml:space="preserve"> to the early </w:t>
      </w:r>
      <w:r w:rsidR="00753539" w:rsidRPr="00583D21">
        <w:rPr>
          <w:szCs w:val="24"/>
        </w:rPr>
        <w:t>19th</w:t>
      </w:r>
      <w:r w:rsidR="00880C98" w:rsidRPr="00583D21">
        <w:rPr>
          <w:szCs w:val="24"/>
        </w:rPr>
        <w:t xml:space="preserve"> centur</w:t>
      </w:r>
      <w:r w:rsidR="00F64961">
        <w:rPr>
          <w:szCs w:val="24"/>
        </w:rPr>
        <w:t>y</w:t>
      </w:r>
      <w:r w:rsidR="00750850" w:rsidRPr="00583D21">
        <w:rPr>
          <w:szCs w:val="24"/>
        </w:rPr>
        <w:t>—</w:t>
      </w:r>
      <w:r w:rsidR="002F08E8" w:rsidRPr="00583D21">
        <w:rPr>
          <w:szCs w:val="24"/>
        </w:rPr>
        <w:t xml:space="preserve">material to which he would have had easy access given his family background. </w:t>
      </w:r>
      <w:r w:rsidR="00D9224B" w:rsidRPr="00583D21">
        <w:rPr>
          <w:szCs w:val="24"/>
        </w:rPr>
        <w:t xml:space="preserve">The access to documents his family origins gave him also made him well positioned to write a brief history of some of the notable political figures of </w:t>
      </w:r>
      <w:proofErr w:type="spellStart"/>
      <w:r w:rsidRPr="00583D21">
        <w:rPr>
          <w:szCs w:val="24"/>
        </w:rPr>
        <w:t>Nakhchivan</w:t>
      </w:r>
      <w:proofErr w:type="spellEnd"/>
      <w:r w:rsidR="00D9224B" w:rsidRPr="00583D21">
        <w:rPr>
          <w:szCs w:val="24"/>
        </w:rPr>
        <w:t xml:space="preserve">, including </w:t>
      </w:r>
      <w:r w:rsidRPr="00583D21">
        <w:rPr>
          <w:szCs w:val="24"/>
        </w:rPr>
        <w:t>Kalb</w:t>
      </w:r>
      <w:r w:rsidR="00D9224B" w:rsidRPr="00583D21">
        <w:rPr>
          <w:szCs w:val="24"/>
        </w:rPr>
        <w:t>-</w:t>
      </w:r>
      <w:proofErr w:type="spellStart"/>
      <w:r w:rsidR="00F64961" w:rsidRPr="005A7921">
        <w:rPr>
          <w:rFonts w:ascii="JaghbUni" w:hAnsi="JaghbUni"/>
          <w:szCs w:val="24"/>
        </w:rPr>
        <w:t>ʿ</w:t>
      </w:r>
      <w:r w:rsidRPr="00583D21">
        <w:rPr>
          <w:szCs w:val="24"/>
        </w:rPr>
        <w:t>Ali</w:t>
      </w:r>
      <w:proofErr w:type="spellEnd"/>
      <w:r w:rsidRPr="00583D21">
        <w:rPr>
          <w:szCs w:val="24"/>
        </w:rPr>
        <w:t xml:space="preserve"> Khan.</w:t>
      </w:r>
      <w:r w:rsidRPr="00583D21">
        <w:rPr>
          <w:szCs w:val="24"/>
          <w:vertAlign w:val="superscript"/>
        </w:rPr>
        <w:endnoteReference w:id="63"/>
      </w:r>
      <w:r w:rsidRPr="00583D21">
        <w:rPr>
          <w:szCs w:val="24"/>
        </w:rPr>
        <w:t xml:space="preserve"> </w:t>
      </w:r>
      <w:proofErr w:type="spellStart"/>
      <w:r w:rsidR="00F64961" w:rsidRPr="00CE11D6">
        <w:rPr>
          <w:rFonts w:ascii="JaghbUni" w:hAnsi="JaghbUni"/>
          <w:szCs w:val="24"/>
        </w:rPr>
        <w:t>ʿ</w:t>
      </w:r>
      <w:r w:rsidR="00D9224B" w:rsidRPr="00583D21">
        <w:rPr>
          <w:szCs w:val="24"/>
        </w:rPr>
        <w:t>Ali</w:t>
      </w:r>
      <w:proofErr w:type="spellEnd"/>
      <w:r w:rsidR="00D9224B" w:rsidRPr="00583D21">
        <w:rPr>
          <w:szCs w:val="24"/>
        </w:rPr>
        <w:t xml:space="preserve"> </w:t>
      </w:r>
      <w:proofErr w:type="spellStart"/>
      <w:r w:rsidR="00D9224B" w:rsidRPr="00583D21">
        <w:rPr>
          <w:szCs w:val="24"/>
        </w:rPr>
        <w:t>Bayg’s</w:t>
      </w:r>
      <w:proofErr w:type="spellEnd"/>
      <w:r w:rsidRPr="00583D21">
        <w:rPr>
          <w:szCs w:val="24"/>
        </w:rPr>
        <w:t xml:space="preserve"> short biography</w:t>
      </w:r>
      <w:r w:rsidR="00D9224B" w:rsidRPr="00583D21">
        <w:rPr>
          <w:szCs w:val="24"/>
        </w:rPr>
        <w:t xml:space="preserve"> of Kalb-</w:t>
      </w:r>
      <w:proofErr w:type="spellStart"/>
      <w:r w:rsidR="00F64961" w:rsidRPr="00CE11D6">
        <w:rPr>
          <w:rFonts w:ascii="JaghbUni" w:hAnsi="JaghbUni"/>
          <w:szCs w:val="24"/>
        </w:rPr>
        <w:t>ʿ</w:t>
      </w:r>
      <w:r w:rsidR="00D9224B" w:rsidRPr="00583D21">
        <w:rPr>
          <w:szCs w:val="24"/>
        </w:rPr>
        <w:t>Ali</w:t>
      </w:r>
      <w:proofErr w:type="spellEnd"/>
      <w:r w:rsidR="00D9224B" w:rsidRPr="00583D21">
        <w:rPr>
          <w:szCs w:val="24"/>
        </w:rPr>
        <w:t xml:space="preserve"> Khan</w:t>
      </w:r>
      <w:r w:rsidRPr="00583D21">
        <w:rPr>
          <w:szCs w:val="24"/>
        </w:rPr>
        <w:t xml:space="preserve">, combined with </w:t>
      </w:r>
      <w:r w:rsidR="00D9224B" w:rsidRPr="00583D21">
        <w:rPr>
          <w:szCs w:val="24"/>
        </w:rPr>
        <w:t>the archival documents he copied and compiled, provide a portrait of Kalb-</w:t>
      </w:r>
      <w:proofErr w:type="spellStart"/>
      <w:r w:rsidR="00F64961" w:rsidRPr="00CE11D6">
        <w:rPr>
          <w:rFonts w:ascii="JaghbUni" w:hAnsi="JaghbUni"/>
          <w:szCs w:val="24"/>
        </w:rPr>
        <w:t>ʿ</w:t>
      </w:r>
      <w:r w:rsidRPr="00583D21">
        <w:rPr>
          <w:szCs w:val="24"/>
        </w:rPr>
        <w:t>Ali</w:t>
      </w:r>
      <w:proofErr w:type="spellEnd"/>
      <w:r w:rsidRPr="00583D21">
        <w:rPr>
          <w:szCs w:val="24"/>
        </w:rPr>
        <w:t xml:space="preserve"> Khan </w:t>
      </w:r>
      <w:r w:rsidR="00D9224B" w:rsidRPr="00583D21">
        <w:rPr>
          <w:szCs w:val="24"/>
        </w:rPr>
        <w:t xml:space="preserve">that is </w:t>
      </w:r>
      <w:r w:rsidRPr="00583D21">
        <w:rPr>
          <w:szCs w:val="24"/>
        </w:rPr>
        <w:t>missing from</w:t>
      </w:r>
      <w:r w:rsidR="00D9224B" w:rsidRPr="00583D21">
        <w:rPr>
          <w:szCs w:val="24"/>
        </w:rPr>
        <w:t xml:space="preserve"> most Qajar</w:t>
      </w:r>
      <w:r w:rsidRPr="00583D21">
        <w:rPr>
          <w:szCs w:val="24"/>
        </w:rPr>
        <w:t xml:space="preserve"> chronicles and narrative sources</w:t>
      </w:r>
      <w:r w:rsidR="000F44DD" w:rsidRPr="00583D21">
        <w:rPr>
          <w:szCs w:val="24"/>
        </w:rPr>
        <w:t xml:space="preserve">, which only mention him and his tribe, the </w:t>
      </w:r>
      <w:proofErr w:type="spellStart"/>
      <w:r w:rsidR="000F44DD" w:rsidRPr="00583D21">
        <w:rPr>
          <w:szCs w:val="24"/>
        </w:rPr>
        <w:t>Kangarlu</w:t>
      </w:r>
      <w:proofErr w:type="spellEnd"/>
      <w:r w:rsidR="000F44DD" w:rsidRPr="00583D21">
        <w:rPr>
          <w:szCs w:val="24"/>
        </w:rPr>
        <w:t xml:space="preserve">, </w:t>
      </w:r>
      <w:r w:rsidR="007D63BD" w:rsidRPr="00583D21">
        <w:rPr>
          <w:szCs w:val="24"/>
        </w:rPr>
        <w:t>in passing</w:t>
      </w:r>
      <w:r w:rsidRPr="00583D21">
        <w:rPr>
          <w:szCs w:val="24"/>
        </w:rPr>
        <w:t>.</w:t>
      </w:r>
      <w:r w:rsidRPr="00583D21">
        <w:rPr>
          <w:szCs w:val="24"/>
          <w:vertAlign w:val="superscript"/>
        </w:rPr>
        <w:endnoteReference w:id="64"/>
      </w:r>
      <w:r w:rsidRPr="00583D21">
        <w:rPr>
          <w:szCs w:val="24"/>
        </w:rPr>
        <w:t xml:space="preserve"> </w:t>
      </w:r>
      <w:proofErr w:type="spellStart"/>
      <w:r w:rsidR="00F64961" w:rsidRPr="00CE11D6">
        <w:rPr>
          <w:rFonts w:ascii="JaghbUni" w:hAnsi="JaghbUni"/>
          <w:szCs w:val="24"/>
        </w:rPr>
        <w:t>ʿ</w:t>
      </w:r>
      <w:r w:rsidR="00C3019B" w:rsidRPr="00583D21">
        <w:rPr>
          <w:szCs w:val="24"/>
        </w:rPr>
        <w:t>Ali</w:t>
      </w:r>
      <w:proofErr w:type="spellEnd"/>
      <w:r w:rsidR="00C3019B" w:rsidRPr="00583D21">
        <w:rPr>
          <w:szCs w:val="24"/>
        </w:rPr>
        <w:t xml:space="preserve"> </w:t>
      </w:r>
      <w:proofErr w:type="spellStart"/>
      <w:r w:rsidR="00C3019B" w:rsidRPr="00583D21">
        <w:rPr>
          <w:szCs w:val="24"/>
        </w:rPr>
        <w:t>Bayg</w:t>
      </w:r>
      <w:proofErr w:type="spellEnd"/>
      <w:r w:rsidR="00C3019B" w:rsidRPr="00583D21">
        <w:rPr>
          <w:szCs w:val="24"/>
        </w:rPr>
        <w:t xml:space="preserve">, by contrast, provides a granular account of </w:t>
      </w:r>
      <w:r w:rsidR="00DD056E" w:rsidRPr="00583D21">
        <w:rPr>
          <w:szCs w:val="24"/>
        </w:rPr>
        <w:t>Kalb-</w:t>
      </w:r>
      <w:proofErr w:type="spellStart"/>
      <w:r w:rsidR="00F64961" w:rsidRPr="00CE11D6">
        <w:rPr>
          <w:rFonts w:ascii="JaghbUni" w:hAnsi="JaghbUni"/>
          <w:szCs w:val="24"/>
        </w:rPr>
        <w:t>ʿ</w:t>
      </w:r>
      <w:r w:rsidRPr="00583D21">
        <w:rPr>
          <w:szCs w:val="24"/>
        </w:rPr>
        <w:t>Ali</w:t>
      </w:r>
      <w:proofErr w:type="spellEnd"/>
      <w:r w:rsidRPr="00583D21">
        <w:rPr>
          <w:szCs w:val="24"/>
        </w:rPr>
        <w:t xml:space="preserve"> Khan</w:t>
      </w:r>
      <w:r w:rsidR="00C3019B" w:rsidRPr="00583D21">
        <w:rPr>
          <w:szCs w:val="24"/>
        </w:rPr>
        <w:t>’s</w:t>
      </w:r>
      <w:r w:rsidRPr="00583D21">
        <w:rPr>
          <w:szCs w:val="24"/>
        </w:rPr>
        <w:t xml:space="preserve"> role in </w:t>
      </w:r>
      <w:proofErr w:type="spellStart"/>
      <w:r w:rsidR="00C3019B" w:rsidRPr="00583D21">
        <w:rPr>
          <w:szCs w:val="24"/>
        </w:rPr>
        <w:t>Nakhchivan</w:t>
      </w:r>
      <w:proofErr w:type="spellEnd"/>
      <w:r w:rsidR="00C3019B" w:rsidRPr="00583D21">
        <w:rPr>
          <w:szCs w:val="24"/>
        </w:rPr>
        <w:t xml:space="preserve"> and in </w:t>
      </w:r>
      <w:r w:rsidRPr="00583D21">
        <w:rPr>
          <w:szCs w:val="24"/>
        </w:rPr>
        <w:t xml:space="preserve">the </w:t>
      </w:r>
      <w:r w:rsidR="00C3019B" w:rsidRPr="00583D21">
        <w:rPr>
          <w:szCs w:val="24"/>
        </w:rPr>
        <w:t xml:space="preserve">early </w:t>
      </w:r>
      <w:r w:rsidR="00753539" w:rsidRPr="00583D21">
        <w:rPr>
          <w:szCs w:val="24"/>
        </w:rPr>
        <w:t>19th</w:t>
      </w:r>
      <w:r w:rsidR="00C3019B" w:rsidRPr="00583D21">
        <w:rPr>
          <w:szCs w:val="24"/>
        </w:rPr>
        <w:t xml:space="preserve">-century </w:t>
      </w:r>
      <w:r w:rsidRPr="00583D21">
        <w:rPr>
          <w:szCs w:val="24"/>
        </w:rPr>
        <w:t xml:space="preserve">Russo-Persian wars. </w:t>
      </w:r>
      <w:r w:rsidR="00C3019B" w:rsidRPr="00583D21">
        <w:rPr>
          <w:szCs w:val="24"/>
        </w:rPr>
        <w:t>The account</w:t>
      </w:r>
      <w:r w:rsidRPr="00583D21">
        <w:rPr>
          <w:szCs w:val="24"/>
        </w:rPr>
        <w:t xml:space="preserve"> is </w:t>
      </w:r>
      <w:proofErr w:type="gramStart"/>
      <w:r w:rsidRPr="00583D21">
        <w:rPr>
          <w:szCs w:val="24"/>
        </w:rPr>
        <w:t>unique, and</w:t>
      </w:r>
      <w:proofErr w:type="gramEnd"/>
      <w:r w:rsidRPr="00583D21">
        <w:rPr>
          <w:szCs w:val="24"/>
        </w:rPr>
        <w:t xml:space="preserve"> goes some way towards explaining </w:t>
      </w:r>
      <w:r w:rsidRPr="00583D21">
        <w:rPr>
          <w:szCs w:val="24"/>
        </w:rPr>
        <w:lastRenderedPageBreak/>
        <w:t xml:space="preserve">why </w:t>
      </w:r>
      <w:r w:rsidR="00C3019B" w:rsidRPr="00583D21">
        <w:rPr>
          <w:szCs w:val="24"/>
        </w:rPr>
        <w:t xml:space="preserve">the </w:t>
      </w:r>
      <w:proofErr w:type="spellStart"/>
      <w:r w:rsidRPr="00583D21">
        <w:rPr>
          <w:szCs w:val="24"/>
        </w:rPr>
        <w:t>Qajar</w:t>
      </w:r>
      <w:r w:rsidR="00C3019B" w:rsidRPr="00583D21">
        <w:rPr>
          <w:szCs w:val="24"/>
        </w:rPr>
        <w:t>s</w:t>
      </w:r>
      <w:proofErr w:type="spellEnd"/>
      <w:r w:rsidRPr="00583D21">
        <w:rPr>
          <w:szCs w:val="24"/>
        </w:rPr>
        <w:t xml:space="preserve"> would allow local officials, who had deep familiarity with</w:t>
      </w:r>
      <w:r w:rsidR="00541FF2" w:rsidRPr="00583D21">
        <w:rPr>
          <w:szCs w:val="24"/>
        </w:rPr>
        <w:t xml:space="preserve"> and knowledge of</w:t>
      </w:r>
      <w:r w:rsidRPr="00583D21">
        <w:rPr>
          <w:szCs w:val="24"/>
        </w:rPr>
        <w:t xml:space="preserve"> their region, to continue serving under their rule.</w:t>
      </w:r>
    </w:p>
    <w:p w14:paraId="64A893B6" w14:textId="544C10AC" w:rsidR="00964F3F" w:rsidRPr="00583D21" w:rsidRDefault="00964F3F" w:rsidP="00D916FB">
      <w:pPr>
        <w:spacing w:line="480" w:lineRule="auto"/>
        <w:ind w:firstLine="720"/>
        <w:rPr>
          <w:szCs w:val="24"/>
        </w:rPr>
      </w:pPr>
      <w:r w:rsidRPr="00583D21">
        <w:rPr>
          <w:szCs w:val="24"/>
        </w:rPr>
        <w:t xml:space="preserve">There were pragmatic reasons for why </w:t>
      </w:r>
      <w:r w:rsidR="00F338F7" w:rsidRPr="00583D21">
        <w:rPr>
          <w:szCs w:val="24"/>
        </w:rPr>
        <w:t xml:space="preserve">Qajar rulers </w:t>
      </w:r>
      <w:r w:rsidR="00D916FB" w:rsidRPr="00583D21">
        <w:rPr>
          <w:szCs w:val="24"/>
        </w:rPr>
        <w:t xml:space="preserve">favorably </w:t>
      </w:r>
      <w:r w:rsidR="00F338F7" w:rsidRPr="00583D21">
        <w:rPr>
          <w:szCs w:val="24"/>
        </w:rPr>
        <w:t>viewed continuities along family, educational, and experiential lines</w:t>
      </w:r>
      <w:r w:rsidRPr="00583D21">
        <w:rPr>
          <w:szCs w:val="24"/>
        </w:rPr>
        <w:t xml:space="preserve">. To be a minister, a secretary, or a historian serving an administrative role required knowledge and expertise in penmanship and </w:t>
      </w:r>
      <w:proofErr w:type="spellStart"/>
      <w:r w:rsidRPr="00583D21">
        <w:rPr>
          <w:szCs w:val="24"/>
        </w:rPr>
        <w:t>diplomatics</w:t>
      </w:r>
      <w:proofErr w:type="spellEnd"/>
      <w:r w:rsidRPr="00583D21">
        <w:rPr>
          <w:szCs w:val="24"/>
        </w:rPr>
        <w:t xml:space="preserve">, in record-keeping techniques like </w:t>
      </w:r>
      <w:proofErr w:type="spellStart"/>
      <w:r w:rsidRPr="00583D21">
        <w:rPr>
          <w:i/>
          <w:szCs w:val="24"/>
        </w:rPr>
        <w:t>siyāq</w:t>
      </w:r>
      <w:proofErr w:type="spellEnd"/>
      <w:r w:rsidRPr="00583D21">
        <w:rPr>
          <w:szCs w:val="24"/>
        </w:rPr>
        <w:t>, and</w:t>
      </w:r>
      <w:r w:rsidR="005E7120" w:rsidRPr="00583D21">
        <w:rPr>
          <w:szCs w:val="24"/>
        </w:rPr>
        <w:t xml:space="preserve"> in</w:t>
      </w:r>
      <w:r w:rsidRPr="00583D21">
        <w:rPr>
          <w:szCs w:val="24"/>
        </w:rPr>
        <w:t xml:space="preserve"> other subjects, like Arabic grammar and the Islamic sciences</w:t>
      </w:r>
      <w:r w:rsidR="005E7120" w:rsidRPr="00583D21">
        <w:rPr>
          <w:szCs w:val="24"/>
        </w:rPr>
        <w:t>, that were central to the ministerial ethos of the “men of the pen.”</w:t>
      </w:r>
      <w:r w:rsidRPr="00583D21">
        <w:rPr>
          <w:rStyle w:val="EndnoteReference"/>
          <w:szCs w:val="24"/>
        </w:rPr>
        <w:endnoteReference w:id="65"/>
      </w:r>
      <w:r w:rsidRPr="00583D21">
        <w:rPr>
          <w:szCs w:val="24"/>
        </w:rPr>
        <w:t xml:space="preserve"> Recruiting men who had been raised in administrative families</w:t>
      </w:r>
      <w:r w:rsidR="00F338F7" w:rsidRPr="00583D21">
        <w:rPr>
          <w:szCs w:val="24"/>
        </w:rPr>
        <w:t xml:space="preserve">, had been trained by ministers, or </w:t>
      </w:r>
      <w:r w:rsidR="00B36143" w:rsidRPr="00583D21">
        <w:rPr>
          <w:szCs w:val="24"/>
        </w:rPr>
        <w:t xml:space="preserve">simply </w:t>
      </w:r>
      <w:r w:rsidR="00F338F7" w:rsidRPr="00583D21">
        <w:rPr>
          <w:szCs w:val="24"/>
        </w:rPr>
        <w:t>had experience</w:t>
      </w:r>
      <w:r w:rsidRPr="00583D21">
        <w:rPr>
          <w:szCs w:val="24"/>
        </w:rPr>
        <w:t xml:space="preserve"> </w:t>
      </w:r>
      <w:r w:rsidR="00F338F7" w:rsidRPr="00583D21">
        <w:rPr>
          <w:szCs w:val="24"/>
        </w:rPr>
        <w:t xml:space="preserve">were </w:t>
      </w:r>
      <w:r w:rsidRPr="00583D21">
        <w:rPr>
          <w:szCs w:val="24"/>
        </w:rPr>
        <w:t xml:space="preserve">among the surest ways to ensure capable individuals were staffing the government. </w:t>
      </w:r>
    </w:p>
    <w:p w14:paraId="2520F7D1" w14:textId="42CA508C" w:rsidR="00FC0D7E" w:rsidRPr="00583D21" w:rsidRDefault="00F338F7" w:rsidP="00F141BE">
      <w:pPr>
        <w:spacing w:line="480" w:lineRule="auto"/>
        <w:ind w:firstLine="720"/>
        <w:rPr>
          <w:szCs w:val="24"/>
          <w:highlight w:val="white"/>
        </w:rPr>
      </w:pPr>
      <w:r w:rsidRPr="00583D21">
        <w:rPr>
          <w:szCs w:val="24"/>
        </w:rPr>
        <w:t>Nevertheless, there were ministers who lacked such links in their background, a reality that stands out even more when juxtaposed with t</w:t>
      </w:r>
      <w:r w:rsidR="00FC0D7E" w:rsidRPr="00583D21">
        <w:rPr>
          <w:szCs w:val="24"/>
        </w:rPr>
        <w:t xml:space="preserve">he continuities between Safavid, Afsharid, </w:t>
      </w:r>
      <w:proofErr w:type="spellStart"/>
      <w:r w:rsidR="00FC0D7E" w:rsidRPr="00583D21">
        <w:rPr>
          <w:szCs w:val="24"/>
        </w:rPr>
        <w:t>Zand</w:t>
      </w:r>
      <w:proofErr w:type="spellEnd"/>
      <w:r w:rsidR="00FC0D7E" w:rsidRPr="00583D21">
        <w:rPr>
          <w:szCs w:val="24"/>
        </w:rPr>
        <w:t>, and Qajar rule. Take, for instance, Qajar tribal khans. Most Qajar khans became provincial governors or military leaders</w:t>
      </w:r>
      <w:r w:rsidR="00750850" w:rsidRPr="00583D21">
        <w:rPr>
          <w:szCs w:val="24"/>
        </w:rPr>
        <w:t>—</w:t>
      </w:r>
      <w:r w:rsidR="00FC0D7E" w:rsidRPr="00583D21">
        <w:rPr>
          <w:szCs w:val="24"/>
        </w:rPr>
        <w:t xml:space="preserve">that is to say, not </w:t>
      </w:r>
      <w:proofErr w:type="spellStart"/>
      <w:r w:rsidR="00FC0D7E" w:rsidRPr="00583D21">
        <w:rPr>
          <w:i/>
          <w:iCs/>
          <w:szCs w:val="24"/>
        </w:rPr>
        <w:t>dīvān</w:t>
      </w:r>
      <w:proofErr w:type="spellEnd"/>
      <w:r w:rsidR="00FC0D7E" w:rsidRPr="00583D21">
        <w:rPr>
          <w:szCs w:val="24"/>
        </w:rPr>
        <w:t xml:space="preserve"> officials</w:t>
      </w:r>
      <w:r w:rsidR="00750850" w:rsidRPr="00583D21">
        <w:rPr>
          <w:szCs w:val="24"/>
        </w:rPr>
        <w:t>—</w:t>
      </w:r>
      <w:r w:rsidR="00FC0D7E" w:rsidRPr="00583D21">
        <w:rPr>
          <w:szCs w:val="24"/>
        </w:rPr>
        <w:t>but</w:t>
      </w:r>
      <w:r w:rsidR="00EC7511" w:rsidRPr="00583D21">
        <w:rPr>
          <w:szCs w:val="24"/>
        </w:rPr>
        <w:t xml:space="preserve"> among</w:t>
      </w:r>
      <w:r w:rsidR="00FC0D7E" w:rsidRPr="00583D21">
        <w:rPr>
          <w:szCs w:val="24"/>
        </w:rPr>
        <w:t xml:space="preserve"> the earliest example</w:t>
      </w:r>
      <w:r w:rsidR="00EC7511" w:rsidRPr="00583D21">
        <w:rPr>
          <w:szCs w:val="24"/>
        </w:rPr>
        <w:t>s</w:t>
      </w:r>
      <w:r w:rsidR="00FC0D7E" w:rsidRPr="00583D21">
        <w:rPr>
          <w:szCs w:val="24"/>
        </w:rPr>
        <w:t xml:space="preserve"> of a Qajar being selected for a ministerial position was Allah</w:t>
      </w:r>
      <w:r w:rsidR="00917FEB">
        <w:rPr>
          <w:szCs w:val="24"/>
        </w:rPr>
        <w:t xml:space="preserve"> </w:t>
      </w:r>
      <w:proofErr w:type="spellStart"/>
      <w:r w:rsidR="00917FEB">
        <w:rPr>
          <w:szCs w:val="24"/>
        </w:rPr>
        <w:t>Y</w:t>
      </w:r>
      <w:r w:rsidR="00FC0D7E" w:rsidRPr="00583D21">
        <w:rPr>
          <w:szCs w:val="24"/>
        </w:rPr>
        <w:t>ar</w:t>
      </w:r>
      <w:proofErr w:type="spellEnd"/>
      <w:r w:rsidR="00FC0D7E" w:rsidRPr="00583D21">
        <w:rPr>
          <w:szCs w:val="24"/>
        </w:rPr>
        <w:t xml:space="preserve"> Khan, son of </w:t>
      </w:r>
      <w:r w:rsidR="00FC0D7E" w:rsidRPr="00583D21">
        <w:rPr>
          <w:szCs w:val="24"/>
          <w:highlight w:val="white"/>
        </w:rPr>
        <w:t xml:space="preserve">Mirza Muhammad Khan, of the </w:t>
      </w:r>
      <w:proofErr w:type="spellStart"/>
      <w:r w:rsidR="00FC0D7E" w:rsidRPr="00583D21">
        <w:rPr>
          <w:szCs w:val="24"/>
          <w:highlight w:val="white"/>
        </w:rPr>
        <w:t>Devellu</w:t>
      </w:r>
      <w:proofErr w:type="spellEnd"/>
      <w:r w:rsidR="00FC0D7E" w:rsidRPr="00583D21">
        <w:rPr>
          <w:szCs w:val="24"/>
          <w:highlight w:val="white"/>
        </w:rPr>
        <w:t xml:space="preserve"> clan of </w:t>
      </w:r>
      <w:proofErr w:type="spellStart"/>
      <w:r w:rsidR="00FC0D7E" w:rsidRPr="00583D21">
        <w:rPr>
          <w:szCs w:val="24"/>
          <w:highlight w:val="white"/>
        </w:rPr>
        <w:t>Qajars</w:t>
      </w:r>
      <w:proofErr w:type="spellEnd"/>
      <w:r w:rsidR="00FC0D7E" w:rsidRPr="00583D21">
        <w:rPr>
          <w:szCs w:val="24"/>
          <w:highlight w:val="white"/>
        </w:rPr>
        <w:t>.</w:t>
      </w:r>
      <w:r w:rsidR="00FC0D7E" w:rsidRPr="00583D21">
        <w:rPr>
          <w:szCs w:val="24"/>
          <w:highlight w:val="white"/>
          <w:vertAlign w:val="superscript"/>
        </w:rPr>
        <w:endnoteReference w:id="66"/>
      </w:r>
      <w:r w:rsidR="00FC0D7E" w:rsidRPr="00583D21">
        <w:rPr>
          <w:szCs w:val="24"/>
          <w:highlight w:val="white"/>
        </w:rPr>
        <w:t xml:space="preserve"> Allah</w:t>
      </w:r>
      <w:r w:rsidR="00917FEB">
        <w:rPr>
          <w:szCs w:val="24"/>
          <w:highlight w:val="white"/>
        </w:rPr>
        <w:t xml:space="preserve"> </w:t>
      </w:r>
      <w:proofErr w:type="spellStart"/>
      <w:r w:rsidR="00917FEB">
        <w:rPr>
          <w:szCs w:val="24"/>
          <w:highlight w:val="white"/>
        </w:rPr>
        <w:t>Y</w:t>
      </w:r>
      <w:r w:rsidR="00FC0D7E" w:rsidRPr="00583D21">
        <w:rPr>
          <w:szCs w:val="24"/>
          <w:highlight w:val="white"/>
        </w:rPr>
        <w:t>ar</w:t>
      </w:r>
      <w:proofErr w:type="spellEnd"/>
      <w:r w:rsidR="00FC0D7E" w:rsidRPr="00583D21">
        <w:rPr>
          <w:szCs w:val="24"/>
          <w:highlight w:val="white"/>
        </w:rPr>
        <w:t xml:space="preserve"> Khan began his career as a steward (</w:t>
      </w:r>
      <w:proofErr w:type="spellStart"/>
      <w:r w:rsidR="00FC0D7E" w:rsidRPr="00583D21">
        <w:rPr>
          <w:i/>
          <w:szCs w:val="24"/>
          <w:highlight w:val="white"/>
        </w:rPr>
        <w:t>khwānsālār</w:t>
      </w:r>
      <w:proofErr w:type="spellEnd"/>
      <w:r w:rsidR="00FC0D7E" w:rsidRPr="00583D21">
        <w:rPr>
          <w:szCs w:val="24"/>
          <w:highlight w:val="white"/>
        </w:rPr>
        <w:t>) to Fath-</w:t>
      </w:r>
      <w:proofErr w:type="spellStart"/>
      <w:r w:rsidR="0082587B" w:rsidRPr="005A7921">
        <w:rPr>
          <w:rFonts w:ascii="JaghbUni" w:hAnsi="JaghbUni"/>
          <w:szCs w:val="24"/>
          <w:highlight w:val="white"/>
        </w:rPr>
        <w:t>ʿ</w:t>
      </w:r>
      <w:r w:rsidR="00FC0D7E" w:rsidRPr="00583D21">
        <w:rPr>
          <w:szCs w:val="24"/>
          <w:highlight w:val="white"/>
        </w:rPr>
        <w:t>Ali</w:t>
      </w:r>
      <w:proofErr w:type="spellEnd"/>
      <w:r w:rsidR="00FC0D7E" w:rsidRPr="00583D21">
        <w:rPr>
          <w:szCs w:val="24"/>
          <w:highlight w:val="white"/>
        </w:rPr>
        <w:t xml:space="preserve"> Shah, before eventually being given the title </w:t>
      </w:r>
      <w:r w:rsidR="006B26BA" w:rsidRPr="00583D21">
        <w:rPr>
          <w:szCs w:val="24"/>
        </w:rPr>
        <w:t>Asaf</w:t>
      </w:r>
      <w:r w:rsidR="00FC0D7E" w:rsidRPr="00583D21">
        <w:rPr>
          <w:szCs w:val="24"/>
        </w:rPr>
        <w:t xml:space="preserve"> al-</w:t>
      </w:r>
      <w:proofErr w:type="spellStart"/>
      <w:r w:rsidR="00FC0D7E" w:rsidRPr="00583D21">
        <w:rPr>
          <w:szCs w:val="24"/>
        </w:rPr>
        <w:t>Dawlih</w:t>
      </w:r>
      <w:proofErr w:type="spellEnd"/>
      <w:r w:rsidR="00FC0D7E" w:rsidRPr="00583D21">
        <w:rPr>
          <w:szCs w:val="24"/>
          <w:highlight w:val="white"/>
        </w:rPr>
        <w:t>, and becoming, in effect, the</w:t>
      </w:r>
      <w:r w:rsidR="009D3BDA" w:rsidRPr="00583D21">
        <w:rPr>
          <w:szCs w:val="24"/>
          <w:highlight w:val="white"/>
        </w:rPr>
        <w:t xml:space="preserve"> prime minister</w:t>
      </w:r>
      <w:r w:rsidR="00FC0D7E" w:rsidRPr="00583D21">
        <w:rPr>
          <w:szCs w:val="24"/>
          <w:highlight w:val="white"/>
        </w:rPr>
        <w:t>.</w:t>
      </w:r>
      <w:r w:rsidR="00FC0D7E" w:rsidRPr="00583D21">
        <w:rPr>
          <w:szCs w:val="24"/>
          <w:highlight w:val="white"/>
          <w:vertAlign w:val="superscript"/>
        </w:rPr>
        <w:endnoteReference w:id="67"/>
      </w:r>
      <w:r w:rsidR="00FC0D7E" w:rsidRPr="00583D21">
        <w:rPr>
          <w:szCs w:val="24"/>
          <w:highlight w:val="white"/>
        </w:rPr>
        <w:t xml:space="preserve"> As the </w:t>
      </w:r>
      <w:r w:rsidR="00753539" w:rsidRPr="00583D21">
        <w:rPr>
          <w:szCs w:val="24"/>
          <w:highlight w:val="white"/>
        </w:rPr>
        <w:t>19th</w:t>
      </w:r>
      <w:r w:rsidR="00FC0D7E" w:rsidRPr="00583D21">
        <w:rPr>
          <w:szCs w:val="24"/>
          <w:highlight w:val="white"/>
        </w:rPr>
        <w:t xml:space="preserve"> century progressed, and in part as a result of the numerous examples of marriages between the Q</w:t>
      </w:r>
      <w:r w:rsidR="00650E37" w:rsidRPr="00583D21">
        <w:rPr>
          <w:szCs w:val="24"/>
          <w:highlight w:val="white"/>
        </w:rPr>
        <w:t xml:space="preserve">ajar royal family and scions of ministerial </w:t>
      </w:r>
      <w:r w:rsidR="00FC0D7E" w:rsidRPr="00583D21">
        <w:rPr>
          <w:szCs w:val="24"/>
          <w:highlight w:val="white"/>
        </w:rPr>
        <w:t xml:space="preserve">families, an increasing number of individuals from the Qajar house were appointed to ministerial </w:t>
      </w:r>
      <w:r w:rsidR="00650E37" w:rsidRPr="00583D21">
        <w:rPr>
          <w:szCs w:val="24"/>
          <w:highlight w:val="white"/>
        </w:rPr>
        <w:t xml:space="preserve">and secretarial </w:t>
      </w:r>
      <w:r w:rsidR="00FC0D7E" w:rsidRPr="00583D21">
        <w:rPr>
          <w:szCs w:val="24"/>
          <w:highlight w:val="white"/>
        </w:rPr>
        <w:t xml:space="preserve">positions. </w:t>
      </w:r>
    </w:p>
    <w:p w14:paraId="6DE1ACE6" w14:textId="571FE1C8" w:rsidR="00FC0D7E" w:rsidRPr="00583D21" w:rsidRDefault="00650E37" w:rsidP="00AB31FE">
      <w:pPr>
        <w:spacing w:line="480" w:lineRule="auto"/>
        <w:ind w:firstLine="720"/>
        <w:rPr>
          <w:szCs w:val="24"/>
        </w:rPr>
      </w:pPr>
      <w:r w:rsidRPr="00583D21">
        <w:rPr>
          <w:szCs w:val="24"/>
          <w:highlight w:val="white"/>
        </w:rPr>
        <w:t xml:space="preserve">But “outsiders” in the </w:t>
      </w:r>
      <w:proofErr w:type="spellStart"/>
      <w:r w:rsidR="00AD2317" w:rsidRPr="00583D21">
        <w:rPr>
          <w:i/>
          <w:iCs/>
          <w:szCs w:val="24"/>
          <w:highlight w:val="white"/>
        </w:rPr>
        <w:t>dīvān</w:t>
      </w:r>
      <w:proofErr w:type="spellEnd"/>
      <w:r w:rsidRPr="00583D21">
        <w:rPr>
          <w:szCs w:val="24"/>
          <w:highlight w:val="white"/>
        </w:rPr>
        <w:t xml:space="preserve"> </w:t>
      </w:r>
      <w:r w:rsidR="00FC0D7E" w:rsidRPr="00583D21">
        <w:rPr>
          <w:szCs w:val="24"/>
          <w:highlight w:val="white"/>
        </w:rPr>
        <w:t>during the early years of Fath-</w:t>
      </w:r>
      <w:proofErr w:type="spellStart"/>
      <w:r w:rsidR="006859B9" w:rsidRPr="005A7921">
        <w:rPr>
          <w:rFonts w:ascii="JaghbUni" w:hAnsi="JaghbUni"/>
          <w:szCs w:val="24"/>
          <w:highlight w:val="white"/>
        </w:rPr>
        <w:t>ʿ</w:t>
      </w:r>
      <w:r w:rsidR="00FC0D7E" w:rsidRPr="00583D21">
        <w:rPr>
          <w:szCs w:val="24"/>
          <w:highlight w:val="white"/>
        </w:rPr>
        <w:t>Ali</w:t>
      </w:r>
      <w:proofErr w:type="spellEnd"/>
      <w:r w:rsidR="00FC0D7E" w:rsidRPr="00583D21">
        <w:rPr>
          <w:szCs w:val="24"/>
          <w:highlight w:val="white"/>
        </w:rPr>
        <w:t xml:space="preserve"> Shah</w:t>
      </w:r>
      <w:r w:rsidR="00261D16" w:rsidRPr="00583D21">
        <w:rPr>
          <w:szCs w:val="24"/>
          <w:highlight w:val="white"/>
        </w:rPr>
        <w:t>’s reign</w:t>
      </w:r>
      <w:r w:rsidR="00FC0D7E" w:rsidRPr="00583D21">
        <w:rPr>
          <w:szCs w:val="24"/>
          <w:highlight w:val="white"/>
        </w:rPr>
        <w:t xml:space="preserve"> were not exclusive to </w:t>
      </w:r>
      <w:r w:rsidR="00261D16" w:rsidRPr="00583D21">
        <w:rPr>
          <w:szCs w:val="24"/>
          <w:highlight w:val="white"/>
        </w:rPr>
        <w:t>Qajar tribal khans</w:t>
      </w:r>
      <w:r w:rsidR="00FC0D7E" w:rsidRPr="00583D21">
        <w:rPr>
          <w:szCs w:val="24"/>
          <w:highlight w:val="white"/>
        </w:rPr>
        <w:t xml:space="preserve">. Muhammad </w:t>
      </w:r>
      <w:proofErr w:type="spellStart"/>
      <w:r w:rsidR="00FC0D7E" w:rsidRPr="00583D21">
        <w:rPr>
          <w:szCs w:val="24"/>
          <w:highlight w:val="white"/>
        </w:rPr>
        <w:t>Husayn</w:t>
      </w:r>
      <w:proofErr w:type="spellEnd"/>
      <w:r w:rsidR="00FC0D7E" w:rsidRPr="00583D21">
        <w:rPr>
          <w:szCs w:val="24"/>
          <w:highlight w:val="white"/>
        </w:rPr>
        <w:t xml:space="preserve"> Khan, the</w:t>
      </w:r>
      <w:r w:rsidR="00AD2317" w:rsidRPr="00583D21">
        <w:rPr>
          <w:szCs w:val="24"/>
          <w:highlight w:val="white"/>
        </w:rPr>
        <w:t xml:space="preserve"> governor</w:t>
      </w:r>
      <w:r w:rsidR="00FC0D7E" w:rsidRPr="00583D21">
        <w:rPr>
          <w:szCs w:val="24"/>
          <w:highlight w:val="white"/>
        </w:rPr>
        <w:t xml:space="preserve"> </w:t>
      </w:r>
      <w:r w:rsidR="00AD2317" w:rsidRPr="00583D21">
        <w:rPr>
          <w:szCs w:val="24"/>
          <w:highlight w:val="white"/>
        </w:rPr>
        <w:t>(</w:t>
      </w:r>
      <w:proofErr w:type="spellStart"/>
      <w:r w:rsidR="00FC0D7E" w:rsidRPr="00583D21">
        <w:rPr>
          <w:i/>
          <w:szCs w:val="24"/>
          <w:highlight w:val="white"/>
        </w:rPr>
        <w:t>bayglarbayg</w:t>
      </w:r>
      <w:proofErr w:type="spellEnd"/>
      <w:r w:rsidR="00AD2317" w:rsidRPr="00583D21">
        <w:rPr>
          <w:iCs/>
          <w:szCs w:val="24"/>
          <w:highlight w:val="white"/>
        </w:rPr>
        <w:t>)</w:t>
      </w:r>
      <w:r w:rsidR="00FC0D7E" w:rsidRPr="00583D21">
        <w:rPr>
          <w:szCs w:val="24"/>
          <w:highlight w:val="white"/>
        </w:rPr>
        <w:t xml:space="preserve"> of </w:t>
      </w:r>
      <w:r w:rsidR="00FC0D7E" w:rsidRPr="00583D21">
        <w:rPr>
          <w:szCs w:val="24"/>
          <w:highlight w:val="white"/>
        </w:rPr>
        <w:lastRenderedPageBreak/>
        <w:t>Isfahan, provides an example of someone who rose from humble origins to become the</w:t>
      </w:r>
      <w:r w:rsidR="00AD2317" w:rsidRPr="00583D21">
        <w:rPr>
          <w:szCs w:val="24"/>
          <w:highlight w:val="white"/>
        </w:rPr>
        <w:t xml:space="preserve"> prime minister</w:t>
      </w:r>
      <w:r w:rsidR="00FC0D7E" w:rsidRPr="00583D21">
        <w:rPr>
          <w:szCs w:val="24"/>
          <w:highlight w:val="white"/>
        </w:rPr>
        <w:t xml:space="preserve"> and to the pinnacle of power. Although his father and grandfather had been local </w:t>
      </w:r>
      <w:r w:rsidR="00FC0D7E" w:rsidRPr="00583D21">
        <w:rPr>
          <w:szCs w:val="24"/>
          <w:highlight w:val="white"/>
          <w:lang w:bidi="fa-IR"/>
        </w:rPr>
        <w:t>stewards (</w:t>
      </w:r>
      <w:proofErr w:type="spellStart"/>
      <w:r w:rsidR="00FC0D7E" w:rsidRPr="00583D21">
        <w:rPr>
          <w:i/>
          <w:iCs/>
          <w:szCs w:val="24"/>
          <w:highlight w:val="white"/>
        </w:rPr>
        <w:t>mubāshir</w:t>
      </w:r>
      <w:proofErr w:type="spellEnd"/>
      <w:r w:rsidR="00FC0D7E" w:rsidRPr="00583D21">
        <w:rPr>
          <w:szCs w:val="24"/>
          <w:highlight w:val="white"/>
        </w:rPr>
        <w:t xml:space="preserve">), they lacked </w:t>
      </w:r>
      <w:r w:rsidR="00812C70" w:rsidRPr="00583D21">
        <w:rPr>
          <w:szCs w:val="24"/>
          <w:highlight w:val="white"/>
        </w:rPr>
        <w:t xml:space="preserve">a </w:t>
      </w:r>
      <w:r w:rsidR="00FC0D7E" w:rsidRPr="00583D21">
        <w:rPr>
          <w:szCs w:val="24"/>
          <w:highlight w:val="white"/>
        </w:rPr>
        <w:t xml:space="preserve">true </w:t>
      </w:r>
      <w:proofErr w:type="spellStart"/>
      <w:r w:rsidR="00FC0D7E" w:rsidRPr="00583D21">
        <w:rPr>
          <w:i/>
          <w:iCs/>
          <w:szCs w:val="24"/>
        </w:rPr>
        <w:t>dīvān</w:t>
      </w:r>
      <w:proofErr w:type="spellEnd"/>
      <w:r w:rsidR="00FC0D7E" w:rsidRPr="00583D21">
        <w:rPr>
          <w:szCs w:val="24"/>
        </w:rPr>
        <w:t xml:space="preserve"> background. </w:t>
      </w:r>
      <w:r w:rsidR="00FC0D7E" w:rsidRPr="00583D21">
        <w:rPr>
          <w:szCs w:val="24"/>
          <w:highlight w:val="white"/>
        </w:rPr>
        <w:t>Originally a green</w:t>
      </w:r>
      <w:r w:rsidR="006859B9">
        <w:rPr>
          <w:szCs w:val="24"/>
          <w:highlight w:val="white"/>
        </w:rPr>
        <w:t xml:space="preserve"> </w:t>
      </w:r>
      <w:r w:rsidR="00FC0D7E" w:rsidRPr="00583D21">
        <w:rPr>
          <w:szCs w:val="24"/>
          <w:highlight w:val="white"/>
        </w:rPr>
        <w:t xml:space="preserve">grocer from Isfahan, Muhammad </w:t>
      </w:r>
      <w:proofErr w:type="spellStart"/>
      <w:r w:rsidR="00FC0D7E" w:rsidRPr="00583D21">
        <w:rPr>
          <w:szCs w:val="24"/>
          <w:highlight w:val="white"/>
        </w:rPr>
        <w:t>Husayn</w:t>
      </w:r>
      <w:proofErr w:type="spellEnd"/>
      <w:r w:rsidR="00FC0D7E" w:rsidRPr="00583D21">
        <w:rPr>
          <w:szCs w:val="24"/>
          <w:highlight w:val="white"/>
        </w:rPr>
        <w:t xml:space="preserve"> Khan’s first promotion was to become the alderman (</w:t>
      </w:r>
      <w:proofErr w:type="spellStart"/>
      <w:r w:rsidR="00FC0D7E" w:rsidRPr="00583D21">
        <w:rPr>
          <w:i/>
          <w:szCs w:val="24"/>
          <w:highlight w:val="white"/>
        </w:rPr>
        <w:t>kadkhudā</w:t>
      </w:r>
      <w:proofErr w:type="spellEnd"/>
      <w:r w:rsidR="00FC0D7E" w:rsidRPr="00583D21">
        <w:rPr>
          <w:szCs w:val="24"/>
          <w:highlight w:val="white"/>
        </w:rPr>
        <w:t>) of his neighborhood in the city. From there, he worked to build alliances with local shopkeepers, merchants, and farmers, gradually making his way up to becoming the mayor (</w:t>
      </w:r>
      <w:proofErr w:type="spellStart"/>
      <w:r w:rsidR="00FC0D7E" w:rsidRPr="00583D21">
        <w:rPr>
          <w:i/>
          <w:szCs w:val="24"/>
          <w:highlight w:val="white"/>
        </w:rPr>
        <w:t>kalāntar</w:t>
      </w:r>
      <w:proofErr w:type="spellEnd"/>
      <w:r w:rsidR="00FC0D7E" w:rsidRPr="00583D21">
        <w:rPr>
          <w:szCs w:val="24"/>
          <w:highlight w:val="white"/>
        </w:rPr>
        <w:t>) of the city.</w:t>
      </w:r>
      <w:r w:rsidR="00FC0D7E" w:rsidRPr="00583D21">
        <w:rPr>
          <w:szCs w:val="24"/>
          <w:highlight w:val="white"/>
          <w:vertAlign w:val="superscript"/>
        </w:rPr>
        <w:endnoteReference w:id="68"/>
      </w:r>
      <w:r w:rsidR="00FC0D7E" w:rsidRPr="00583D21">
        <w:rPr>
          <w:szCs w:val="24"/>
          <w:highlight w:val="white"/>
        </w:rPr>
        <w:t xml:space="preserve"> Muhammad </w:t>
      </w:r>
      <w:proofErr w:type="spellStart"/>
      <w:r w:rsidR="00FC0D7E" w:rsidRPr="00583D21">
        <w:rPr>
          <w:szCs w:val="24"/>
          <w:highlight w:val="white"/>
        </w:rPr>
        <w:t>Husayn</w:t>
      </w:r>
      <w:proofErr w:type="spellEnd"/>
      <w:r w:rsidR="00FC0D7E" w:rsidRPr="00583D21">
        <w:rPr>
          <w:szCs w:val="24"/>
          <w:highlight w:val="white"/>
        </w:rPr>
        <w:t xml:space="preserve"> Khan came to the attention of Fath</w:t>
      </w:r>
      <w:r w:rsidR="00FC0D7E" w:rsidRPr="005A7921">
        <w:rPr>
          <w:rFonts w:ascii="JaghbUni" w:hAnsi="JaghbUni"/>
          <w:szCs w:val="24"/>
          <w:highlight w:val="white"/>
        </w:rPr>
        <w:t>-</w:t>
      </w:r>
      <w:proofErr w:type="spellStart"/>
      <w:r w:rsidR="006859B9" w:rsidRPr="005A7921">
        <w:rPr>
          <w:rFonts w:ascii="JaghbUni" w:hAnsi="JaghbUni"/>
          <w:szCs w:val="24"/>
          <w:highlight w:val="white"/>
        </w:rPr>
        <w:t>ʿ</w:t>
      </w:r>
      <w:r w:rsidR="00FC0D7E" w:rsidRPr="005A7921">
        <w:rPr>
          <w:rFonts w:ascii="JaghbUni" w:hAnsi="JaghbUni"/>
          <w:szCs w:val="24"/>
          <w:highlight w:val="white"/>
        </w:rPr>
        <w:t>Ali</w:t>
      </w:r>
      <w:proofErr w:type="spellEnd"/>
      <w:r w:rsidR="00FC0D7E" w:rsidRPr="00583D21">
        <w:rPr>
          <w:szCs w:val="24"/>
          <w:highlight w:val="white"/>
        </w:rPr>
        <w:t xml:space="preserve"> Shah when the new shah passed through Isfahan on his way to Tehran to take the throne, following </w:t>
      </w:r>
      <w:r w:rsidR="00E72F4E">
        <w:rPr>
          <w:szCs w:val="24"/>
          <w:highlight w:val="white"/>
        </w:rPr>
        <w:t>Agha</w:t>
      </w:r>
      <w:r w:rsidR="00FC0D7E" w:rsidRPr="00583D21">
        <w:rPr>
          <w:szCs w:val="24"/>
          <w:highlight w:val="white"/>
        </w:rPr>
        <w:t xml:space="preserve"> Muhammad Khan’s death. In </w:t>
      </w:r>
      <w:r w:rsidR="00AB31FE" w:rsidRPr="00583D21">
        <w:rPr>
          <w:szCs w:val="24"/>
          <w:highlight w:val="white"/>
        </w:rPr>
        <w:t>1806</w:t>
      </w:r>
      <w:r w:rsidR="00FC0D7E" w:rsidRPr="00583D21">
        <w:rPr>
          <w:szCs w:val="24"/>
          <w:highlight w:val="white"/>
        </w:rPr>
        <w:t>, Fath-</w:t>
      </w:r>
      <w:proofErr w:type="spellStart"/>
      <w:r w:rsidR="006859B9" w:rsidRPr="005A7921">
        <w:rPr>
          <w:rFonts w:ascii="JaghbUni" w:hAnsi="JaghbUni"/>
          <w:szCs w:val="24"/>
          <w:highlight w:val="white"/>
        </w:rPr>
        <w:t>ʿ</w:t>
      </w:r>
      <w:r w:rsidR="00FC0D7E" w:rsidRPr="00583D21">
        <w:rPr>
          <w:szCs w:val="24"/>
          <w:highlight w:val="white"/>
        </w:rPr>
        <w:t>Ali</w:t>
      </w:r>
      <w:proofErr w:type="spellEnd"/>
      <w:r w:rsidR="00FC0D7E" w:rsidRPr="00583D21">
        <w:rPr>
          <w:szCs w:val="24"/>
          <w:highlight w:val="white"/>
        </w:rPr>
        <w:t xml:space="preserve"> Shah brought him to Tehran, appointed him to serve as </w:t>
      </w:r>
      <w:r w:rsidR="003B7B7F" w:rsidRPr="00583D21">
        <w:rPr>
          <w:szCs w:val="24"/>
          <w:highlight w:val="white"/>
        </w:rPr>
        <w:t>imperial treasurer</w:t>
      </w:r>
      <w:r w:rsidR="00FC0D7E" w:rsidRPr="00583D21">
        <w:rPr>
          <w:szCs w:val="24"/>
          <w:highlight w:val="white"/>
        </w:rPr>
        <w:t xml:space="preserve">, and gave him the title </w:t>
      </w:r>
      <w:r w:rsidR="005D1870" w:rsidRPr="00583D21">
        <w:rPr>
          <w:szCs w:val="24"/>
          <w:highlight w:val="white"/>
        </w:rPr>
        <w:t>Amin</w:t>
      </w:r>
      <w:r w:rsidR="00FC0D7E" w:rsidRPr="00583D21">
        <w:rPr>
          <w:szCs w:val="24"/>
          <w:highlight w:val="white"/>
        </w:rPr>
        <w:t xml:space="preserve"> al-</w:t>
      </w:r>
      <w:proofErr w:type="spellStart"/>
      <w:r w:rsidR="00FC0D7E" w:rsidRPr="00583D21">
        <w:rPr>
          <w:szCs w:val="24"/>
          <w:highlight w:val="white"/>
        </w:rPr>
        <w:t>Dawlih</w:t>
      </w:r>
      <w:proofErr w:type="spellEnd"/>
      <w:r w:rsidR="00FC0D7E" w:rsidRPr="00583D21">
        <w:rPr>
          <w:szCs w:val="24"/>
          <w:highlight w:val="white"/>
        </w:rPr>
        <w:t>.</w:t>
      </w:r>
      <w:r w:rsidR="00FC0D7E" w:rsidRPr="00583D21">
        <w:rPr>
          <w:szCs w:val="24"/>
          <w:highlight w:val="white"/>
          <w:vertAlign w:val="superscript"/>
        </w:rPr>
        <w:endnoteReference w:id="69"/>
      </w:r>
    </w:p>
    <w:p w14:paraId="05B2E826" w14:textId="6D20A7B7" w:rsidR="00FC0D7E" w:rsidRDefault="00FC0D7E" w:rsidP="00AB31FE">
      <w:pPr>
        <w:spacing w:line="480" w:lineRule="auto"/>
        <w:ind w:firstLine="720"/>
        <w:rPr>
          <w:szCs w:val="24"/>
        </w:rPr>
      </w:pPr>
      <w:r w:rsidRPr="00583D21">
        <w:rPr>
          <w:szCs w:val="24"/>
        </w:rPr>
        <w:t xml:space="preserve">The fact that Muhammad </w:t>
      </w:r>
      <w:proofErr w:type="spellStart"/>
      <w:r w:rsidRPr="00583D21">
        <w:rPr>
          <w:szCs w:val="24"/>
        </w:rPr>
        <w:t>Husayn</w:t>
      </w:r>
      <w:proofErr w:type="spellEnd"/>
      <w:r w:rsidRPr="00583D21">
        <w:rPr>
          <w:szCs w:val="24"/>
        </w:rPr>
        <w:t xml:space="preserve"> Khan was promoted up to a prestigious position is an indication that Qajar rulers took other factors besides family lineage into consideration. Loyalty was one such consideration, and the giving of gifts helped express loyalty to Qajar rulers.</w:t>
      </w:r>
      <w:r w:rsidRPr="00583D21">
        <w:rPr>
          <w:szCs w:val="24"/>
          <w:vertAlign w:val="superscript"/>
        </w:rPr>
        <w:endnoteReference w:id="70"/>
      </w:r>
      <w:r w:rsidRPr="00583D21">
        <w:rPr>
          <w:szCs w:val="24"/>
        </w:rPr>
        <w:t xml:space="preserve"> A timely and luxurious gift that Muhammad </w:t>
      </w:r>
      <w:proofErr w:type="spellStart"/>
      <w:r w:rsidRPr="00583D21">
        <w:rPr>
          <w:szCs w:val="24"/>
        </w:rPr>
        <w:t>Husayn</w:t>
      </w:r>
      <w:proofErr w:type="spellEnd"/>
      <w:r w:rsidRPr="00583D21">
        <w:rPr>
          <w:szCs w:val="24"/>
        </w:rPr>
        <w:t xml:space="preserve"> Khan gave to Fath-</w:t>
      </w:r>
      <w:proofErr w:type="spellStart"/>
      <w:r w:rsidR="006859B9" w:rsidRPr="005A7921">
        <w:rPr>
          <w:rFonts w:ascii="JaghbUni" w:hAnsi="JaghbUni"/>
          <w:szCs w:val="24"/>
        </w:rPr>
        <w:t>ʿ</w:t>
      </w:r>
      <w:r w:rsidRPr="00583D21">
        <w:rPr>
          <w:szCs w:val="24"/>
        </w:rPr>
        <w:t>Ali</w:t>
      </w:r>
      <w:proofErr w:type="spellEnd"/>
      <w:r w:rsidRPr="00583D21">
        <w:rPr>
          <w:szCs w:val="24"/>
        </w:rPr>
        <w:t xml:space="preserve"> Shah in 1801</w:t>
      </w:r>
      <w:r w:rsidR="006859B9">
        <w:rPr>
          <w:szCs w:val="24"/>
        </w:rPr>
        <w:t>–</w:t>
      </w:r>
      <w:r w:rsidRPr="00583D21">
        <w:rPr>
          <w:szCs w:val="24"/>
        </w:rPr>
        <w:t xml:space="preserve">2, while he was still the governor of Isfahan and on the occasion of the shah’s marriage to </w:t>
      </w:r>
      <w:proofErr w:type="spellStart"/>
      <w:r w:rsidRPr="00583D21">
        <w:rPr>
          <w:szCs w:val="24"/>
        </w:rPr>
        <w:t>Tavus</w:t>
      </w:r>
      <w:proofErr w:type="spellEnd"/>
      <w:r w:rsidRPr="00583D21">
        <w:rPr>
          <w:szCs w:val="24"/>
        </w:rPr>
        <w:t xml:space="preserve"> Khanum, surely helped his career prospects: a gem-studded “Sun Throne</w:t>
      </w:r>
      <w:r w:rsidR="006859B9">
        <w:rPr>
          <w:szCs w:val="24"/>
        </w:rPr>
        <w:t>,</w:t>
      </w:r>
      <w:r w:rsidRPr="00583D21">
        <w:rPr>
          <w:szCs w:val="24"/>
        </w:rPr>
        <w:t>” later renamed the “Peacock Throne” (</w:t>
      </w:r>
      <w:proofErr w:type="spellStart"/>
      <w:r w:rsidRPr="00583D21">
        <w:rPr>
          <w:i/>
          <w:szCs w:val="24"/>
        </w:rPr>
        <w:t>takht-i</w:t>
      </w:r>
      <w:proofErr w:type="spellEnd"/>
      <w:r w:rsidRPr="00583D21">
        <w:rPr>
          <w:i/>
          <w:szCs w:val="24"/>
        </w:rPr>
        <w:t xml:space="preserve"> </w:t>
      </w:r>
      <w:proofErr w:type="spellStart"/>
      <w:r w:rsidRPr="00583D21">
        <w:rPr>
          <w:i/>
          <w:szCs w:val="24"/>
        </w:rPr>
        <w:t>ṭāvūs</w:t>
      </w:r>
      <w:proofErr w:type="spellEnd"/>
      <w:r w:rsidRPr="00583D21">
        <w:rPr>
          <w:szCs w:val="24"/>
        </w:rPr>
        <w:t>) in honor of the shah’s wife.</w:t>
      </w:r>
      <w:r w:rsidRPr="00583D21">
        <w:rPr>
          <w:szCs w:val="24"/>
          <w:vertAlign w:val="superscript"/>
        </w:rPr>
        <w:endnoteReference w:id="71"/>
      </w:r>
      <w:r w:rsidRPr="00583D21">
        <w:rPr>
          <w:szCs w:val="24"/>
        </w:rPr>
        <w:t xml:space="preserve"> Part of the explanation for the gift may lie in the fact that Muhammad </w:t>
      </w:r>
      <w:proofErr w:type="spellStart"/>
      <w:r w:rsidRPr="00583D21">
        <w:rPr>
          <w:szCs w:val="24"/>
        </w:rPr>
        <w:t>Husayn</w:t>
      </w:r>
      <w:proofErr w:type="spellEnd"/>
      <w:r w:rsidRPr="00583D21">
        <w:rPr>
          <w:szCs w:val="24"/>
        </w:rPr>
        <w:t xml:space="preserve"> Khan was close to the family of </w:t>
      </w:r>
      <w:proofErr w:type="spellStart"/>
      <w:r w:rsidRPr="00583D21">
        <w:rPr>
          <w:szCs w:val="24"/>
        </w:rPr>
        <w:t>Tavus</w:t>
      </w:r>
      <w:proofErr w:type="spellEnd"/>
      <w:r w:rsidRPr="00583D21">
        <w:rPr>
          <w:szCs w:val="24"/>
        </w:rPr>
        <w:t xml:space="preserve"> Khanum, both of whom were from Isfahan, but the gift, coming as it did early in Fath-</w:t>
      </w:r>
      <w:proofErr w:type="spellStart"/>
      <w:r w:rsidR="006859B9" w:rsidRPr="005A7921">
        <w:rPr>
          <w:rFonts w:ascii="JaghbUni" w:hAnsi="JaghbUni"/>
          <w:szCs w:val="24"/>
        </w:rPr>
        <w:t>ʿ</w:t>
      </w:r>
      <w:r w:rsidRPr="00583D21">
        <w:rPr>
          <w:szCs w:val="24"/>
        </w:rPr>
        <w:t>Ali</w:t>
      </w:r>
      <w:proofErr w:type="spellEnd"/>
      <w:r w:rsidRPr="00583D21">
        <w:rPr>
          <w:szCs w:val="24"/>
        </w:rPr>
        <w:t xml:space="preserve"> Shah’s reign, may also have been made with an eye toward solidifying Muhammad </w:t>
      </w:r>
      <w:proofErr w:type="spellStart"/>
      <w:r w:rsidRPr="00583D21">
        <w:rPr>
          <w:szCs w:val="24"/>
        </w:rPr>
        <w:t>Husayn</w:t>
      </w:r>
      <w:proofErr w:type="spellEnd"/>
      <w:r w:rsidRPr="00583D21">
        <w:rPr>
          <w:szCs w:val="24"/>
        </w:rPr>
        <w:t xml:space="preserve"> Khan’s political prospects.</w:t>
      </w:r>
      <w:r w:rsidRPr="00583D21">
        <w:rPr>
          <w:szCs w:val="24"/>
          <w:vertAlign w:val="superscript"/>
        </w:rPr>
        <w:endnoteReference w:id="72"/>
      </w:r>
      <w:r w:rsidRPr="00583D21">
        <w:rPr>
          <w:szCs w:val="24"/>
        </w:rPr>
        <w:t xml:space="preserve"> Gifts from ministers to the shah were not uncommon. A manuscript of the </w:t>
      </w:r>
      <w:proofErr w:type="spellStart"/>
      <w:r w:rsidRPr="00583D21">
        <w:rPr>
          <w:i/>
          <w:szCs w:val="24"/>
        </w:rPr>
        <w:t>Shahanshahnama</w:t>
      </w:r>
      <w:proofErr w:type="spellEnd"/>
      <w:r w:rsidRPr="00583D21">
        <w:rPr>
          <w:szCs w:val="24"/>
        </w:rPr>
        <w:t>, an epic poem about Fath-</w:t>
      </w:r>
      <w:proofErr w:type="spellStart"/>
      <w:r w:rsidR="006859B9" w:rsidRPr="005A7921">
        <w:rPr>
          <w:rFonts w:ascii="JaghbUni" w:hAnsi="JaghbUni"/>
          <w:szCs w:val="24"/>
        </w:rPr>
        <w:t>ʿ</w:t>
      </w:r>
      <w:r w:rsidRPr="00583D21">
        <w:rPr>
          <w:szCs w:val="24"/>
        </w:rPr>
        <w:t>Ali</w:t>
      </w:r>
      <w:proofErr w:type="spellEnd"/>
      <w:r w:rsidRPr="00583D21">
        <w:rPr>
          <w:szCs w:val="24"/>
        </w:rPr>
        <w:t xml:space="preserve"> Shah’s reign modeled on Ferdowsi’s </w:t>
      </w:r>
      <w:proofErr w:type="spellStart"/>
      <w:r w:rsidRPr="00583D21">
        <w:rPr>
          <w:i/>
          <w:szCs w:val="24"/>
        </w:rPr>
        <w:lastRenderedPageBreak/>
        <w:t>Shahnama</w:t>
      </w:r>
      <w:proofErr w:type="spellEnd"/>
      <w:r w:rsidRPr="00583D21">
        <w:rPr>
          <w:szCs w:val="24"/>
        </w:rPr>
        <w:t xml:space="preserve">, includes a painting of Mirza Riza </w:t>
      </w:r>
      <w:proofErr w:type="spellStart"/>
      <w:r w:rsidRPr="00583D21">
        <w:rPr>
          <w:szCs w:val="24"/>
        </w:rPr>
        <w:t>Quli</w:t>
      </w:r>
      <w:proofErr w:type="spellEnd"/>
      <w:r w:rsidRPr="00583D21">
        <w:rPr>
          <w:szCs w:val="24"/>
        </w:rPr>
        <w:t xml:space="preserve"> </w:t>
      </w:r>
      <w:proofErr w:type="spellStart"/>
      <w:r w:rsidRPr="00583D21">
        <w:rPr>
          <w:szCs w:val="24"/>
        </w:rPr>
        <w:t>Nava</w:t>
      </w:r>
      <w:r w:rsidR="006859B9" w:rsidRPr="005A7921">
        <w:rPr>
          <w:rFonts w:ascii="JaghbUni" w:hAnsi="JaghbUni"/>
          <w:szCs w:val="24"/>
        </w:rPr>
        <w:t>ʾ</w:t>
      </w:r>
      <w:r w:rsidRPr="00583D21">
        <w:rPr>
          <w:szCs w:val="24"/>
        </w:rPr>
        <w:t>i</w:t>
      </w:r>
      <w:proofErr w:type="spellEnd"/>
      <w:r w:rsidRPr="00583D21">
        <w:rPr>
          <w:szCs w:val="24"/>
        </w:rPr>
        <w:t>, the</w:t>
      </w:r>
      <w:r w:rsidR="00D64AC1" w:rsidRPr="00583D21">
        <w:rPr>
          <w:szCs w:val="24"/>
        </w:rPr>
        <w:t xml:space="preserve"> imperial secretary</w:t>
      </w:r>
      <w:r w:rsidRPr="00583D21">
        <w:rPr>
          <w:szCs w:val="24"/>
        </w:rPr>
        <w:t xml:space="preserve">, presenting gifts, including cash and textiles, to the shah (see </w:t>
      </w:r>
      <w:r w:rsidR="0044460F">
        <w:rPr>
          <w:szCs w:val="24"/>
        </w:rPr>
        <w:t>Figure 2</w:t>
      </w:r>
      <w:r w:rsidRPr="00583D21">
        <w:rPr>
          <w:szCs w:val="24"/>
        </w:rPr>
        <w:t xml:space="preserve">).  </w:t>
      </w:r>
    </w:p>
    <w:p w14:paraId="492A2BA8" w14:textId="5587BC2D" w:rsidR="00D12B4C" w:rsidRPr="009521AD" w:rsidRDefault="002C0D41" w:rsidP="009521AD">
      <w:pPr>
        <w:spacing w:line="480" w:lineRule="auto"/>
        <w:jc w:val="center"/>
        <w:rPr>
          <w:szCs w:val="24"/>
        </w:rPr>
      </w:pPr>
      <w:r>
        <w:rPr>
          <w:iCs/>
          <w:szCs w:val="24"/>
        </w:rPr>
        <w:t xml:space="preserve">INSERT </w:t>
      </w:r>
      <w:r w:rsidR="009521AD">
        <w:rPr>
          <w:szCs w:val="24"/>
        </w:rPr>
        <w:t>FIGURE 2</w:t>
      </w:r>
    </w:p>
    <w:p w14:paraId="462788E6" w14:textId="16FC98FC" w:rsidR="00D12B4C" w:rsidRPr="00583D21" w:rsidRDefault="00D9395E" w:rsidP="00195094">
      <w:pPr>
        <w:spacing w:line="480" w:lineRule="auto"/>
        <w:ind w:firstLine="720"/>
        <w:rPr>
          <w:szCs w:val="24"/>
        </w:rPr>
      </w:pPr>
      <w:r w:rsidRPr="00583D21">
        <w:rPr>
          <w:szCs w:val="24"/>
        </w:rPr>
        <w:t xml:space="preserve">Almost as soon as the Qajar </w:t>
      </w:r>
      <w:proofErr w:type="spellStart"/>
      <w:r w:rsidR="00010748" w:rsidRPr="00583D21">
        <w:rPr>
          <w:i/>
          <w:iCs/>
          <w:szCs w:val="24"/>
        </w:rPr>
        <w:t>dīvān</w:t>
      </w:r>
      <w:proofErr w:type="spellEnd"/>
      <w:r w:rsidRPr="00583D21">
        <w:rPr>
          <w:szCs w:val="24"/>
        </w:rPr>
        <w:t xml:space="preserve"> began to take shape, the families that held offices </w:t>
      </w:r>
      <w:r w:rsidR="00195094" w:rsidRPr="00583D21">
        <w:rPr>
          <w:szCs w:val="24"/>
        </w:rPr>
        <w:t xml:space="preserve">attempted to bolster their positions </w:t>
      </w:r>
      <w:r w:rsidR="00B62598" w:rsidRPr="00583D21">
        <w:rPr>
          <w:szCs w:val="24"/>
        </w:rPr>
        <w:t>by marrying into the Qajar house</w:t>
      </w:r>
      <w:r w:rsidR="00F26120" w:rsidRPr="00583D21">
        <w:rPr>
          <w:szCs w:val="24"/>
        </w:rPr>
        <w:t xml:space="preserve">. </w:t>
      </w:r>
      <w:r w:rsidRPr="00583D21">
        <w:rPr>
          <w:szCs w:val="24"/>
        </w:rPr>
        <w:t>Marriage</w:t>
      </w:r>
      <w:r w:rsidR="00F26120" w:rsidRPr="00583D21">
        <w:rPr>
          <w:szCs w:val="24"/>
        </w:rPr>
        <w:t xml:space="preserve">s between the </w:t>
      </w:r>
      <w:proofErr w:type="spellStart"/>
      <w:r w:rsidR="00F26120" w:rsidRPr="00583D21">
        <w:rPr>
          <w:szCs w:val="24"/>
        </w:rPr>
        <w:t>Qajars</w:t>
      </w:r>
      <w:proofErr w:type="spellEnd"/>
      <w:r w:rsidR="00F26120" w:rsidRPr="00583D21">
        <w:rPr>
          <w:szCs w:val="24"/>
        </w:rPr>
        <w:t xml:space="preserve"> and ministerial families </w:t>
      </w:r>
      <w:r w:rsidRPr="00583D21">
        <w:rPr>
          <w:szCs w:val="24"/>
        </w:rPr>
        <w:t xml:space="preserve">fit a broader pattern of marital ties between Qajar rulers and urban notables, provincial khans, and other social groups during the early </w:t>
      </w:r>
      <w:r w:rsidR="00753539" w:rsidRPr="00583D21">
        <w:rPr>
          <w:szCs w:val="24"/>
        </w:rPr>
        <w:t>19th</w:t>
      </w:r>
      <w:r w:rsidRPr="00583D21">
        <w:rPr>
          <w:szCs w:val="24"/>
        </w:rPr>
        <w:t xml:space="preserve"> century. </w:t>
      </w:r>
      <w:r w:rsidRPr="00583D21">
        <w:rPr>
          <w:iCs/>
          <w:szCs w:val="24"/>
        </w:rPr>
        <w:t xml:space="preserve">Ministerial </w:t>
      </w:r>
      <w:r w:rsidRPr="00583D21">
        <w:rPr>
          <w:szCs w:val="24"/>
        </w:rPr>
        <w:t xml:space="preserve">families married other ministerial families, of course, but marriages with the Qajar household inextricably linked them to the royal family, and as the </w:t>
      </w:r>
      <w:r w:rsidR="00753539" w:rsidRPr="00583D21">
        <w:rPr>
          <w:szCs w:val="24"/>
        </w:rPr>
        <w:t>19th</w:t>
      </w:r>
      <w:r w:rsidRPr="00583D21">
        <w:rPr>
          <w:szCs w:val="24"/>
        </w:rPr>
        <w:t xml:space="preserve"> century progressed, the descendants of these unions, who numbered well into the thousands, formed a significant portion of the political elite.</w:t>
      </w:r>
    </w:p>
    <w:p w14:paraId="5839D135" w14:textId="751020BE" w:rsidR="00D9395E" w:rsidRPr="00583D21" w:rsidRDefault="00A00E74" w:rsidP="001C1CE2">
      <w:pPr>
        <w:spacing w:line="480" w:lineRule="auto"/>
        <w:ind w:firstLine="720"/>
        <w:rPr>
          <w:szCs w:val="24"/>
        </w:rPr>
      </w:pPr>
      <w:r w:rsidRPr="00583D21">
        <w:rPr>
          <w:szCs w:val="24"/>
        </w:rPr>
        <w:t>The numerous m</w:t>
      </w:r>
      <w:r w:rsidR="00D9395E" w:rsidRPr="00583D21">
        <w:rPr>
          <w:szCs w:val="24"/>
        </w:rPr>
        <w:t xml:space="preserve">arriages between the children of </w:t>
      </w:r>
      <w:r w:rsidR="00891925" w:rsidRPr="00583D21">
        <w:rPr>
          <w:szCs w:val="24"/>
        </w:rPr>
        <w:t xml:space="preserve">the shah </w:t>
      </w:r>
      <w:r w:rsidR="00D9395E" w:rsidRPr="00583D21">
        <w:rPr>
          <w:szCs w:val="24"/>
        </w:rPr>
        <w:t>and</w:t>
      </w:r>
      <w:r w:rsidR="00D9395E" w:rsidRPr="00583D21">
        <w:rPr>
          <w:iCs/>
          <w:szCs w:val="24"/>
        </w:rPr>
        <w:t xml:space="preserve"> ministers</w:t>
      </w:r>
      <w:r w:rsidRPr="00583D21">
        <w:rPr>
          <w:iCs/>
          <w:szCs w:val="24"/>
        </w:rPr>
        <w:t xml:space="preserve"> make it clear that </w:t>
      </w:r>
      <w:r w:rsidRPr="00583D21">
        <w:rPr>
          <w:szCs w:val="24"/>
        </w:rPr>
        <w:t xml:space="preserve">the division between the </w:t>
      </w:r>
      <w:r w:rsidR="00C65EE2" w:rsidRPr="00583D21">
        <w:rPr>
          <w:iCs/>
          <w:szCs w:val="24"/>
        </w:rPr>
        <w:t>royal court</w:t>
      </w:r>
      <w:r w:rsidR="00C65EE2" w:rsidRPr="00583D21">
        <w:rPr>
          <w:i/>
          <w:szCs w:val="24"/>
        </w:rPr>
        <w:t xml:space="preserve"> </w:t>
      </w:r>
      <w:r w:rsidR="00C65EE2" w:rsidRPr="00583D21">
        <w:rPr>
          <w:iCs/>
          <w:szCs w:val="24"/>
        </w:rPr>
        <w:t>(</w:t>
      </w:r>
      <w:proofErr w:type="spellStart"/>
      <w:r w:rsidRPr="00583D21">
        <w:rPr>
          <w:i/>
          <w:szCs w:val="24"/>
        </w:rPr>
        <w:t>dargāh</w:t>
      </w:r>
      <w:proofErr w:type="spellEnd"/>
      <w:r w:rsidRPr="00583D21">
        <w:rPr>
          <w:iCs/>
          <w:szCs w:val="24"/>
        </w:rPr>
        <w:t xml:space="preserve">) </w:t>
      </w:r>
      <w:r w:rsidRPr="00583D21">
        <w:rPr>
          <w:szCs w:val="24"/>
        </w:rPr>
        <w:t>and the</w:t>
      </w:r>
      <w:r w:rsidR="00C65EE2" w:rsidRPr="00583D21">
        <w:rPr>
          <w:szCs w:val="24"/>
        </w:rPr>
        <w:t xml:space="preserve"> administration</w:t>
      </w:r>
      <w:r w:rsidRPr="00583D21">
        <w:rPr>
          <w:szCs w:val="24"/>
        </w:rPr>
        <w:t xml:space="preserve"> </w:t>
      </w:r>
      <w:r w:rsidR="00C65EE2" w:rsidRPr="00583D21">
        <w:rPr>
          <w:szCs w:val="24"/>
        </w:rPr>
        <w:t>(</w:t>
      </w:r>
      <w:proofErr w:type="spellStart"/>
      <w:r w:rsidRPr="00583D21">
        <w:rPr>
          <w:i/>
          <w:szCs w:val="24"/>
        </w:rPr>
        <w:t>dīvān</w:t>
      </w:r>
      <w:proofErr w:type="spellEnd"/>
      <w:r w:rsidR="00C65EE2" w:rsidRPr="00583D21">
        <w:rPr>
          <w:iCs/>
          <w:szCs w:val="24"/>
        </w:rPr>
        <w:t>)</w:t>
      </w:r>
      <w:r w:rsidRPr="00583D21">
        <w:rPr>
          <w:szCs w:val="24"/>
        </w:rPr>
        <w:t>, which may have existed at a theoretical level, was in reality blurred.</w:t>
      </w:r>
      <w:r w:rsidRPr="00583D21">
        <w:rPr>
          <w:rStyle w:val="EndnoteReference"/>
          <w:szCs w:val="24"/>
        </w:rPr>
        <w:endnoteReference w:id="73"/>
      </w:r>
      <w:r w:rsidR="00B11017" w:rsidRPr="00583D21">
        <w:rPr>
          <w:szCs w:val="24"/>
        </w:rPr>
        <w:t xml:space="preserve"> Fath-</w:t>
      </w:r>
      <w:proofErr w:type="spellStart"/>
      <w:r w:rsidR="001C1CE2" w:rsidRPr="005A7921">
        <w:rPr>
          <w:rFonts w:ascii="JaghbUni" w:hAnsi="JaghbUni"/>
          <w:szCs w:val="24"/>
        </w:rPr>
        <w:t>ʿ</w:t>
      </w:r>
      <w:r w:rsidR="00B11017" w:rsidRPr="00583D21">
        <w:rPr>
          <w:szCs w:val="24"/>
        </w:rPr>
        <w:t>Ali</w:t>
      </w:r>
      <w:proofErr w:type="spellEnd"/>
      <w:r w:rsidR="00B11017" w:rsidRPr="00583D21">
        <w:rPr>
          <w:szCs w:val="24"/>
        </w:rPr>
        <w:t xml:space="preserve"> Shah </w:t>
      </w:r>
      <w:r w:rsidR="00D9395E" w:rsidRPr="00583D21">
        <w:rPr>
          <w:szCs w:val="24"/>
        </w:rPr>
        <w:t xml:space="preserve">had at least </w:t>
      </w:r>
      <w:r w:rsidR="001C1CE2">
        <w:rPr>
          <w:szCs w:val="24"/>
        </w:rPr>
        <w:t>160</w:t>
      </w:r>
      <w:r w:rsidR="00D9395E" w:rsidRPr="00583D21">
        <w:rPr>
          <w:szCs w:val="24"/>
        </w:rPr>
        <w:t xml:space="preserve"> wives and over </w:t>
      </w:r>
      <w:r w:rsidR="001C1CE2">
        <w:rPr>
          <w:szCs w:val="24"/>
        </w:rPr>
        <w:t>260</w:t>
      </w:r>
      <w:r w:rsidR="00D9395E" w:rsidRPr="00583D21">
        <w:rPr>
          <w:szCs w:val="24"/>
        </w:rPr>
        <w:t xml:space="preserve"> children, including sixty sons and fifty-five daughters who survived him.</w:t>
      </w:r>
      <w:r w:rsidR="00D9395E" w:rsidRPr="00583D21">
        <w:rPr>
          <w:szCs w:val="24"/>
          <w:vertAlign w:val="superscript"/>
        </w:rPr>
        <w:endnoteReference w:id="74"/>
      </w:r>
      <w:r w:rsidR="00D9395E" w:rsidRPr="00583D21">
        <w:rPr>
          <w:szCs w:val="24"/>
        </w:rPr>
        <w:t xml:space="preserve"> The majority of these children did not marry into ministerial families, but there were many who did. The daughters of </w:t>
      </w:r>
      <w:proofErr w:type="spellStart"/>
      <w:r w:rsidR="001E46DB" w:rsidRPr="005A7921">
        <w:rPr>
          <w:rFonts w:ascii="JaghbUni" w:hAnsi="JaghbUni"/>
          <w:szCs w:val="24"/>
        </w:rPr>
        <w:t>I</w:t>
      </w:r>
      <w:r w:rsidR="001C1CE2" w:rsidRPr="005A7921">
        <w:rPr>
          <w:rFonts w:ascii="JaghbUni" w:hAnsi="JaghbUni"/>
          <w:szCs w:val="24"/>
        </w:rPr>
        <w:t>ʿ</w:t>
      </w:r>
      <w:r w:rsidR="001E46DB" w:rsidRPr="00583D21">
        <w:rPr>
          <w:szCs w:val="24"/>
        </w:rPr>
        <w:t>timad</w:t>
      </w:r>
      <w:proofErr w:type="spellEnd"/>
      <w:r w:rsidR="00D9395E" w:rsidRPr="00583D21">
        <w:rPr>
          <w:szCs w:val="24"/>
        </w:rPr>
        <w:t xml:space="preserve"> al-</w:t>
      </w:r>
      <w:proofErr w:type="spellStart"/>
      <w:r w:rsidR="00D9395E" w:rsidRPr="00583D21">
        <w:rPr>
          <w:szCs w:val="24"/>
        </w:rPr>
        <w:t>Dawlih</w:t>
      </w:r>
      <w:proofErr w:type="spellEnd"/>
      <w:r w:rsidR="00D9395E" w:rsidRPr="00583D21">
        <w:rPr>
          <w:szCs w:val="24"/>
        </w:rPr>
        <w:t xml:space="preserve">, Mirza </w:t>
      </w:r>
      <w:proofErr w:type="spellStart"/>
      <w:r w:rsidR="00D9395E" w:rsidRPr="00583D21">
        <w:rPr>
          <w:szCs w:val="24"/>
        </w:rPr>
        <w:t>Shafi</w:t>
      </w:r>
      <w:r w:rsidR="001C1CE2" w:rsidRPr="005A7921">
        <w:rPr>
          <w:rFonts w:ascii="JaghbUni" w:hAnsi="JaghbUni"/>
          <w:szCs w:val="24"/>
        </w:rPr>
        <w:t>ʿ</w:t>
      </w:r>
      <w:proofErr w:type="spellEnd"/>
      <w:r w:rsidR="001C1CE2" w:rsidRPr="00583D21">
        <w:rPr>
          <w:szCs w:val="24"/>
        </w:rPr>
        <w:t xml:space="preserve">, </w:t>
      </w:r>
      <w:r w:rsidR="00D9395E" w:rsidRPr="00583D21">
        <w:rPr>
          <w:szCs w:val="24"/>
        </w:rPr>
        <w:t xml:space="preserve">and Muhammad </w:t>
      </w:r>
      <w:proofErr w:type="spellStart"/>
      <w:r w:rsidR="00D9395E" w:rsidRPr="00583D21">
        <w:rPr>
          <w:szCs w:val="24"/>
        </w:rPr>
        <w:t>Husayn</w:t>
      </w:r>
      <w:proofErr w:type="spellEnd"/>
      <w:r w:rsidR="00D9395E" w:rsidRPr="00583D21">
        <w:rPr>
          <w:szCs w:val="24"/>
        </w:rPr>
        <w:t xml:space="preserve"> </w:t>
      </w:r>
      <w:r w:rsidR="005D1870" w:rsidRPr="00583D21">
        <w:rPr>
          <w:szCs w:val="24"/>
        </w:rPr>
        <w:t>Amin</w:t>
      </w:r>
      <w:r w:rsidR="00D9395E" w:rsidRPr="00583D21">
        <w:rPr>
          <w:szCs w:val="24"/>
        </w:rPr>
        <w:t xml:space="preserve"> al-</w:t>
      </w:r>
      <w:proofErr w:type="spellStart"/>
      <w:r w:rsidR="00D9395E" w:rsidRPr="00583D21">
        <w:rPr>
          <w:szCs w:val="24"/>
        </w:rPr>
        <w:t>Dawlih</w:t>
      </w:r>
      <w:proofErr w:type="spellEnd"/>
      <w:r w:rsidR="00D9395E" w:rsidRPr="00583D21">
        <w:rPr>
          <w:szCs w:val="24"/>
        </w:rPr>
        <w:t xml:space="preserve"> all married Qajar princes.</w:t>
      </w:r>
      <w:r w:rsidR="00D9395E" w:rsidRPr="00583D21">
        <w:rPr>
          <w:szCs w:val="24"/>
          <w:vertAlign w:val="superscript"/>
        </w:rPr>
        <w:endnoteReference w:id="75"/>
      </w:r>
      <w:r w:rsidR="00D9395E" w:rsidRPr="00583D21">
        <w:rPr>
          <w:szCs w:val="24"/>
        </w:rPr>
        <w:t xml:space="preserve"> Mirza </w:t>
      </w:r>
      <w:proofErr w:type="spellStart"/>
      <w:r w:rsidR="00D9395E" w:rsidRPr="00583D21">
        <w:rPr>
          <w:szCs w:val="24"/>
        </w:rPr>
        <w:t>Isma</w:t>
      </w:r>
      <w:r w:rsidR="001C1CE2" w:rsidRPr="005A7921">
        <w:rPr>
          <w:rFonts w:ascii="JaghbUni" w:hAnsi="JaghbUni"/>
          <w:szCs w:val="24"/>
        </w:rPr>
        <w:t>ʿ</w:t>
      </w:r>
      <w:r w:rsidR="00D9395E" w:rsidRPr="00583D21">
        <w:rPr>
          <w:szCs w:val="24"/>
        </w:rPr>
        <w:t>il</w:t>
      </w:r>
      <w:proofErr w:type="spellEnd"/>
      <w:r w:rsidR="00D9395E" w:rsidRPr="00583D21">
        <w:rPr>
          <w:szCs w:val="24"/>
        </w:rPr>
        <w:t xml:space="preserve"> </w:t>
      </w:r>
      <w:r w:rsidR="00C65EE2" w:rsidRPr="00583D21">
        <w:rPr>
          <w:szCs w:val="24"/>
        </w:rPr>
        <w:t>Khan Hala</w:t>
      </w:r>
      <w:r w:rsidR="00D9395E" w:rsidRPr="00583D21">
        <w:rPr>
          <w:szCs w:val="24"/>
        </w:rPr>
        <w:t>l-</w:t>
      </w:r>
      <w:proofErr w:type="spellStart"/>
      <w:r w:rsidR="00D9395E" w:rsidRPr="00583D21">
        <w:rPr>
          <w:szCs w:val="24"/>
        </w:rPr>
        <w:t>Khur</w:t>
      </w:r>
      <w:proofErr w:type="spellEnd"/>
      <w:r w:rsidR="00D9395E" w:rsidRPr="00583D21">
        <w:rPr>
          <w:szCs w:val="24"/>
        </w:rPr>
        <w:t xml:space="preserve">, the son of the </w:t>
      </w:r>
      <w:proofErr w:type="spellStart"/>
      <w:r w:rsidR="00D9395E" w:rsidRPr="00583D21">
        <w:rPr>
          <w:i/>
          <w:szCs w:val="24"/>
        </w:rPr>
        <w:t>mustawfī</w:t>
      </w:r>
      <w:proofErr w:type="spellEnd"/>
      <w:r w:rsidR="00D9395E" w:rsidRPr="00583D21">
        <w:rPr>
          <w:i/>
          <w:szCs w:val="24"/>
        </w:rPr>
        <w:t xml:space="preserve"> </w:t>
      </w:r>
      <w:r w:rsidR="00D9395E" w:rsidRPr="00583D21">
        <w:rPr>
          <w:szCs w:val="24"/>
        </w:rPr>
        <w:t xml:space="preserve">and </w:t>
      </w:r>
      <w:proofErr w:type="spellStart"/>
      <w:r w:rsidR="00D9395E" w:rsidRPr="00583D21">
        <w:rPr>
          <w:i/>
          <w:szCs w:val="24"/>
        </w:rPr>
        <w:t>munshī</w:t>
      </w:r>
      <w:proofErr w:type="spellEnd"/>
      <w:r w:rsidR="00C65EE2" w:rsidRPr="00583D21">
        <w:rPr>
          <w:szCs w:val="24"/>
        </w:rPr>
        <w:t xml:space="preserve"> Mirza </w:t>
      </w:r>
      <w:proofErr w:type="spellStart"/>
      <w:r w:rsidR="00C65EE2" w:rsidRPr="00583D21">
        <w:rPr>
          <w:szCs w:val="24"/>
        </w:rPr>
        <w:t>Faridun</w:t>
      </w:r>
      <w:proofErr w:type="spellEnd"/>
      <w:r w:rsidR="00C65EE2" w:rsidRPr="00583D21">
        <w:rPr>
          <w:szCs w:val="24"/>
        </w:rPr>
        <w:t xml:space="preserve"> </w:t>
      </w:r>
      <w:proofErr w:type="spellStart"/>
      <w:r w:rsidR="00C65EE2" w:rsidRPr="00583D21">
        <w:rPr>
          <w:szCs w:val="24"/>
        </w:rPr>
        <w:t>Kha</w:t>
      </w:r>
      <w:r w:rsidR="00D9395E" w:rsidRPr="00583D21">
        <w:rPr>
          <w:szCs w:val="24"/>
        </w:rPr>
        <w:t>nl</w:t>
      </w:r>
      <w:r w:rsidR="00C65EE2" w:rsidRPr="00583D21">
        <w:rPr>
          <w:szCs w:val="24"/>
        </w:rPr>
        <w:t>a</w:t>
      </w:r>
      <w:r w:rsidR="00D9395E" w:rsidRPr="00583D21">
        <w:rPr>
          <w:szCs w:val="24"/>
        </w:rPr>
        <w:t>r</w:t>
      </w:r>
      <w:proofErr w:type="spellEnd"/>
      <w:r w:rsidR="00D9395E" w:rsidRPr="00583D21">
        <w:rPr>
          <w:szCs w:val="24"/>
        </w:rPr>
        <w:t xml:space="preserve">, was married to the shah’s sixteenth daughter </w:t>
      </w:r>
      <w:proofErr w:type="spellStart"/>
      <w:r w:rsidR="00D9395E" w:rsidRPr="00583D21">
        <w:rPr>
          <w:szCs w:val="24"/>
        </w:rPr>
        <w:t>Dirakhshandih</w:t>
      </w:r>
      <w:proofErr w:type="spellEnd"/>
      <w:r w:rsidR="00D9395E" w:rsidRPr="00583D21">
        <w:rPr>
          <w:szCs w:val="24"/>
        </w:rPr>
        <w:t xml:space="preserve"> </w:t>
      </w:r>
      <w:proofErr w:type="spellStart"/>
      <w:r w:rsidR="00D9395E" w:rsidRPr="00583D21">
        <w:rPr>
          <w:szCs w:val="24"/>
        </w:rPr>
        <w:t>Gawhar</w:t>
      </w:r>
      <w:proofErr w:type="spellEnd"/>
      <w:r w:rsidR="00D9395E" w:rsidRPr="00583D21">
        <w:rPr>
          <w:szCs w:val="24"/>
        </w:rPr>
        <w:t xml:space="preserve"> Khanum.</w:t>
      </w:r>
      <w:r w:rsidR="00D9395E" w:rsidRPr="00583D21">
        <w:rPr>
          <w:szCs w:val="24"/>
          <w:vertAlign w:val="superscript"/>
        </w:rPr>
        <w:endnoteReference w:id="76"/>
      </w:r>
      <w:r w:rsidR="00D9395E" w:rsidRPr="00583D21">
        <w:rPr>
          <w:szCs w:val="24"/>
        </w:rPr>
        <w:t xml:space="preserve"> The shah’s twenty-eighth daughter, Khurshid </w:t>
      </w:r>
      <w:proofErr w:type="spellStart"/>
      <w:r w:rsidR="00D9395E" w:rsidRPr="00583D21">
        <w:rPr>
          <w:szCs w:val="24"/>
        </w:rPr>
        <w:t>Kulah</w:t>
      </w:r>
      <w:proofErr w:type="spellEnd"/>
      <w:r w:rsidR="00D9395E" w:rsidRPr="00583D21">
        <w:rPr>
          <w:szCs w:val="24"/>
        </w:rPr>
        <w:t xml:space="preserve"> Khanum, was married to Mirza </w:t>
      </w:r>
      <w:proofErr w:type="spellStart"/>
      <w:r w:rsidR="00055017" w:rsidRPr="005A7921">
        <w:rPr>
          <w:rFonts w:ascii="JaghbUni" w:hAnsi="JaghbUni"/>
          <w:szCs w:val="24"/>
        </w:rPr>
        <w:t>ʿ</w:t>
      </w:r>
      <w:r w:rsidR="00D9395E" w:rsidRPr="00583D21">
        <w:rPr>
          <w:szCs w:val="24"/>
        </w:rPr>
        <w:t>Ali</w:t>
      </w:r>
      <w:proofErr w:type="spellEnd"/>
      <w:r w:rsidR="00D9395E" w:rsidRPr="00583D21">
        <w:rPr>
          <w:szCs w:val="24"/>
        </w:rPr>
        <w:t xml:space="preserve"> Muhammad Khan, the son of </w:t>
      </w:r>
      <w:proofErr w:type="spellStart"/>
      <w:r w:rsidR="00055017" w:rsidRPr="005A7921">
        <w:rPr>
          <w:rFonts w:ascii="JaghbUni" w:hAnsi="JaghbUni"/>
          <w:szCs w:val="24"/>
        </w:rPr>
        <w:t>ʿ</w:t>
      </w:r>
      <w:r w:rsidR="00D9395E" w:rsidRPr="00583D21">
        <w:rPr>
          <w:szCs w:val="24"/>
        </w:rPr>
        <w:t>Abd</w:t>
      </w:r>
      <w:proofErr w:type="spellEnd"/>
      <w:r w:rsidR="00055017">
        <w:rPr>
          <w:szCs w:val="24"/>
        </w:rPr>
        <w:t xml:space="preserve"> A</w:t>
      </w:r>
      <w:r w:rsidR="00D9395E" w:rsidRPr="00583D21">
        <w:rPr>
          <w:szCs w:val="24"/>
        </w:rPr>
        <w:t xml:space="preserve">llah Khan </w:t>
      </w:r>
      <w:r w:rsidR="005D1870" w:rsidRPr="00583D21">
        <w:rPr>
          <w:szCs w:val="24"/>
        </w:rPr>
        <w:t>Amin</w:t>
      </w:r>
      <w:r w:rsidR="00D9395E" w:rsidRPr="00583D21">
        <w:rPr>
          <w:szCs w:val="24"/>
        </w:rPr>
        <w:t xml:space="preserve"> al-</w:t>
      </w:r>
      <w:proofErr w:type="spellStart"/>
      <w:r w:rsidR="00D9395E" w:rsidRPr="00583D21">
        <w:rPr>
          <w:szCs w:val="24"/>
        </w:rPr>
        <w:t>Dawlih</w:t>
      </w:r>
      <w:proofErr w:type="spellEnd"/>
      <w:r w:rsidR="00D9395E" w:rsidRPr="00583D21">
        <w:rPr>
          <w:szCs w:val="24"/>
        </w:rPr>
        <w:t>.</w:t>
      </w:r>
      <w:r w:rsidR="00D9395E" w:rsidRPr="00583D21">
        <w:rPr>
          <w:szCs w:val="24"/>
          <w:vertAlign w:val="superscript"/>
        </w:rPr>
        <w:endnoteReference w:id="77"/>
      </w:r>
      <w:r w:rsidR="00D9395E" w:rsidRPr="00583D21">
        <w:rPr>
          <w:szCs w:val="24"/>
        </w:rPr>
        <w:t xml:space="preserve"> Similar examples can be found among the children of other ministers as well. In other cases, office</w:t>
      </w:r>
      <w:r w:rsidR="00055017">
        <w:rPr>
          <w:szCs w:val="24"/>
        </w:rPr>
        <w:t xml:space="preserve"> </w:t>
      </w:r>
      <w:r w:rsidR="00D9395E" w:rsidRPr="00583D21">
        <w:rPr>
          <w:szCs w:val="24"/>
        </w:rPr>
        <w:t xml:space="preserve">holders themselves married into the Qajar house, as in the case of Mirza </w:t>
      </w:r>
      <w:r w:rsidR="005A7921">
        <w:rPr>
          <w:szCs w:val="24"/>
        </w:rPr>
        <w:t>A</w:t>
      </w:r>
      <w:r w:rsidR="00D9395E" w:rsidRPr="00583D21">
        <w:rPr>
          <w:szCs w:val="24"/>
        </w:rPr>
        <w:t>bu</w:t>
      </w:r>
      <w:r w:rsidR="00055017">
        <w:rPr>
          <w:szCs w:val="24"/>
        </w:rPr>
        <w:t xml:space="preserve"> a</w:t>
      </w:r>
      <w:r w:rsidR="00D9395E" w:rsidRPr="00583D21">
        <w:rPr>
          <w:szCs w:val="24"/>
        </w:rPr>
        <w:t>l-</w:t>
      </w:r>
      <w:proofErr w:type="spellStart"/>
      <w:r w:rsidR="00D9395E" w:rsidRPr="00583D21">
        <w:rPr>
          <w:szCs w:val="24"/>
        </w:rPr>
        <w:t>Qasim</w:t>
      </w:r>
      <w:proofErr w:type="spellEnd"/>
      <w:r w:rsidR="00D9395E" w:rsidRPr="00583D21">
        <w:rPr>
          <w:szCs w:val="24"/>
        </w:rPr>
        <w:t xml:space="preserve"> </w:t>
      </w:r>
      <w:proofErr w:type="spellStart"/>
      <w:r w:rsidR="005D1870" w:rsidRPr="00583D21">
        <w:rPr>
          <w:szCs w:val="24"/>
        </w:rPr>
        <w:t>Qa</w:t>
      </w:r>
      <w:r w:rsidR="00055017" w:rsidRPr="005A7921">
        <w:rPr>
          <w:rFonts w:ascii="JaghbUni" w:hAnsi="JaghbUni"/>
          <w:szCs w:val="24"/>
        </w:rPr>
        <w:t>ʾ</w:t>
      </w:r>
      <w:r w:rsidR="005D1870" w:rsidRPr="00583D21">
        <w:rPr>
          <w:szCs w:val="24"/>
        </w:rPr>
        <w:t>im</w:t>
      </w:r>
      <w:proofErr w:type="spellEnd"/>
      <w:r w:rsidR="005D1870" w:rsidRPr="00583D21">
        <w:rPr>
          <w:szCs w:val="24"/>
        </w:rPr>
        <w:t>-Maqam</w:t>
      </w:r>
      <w:r w:rsidR="00D9395E" w:rsidRPr="00583D21">
        <w:rPr>
          <w:szCs w:val="24"/>
        </w:rPr>
        <w:t xml:space="preserve"> II, who </w:t>
      </w:r>
      <w:r w:rsidR="00D9395E" w:rsidRPr="00583D21">
        <w:rPr>
          <w:szCs w:val="24"/>
        </w:rPr>
        <w:lastRenderedPageBreak/>
        <w:t xml:space="preserve">married </w:t>
      </w:r>
      <w:proofErr w:type="spellStart"/>
      <w:r w:rsidR="00D9395E" w:rsidRPr="00583D21">
        <w:rPr>
          <w:szCs w:val="24"/>
        </w:rPr>
        <w:t>Gawhar</w:t>
      </w:r>
      <w:proofErr w:type="spellEnd"/>
      <w:r w:rsidR="00D9395E" w:rsidRPr="00583D21">
        <w:rPr>
          <w:szCs w:val="24"/>
        </w:rPr>
        <w:t xml:space="preserve"> Malak Khanum, the full sister of the early</w:t>
      </w:r>
      <w:r w:rsidR="00055017">
        <w:rPr>
          <w:szCs w:val="24"/>
        </w:rPr>
        <w:t xml:space="preserve"> </w:t>
      </w:r>
      <w:r w:rsidR="00D9395E" w:rsidRPr="00583D21">
        <w:rPr>
          <w:szCs w:val="24"/>
        </w:rPr>
        <w:t>Qajar crown</w:t>
      </w:r>
      <w:r w:rsidR="00055017">
        <w:rPr>
          <w:szCs w:val="24"/>
        </w:rPr>
        <w:t xml:space="preserve"> </w:t>
      </w:r>
      <w:r w:rsidR="00D9395E" w:rsidRPr="00583D21">
        <w:rPr>
          <w:szCs w:val="24"/>
        </w:rPr>
        <w:t xml:space="preserve">prince </w:t>
      </w:r>
      <w:proofErr w:type="spellStart"/>
      <w:r w:rsidR="00055017" w:rsidRPr="005A7921">
        <w:rPr>
          <w:rFonts w:ascii="JaghbUni" w:hAnsi="JaghbUni"/>
          <w:szCs w:val="24"/>
        </w:rPr>
        <w:t>ʿ</w:t>
      </w:r>
      <w:r w:rsidR="00D9395E" w:rsidRPr="00583D21">
        <w:rPr>
          <w:szCs w:val="24"/>
        </w:rPr>
        <w:t>Abbas</w:t>
      </w:r>
      <w:proofErr w:type="spellEnd"/>
      <w:r w:rsidR="00D9395E" w:rsidRPr="00583D21">
        <w:rPr>
          <w:szCs w:val="24"/>
        </w:rPr>
        <w:t xml:space="preserve"> Mirza and the shah’s ninth daughter.</w:t>
      </w:r>
      <w:r w:rsidR="00D9395E" w:rsidRPr="00583D21">
        <w:rPr>
          <w:szCs w:val="24"/>
          <w:vertAlign w:val="superscript"/>
        </w:rPr>
        <w:endnoteReference w:id="78"/>
      </w:r>
      <w:r w:rsidR="00D9395E" w:rsidRPr="00583D21">
        <w:rPr>
          <w:szCs w:val="24"/>
        </w:rPr>
        <w:t xml:space="preserve"> </w:t>
      </w:r>
    </w:p>
    <w:p w14:paraId="3D1BBB9D" w14:textId="32C534F6" w:rsidR="00D9395E" w:rsidRPr="00583D21" w:rsidRDefault="00D9395E" w:rsidP="00205F04">
      <w:pPr>
        <w:spacing w:line="480" w:lineRule="auto"/>
        <w:ind w:firstLine="720"/>
        <w:rPr>
          <w:szCs w:val="24"/>
        </w:rPr>
      </w:pPr>
      <w:r w:rsidRPr="00583D21">
        <w:rPr>
          <w:szCs w:val="24"/>
        </w:rPr>
        <w:t>T</w:t>
      </w:r>
      <w:r w:rsidR="00A00E74" w:rsidRPr="00583D21">
        <w:rPr>
          <w:szCs w:val="24"/>
        </w:rPr>
        <w:t xml:space="preserve">he marriages also point to the male-dominated political culture of Qajar Iran. The names of women are generally omitted from the sources, and fathers are given preference when tracing family lineages. We know relatively little about the mothers and sisters of </w:t>
      </w:r>
      <w:proofErr w:type="spellStart"/>
      <w:r w:rsidR="00A00E74" w:rsidRPr="00583D21">
        <w:rPr>
          <w:i/>
          <w:iCs/>
          <w:szCs w:val="24"/>
        </w:rPr>
        <w:t>dīvān</w:t>
      </w:r>
      <w:proofErr w:type="spellEnd"/>
      <w:r w:rsidR="00A00E74" w:rsidRPr="00583D21">
        <w:rPr>
          <w:i/>
          <w:iCs/>
          <w:szCs w:val="24"/>
        </w:rPr>
        <w:t xml:space="preserve"> </w:t>
      </w:r>
      <w:r w:rsidR="00A00E74" w:rsidRPr="00583D21">
        <w:rPr>
          <w:szCs w:val="24"/>
        </w:rPr>
        <w:t xml:space="preserve">ministers, with the notable </w:t>
      </w:r>
      <w:proofErr w:type="spellStart"/>
      <w:r w:rsidR="00A00E74" w:rsidRPr="00583D21">
        <w:rPr>
          <w:szCs w:val="24"/>
        </w:rPr>
        <w:t>excetption</w:t>
      </w:r>
      <w:proofErr w:type="spellEnd"/>
      <w:r w:rsidR="00A00E74" w:rsidRPr="00583D21">
        <w:rPr>
          <w:szCs w:val="24"/>
        </w:rPr>
        <w:t xml:space="preserve"> of those who were </w:t>
      </w:r>
      <w:proofErr w:type="spellStart"/>
      <w:r w:rsidR="00A00E74" w:rsidRPr="00583D21">
        <w:rPr>
          <w:szCs w:val="24"/>
        </w:rPr>
        <w:t>Qajars</w:t>
      </w:r>
      <w:proofErr w:type="spellEnd"/>
      <w:r w:rsidR="00A00E74" w:rsidRPr="00583D21">
        <w:rPr>
          <w:szCs w:val="24"/>
        </w:rPr>
        <w:t xml:space="preserve">. </w:t>
      </w:r>
      <w:r w:rsidRPr="00583D21">
        <w:rPr>
          <w:iCs/>
          <w:szCs w:val="24"/>
        </w:rPr>
        <w:t>Secretaries and historians eulogized the Qajar house by writing biogra</w:t>
      </w:r>
      <w:r w:rsidR="00A00E74" w:rsidRPr="00583D21">
        <w:rPr>
          <w:iCs/>
          <w:szCs w:val="24"/>
        </w:rPr>
        <w:t xml:space="preserve">phical sketches of Qajar shahs and </w:t>
      </w:r>
      <w:r w:rsidRPr="00583D21">
        <w:rPr>
          <w:iCs/>
          <w:szCs w:val="24"/>
        </w:rPr>
        <w:t xml:space="preserve">princes, </w:t>
      </w:r>
      <w:r w:rsidR="00A00E74" w:rsidRPr="00583D21">
        <w:rPr>
          <w:iCs/>
          <w:szCs w:val="24"/>
        </w:rPr>
        <w:t>but also their wives and princesses</w:t>
      </w:r>
      <w:r w:rsidRPr="00583D21">
        <w:rPr>
          <w:iCs/>
          <w:szCs w:val="24"/>
        </w:rPr>
        <w:t>.</w:t>
      </w:r>
      <w:r w:rsidRPr="00583D21">
        <w:rPr>
          <w:rStyle w:val="EndnoteReference"/>
          <w:iCs/>
          <w:szCs w:val="24"/>
        </w:rPr>
        <w:endnoteReference w:id="79"/>
      </w:r>
      <w:r w:rsidR="001412AE" w:rsidRPr="00583D21">
        <w:rPr>
          <w:iCs/>
          <w:szCs w:val="24"/>
        </w:rPr>
        <w:t xml:space="preserve"> </w:t>
      </w:r>
      <w:r w:rsidRPr="00583D21">
        <w:rPr>
          <w:iCs/>
          <w:szCs w:val="24"/>
        </w:rPr>
        <w:t xml:space="preserve">In </w:t>
      </w:r>
      <w:r w:rsidR="00205F04" w:rsidRPr="00583D21">
        <w:rPr>
          <w:iCs/>
          <w:szCs w:val="24"/>
        </w:rPr>
        <w:t xml:space="preserve">some </w:t>
      </w:r>
      <w:r w:rsidRPr="00583D21">
        <w:rPr>
          <w:iCs/>
          <w:szCs w:val="24"/>
        </w:rPr>
        <w:t>cases,</w:t>
      </w:r>
      <w:r w:rsidR="00205F04" w:rsidRPr="00583D21">
        <w:rPr>
          <w:iCs/>
          <w:szCs w:val="24"/>
        </w:rPr>
        <w:t xml:space="preserve"> Qajar women also received education and training from ministers, a point that historians also took care to note.</w:t>
      </w:r>
      <w:r w:rsidRPr="00583D21">
        <w:rPr>
          <w:iCs/>
          <w:szCs w:val="24"/>
        </w:rPr>
        <w:t xml:space="preserve"> </w:t>
      </w:r>
      <w:proofErr w:type="spellStart"/>
      <w:r w:rsidRPr="00583D21">
        <w:rPr>
          <w:szCs w:val="24"/>
        </w:rPr>
        <w:t>Mu</w:t>
      </w:r>
      <w:r w:rsidR="00055017" w:rsidRPr="005A7921">
        <w:rPr>
          <w:rFonts w:ascii="JaghbUni" w:hAnsi="JaghbUni"/>
          <w:szCs w:val="24"/>
        </w:rPr>
        <w:t>ʿ</w:t>
      </w:r>
      <w:r w:rsidRPr="00583D21">
        <w:rPr>
          <w:szCs w:val="24"/>
        </w:rPr>
        <w:t>tamid</w:t>
      </w:r>
      <w:proofErr w:type="spellEnd"/>
      <w:r w:rsidRPr="00583D21">
        <w:rPr>
          <w:szCs w:val="24"/>
        </w:rPr>
        <w:t xml:space="preserve"> al-</w:t>
      </w:r>
      <w:proofErr w:type="spellStart"/>
      <w:r w:rsidRPr="00583D21">
        <w:rPr>
          <w:szCs w:val="24"/>
        </w:rPr>
        <w:t>Dawlih</w:t>
      </w:r>
      <w:proofErr w:type="spellEnd"/>
      <w:r w:rsidRPr="00583D21">
        <w:rPr>
          <w:szCs w:val="24"/>
        </w:rPr>
        <w:t xml:space="preserve">, for instance, taught the shah’s favorite wife, </w:t>
      </w:r>
      <w:proofErr w:type="spellStart"/>
      <w:r w:rsidRPr="00583D21">
        <w:rPr>
          <w:szCs w:val="24"/>
        </w:rPr>
        <w:t>Tavus</w:t>
      </w:r>
      <w:proofErr w:type="spellEnd"/>
      <w:r w:rsidRPr="00583D21">
        <w:rPr>
          <w:szCs w:val="24"/>
        </w:rPr>
        <w:t xml:space="preserve"> Khanum, how to read and write.</w:t>
      </w:r>
      <w:r w:rsidRPr="00583D21">
        <w:rPr>
          <w:szCs w:val="24"/>
          <w:vertAlign w:val="superscript"/>
        </w:rPr>
        <w:endnoteReference w:id="80"/>
      </w:r>
      <w:r w:rsidRPr="00583D21">
        <w:rPr>
          <w:szCs w:val="24"/>
        </w:rPr>
        <w:t xml:space="preserve"> </w:t>
      </w:r>
    </w:p>
    <w:p w14:paraId="0B0DFCB9" w14:textId="0F0E22C7" w:rsidR="00F56E77" w:rsidRPr="00583D21" w:rsidRDefault="001412AE" w:rsidP="00D83320">
      <w:pPr>
        <w:spacing w:line="480" w:lineRule="auto"/>
        <w:ind w:firstLine="720"/>
        <w:rPr>
          <w:szCs w:val="24"/>
        </w:rPr>
      </w:pPr>
      <w:r w:rsidRPr="00583D21">
        <w:rPr>
          <w:szCs w:val="24"/>
        </w:rPr>
        <w:t>M</w:t>
      </w:r>
      <w:r w:rsidR="00D9395E" w:rsidRPr="00583D21">
        <w:rPr>
          <w:szCs w:val="24"/>
        </w:rPr>
        <w:t xml:space="preserve">any of the children and grandchildren of the marriages between Qajar rulers and ministerial families continued to be politically influential well into the </w:t>
      </w:r>
      <w:r w:rsidR="00753539" w:rsidRPr="00583D21">
        <w:rPr>
          <w:szCs w:val="24"/>
        </w:rPr>
        <w:t>19th</w:t>
      </w:r>
      <w:r w:rsidR="00D9395E" w:rsidRPr="00583D21">
        <w:rPr>
          <w:szCs w:val="24"/>
        </w:rPr>
        <w:t xml:space="preserve"> century and beyond. The descendants of these unions may have numbered in the thousands by the late </w:t>
      </w:r>
      <w:r w:rsidR="00753539" w:rsidRPr="00583D21">
        <w:rPr>
          <w:szCs w:val="24"/>
        </w:rPr>
        <w:t>19th</w:t>
      </w:r>
      <w:r w:rsidR="00D9395E" w:rsidRPr="00583D21">
        <w:rPr>
          <w:szCs w:val="24"/>
        </w:rPr>
        <w:t xml:space="preserve"> century.</w:t>
      </w:r>
      <w:r w:rsidR="00D9395E" w:rsidRPr="00583D21">
        <w:rPr>
          <w:szCs w:val="24"/>
          <w:vertAlign w:val="superscript"/>
        </w:rPr>
        <w:endnoteReference w:id="81"/>
      </w:r>
      <w:r w:rsidR="00D9395E" w:rsidRPr="00583D21">
        <w:rPr>
          <w:szCs w:val="24"/>
        </w:rPr>
        <w:t xml:space="preserve"> The example of </w:t>
      </w:r>
      <w:proofErr w:type="spellStart"/>
      <w:r w:rsidR="001E46DB" w:rsidRPr="00583D21">
        <w:rPr>
          <w:szCs w:val="24"/>
        </w:rPr>
        <w:t>I</w:t>
      </w:r>
      <w:r w:rsidR="00D31316" w:rsidRPr="005A7921">
        <w:rPr>
          <w:rFonts w:ascii="JaghbUni" w:hAnsi="JaghbUni"/>
          <w:szCs w:val="24"/>
        </w:rPr>
        <w:t>ʿ</w:t>
      </w:r>
      <w:r w:rsidR="001E46DB" w:rsidRPr="005A7921">
        <w:rPr>
          <w:rFonts w:ascii="JaghbUni" w:hAnsi="JaghbUni"/>
          <w:szCs w:val="24"/>
        </w:rPr>
        <w:t>t</w:t>
      </w:r>
      <w:r w:rsidR="001E46DB" w:rsidRPr="00583D21">
        <w:rPr>
          <w:szCs w:val="24"/>
        </w:rPr>
        <w:t>imad</w:t>
      </w:r>
      <w:proofErr w:type="spellEnd"/>
      <w:r w:rsidR="00D9395E" w:rsidRPr="00583D21">
        <w:rPr>
          <w:szCs w:val="24"/>
        </w:rPr>
        <w:t xml:space="preserve"> al-</w:t>
      </w:r>
      <w:proofErr w:type="spellStart"/>
      <w:r w:rsidR="00D9395E" w:rsidRPr="00583D21">
        <w:rPr>
          <w:szCs w:val="24"/>
        </w:rPr>
        <w:t>Dawlih</w:t>
      </w:r>
      <w:proofErr w:type="spellEnd"/>
      <w:r w:rsidR="00D9395E" w:rsidRPr="00583D21">
        <w:rPr>
          <w:szCs w:val="24"/>
        </w:rPr>
        <w:t xml:space="preserve"> illustrates the varied political activities of these individuals. One of </w:t>
      </w:r>
      <w:proofErr w:type="spellStart"/>
      <w:r w:rsidR="001E46DB" w:rsidRPr="00583D21">
        <w:rPr>
          <w:szCs w:val="24"/>
        </w:rPr>
        <w:t>I</w:t>
      </w:r>
      <w:r w:rsidR="00D31316" w:rsidRPr="005A7921">
        <w:rPr>
          <w:rFonts w:ascii="JaghbUni" w:hAnsi="JaghbUni"/>
          <w:szCs w:val="24"/>
        </w:rPr>
        <w:t>ʿ</w:t>
      </w:r>
      <w:r w:rsidR="001E46DB" w:rsidRPr="00583D21">
        <w:rPr>
          <w:szCs w:val="24"/>
        </w:rPr>
        <w:t>timad</w:t>
      </w:r>
      <w:proofErr w:type="spellEnd"/>
      <w:r w:rsidR="00D9395E" w:rsidRPr="00583D21">
        <w:rPr>
          <w:szCs w:val="24"/>
        </w:rPr>
        <w:t xml:space="preserve"> al-</w:t>
      </w:r>
      <w:proofErr w:type="spellStart"/>
      <w:r w:rsidR="00D9395E" w:rsidRPr="00583D21">
        <w:rPr>
          <w:szCs w:val="24"/>
        </w:rPr>
        <w:t>Dawlih’s</w:t>
      </w:r>
      <w:proofErr w:type="spellEnd"/>
      <w:r w:rsidR="00D9395E" w:rsidRPr="00583D21">
        <w:rPr>
          <w:szCs w:val="24"/>
        </w:rPr>
        <w:t xml:space="preserve"> sons served as governor (</w:t>
      </w:r>
      <w:proofErr w:type="spellStart"/>
      <w:r w:rsidR="00D9395E" w:rsidRPr="00583D21">
        <w:rPr>
          <w:i/>
          <w:szCs w:val="24"/>
        </w:rPr>
        <w:t>bayglarbayg</w:t>
      </w:r>
      <w:proofErr w:type="spellEnd"/>
      <w:r w:rsidR="00D9395E" w:rsidRPr="00583D21">
        <w:rPr>
          <w:szCs w:val="24"/>
        </w:rPr>
        <w:t xml:space="preserve">) of Shiraz, while another was governor of Kashan, during the early </w:t>
      </w:r>
      <w:r w:rsidR="00753539" w:rsidRPr="00583D21">
        <w:rPr>
          <w:szCs w:val="24"/>
        </w:rPr>
        <w:t>19th</w:t>
      </w:r>
      <w:r w:rsidR="00D9395E" w:rsidRPr="00583D21">
        <w:rPr>
          <w:szCs w:val="24"/>
        </w:rPr>
        <w:t xml:space="preserve"> century. Meanwhile, among his grandchildren and great-grandchildren, several of them became notable politicians during the latter half of the </w:t>
      </w:r>
      <w:r w:rsidR="00753539" w:rsidRPr="00583D21">
        <w:rPr>
          <w:szCs w:val="24"/>
        </w:rPr>
        <w:t>19th</w:t>
      </w:r>
      <w:r w:rsidR="00D9395E" w:rsidRPr="00583D21">
        <w:rPr>
          <w:szCs w:val="24"/>
        </w:rPr>
        <w:t xml:space="preserve"> century, including Mirza Fath</w:t>
      </w:r>
      <w:r w:rsidR="00D83320" w:rsidRPr="00583D21">
        <w:rPr>
          <w:szCs w:val="24"/>
        </w:rPr>
        <w:t>-</w:t>
      </w:r>
      <w:proofErr w:type="spellStart"/>
      <w:r w:rsidR="00D83320" w:rsidRPr="005A7921">
        <w:rPr>
          <w:rFonts w:ascii="JaghbUni" w:hAnsi="JaghbUni"/>
          <w:szCs w:val="24"/>
        </w:rPr>
        <w:t>ʿ</w:t>
      </w:r>
      <w:r w:rsidR="00D9395E" w:rsidRPr="00583D21">
        <w:rPr>
          <w:szCs w:val="24"/>
        </w:rPr>
        <w:t>Ali</w:t>
      </w:r>
      <w:proofErr w:type="spellEnd"/>
      <w:r w:rsidR="00D9395E" w:rsidRPr="00583D21">
        <w:rPr>
          <w:szCs w:val="24"/>
        </w:rPr>
        <w:t xml:space="preserve"> Khan, who was the</w:t>
      </w:r>
      <w:r w:rsidR="00FB7A9D" w:rsidRPr="00583D21">
        <w:rPr>
          <w:szCs w:val="24"/>
        </w:rPr>
        <w:t xml:space="preserve"> head of the </w:t>
      </w:r>
      <w:proofErr w:type="spellStart"/>
      <w:r w:rsidR="00FB7A9D" w:rsidRPr="00583D21">
        <w:rPr>
          <w:i/>
          <w:szCs w:val="24"/>
        </w:rPr>
        <w:t>dīvān</w:t>
      </w:r>
      <w:proofErr w:type="spellEnd"/>
      <w:r w:rsidR="00FB7A9D" w:rsidRPr="00583D21">
        <w:rPr>
          <w:szCs w:val="24"/>
        </w:rPr>
        <w:t xml:space="preserve"> (</w:t>
      </w:r>
      <w:proofErr w:type="spellStart"/>
      <w:r w:rsidR="00D9395E" w:rsidRPr="00583D21">
        <w:rPr>
          <w:i/>
          <w:szCs w:val="24"/>
        </w:rPr>
        <w:t>sāḥib-i</w:t>
      </w:r>
      <w:proofErr w:type="spellEnd"/>
      <w:r w:rsidR="00D9395E" w:rsidRPr="00583D21">
        <w:rPr>
          <w:i/>
          <w:szCs w:val="24"/>
        </w:rPr>
        <w:t xml:space="preserve"> </w:t>
      </w:r>
      <w:proofErr w:type="spellStart"/>
      <w:r w:rsidR="00D9395E" w:rsidRPr="00583D21">
        <w:rPr>
          <w:i/>
          <w:szCs w:val="24"/>
        </w:rPr>
        <w:t>dīvān</w:t>
      </w:r>
      <w:proofErr w:type="spellEnd"/>
      <w:r w:rsidR="00FB7A9D" w:rsidRPr="00583D21">
        <w:rPr>
          <w:iCs/>
          <w:szCs w:val="24"/>
        </w:rPr>
        <w:t>)</w:t>
      </w:r>
      <w:r w:rsidR="00D9395E" w:rsidRPr="00583D21">
        <w:rPr>
          <w:szCs w:val="24"/>
        </w:rPr>
        <w:t xml:space="preserve"> </w:t>
      </w:r>
      <w:r w:rsidR="00D9395E" w:rsidRPr="00583D21">
        <w:rPr>
          <w:szCs w:val="24"/>
          <w:highlight w:val="white"/>
        </w:rPr>
        <w:t>in the late-Fath-</w:t>
      </w:r>
      <w:proofErr w:type="spellStart"/>
      <w:r w:rsidR="00D83320" w:rsidRPr="005A7921">
        <w:rPr>
          <w:rFonts w:ascii="JaghbUni" w:hAnsi="JaghbUni"/>
          <w:szCs w:val="24"/>
          <w:highlight w:val="white"/>
        </w:rPr>
        <w:t>ʿ</w:t>
      </w:r>
      <w:r w:rsidR="00D9395E" w:rsidRPr="00583D21">
        <w:rPr>
          <w:szCs w:val="24"/>
          <w:highlight w:val="white"/>
        </w:rPr>
        <w:t>Ali</w:t>
      </w:r>
      <w:proofErr w:type="spellEnd"/>
      <w:r w:rsidR="00D9395E" w:rsidRPr="00583D21">
        <w:rPr>
          <w:szCs w:val="24"/>
          <w:highlight w:val="white"/>
        </w:rPr>
        <w:t xml:space="preserve"> Shah period and remained prominent in</w:t>
      </w:r>
      <w:r w:rsidR="00D9395E" w:rsidRPr="00583D21">
        <w:rPr>
          <w:szCs w:val="24"/>
        </w:rPr>
        <w:t>to the reign of Nasir al-Din Shah (r. 1848</w:t>
      </w:r>
      <w:r w:rsidR="00D83320">
        <w:rPr>
          <w:szCs w:val="24"/>
        </w:rPr>
        <w:t>–</w:t>
      </w:r>
      <w:r w:rsidR="00D9395E" w:rsidRPr="00583D21">
        <w:rPr>
          <w:szCs w:val="24"/>
        </w:rPr>
        <w:t xml:space="preserve">96), Mirza Muhammad Riza </w:t>
      </w:r>
      <w:proofErr w:type="spellStart"/>
      <w:r w:rsidR="00D9395E" w:rsidRPr="00583D21">
        <w:rPr>
          <w:szCs w:val="24"/>
        </w:rPr>
        <w:t>Qavam</w:t>
      </w:r>
      <w:proofErr w:type="spellEnd"/>
      <w:r w:rsidR="00D9395E" w:rsidRPr="00583D21">
        <w:rPr>
          <w:szCs w:val="24"/>
        </w:rPr>
        <w:t xml:space="preserve"> al-</w:t>
      </w:r>
      <w:proofErr w:type="spellStart"/>
      <w:r w:rsidR="00D9395E" w:rsidRPr="00583D21">
        <w:rPr>
          <w:szCs w:val="24"/>
        </w:rPr>
        <w:t>Mulk</w:t>
      </w:r>
      <w:proofErr w:type="spellEnd"/>
      <w:r w:rsidR="00D9395E" w:rsidRPr="00583D21">
        <w:rPr>
          <w:szCs w:val="24"/>
        </w:rPr>
        <w:t xml:space="preserve"> III, who was the governor of Shiraz, and Mirza </w:t>
      </w:r>
      <w:proofErr w:type="spellStart"/>
      <w:r w:rsidR="00D9395E" w:rsidRPr="00583D21">
        <w:rPr>
          <w:szCs w:val="24"/>
        </w:rPr>
        <w:t>Husayn</w:t>
      </w:r>
      <w:proofErr w:type="spellEnd"/>
      <w:r w:rsidR="00D9395E" w:rsidRPr="00583D21">
        <w:rPr>
          <w:szCs w:val="24"/>
        </w:rPr>
        <w:t xml:space="preserve"> Khan </w:t>
      </w:r>
      <w:proofErr w:type="spellStart"/>
      <w:r w:rsidR="00D9395E" w:rsidRPr="00583D21">
        <w:rPr>
          <w:szCs w:val="24"/>
        </w:rPr>
        <w:t>Mu</w:t>
      </w:r>
      <w:r w:rsidR="00D83320" w:rsidRPr="005A7921">
        <w:rPr>
          <w:rFonts w:ascii="JaghbUni" w:hAnsi="JaghbUni"/>
          <w:szCs w:val="24"/>
        </w:rPr>
        <w:t>ʿ</w:t>
      </w:r>
      <w:r w:rsidR="00D9395E" w:rsidRPr="00583D21">
        <w:rPr>
          <w:szCs w:val="24"/>
        </w:rPr>
        <w:t>taman</w:t>
      </w:r>
      <w:proofErr w:type="spellEnd"/>
      <w:r w:rsidR="00D9395E" w:rsidRPr="00583D21">
        <w:rPr>
          <w:szCs w:val="24"/>
        </w:rPr>
        <w:t xml:space="preserve"> al-</w:t>
      </w:r>
      <w:proofErr w:type="spellStart"/>
      <w:r w:rsidR="00D9395E" w:rsidRPr="00583D21">
        <w:rPr>
          <w:szCs w:val="24"/>
        </w:rPr>
        <w:t>Mulk</w:t>
      </w:r>
      <w:proofErr w:type="spellEnd"/>
      <w:r w:rsidR="00D9395E" w:rsidRPr="00583D21">
        <w:rPr>
          <w:szCs w:val="24"/>
        </w:rPr>
        <w:t>, who served the Qajar state in Khurasan.</w:t>
      </w:r>
      <w:r w:rsidR="00D9395E" w:rsidRPr="00583D21">
        <w:rPr>
          <w:szCs w:val="24"/>
          <w:vertAlign w:val="superscript"/>
        </w:rPr>
        <w:endnoteReference w:id="82"/>
      </w:r>
      <w:r w:rsidR="00D9395E" w:rsidRPr="00583D21">
        <w:rPr>
          <w:szCs w:val="24"/>
        </w:rPr>
        <w:t xml:space="preserve"> </w:t>
      </w:r>
      <w:proofErr w:type="spellStart"/>
      <w:r w:rsidR="001E46DB" w:rsidRPr="00583D21">
        <w:rPr>
          <w:szCs w:val="24"/>
        </w:rPr>
        <w:t>I</w:t>
      </w:r>
      <w:r w:rsidR="00D83320" w:rsidRPr="005A7921">
        <w:rPr>
          <w:rFonts w:ascii="JaghbUni" w:hAnsi="JaghbUni"/>
          <w:szCs w:val="24"/>
        </w:rPr>
        <w:t>ʿ</w:t>
      </w:r>
      <w:r w:rsidR="001E46DB" w:rsidRPr="00583D21">
        <w:rPr>
          <w:szCs w:val="24"/>
        </w:rPr>
        <w:t>timad</w:t>
      </w:r>
      <w:proofErr w:type="spellEnd"/>
      <w:r w:rsidR="00D9395E" w:rsidRPr="00583D21">
        <w:rPr>
          <w:szCs w:val="24"/>
        </w:rPr>
        <w:t xml:space="preserve"> al-</w:t>
      </w:r>
      <w:proofErr w:type="spellStart"/>
      <w:r w:rsidR="00D9395E" w:rsidRPr="00583D21">
        <w:rPr>
          <w:szCs w:val="24"/>
        </w:rPr>
        <w:t>Dawlih’s</w:t>
      </w:r>
      <w:proofErr w:type="spellEnd"/>
      <w:r w:rsidR="00D9395E" w:rsidRPr="00583D21">
        <w:rPr>
          <w:szCs w:val="24"/>
        </w:rPr>
        <w:t xml:space="preserve"> brothers, and their children</w:t>
      </w:r>
      <w:r w:rsidR="00750850" w:rsidRPr="00583D21">
        <w:rPr>
          <w:szCs w:val="24"/>
        </w:rPr>
        <w:t>—</w:t>
      </w:r>
      <w:proofErr w:type="spellStart"/>
      <w:r w:rsidR="001E46DB" w:rsidRPr="00583D21">
        <w:rPr>
          <w:szCs w:val="24"/>
        </w:rPr>
        <w:t>I</w:t>
      </w:r>
      <w:r w:rsidR="00D83320" w:rsidRPr="005A7921">
        <w:rPr>
          <w:rFonts w:ascii="JaghbUni" w:hAnsi="JaghbUni"/>
          <w:szCs w:val="24"/>
        </w:rPr>
        <w:t>ʿ</w:t>
      </w:r>
      <w:r w:rsidR="001E46DB" w:rsidRPr="00583D21">
        <w:rPr>
          <w:szCs w:val="24"/>
        </w:rPr>
        <w:t>timad</w:t>
      </w:r>
      <w:proofErr w:type="spellEnd"/>
      <w:r w:rsidR="00D9395E" w:rsidRPr="00583D21">
        <w:rPr>
          <w:szCs w:val="24"/>
        </w:rPr>
        <w:t xml:space="preserve"> al-</w:t>
      </w:r>
      <w:proofErr w:type="spellStart"/>
      <w:r w:rsidR="00D9395E" w:rsidRPr="00583D21">
        <w:rPr>
          <w:szCs w:val="24"/>
        </w:rPr>
        <w:t>Dawlih’s</w:t>
      </w:r>
      <w:proofErr w:type="spellEnd"/>
      <w:r w:rsidR="00D9395E" w:rsidRPr="00583D21">
        <w:rPr>
          <w:szCs w:val="24"/>
        </w:rPr>
        <w:t xml:space="preserve"> nephews</w:t>
      </w:r>
      <w:r w:rsidR="00750850" w:rsidRPr="00583D21">
        <w:rPr>
          <w:szCs w:val="24"/>
        </w:rPr>
        <w:t>—</w:t>
      </w:r>
      <w:r w:rsidR="00D9395E" w:rsidRPr="00583D21">
        <w:rPr>
          <w:szCs w:val="24"/>
        </w:rPr>
        <w:t xml:space="preserve">also held important political </w:t>
      </w:r>
      <w:r w:rsidR="00D9395E" w:rsidRPr="00583D21">
        <w:rPr>
          <w:szCs w:val="24"/>
        </w:rPr>
        <w:lastRenderedPageBreak/>
        <w:t xml:space="preserve">positions, both during the reigns of </w:t>
      </w:r>
      <w:r w:rsidR="00E72F4E">
        <w:rPr>
          <w:szCs w:val="24"/>
        </w:rPr>
        <w:t>Agha</w:t>
      </w:r>
      <w:r w:rsidR="00D9395E" w:rsidRPr="00583D21">
        <w:rPr>
          <w:szCs w:val="24"/>
        </w:rPr>
        <w:t xml:space="preserve"> Muhammad Khan and Fath-</w:t>
      </w:r>
      <w:proofErr w:type="spellStart"/>
      <w:r w:rsidR="00D83320" w:rsidRPr="005A7921">
        <w:rPr>
          <w:rFonts w:ascii="JaghbUni" w:hAnsi="JaghbUni"/>
          <w:szCs w:val="24"/>
        </w:rPr>
        <w:t>ʿ</w:t>
      </w:r>
      <w:r w:rsidR="00D9395E" w:rsidRPr="00583D21">
        <w:rPr>
          <w:szCs w:val="24"/>
        </w:rPr>
        <w:t>Ali</w:t>
      </w:r>
      <w:proofErr w:type="spellEnd"/>
      <w:r w:rsidR="00D9395E" w:rsidRPr="00583D21">
        <w:rPr>
          <w:szCs w:val="24"/>
        </w:rPr>
        <w:t xml:space="preserve"> Shah, and later in the </w:t>
      </w:r>
      <w:r w:rsidR="00753539" w:rsidRPr="00583D21">
        <w:rPr>
          <w:szCs w:val="24"/>
        </w:rPr>
        <w:t>19th</w:t>
      </w:r>
      <w:r w:rsidR="00D9395E" w:rsidRPr="00583D21">
        <w:rPr>
          <w:szCs w:val="24"/>
        </w:rPr>
        <w:t xml:space="preserve"> century.</w:t>
      </w:r>
      <w:r w:rsidR="00D9395E" w:rsidRPr="00583D21">
        <w:rPr>
          <w:szCs w:val="24"/>
          <w:vertAlign w:val="superscript"/>
        </w:rPr>
        <w:endnoteReference w:id="83"/>
      </w:r>
    </w:p>
    <w:p w14:paraId="0A940EB2" w14:textId="1F389AFE" w:rsidR="00D9395E" w:rsidRPr="00583D21" w:rsidRDefault="00D9395E" w:rsidP="00A343BE">
      <w:pPr>
        <w:spacing w:line="480" w:lineRule="auto"/>
        <w:ind w:firstLine="720"/>
        <w:rPr>
          <w:szCs w:val="24"/>
        </w:rPr>
      </w:pPr>
      <w:r w:rsidRPr="00583D21">
        <w:rPr>
          <w:szCs w:val="24"/>
          <w:highlight w:val="white"/>
        </w:rPr>
        <w:t>In fact, as Fath-</w:t>
      </w:r>
      <w:proofErr w:type="spellStart"/>
      <w:r w:rsidR="00D83320" w:rsidRPr="005A7921">
        <w:rPr>
          <w:rFonts w:ascii="JaghbUni" w:hAnsi="JaghbUni"/>
          <w:szCs w:val="24"/>
          <w:highlight w:val="white"/>
        </w:rPr>
        <w:t>ʿ</w:t>
      </w:r>
      <w:r w:rsidRPr="00583D21">
        <w:rPr>
          <w:szCs w:val="24"/>
          <w:highlight w:val="white"/>
        </w:rPr>
        <w:t>Ali</w:t>
      </w:r>
      <w:proofErr w:type="spellEnd"/>
      <w:r w:rsidRPr="00583D21">
        <w:rPr>
          <w:szCs w:val="24"/>
          <w:highlight w:val="white"/>
        </w:rPr>
        <w:t xml:space="preserve"> Shah’s reign progressed, and the years of Qajar rule went on, certain families became closely associated with specific</w:t>
      </w:r>
      <w:r w:rsidRPr="00583D21">
        <w:rPr>
          <w:szCs w:val="24"/>
        </w:rPr>
        <w:t xml:space="preserve"> ministerial positions. </w:t>
      </w:r>
      <w:r w:rsidRPr="00583D21">
        <w:rPr>
          <w:szCs w:val="24"/>
          <w:highlight w:val="white"/>
        </w:rPr>
        <w:t xml:space="preserve">For instance, the </w:t>
      </w:r>
      <w:proofErr w:type="spellStart"/>
      <w:r w:rsidRPr="00583D21">
        <w:rPr>
          <w:szCs w:val="24"/>
          <w:highlight w:val="white"/>
        </w:rPr>
        <w:t>Ashtiyani</w:t>
      </w:r>
      <w:proofErr w:type="spellEnd"/>
      <w:r w:rsidRPr="00583D21">
        <w:rPr>
          <w:szCs w:val="24"/>
          <w:highlight w:val="white"/>
        </w:rPr>
        <w:t xml:space="preserve"> family came to dominate the position of </w:t>
      </w:r>
      <w:r w:rsidR="00D808B4" w:rsidRPr="00583D21">
        <w:rPr>
          <w:szCs w:val="24"/>
          <w:highlight w:val="white"/>
        </w:rPr>
        <w:t>imperial treasurer</w:t>
      </w:r>
      <w:r w:rsidRPr="00583D21">
        <w:rPr>
          <w:szCs w:val="24"/>
          <w:highlight w:val="white"/>
        </w:rPr>
        <w:t xml:space="preserve">: Mirza Muhammad </w:t>
      </w:r>
      <w:proofErr w:type="spellStart"/>
      <w:r w:rsidR="00D83320" w:rsidRPr="005A7921">
        <w:rPr>
          <w:rFonts w:ascii="JaghbUni" w:hAnsi="JaghbUni"/>
          <w:szCs w:val="24"/>
          <w:highlight w:val="white"/>
        </w:rPr>
        <w:t>ʿ</w:t>
      </w:r>
      <w:r w:rsidRPr="00583D21">
        <w:rPr>
          <w:szCs w:val="24"/>
          <w:highlight w:val="white"/>
        </w:rPr>
        <w:t>Ali</w:t>
      </w:r>
      <w:proofErr w:type="spellEnd"/>
      <w:r w:rsidRPr="00583D21">
        <w:rPr>
          <w:szCs w:val="24"/>
          <w:highlight w:val="white"/>
        </w:rPr>
        <w:t xml:space="preserve"> served first as </w:t>
      </w:r>
      <w:proofErr w:type="spellStart"/>
      <w:r w:rsidRPr="00583D21">
        <w:rPr>
          <w:i/>
          <w:szCs w:val="24"/>
          <w:highlight w:val="white"/>
        </w:rPr>
        <w:t>mustawfī</w:t>
      </w:r>
      <w:proofErr w:type="spellEnd"/>
      <w:r w:rsidRPr="00583D21">
        <w:rPr>
          <w:szCs w:val="24"/>
          <w:highlight w:val="white"/>
        </w:rPr>
        <w:t xml:space="preserve">, but then his brother Mirza Hasan continued the family line. Hasan’s son Yusuf succeeded his father as </w:t>
      </w:r>
      <w:proofErr w:type="spellStart"/>
      <w:r w:rsidRPr="00583D21">
        <w:rPr>
          <w:i/>
          <w:szCs w:val="24"/>
          <w:highlight w:val="white"/>
        </w:rPr>
        <w:t>mustawfī</w:t>
      </w:r>
      <w:proofErr w:type="spellEnd"/>
      <w:r w:rsidRPr="00583D21">
        <w:rPr>
          <w:i/>
          <w:szCs w:val="24"/>
          <w:highlight w:val="white"/>
        </w:rPr>
        <w:t xml:space="preserve"> </w:t>
      </w:r>
      <w:r w:rsidRPr="00583D21">
        <w:rPr>
          <w:szCs w:val="24"/>
          <w:highlight w:val="white"/>
        </w:rPr>
        <w:t>in the Muhammad Shah (r. 1834</w:t>
      </w:r>
      <w:r w:rsidR="00D83320">
        <w:rPr>
          <w:szCs w:val="24"/>
          <w:highlight w:val="white"/>
        </w:rPr>
        <w:t>–</w:t>
      </w:r>
      <w:r w:rsidRPr="00583D21">
        <w:rPr>
          <w:szCs w:val="24"/>
          <w:highlight w:val="white"/>
        </w:rPr>
        <w:t>48) period.</w:t>
      </w:r>
      <w:r w:rsidRPr="00583D21">
        <w:rPr>
          <w:szCs w:val="24"/>
          <w:highlight w:val="white"/>
          <w:vertAlign w:val="superscript"/>
        </w:rPr>
        <w:endnoteReference w:id="84"/>
      </w:r>
      <w:r w:rsidRPr="00583D21">
        <w:rPr>
          <w:szCs w:val="24"/>
          <w:highlight w:val="white"/>
        </w:rPr>
        <w:t xml:space="preserve"> The </w:t>
      </w:r>
      <w:proofErr w:type="spellStart"/>
      <w:r w:rsidRPr="00583D21">
        <w:rPr>
          <w:szCs w:val="24"/>
          <w:highlight w:val="white"/>
        </w:rPr>
        <w:t>Nuris</w:t>
      </w:r>
      <w:proofErr w:type="spellEnd"/>
      <w:r w:rsidRPr="00583D21">
        <w:rPr>
          <w:szCs w:val="24"/>
          <w:highlight w:val="white"/>
        </w:rPr>
        <w:t xml:space="preserve"> were also a prominent administrative family: Mirza Asadullah Nuri was recruited by </w:t>
      </w:r>
      <w:r w:rsidR="00E72F4E">
        <w:rPr>
          <w:szCs w:val="24"/>
          <w:highlight w:val="white"/>
        </w:rPr>
        <w:t>Agha</w:t>
      </w:r>
      <w:r w:rsidRPr="00583D21">
        <w:rPr>
          <w:szCs w:val="24"/>
          <w:highlight w:val="white"/>
        </w:rPr>
        <w:t xml:space="preserve"> Muhammad Khan in </w:t>
      </w:r>
      <w:r w:rsidR="00D808B4" w:rsidRPr="00583D21">
        <w:rPr>
          <w:szCs w:val="24"/>
          <w:highlight w:val="white"/>
        </w:rPr>
        <w:t>1795</w:t>
      </w:r>
      <w:r w:rsidR="00D83320">
        <w:rPr>
          <w:szCs w:val="24"/>
          <w:highlight w:val="white"/>
        </w:rPr>
        <w:t>–</w:t>
      </w:r>
      <w:r w:rsidR="00D808B4" w:rsidRPr="00583D21">
        <w:rPr>
          <w:szCs w:val="24"/>
          <w:highlight w:val="white"/>
        </w:rPr>
        <w:t>96 to serve as his minister of the a</w:t>
      </w:r>
      <w:r w:rsidRPr="00583D21">
        <w:rPr>
          <w:szCs w:val="24"/>
          <w:highlight w:val="white"/>
        </w:rPr>
        <w:t>rmy, before switching over to become the</w:t>
      </w:r>
      <w:r w:rsidR="00D808B4" w:rsidRPr="00583D21">
        <w:rPr>
          <w:szCs w:val="24"/>
          <w:highlight w:val="white"/>
        </w:rPr>
        <w:t xml:space="preserve"> imperial treasurer</w:t>
      </w:r>
      <w:r w:rsidRPr="00583D21">
        <w:rPr>
          <w:i/>
          <w:szCs w:val="24"/>
          <w:highlight w:val="white"/>
        </w:rPr>
        <w:t xml:space="preserve"> </w:t>
      </w:r>
      <w:r w:rsidRPr="00583D21">
        <w:rPr>
          <w:szCs w:val="24"/>
          <w:highlight w:val="white"/>
        </w:rPr>
        <w:t>under Fath-</w:t>
      </w:r>
      <w:proofErr w:type="spellStart"/>
      <w:r w:rsidR="00D83320" w:rsidRPr="005A7921">
        <w:rPr>
          <w:rFonts w:ascii="JaghbUni" w:hAnsi="JaghbUni"/>
          <w:szCs w:val="24"/>
          <w:highlight w:val="white"/>
        </w:rPr>
        <w:t>ʿ</w:t>
      </w:r>
      <w:r w:rsidRPr="00583D21">
        <w:rPr>
          <w:szCs w:val="24"/>
          <w:highlight w:val="white"/>
        </w:rPr>
        <w:t>Ali</w:t>
      </w:r>
      <w:proofErr w:type="spellEnd"/>
      <w:r w:rsidRPr="00583D21">
        <w:rPr>
          <w:szCs w:val="24"/>
          <w:highlight w:val="white"/>
        </w:rPr>
        <w:t xml:space="preserve"> Shah.</w:t>
      </w:r>
      <w:r w:rsidRPr="00583D21">
        <w:rPr>
          <w:szCs w:val="24"/>
          <w:highlight w:val="white"/>
          <w:vertAlign w:val="superscript"/>
        </w:rPr>
        <w:endnoteReference w:id="85"/>
      </w:r>
      <w:r w:rsidRPr="00583D21">
        <w:rPr>
          <w:szCs w:val="24"/>
          <w:highlight w:val="white"/>
        </w:rPr>
        <w:t xml:space="preserve"> His son, Mirza </w:t>
      </w:r>
      <w:r w:rsidR="00E72F4E">
        <w:rPr>
          <w:szCs w:val="24"/>
          <w:highlight w:val="white"/>
        </w:rPr>
        <w:t>Agha</w:t>
      </w:r>
      <w:r w:rsidRPr="00583D21">
        <w:rPr>
          <w:szCs w:val="24"/>
          <w:highlight w:val="white"/>
        </w:rPr>
        <w:t xml:space="preserve"> Khan Nuri</w:t>
      </w:r>
      <w:r w:rsidR="00D83320">
        <w:rPr>
          <w:szCs w:val="24"/>
          <w:highlight w:val="white"/>
        </w:rPr>
        <w:t>,</w:t>
      </w:r>
      <w:r w:rsidRPr="00583D21">
        <w:rPr>
          <w:szCs w:val="24"/>
          <w:highlight w:val="white"/>
        </w:rPr>
        <w:t xml:space="preserve"> later also served as </w:t>
      </w:r>
      <w:r w:rsidR="00D808B4" w:rsidRPr="00583D21">
        <w:rPr>
          <w:szCs w:val="24"/>
          <w:highlight w:val="white"/>
        </w:rPr>
        <w:t xml:space="preserve">army minister </w:t>
      </w:r>
      <w:r w:rsidRPr="00583D21">
        <w:rPr>
          <w:szCs w:val="24"/>
          <w:highlight w:val="white"/>
        </w:rPr>
        <w:t>for the shah.</w:t>
      </w:r>
      <w:r w:rsidRPr="00583D21">
        <w:rPr>
          <w:szCs w:val="24"/>
          <w:highlight w:val="white"/>
          <w:vertAlign w:val="superscript"/>
        </w:rPr>
        <w:endnoteReference w:id="86"/>
      </w:r>
      <w:r w:rsidRPr="00583D21">
        <w:rPr>
          <w:szCs w:val="24"/>
          <w:highlight w:val="white"/>
        </w:rPr>
        <w:t xml:space="preserve">  </w:t>
      </w:r>
    </w:p>
    <w:p w14:paraId="51EFA7E4" w14:textId="2DE46378" w:rsidR="0054213F" w:rsidRPr="00583D21" w:rsidRDefault="00567862" w:rsidP="000336E7">
      <w:pPr>
        <w:spacing w:line="480" w:lineRule="auto"/>
        <w:ind w:firstLine="720"/>
        <w:rPr>
          <w:szCs w:val="24"/>
        </w:rPr>
      </w:pPr>
      <w:r w:rsidRPr="00583D21">
        <w:rPr>
          <w:szCs w:val="24"/>
        </w:rPr>
        <w:t xml:space="preserve">Loyalty and marriage tied ministerial families to the Qajar house, and ensured some level of security for </w:t>
      </w:r>
      <w:proofErr w:type="spellStart"/>
      <w:r w:rsidRPr="00583D21">
        <w:rPr>
          <w:i/>
          <w:iCs/>
          <w:szCs w:val="24"/>
        </w:rPr>
        <w:t>dīvān</w:t>
      </w:r>
      <w:proofErr w:type="spellEnd"/>
      <w:r w:rsidRPr="00583D21">
        <w:rPr>
          <w:szCs w:val="24"/>
        </w:rPr>
        <w:t xml:space="preserve"> officials. But because</w:t>
      </w:r>
      <w:r w:rsidR="00D808B4" w:rsidRPr="00583D21">
        <w:rPr>
          <w:szCs w:val="24"/>
        </w:rPr>
        <w:t xml:space="preserve"> during the early 19th century</w:t>
      </w:r>
      <w:r w:rsidRPr="00583D21">
        <w:rPr>
          <w:szCs w:val="24"/>
        </w:rPr>
        <w:t xml:space="preserve"> the size of the administration grew, and the number of minister</w:t>
      </w:r>
      <w:r w:rsidR="00E7676A" w:rsidRPr="00583D21">
        <w:rPr>
          <w:szCs w:val="24"/>
        </w:rPr>
        <w:t>s</w:t>
      </w:r>
      <w:r w:rsidRPr="00583D21">
        <w:rPr>
          <w:szCs w:val="24"/>
        </w:rPr>
        <w:t xml:space="preserve"> increased</w:t>
      </w:r>
      <w:r w:rsidR="00E7676A" w:rsidRPr="00583D21">
        <w:rPr>
          <w:szCs w:val="24"/>
        </w:rPr>
        <w:t>,</w:t>
      </w:r>
      <w:r w:rsidRPr="00583D21">
        <w:rPr>
          <w:szCs w:val="24"/>
        </w:rPr>
        <w:t xml:space="preserve"> there was also greater competition </w:t>
      </w:r>
      <w:r w:rsidR="000336E7" w:rsidRPr="00583D21">
        <w:rPr>
          <w:szCs w:val="24"/>
        </w:rPr>
        <w:t>among the</w:t>
      </w:r>
      <w:r w:rsidRPr="00583D21">
        <w:rPr>
          <w:szCs w:val="24"/>
        </w:rPr>
        <w:t xml:space="preserve"> ministers. From the perspective of the ministers, the </w:t>
      </w:r>
      <w:proofErr w:type="spellStart"/>
      <w:r w:rsidRPr="00583D21">
        <w:rPr>
          <w:i/>
          <w:iCs/>
          <w:szCs w:val="24"/>
        </w:rPr>
        <w:t>dīvān</w:t>
      </w:r>
      <w:proofErr w:type="spellEnd"/>
      <w:r w:rsidRPr="00583D21">
        <w:rPr>
          <w:szCs w:val="24"/>
        </w:rPr>
        <w:t xml:space="preserve"> was a space where competition </w:t>
      </w:r>
      <w:r w:rsidR="000336E7" w:rsidRPr="00583D21">
        <w:rPr>
          <w:szCs w:val="24"/>
        </w:rPr>
        <w:t xml:space="preserve">over power, prestige, and influence </w:t>
      </w:r>
      <w:r w:rsidRPr="00583D21">
        <w:rPr>
          <w:szCs w:val="24"/>
        </w:rPr>
        <w:t xml:space="preserve">played out. </w:t>
      </w:r>
    </w:p>
    <w:p w14:paraId="5226B6C9" w14:textId="77777777" w:rsidR="00D9395E" w:rsidRPr="00583D21" w:rsidRDefault="00D9395E" w:rsidP="00D9395E">
      <w:pPr>
        <w:spacing w:line="480" w:lineRule="auto"/>
        <w:rPr>
          <w:szCs w:val="24"/>
        </w:rPr>
      </w:pPr>
    </w:p>
    <w:p w14:paraId="02C4CC05" w14:textId="2C59FB31" w:rsidR="009369D9" w:rsidRPr="005A7921" w:rsidRDefault="00BD3E16" w:rsidP="00BD3E16">
      <w:pPr>
        <w:spacing w:line="480" w:lineRule="auto"/>
        <w:rPr>
          <w:b/>
          <w:bCs/>
          <w:szCs w:val="24"/>
        </w:rPr>
      </w:pPr>
      <w:r w:rsidRPr="005A7921">
        <w:rPr>
          <w:b/>
          <w:bCs/>
          <w:szCs w:val="24"/>
        </w:rPr>
        <w:t>Qajar Courtly Encounters</w:t>
      </w:r>
    </w:p>
    <w:p w14:paraId="4D0DD51A" w14:textId="1AB3C706" w:rsidR="0054213F" w:rsidRPr="00583D21" w:rsidRDefault="00975E9F" w:rsidP="00D82269">
      <w:pPr>
        <w:spacing w:line="480" w:lineRule="auto"/>
        <w:rPr>
          <w:szCs w:val="24"/>
        </w:rPr>
      </w:pPr>
      <w:r w:rsidRPr="00583D21">
        <w:rPr>
          <w:szCs w:val="24"/>
        </w:rPr>
        <w:t>Early</w:t>
      </w:r>
      <w:r w:rsidR="006B11E9" w:rsidRPr="00583D21">
        <w:rPr>
          <w:szCs w:val="24"/>
        </w:rPr>
        <w:t xml:space="preserve"> Qajar </w:t>
      </w:r>
      <w:proofErr w:type="spellStart"/>
      <w:r w:rsidR="006B11E9" w:rsidRPr="00583D21">
        <w:rPr>
          <w:i/>
          <w:iCs/>
          <w:szCs w:val="24"/>
        </w:rPr>
        <w:t>dīvān</w:t>
      </w:r>
      <w:proofErr w:type="spellEnd"/>
      <w:r w:rsidR="006B11E9" w:rsidRPr="00583D21">
        <w:rPr>
          <w:i/>
          <w:iCs/>
          <w:szCs w:val="24"/>
        </w:rPr>
        <w:t xml:space="preserve"> </w:t>
      </w:r>
      <w:r w:rsidR="006B11E9" w:rsidRPr="00583D21">
        <w:rPr>
          <w:szCs w:val="24"/>
        </w:rPr>
        <w:t>office</w:t>
      </w:r>
      <w:r w:rsidR="00D82269">
        <w:rPr>
          <w:szCs w:val="24"/>
        </w:rPr>
        <w:t xml:space="preserve"> </w:t>
      </w:r>
      <w:r w:rsidR="006B11E9" w:rsidRPr="00583D21">
        <w:rPr>
          <w:szCs w:val="24"/>
        </w:rPr>
        <w:t xml:space="preserve">holders </w:t>
      </w:r>
      <w:r w:rsidRPr="00583D21">
        <w:rPr>
          <w:szCs w:val="24"/>
        </w:rPr>
        <w:t>had origins in</w:t>
      </w:r>
      <w:r w:rsidR="006B11E9" w:rsidRPr="00583D21">
        <w:rPr>
          <w:szCs w:val="24"/>
        </w:rPr>
        <w:t xml:space="preserve"> various cities an</w:t>
      </w:r>
      <w:r w:rsidR="00022BED" w:rsidRPr="00583D21">
        <w:rPr>
          <w:szCs w:val="24"/>
        </w:rPr>
        <w:t>d regions across Qajar domains. T</w:t>
      </w:r>
      <w:r w:rsidR="006B11E9" w:rsidRPr="00583D21">
        <w:rPr>
          <w:szCs w:val="24"/>
        </w:rPr>
        <w:t xml:space="preserve">he </w:t>
      </w:r>
      <w:proofErr w:type="spellStart"/>
      <w:r w:rsidR="006B11E9" w:rsidRPr="00583D21">
        <w:rPr>
          <w:i/>
          <w:iCs/>
          <w:szCs w:val="24"/>
        </w:rPr>
        <w:t>dīvān</w:t>
      </w:r>
      <w:proofErr w:type="spellEnd"/>
      <w:r w:rsidR="006B11E9" w:rsidRPr="00583D21">
        <w:rPr>
          <w:i/>
          <w:iCs/>
          <w:szCs w:val="24"/>
        </w:rPr>
        <w:t xml:space="preserve"> </w:t>
      </w:r>
      <w:r w:rsidR="00022BED" w:rsidRPr="00583D21">
        <w:rPr>
          <w:szCs w:val="24"/>
        </w:rPr>
        <w:t xml:space="preserve">can be viewed, in fact, </w:t>
      </w:r>
      <w:r w:rsidR="006B11E9" w:rsidRPr="00583D21">
        <w:rPr>
          <w:szCs w:val="24"/>
        </w:rPr>
        <w:t xml:space="preserve">as a point of contact between Qajar rulers based in capital cities like Tehran, and men with social and economic roots in the provinces. Seen this way, the </w:t>
      </w:r>
      <w:proofErr w:type="spellStart"/>
      <w:r w:rsidR="006B11E9" w:rsidRPr="00583D21">
        <w:rPr>
          <w:i/>
          <w:iCs/>
          <w:szCs w:val="24"/>
        </w:rPr>
        <w:t>dīvān</w:t>
      </w:r>
      <w:proofErr w:type="spellEnd"/>
      <w:r w:rsidR="006B11E9" w:rsidRPr="00583D21">
        <w:rPr>
          <w:i/>
          <w:iCs/>
          <w:szCs w:val="24"/>
        </w:rPr>
        <w:t xml:space="preserve"> </w:t>
      </w:r>
      <w:r w:rsidR="00022BED" w:rsidRPr="00583D21">
        <w:rPr>
          <w:szCs w:val="24"/>
        </w:rPr>
        <w:t xml:space="preserve">was an arena </w:t>
      </w:r>
      <w:r w:rsidR="006B11E9" w:rsidRPr="00583D21">
        <w:rPr>
          <w:szCs w:val="24"/>
        </w:rPr>
        <w:t xml:space="preserve">where networks of provincial power encountered one </w:t>
      </w:r>
      <w:r w:rsidR="00D82269">
        <w:rPr>
          <w:szCs w:val="24"/>
        </w:rPr>
        <w:t>an</w:t>
      </w:r>
      <w:r w:rsidR="006B11E9" w:rsidRPr="00583D21">
        <w:rPr>
          <w:szCs w:val="24"/>
        </w:rPr>
        <w:t xml:space="preserve">other; </w:t>
      </w:r>
      <w:r w:rsidR="00713487" w:rsidRPr="00583D21">
        <w:rPr>
          <w:szCs w:val="24"/>
        </w:rPr>
        <w:t xml:space="preserve">politically ambitious men competed with each other; </w:t>
      </w:r>
      <w:r w:rsidR="006B11E9" w:rsidRPr="00583D21">
        <w:rPr>
          <w:szCs w:val="24"/>
        </w:rPr>
        <w:t xml:space="preserve">political, economic, and social benefits became entrenched; and </w:t>
      </w:r>
      <w:r w:rsidR="006B11E9" w:rsidRPr="00583D21">
        <w:rPr>
          <w:szCs w:val="24"/>
        </w:rPr>
        <w:lastRenderedPageBreak/>
        <w:t>rivalries, feuds, and even violence erupted</w:t>
      </w:r>
      <w:r w:rsidR="00CC71A5" w:rsidRPr="00583D21">
        <w:rPr>
          <w:szCs w:val="24"/>
        </w:rPr>
        <w:t xml:space="preserve"> between </w:t>
      </w:r>
      <w:proofErr w:type="spellStart"/>
      <w:r w:rsidR="00CC71A5" w:rsidRPr="00583D21">
        <w:rPr>
          <w:i/>
          <w:iCs/>
          <w:szCs w:val="24"/>
        </w:rPr>
        <w:t>dīvān</w:t>
      </w:r>
      <w:proofErr w:type="spellEnd"/>
      <w:r w:rsidR="00CC71A5" w:rsidRPr="00583D21">
        <w:rPr>
          <w:szCs w:val="24"/>
        </w:rPr>
        <w:t xml:space="preserve"> ministers</w:t>
      </w:r>
      <w:r w:rsidR="006B11E9" w:rsidRPr="00583D21">
        <w:rPr>
          <w:szCs w:val="24"/>
        </w:rPr>
        <w:t>.</w:t>
      </w:r>
      <w:r w:rsidR="00F84FE6" w:rsidRPr="00583D21">
        <w:rPr>
          <w:szCs w:val="24"/>
        </w:rPr>
        <w:t xml:space="preserve"> The </w:t>
      </w:r>
      <w:proofErr w:type="spellStart"/>
      <w:r w:rsidR="00F84FE6" w:rsidRPr="00583D21">
        <w:rPr>
          <w:i/>
          <w:iCs/>
          <w:szCs w:val="24"/>
        </w:rPr>
        <w:t>dīvān</w:t>
      </w:r>
      <w:proofErr w:type="spellEnd"/>
      <w:r w:rsidR="00F84FE6" w:rsidRPr="00583D21">
        <w:rPr>
          <w:szCs w:val="24"/>
        </w:rPr>
        <w:t>, in other words, offered an opportunity for ministers to prove their worth and consolidate their personal power and prestige, but also presented</w:t>
      </w:r>
      <w:r w:rsidR="00B86342" w:rsidRPr="00583D21">
        <w:rPr>
          <w:szCs w:val="24"/>
        </w:rPr>
        <w:t xml:space="preserve"> the</w:t>
      </w:r>
      <w:r w:rsidR="00F84FE6" w:rsidRPr="00583D21">
        <w:rPr>
          <w:szCs w:val="24"/>
        </w:rPr>
        <w:t xml:space="preserve"> risk </w:t>
      </w:r>
      <w:r w:rsidR="00370A97" w:rsidRPr="00583D21">
        <w:rPr>
          <w:szCs w:val="24"/>
        </w:rPr>
        <w:t>of</w:t>
      </w:r>
      <w:r w:rsidR="00F84FE6" w:rsidRPr="00583D21">
        <w:rPr>
          <w:szCs w:val="24"/>
        </w:rPr>
        <w:t xml:space="preserve"> los</w:t>
      </w:r>
      <w:r w:rsidR="00370A97" w:rsidRPr="00583D21">
        <w:rPr>
          <w:szCs w:val="24"/>
        </w:rPr>
        <w:t>ing</w:t>
      </w:r>
      <w:r w:rsidR="00F84FE6" w:rsidRPr="00583D21">
        <w:rPr>
          <w:szCs w:val="24"/>
        </w:rPr>
        <w:t xml:space="preserve"> that same power.</w:t>
      </w:r>
      <w:r w:rsidR="005475F5" w:rsidRPr="00583D21">
        <w:rPr>
          <w:szCs w:val="24"/>
        </w:rPr>
        <w:t xml:space="preserve"> Qajar Iran’s early history again demonstrates that, as in the case of many other imperial courts, incidents of encounter, exchange, and violence were constitutive elements to court culture and state formation.</w:t>
      </w:r>
      <w:r w:rsidR="005475F5" w:rsidRPr="00583D21">
        <w:rPr>
          <w:rStyle w:val="EndnoteReference"/>
          <w:szCs w:val="24"/>
        </w:rPr>
        <w:endnoteReference w:id="87"/>
      </w:r>
    </w:p>
    <w:p w14:paraId="1B763ADD" w14:textId="11DC16DB" w:rsidR="00020102" w:rsidRPr="00583D21" w:rsidRDefault="0097652F" w:rsidP="00653B30">
      <w:pPr>
        <w:spacing w:line="480" w:lineRule="auto"/>
        <w:ind w:firstLine="720"/>
        <w:rPr>
          <w:szCs w:val="24"/>
        </w:rPr>
      </w:pPr>
      <w:r w:rsidRPr="00583D21">
        <w:rPr>
          <w:szCs w:val="24"/>
        </w:rPr>
        <w:t>T</w:t>
      </w:r>
      <w:r w:rsidR="00020102" w:rsidRPr="00583D21">
        <w:rPr>
          <w:szCs w:val="24"/>
        </w:rPr>
        <w:t>he</w:t>
      </w:r>
      <w:r w:rsidR="009758E2" w:rsidRPr="00583D21">
        <w:rPr>
          <w:szCs w:val="24"/>
        </w:rPr>
        <w:t xml:space="preserve"> </w:t>
      </w:r>
      <w:proofErr w:type="spellStart"/>
      <w:r w:rsidR="00653B30" w:rsidRPr="00583D21">
        <w:rPr>
          <w:i/>
          <w:iCs/>
          <w:szCs w:val="24"/>
        </w:rPr>
        <w:t>dīvān</w:t>
      </w:r>
      <w:r w:rsidR="00653B30" w:rsidRPr="00583D21">
        <w:rPr>
          <w:szCs w:val="24"/>
        </w:rPr>
        <w:t>’s</w:t>
      </w:r>
      <w:proofErr w:type="spellEnd"/>
      <w:r w:rsidR="00653B30" w:rsidRPr="00583D21">
        <w:rPr>
          <w:szCs w:val="24"/>
        </w:rPr>
        <w:t xml:space="preserve"> function as a site of contact for Qajar Iran’s regional and political elites becomes easier to appreciate when one is reminded that the </w:t>
      </w:r>
      <w:r w:rsidR="00020102" w:rsidRPr="00583D21">
        <w:rPr>
          <w:szCs w:val="24"/>
        </w:rPr>
        <w:t xml:space="preserve">sixteen individuals </w:t>
      </w:r>
      <w:r w:rsidRPr="00583D21">
        <w:rPr>
          <w:szCs w:val="24"/>
        </w:rPr>
        <w:t xml:space="preserve">who held the positions of prime minister, imperial secretary, and imperial treasurer during the first three decades of Qajar rule </w:t>
      </w:r>
      <w:r w:rsidR="00653B30" w:rsidRPr="00583D21">
        <w:rPr>
          <w:szCs w:val="24"/>
        </w:rPr>
        <w:t xml:space="preserve">came from six different regions and eight </w:t>
      </w:r>
      <w:r w:rsidR="00020102" w:rsidRPr="00583D21">
        <w:rPr>
          <w:szCs w:val="24"/>
        </w:rPr>
        <w:t xml:space="preserve">different </w:t>
      </w:r>
      <w:r w:rsidR="00653B30" w:rsidRPr="00583D21">
        <w:rPr>
          <w:szCs w:val="24"/>
        </w:rPr>
        <w:t>cities</w:t>
      </w:r>
      <w:r w:rsidR="00020102" w:rsidRPr="00583D21">
        <w:rPr>
          <w:szCs w:val="24"/>
        </w:rPr>
        <w:t xml:space="preserve">. Some of the cities, like Shiraz and Isfahan, were home to numerous influential families because of their historic roles as political capitals. Other cities and towns, like Nur and </w:t>
      </w:r>
      <w:proofErr w:type="spellStart"/>
      <w:r w:rsidR="00020102" w:rsidRPr="00583D21">
        <w:rPr>
          <w:szCs w:val="24"/>
        </w:rPr>
        <w:t>Bandpay</w:t>
      </w:r>
      <w:proofErr w:type="spellEnd"/>
      <w:r w:rsidR="00020102" w:rsidRPr="00583D21">
        <w:rPr>
          <w:szCs w:val="24"/>
        </w:rPr>
        <w:t xml:space="preserve">, in Mazandaran, were not urban centers of particular importance, but were closer to the </w:t>
      </w:r>
      <w:proofErr w:type="spellStart"/>
      <w:r w:rsidR="00020102" w:rsidRPr="00583D21">
        <w:rPr>
          <w:szCs w:val="24"/>
        </w:rPr>
        <w:t>Qajars</w:t>
      </w:r>
      <w:proofErr w:type="spellEnd"/>
      <w:r w:rsidR="00020102" w:rsidRPr="00583D21">
        <w:rPr>
          <w:szCs w:val="24"/>
        </w:rPr>
        <w:t xml:space="preserve">’ ancestral homeland in </w:t>
      </w:r>
      <w:proofErr w:type="spellStart"/>
      <w:r w:rsidR="00020102" w:rsidRPr="00583D21">
        <w:rPr>
          <w:szCs w:val="24"/>
        </w:rPr>
        <w:t>Astarabad</w:t>
      </w:r>
      <w:proofErr w:type="spellEnd"/>
      <w:r w:rsidR="00020102" w:rsidRPr="00583D21">
        <w:rPr>
          <w:szCs w:val="24"/>
        </w:rPr>
        <w:t xml:space="preserve">. </w:t>
      </w:r>
      <w:r w:rsidR="00E72F4E">
        <w:rPr>
          <w:szCs w:val="24"/>
        </w:rPr>
        <w:t>Agha</w:t>
      </w:r>
      <w:r w:rsidR="00020102" w:rsidRPr="00583D21">
        <w:rPr>
          <w:szCs w:val="24"/>
        </w:rPr>
        <w:t xml:space="preserve"> Muhammad Khan and Fath-</w:t>
      </w:r>
      <w:proofErr w:type="spellStart"/>
      <w:r w:rsidR="00D82269" w:rsidRPr="005A7921">
        <w:rPr>
          <w:rFonts w:ascii="JaghbUni" w:hAnsi="JaghbUni"/>
          <w:szCs w:val="24"/>
        </w:rPr>
        <w:t>ʿ</w:t>
      </w:r>
      <w:r w:rsidR="00020102" w:rsidRPr="00583D21">
        <w:rPr>
          <w:szCs w:val="24"/>
        </w:rPr>
        <w:t>Ali</w:t>
      </w:r>
      <w:proofErr w:type="spellEnd"/>
      <w:r w:rsidR="00020102" w:rsidRPr="00583D21">
        <w:rPr>
          <w:szCs w:val="24"/>
        </w:rPr>
        <w:t xml:space="preserve"> Shah’s decision to draw some of their ministers from these localities was part of a broader shift in the center of political gravity away from the south and towards the north</w:t>
      </w:r>
      <w:r w:rsidR="009758E2" w:rsidRPr="00583D21">
        <w:rPr>
          <w:szCs w:val="24"/>
        </w:rPr>
        <w:t xml:space="preserve"> at the turn of the </w:t>
      </w:r>
      <w:r w:rsidR="00753539" w:rsidRPr="00583D21">
        <w:rPr>
          <w:szCs w:val="24"/>
        </w:rPr>
        <w:t>19th</w:t>
      </w:r>
      <w:r w:rsidR="009758E2" w:rsidRPr="00583D21">
        <w:rPr>
          <w:szCs w:val="24"/>
        </w:rPr>
        <w:t xml:space="preserve"> century</w:t>
      </w:r>
      <w:r w:rsidR="00020102" w:rsidRPr="00583D21">
        <w:rPr>
          <w:szCs w:val="24"/>
        </w:rPr>
        <w:t>.</w:t>
      </w:r>
      <w:r w:rsidR="00020102" w:rsidRPr="00583D21">
        <w:rPr>
          <w:rStyle w:val="EndnoteReference"/>
          <w:szCs w:val="24"/>
        </w:rPr>
        <w:endnoteReference w:id="88"/>
      </w:r>
      <w:r w:rsidR="00020102" w:rsidRPr="00583D21">
        <w:rPr>
          <w:szCs w:val="24"/>
        </w:rPr>
        <w:t xml:space="preserve"> </w:t>
      </w:r>
      <w:r w:rsidR="009758E2" w:rsidRPr="00583D21">
        <w:rPr>
          <w:szCs w:val="24"/>
        </w:rPr>
        <w:t>But</w:t>
      </w:r>
      <w:r w:rsidR="00020102" w:rsidRPr="00583D21">
        <w:rPr>
          <w:szCs w:val="24"/>
        </w:rPr>
        <w:t xml:space="preserve"> the geographic diversity of the towns and cities represented, from Shiraz to Tabriz, and from </w:t>
      </w:r>
      <w:proofErr w:type="spellStart"/>
      <w:r w:rsidR="00020102" w:rsidRPr="00583D21">
        <w:rPr>
          <w:szCs w:val="24"/>
        </w:rPr>
        <w:t>Nava</w:t>
      </w:r>
      <w:r w:rsidR="00D82269" w:rsidRPr="005A7921">
        <w:rPr>
          <w:rFonts w:ascii="JaghbUni" w:hAnsi="JaghbUni"/>
          <w:szCs w:val="24"/>
        </w:rPr>
        <w:t>ʾ</w:t>
      </w:r>
      <w:r w:rsidR="00020102" w:rsidRPr="00583D21">
        <w:rPr>
          <w:szCs w:val="24"/>
        </w:rPr>
        <w:t>i</w:t>
      </w:r>
      <w:proofErr w:type="spellEnd"/>
      <w:r w:rsidR="00020102" w:rsidRPr="00583D21">
        <w:rPr>
          <w:szCs w:val="24"/>
        </w:rPr>
        <w:t xml:space="preserve"> to </w:t>
      </w:r>
      <w:proofErr w:type="spellStart"/>
      <w:r w:rsidR="00020102" w:rsidRPr="00583D21">
        <w:rPr>
          <w:szCs w:val="24"/>
        </w:rPr>
        <w:t>Astarabad</w:t>
      </w:r>
      <w:proofErr w:type="spellEnd"/>
      <w:r w:rsidR="00020102" w:rsidRPr="00583D21">
        <w:rPr>
          <w:szCs w:val="24"/>
        </w:rPr>
        <w:t xml:space="preserve">, </w:t>
      </w:r>
      <w:r w:rsidR="007D079E" w:rsidRPr="00583D21">
        <w:rPr>
          <w:szCs w:val="24"/>
        </w:rPr>
        <w:t xml:space="preserve">also </w:t>
      </w:r>
      <w:r w:rsidR="00020102" w:rsidRPr="00583D21">
        <w:rPr>
          <w:szCs w:val="24"/>
        </w:rPr>
        <w:t>refl</w:t>
      </w:r>
      <w:r w:rsidR="009758E2" w:rsidRPr="00583D21">
        <w:rPr>
          <w:szCs w:val="24"/>
        </w:rPr>
        <w:t xml:space="preserve">ected a willingness by the shahs to draw on expertise from across </w:t>
      </w:r>
      <w:r w:rsidR="006549CF" w:rsidRPr="00583D21">
        <w:rPr>
          <w:szCs w:val="24"/>
        </w:rPr>
        <w:t xml:space="preserve">their </w:t>
      </w:r>
      <w:r w:rsidR="00653B30" w:rsidRPr="00583D21">
        <w:rPr>
          <w:szCs w:val="24"/>
        </w:rPr>
        <w:t>domains</w:t>
      </w:r>
      <w:r w:rsidR="009758E2" w:rsidRPr="00583D21">
        <w:rPr>
          <w:szCs w:val="24"/>
        </w:rPr>
        <w:t xml:space="preserve"> </w:t>
      </w:r>
      <w:r w:rsidR="00020102" w:rsidRPr="00583D21">
        <w:rPr>
          <w:szCs w:val="24"/>
        </w:rPr>
        <w:t xml:space="preserve">(see </w:t>
      </w:r>
      <w:r w:rsidR="009521AD">
        <w:rPr>
          <w:szCs w:val="24"/>
        </w:rPr>
        <w:t>Figure 3</w:t>
      </w:r>
      <w:r w:rsidR="00020102" w:rsidRPr="00583D21">
        <w:rPr>
          <w:szCs w:val="24"/>
        </w:rPr>
        <w:t>).</w:t>
      </w:r>
    </w:p>
    <w:p w14:paraId="6DEFC307" w14:textId="70F49883" w:rsidR="009521AD" w:rsidRPr="00583D21" w:rsidRDefault="002C0D41" w:rsidP="009521AD">
      <w:pPr>
        <w:spacing w:line="480" w:lineRule="auto"/>
        <w:jc w:val="center"/>
        <w:rPr>
          <w:szCs w:val="24"/>
        </w:rPr>
      </w:pPr>
      <w:r>
        <w:rPr>
          <w:iCs/>
          <w:szCs w:val="24"/>
        </w:rPr>
        <w:t xml:space="preserve">INSERT </w:t>
      </w:r>
      <w:r w:rsidR="009521AD">
        <w:rPr>
          <w:szCs w:val="24"/>
        </w:rPr>
        <w:t>FIGURE 3</w:t>
      </w:r>
    </w:p>
    <w:p w14:paraId="0C2B8243" w14:textId="77B84199" w:rsidR="0054213F" w:rsidRPr="00583D21" w:rsidRDefault="00F5385F" w:rsidP="00D07509">
      <w:pPr>
        <w:spacing w:line="480" w:lineRule="auto"/>
        <w:ind w:firstLine="720"/>
        <w:outlineLvl w:val="0"/>
        <w:rPr>
          <w:szCs w:val="24"/>
        </w:rPr>
      </w:pPr>
      <w:r w:rsidRPr="00583D21">
        <w:rPr>
          <w:szCs w:val="24"/>
        </w:rPr>
        <w:t xml:space="preserve">The ministers who were recruited into the </w:t>
      </w:r>
      <w:proofErr w:type="spellStart"/>
      <w:r w:rsidRPr="00583D21">
        <w:rPr>
          <w:i/>
          <w:iCs/>
          <w:szCs w:val="24"/>
        </w:rPr>
        <w:t>dīvān</w:t>
      </w:r>
      <w:proofErr w:type="spellEnd"/>
      <w:r w:rsidRPr="00583D21">
        <w:rPr>
          <w:i/>
          <w:iCs/>
          <w:szCs w:val="24"/>
        </w:rPr>
        <w:t xml:space="preserve"> </w:t>
      </w:r>
      <w:r w:rsidRPr="00583D21">
        <w:rPr>
          <w:szCs w:val="24"/>
        </w:rPr>
        <w:t>from these various locales then began carrying out basic political and economic tasks of the government</w:t>
      </w:r>
      <w:r w:rsidR="001C262C" w:rsidRPr="00583D21">
        <w:rPr>
          <w:szCs w:val="24"/>
        </w:rPr>
        <w:t xml:space="preserve"> that </w:t>
      </w:r>
      <w:r w:rsidR="00D07509" w:rsidRPr="00583D21">
        <w:rPr>
          <w:szCs w:val="24"/>
        </w:rPr>
        <w:t xml:space="preserve">sometimes </w:t>
      </w:r>
      <w:r w:rsidR="001C262C" w:rsidRPr="00583D21">
        <w:rPr>
          <w:szCs w:val="24"/>
        </w:rPr>
        <w:t>went above and beyond the traditional definitions of their offices</w:t>
      </w:r>
      <w:r w:rsidRPr="00583D21">
        <w:rPr>
          <w:szCs w:val="24"/>
        </w:rPr>
        <w:t xml:space="preserve">. </w:t>
      </w:r>
      <w:r w:rsidR="00FC0D7E" w:rsidRPr="00583D21">
        <w:rPr>
          <w:iCs/>
          <w:szCs w:val="24"/>
        </w:rPr>
        <w:t xml:space="preserve">Even a cursory survey of the variety and nature of the tasks Qajar rulers entrusted to </w:t>
      </w:r>
      <w:proofErr w:type="spellStart"/>
      <w:r w:rsidR="00851681" w:rsidRPr="00583D21">
        <w:rPr>
          <w:i/>
          <w:iCs/>
          <w:szCs w:val="24"/>
        </w:rPr>
        <w:t>dīvān</w:t>
      </w:r>
      <w:proofErr w:type="spellEnd"/>
      <w:r w:rsidR="00851681" w:rsidRPr="00583D21">
        <w:rPr>
          <w:iCs/>
          <w:szCs w:val="24"/>
        </w:rPr>
        <w:t xml:space="preserve"> </w:t>
      </w:r>
      <w:proofErr w:type="spellStart"/>
      <w:r w:rsidR="00FC0D7E" w:rsidRPr="00583D21">
        <w:rPr>
          <w:iCs/>
          <w:szCs w:val="24"/>
        </w:rPr>
        <w:t>officals</w:t>
      </w:r>
      <w:proofErr w:type="spellEnd"/>
      <w:r w:rsidR="00FC0D7E" w:rsidRPr="00583D21">
        <w:rPr>
          <w:iCs/>
          <w:szCs w:val="24"/>
        </w:rPr>
        <w:t xml:space="preserve"> makes this point abundantly clear: </w:t>
      </w:r>
      <w:r w:rsidR="00FC0D7E" w:rsidRPr="00583D21">
        <w:rPr>
          <w:iCs/>
          <w:szCs w:val="24"/>
        </w:rPr>
        <w:lastRenderedPageBreak/>
        <w:t xml:space="preserve">without them, there would be no Qajar </w:t>
      </w:r>
      <w:r w:rsidR="00851681" w:rsidRPr="00583D21">
        <w:rPr>
          <w:iCs/>
          <w:szCs w:val="24"/>
        </w:rPr>
        <w:t>government</w:t>
      </w:r>
      <w:r w:rsidR="00FC0D7E" w:rsidRPr="00583D21">
        <w:rPr>
          <w:iCs/>
          <w:szCs w:val="24"/>
        </w:rPr>
        <w:t xml:space="preserve"> that one could speak of beyond the palace walls. The officials served as emissaries and representatives of Qajar rulers, kept political and financial records, and produced literary, historical, and cultural texts that presented a particular vision of the Qajar state. </w:t>
      </w:r>
      <w:r w:rsidR="00FE7D04" w:rsidRPr="00583D21">
        <w:rPr>
          <w:szCs w:val="24"/>
        </w:rPr>
        <w:t xml:space="preserve">The sheer variety of these activities had the effect of adding to their prestige and their self-fashioning as men worthy of being </w:t>
      </w:r>
      <w:proofErr w:type="spellStart"/>
      <w:r w:rsidR="00362925" w:rsidRPr="00583D21">
        <w:rPr>
          <w:i/>
          <w:iCs/>
          <w:szCs w:val="24"/>
        </w:rPr>
        <w:t>dīvān</w:t>
      </w:r>
      <w:proofErr w:type="spellEnd"/>
      <w:r w:rsidR="00FE7D04" w:rsidRPr="00583D21">
        <w:rPr>
          <w:szCs w:val="24"/>
        </w:rPr>
        <w:t xml:space="preserve"> ministers, in conjunction with</w:t>
      </w:r>
      <w:r w:rsidR="00750850" w:rsidRPr="00583D21">
        <w:rPr>
          <w:szCs w:val="24"/>
        </w:rPr>
        <w:t>—</w:t>
      </w:r>
      <w:r w:rsidR="00FE7D04" w:rsidRPr="00583D21">
        <w:rPr>
          <w:szCs w:val="24"/>
        </w:rPr>
        <w:t>or regardless of, as the case may be</w:t>
      </w:r>
      <w:r w:rsidR="00750850" w:rsidRPr="00583D21">
        <w:rPr>
          <w:szCs w:val="24"/>
        </w:rPr>
        <w:t>—</w:t>
      </w:r>
      <w:r w:rsidR="00FE7D04" w:rsidRPr="00583D21">
        <w:rPr>
          <w:szCs w:val="24"/>
        </w:rPr>
        <w:t>what their family lineage was.</w:t>
      </w:r>
    </w:p>
    <w:p w14:paraId="4F0A7185" w14:textId="7E48293A" w:rsidR="00FC0D7E" w:rsidRPr="00583D21" w:rsidRDefault="00DC1225" w:rsidP="0031681A">
      <w:pPr>
        <w:spacing w:line="480" w:lineRule="auto"/>
        <w:ind w:firstLine="720"/>
        <w:outlineLvl w:val="3"/>
        <w:rPr>
          <w:szCs w:val="24"/>
        </w:rPr>
      </w:pPr>
      <w:r w:rsidRPr="00583D21">
        <w:rPr>
          <w:szCs w:val="24"/>
        </w:rPr>
        <w:t xml:space="preserve">The skills of ministers were especially put to the test when they were delegated to serve as representatives of </w:t>
      </w:r>
      <w:r w:rsidR="00962EFD" w:rsidRPr="00583D21">
        <w:rPr>
          <w:szCs w:val="24"/>
        </w:rPr>
        <w:t>Qajar rulers</w:t>
      </w:r>
      <w:r w:rsidR="00550168" w:rsidRPr="00583D21">
        <w:rPr>
          <w:szCs w:val="24"/>
        </w:rPr>
        <w:t>,</w:t>
      </w:r>
      <w:r w:rsidRPr="00583D21">
        <w:rPr>
          <w:szCs w:val="24"/>
        </w:rPr>
        <w:t xml:space="preserve"> and dispatched to carry out diplomatic and political missions</w:t>
      </w:r>
      <w:r w:rsidR="00FC0D7E" w:rsidRPr="00583D21">
        <w:rPr>
          <w:szCs w:val="24"/>
        </w:rPr>
        <w:t>. In 1803</w:t>
      </w:r>
      <w:r w:rsidR="0031681A">
        <w:rPr>
          <w:szCs w:val="24"/>
        </w:rPr>
        <w:t>–</w:t>
      </w:r>
      <w:r w:rsidR="00FC0D7E" w:rsidRPr="00583D21">
        <w:rPr>
          <w:szCs w:val="24"/>
        </w:rPr>
        <w:t xml:space="preserve">4, </w:t>
      </w:r>
      <w:r w:rsidRPr="00583D21">
        <w:rPr>
          <w:szCs w:val="24"/>
        </w:rPr>
        <w:t xml:space="preserve">for instance, </w:t>
      </w:r>
      <w:r w:rsidR="00FC0D7E" w:rsidRPr="00583D21">
        <w:rPr>
          <w:szCs w:val="24"/>
        </w:rPr>
        <w:t>Fath-</w:t>
      </w:r>
      <w:proofErr w:type="spellStart"/>
      <w:r w:rsidR="0031681A" w:rsidRPr="005A7921">
        <w:rPr>
          <w:rFonts w:ascii="JaghbUni" w:hAnsi="JaghbUni"/>
          <w:szCs w:val="24"/>
        </w:rPr>
        <w:t>ʿ</w:t>
      </w:r>
      <w:r w:rsidR="00FC0D7E" w:rsidRPr="00583D21">
        <w:rPr>
          <w:szCs w:val="24"/>
        </w:rPr>
        <w:t>Ali</w:t>
      </w:r>
      <w:proofErr w:type="spellEnd"/>
      <w:r w:rsidR="00FC0D7E" w:rsidRPr="00583D21">
        <w:rPr>
          <w:szCs w:val="24"/>
        </w:rPr>
        <w:t xml:space="preserve"> Shah sent Mirza </w:t>
      </w:r>
      <w:proofErr w:type="spellStart"/>
      <w:r w:rsidR="00FC0D7E" w:rsidRPr="00583D21">
        <w:rPr>
          <w:szCs w:val="24"/>
        </w:rPr>
        <w:t>Shafi</w:t>
      </w:r>
      <w:r w:rsidR="0031681A" w:rsidRPr="005A7921">
        <w:rPr>
          <w:rFonts w:ascii="JaghbUni" w:hAnsi="JaghbUni"/>
          <w:szCs w:val="24"/>
        </w:rPr>
        <w:t>ʿ</w:t>
      </w:r>
      <w:proofErr w:type="spellEnd"/>
      <w:r w:rsidR="00FC0D7E" w:rsidRPr="00583D21">
        <w:rPr>
          <w:szCs w:val="24"/>
        </w:rPr>
        <w:t xml:space="preserve"> on a mission to </w:t>
      </w:r>
      <w:r w:rsidR="00314215" w:rsidRPr="00583D21">
        <w:rPr>
          <w:szCs w:val="24"/>
        </w:rPr>
        <w:t>Azerbaijan</w:t>
      </w:r>
      <w:r w:rsidR="00FC0D7E" w:rsidRPr="00583D21">
        <w:rPr>
          <w:szCs w:val="24"/>
        </w:rPr>
        <w:t xml:space="preserve"> to ease local tensions in the face of Russian military activities in the region. </w:t>
      </w:r>
      <w:r w:rsidR="0031681A">
        <w:rPr>
          <w:szCs w:val="24"/>
        </w:rPr>
        <w:t>I</w:t>
      </w:r>
      <w:r w:rsidR="0031681A" w:rsidRPr="00583D21">
        <w:rPr>
          <w:szCs w:val="24"/>
        </w:rPr>
        <w:t>n May-June 1804</w:t>
      </w:r>
      <w:r w:rsidR="0031681A">
        <w:rPr>
          <w:szCs w:val="24"/>
        </w:rPr>
        <w:t xml:space="preserve"> h</w:t>
      </w:r>
      <w:r w:rsidR="00FC0D7E" w:rsidRPr="00583D21">
        <w:rPr>
          <w:szCs w:val="24"/>
        </w:rPr>
        <w:t>e reached Yerevan, where he met with Muhammad Khan Qajar, the governor (</w:t>
      </w:r>
      <w:proofErr w:type="spellStart"/>
      <w:r w:rsidR="00FC0D7E" w:rsidRPr="00583D21">
        <w:rPr>
          <w:i/>
          <w:szCs w:val="24"/>
        </w:rPr>
        <w:t>bayglarbayg</w:t>
      </w:r>
      <w:proofErr w:type="spellEnd"/>
      <w:r w:rsidR="00FC0D7E" w:rsidRPr="00583D21">
        <w:rPr>
          <w:szCs w:val="24"/>
        </w:rPr>
        <w:t>) of the city. Fath-</w:t>
      </w:r>
      <w:proofErr w:type="spellStart"/>
      <w:r w:rsidR="0031681A" w:rsidRPr="005A7921">
        <w:rPr>
          <w:rFonts w:ascii="JaghbUni" w:hAnsi="JaghbUni"/>
          <w:szCs w:val="24"/>
        </w:rPr>
        <w:t>ʿ</w:t>
      </w:r>
      <w:r w:rsidR="00FC0D7E" w:rsidRPr="00583D21">
        <w:rPr>
          <w:szCs w:val="24"/>
        </w:rPr>
        <w:t>Ali</w:t>
      </w:r>
      <w:proofErr w:type="spellEnd"/>
      <w:r w:rsidR="00FC0D7E" w:rsidRPr="00583D21">
        <w:rPr>
          <w:szCs w:val="24"/>
        </w:rPr>
        <w:t xml:space="preserve"> Shah had received information that Muhammad Khan was collaborating with the Russians. In the course of negotiations with the gov</w:t>
      </w:r>
      <w:r w:rsidR="00962EFD" w:rsidRPr="00583D21">
        <w:rPr>
          <w:szCs w:val="24"/>
        </w:rPr>
        <w:t xml:space="preserve">ernor, Mirza </w:t>
      </w:r>
      <w:proofErr w:type="spellStart"/>
      <w:r w:rsidR="00962EFD" w:rsidRPr="00583D21">
        <w:rPr>
          <w:szCs w:val="24"/>
        </w:rPr>
        <w:t>Shaf</w:t>
      </w:r>
      <w:r w:rsidR="00962EFD" w:rsidRPr="005A7921">
        <w:rPr>
          <w:rFonts w:ascii="JaghbUni" w:hAnsi="JaghbUni"/>
          <w:szCs w:val="24"/>
        </w:rPr>
        <w:t>i</w:t>
      </w:r>
      <w:r w:rsidR="0031681A" w:rsidRPr="005A7921">
        <w:rPr>
          <w:rFonts w:ascii="JaghbUni" w:hAnsi="JaghbUni"/>
          <w:szCs w:val="24"/>
        </w:rPr>
        <w:t>ʿ</w:t>
      </w:r>
      <w:proofErr w:type="spellEnd"/>
      <w:r w:rsidR="00962EFD" w:rsidRPr="00583D21">
        <w:rPr>
          <w:szCs w:val="24"/>
        </w:rPr>
        <w:t xml:space="preserve"> assured the governor </w:t>
      </w:r>
      <w:r w:rsidR="00FC0D7E" w:rsidRPr="00583D21">
        <w:rPr>
          <w:szCs w:val="24"/>
        </w:rPr>
        <w:t xml:space="preserve">that if he recommitted his loyalty to the </w:t>
      </w:r>
      <w:proofErr w:type="spellStart"/>
      <w:r w:rsidR="00FC0D7E" w:rsidRPr="00583D21">
        <w:rPr>
          <w:szCs w:val="24"/>
        </w:rPr>
        <w:t>Qajars</w:t>
      </w:r>
      <w:proofErr w:type="spellEnd"/>
      <w:r w:rsidR="00FC0D7E" w:rsidRPr="00583D21">
        <w:rPr>
          <w:szCs w:val="24"/>
        </w:rPr>
        <w:t>, he would face no retribution. Soon after, the governor of Yerevan sent a gift (</w:t>
      </w:r>
      <w:proofErr w:type="spellStart"/>
      <w:r w:rsidR="00FC0D7E" w:rsidRPr="00583D21">
        <w:rPr>
          <w:i/>
          <w:szCs w:val="24"/>
        </w:rPr>
        <w:t>pīshkish</w:t>
      </w:r>
      <w:proofErr w:type="spellEnd"/>
      <w:r w:rsidR="00FC0D7E" w:rsidRPr="00583D21">
        <w:rPr>
          <w:szCs w:val="24"/>
        </w:rPr>
        <w:t>) and a letter of loyalty (</w:t>
      </w:r>
      <w:proofErr w:type="spellStart"/>
      <w:r w:rsidR="00FC0D7E" w:rsidRPr="00583D21">
        <w:rPr>
          <w:i/>
          <w:szCs w:val="24"/>
        </w:rPr>
        <w:t>farmān-i</w:t>
      </w:r>
      <w:proofErr w:type="spellEnd"/>
      <w:r w:rsidR="00FC0D7E" w:rsidRPr="00583D21">
        <w:rPr>
          <w:i/>
          <w:szCs w:val="24"/>
        </w:rPr>
        <w:t xml:space="preserve"> </w:t>
      </w:r>
      <w:proofErr w:type="spellStart"/>
      <w:r w:rsidR="00FC0D7E" w:rsidRPr="00583D21">
        <w:rPr>
          <w:i/>
          <w:szCs w:val="24"/>
        </w:rPr>
        <w:t>barādarī</w:t>
      </w:r>
      <w:proofErr w:type="spellEnd"/>
      <w:r w:rsidR="00FC0D7E" w:rsidRPr="00583D21">
        <w:rPr>
          <w:szCs w:val="24"/>
        </w:rPr>
        <w:t xml:space="preserve">) to </w:t>
      </w:r>
      <w:proofErr w:type="spellStart"/>
      <w:r w:rsidR="0031681A" w:rsidRPr="005A7921">
        <w:rPr>
          <w:rFonts w:ascii="JaghbUni" w:hAnsi="JaghbUni"/>
          <w:szCs w:val="24"/>
        </w:rPr>
        <w:t>ʿ</w:t>
      </w:r>
      <w:r w:rsidR="00FC0D7E" w:rsidRPr="00583D21">
        <w:rPr>
          <w:szCs w:val="24"/>
        </w:rPr>
        <w:t>Abbas</w:t>
      </w:r>
      <w:proofErr w:type="spellEnd"/>
      <w:r w:rsidR="00FC0D7E" w:rsidRPr="00583D21">
        <w:rPr>
          <w:szCs w:val="24"/>
        </w:rPr>
        <w:t xml:space="preserve"> Mirza, the Qajar prince-governor of </w:t>
      </w:r>
      <w:r w:rsidR="00314215" w:rsidRPr="00583D21">
        <w:rPr>
          <w:szCs w:val="24"/>
        </w:rPr>
        <w:t>Azerbaijan</w:t>
      </w:r>
      <w:r w:rsidR="00FC0D7E" w:rsidRPr="00583D21">
        <w:rPr>
          <w:szCs w:val="24"/>
        </w:rPr>
        <w:t>.</w:t>
      </w:r>
      <w:r w:rsidR="00FC0D7E" w:rsidRPr="00583D21">
        <w:rPr>
          <w:szCs w:val="24"/>
          <w:vertAlign w:val="superscript"/>
        </w:rPr>
        <w:endnoteReference w:id="89"/>
      </w:r>
      <w:r w:rsidR="00FC0D7E" w:rsidRPr="00583D21">
        <w:rPr>
          <w:szCs w:val="24"/>
        </w:rPr>
        <w:t xml:space="preserve"> </w:t>
      </w:r>
    </w:p>
    <w:p w14:paraId="3A48CE15" w14:textId="00DF8143" w:rsidR="00DC1225" w:rsidRPr="00583D21" w:rsidRDefault="00F13A68" w:rsidP="00275624">
      <w:pPr>
        <w:spacing w:line="480" w:lineRule="auto"/>
        <w:ind w:firstLine="720"/>
        <w:rPr>
          <w:szCs w:val="24"/>
        </w:rPr>
      </w:pPr>
      <w:r w:rsidRPr="00583D21">
        <w:rPr>
          <w:szCs w:val="24"/>
        </w:rPr>
        <w:t xml:space="preserve">Instances </w:t>
      </w:r>
      <w:r w:rsidR="00DC1225" w:rsidRPr="00583D21">
        <w:rPr>
          <w:szCs w:val="24"/>
        </w:rPr>
        <w:t>when nothing less than Qajar authority was at stake</w:t>
      </w:r>
      <w:r w:rsidRPr="00583D21">
        <w:rPr>
          <w:szCs w:val="24"/>
        </w:rPr>
        <w:t xml:space="preserve"> offered particularly good occasions for ministers to prove their abilities</w:t>
      </w:r>
      <w:r w:rsidR="00DC1225" w:rsidRPr="00583D21">
        <w:rPr>
          <w:szCs w:val="24"/>
        </w:rPr>
        <w:t xml:space="preserve">. In May 1796, </w:t>
      </w:r>
      <w:r w:rsidR="00E72F4E">
        <w:rPr>
          <w:szCs w:val="24"/>
        </w:rPr>
        <w:t>Agha</w:t>
      </w:r>
      <w:r w:rsidR="00DC1225" w:rsidRPr="00583D21">
        <w:rPr>
          <w:szCs w:val="24"/>
        </w:rPr>
        <w:t xml:space="preserve"> Muhammad Khan was preparing for his final assault on Shusha and Azerbaijan, the only regions among former Safavid territories that he had not yet conquered. According to </w:t>
      </w:r>
      <w:proofErr w:type="spellStart"/>
      <w:r w:rsidR="001E46DB" w:rsidRPr="00583D21">
        <w:rPr>
          <w:szCs w:val="24"/>
        </w:rPr>
        <w:t>I</w:t>
      </w:r>
      <w:r w:rsidR="00E8245A" w:rsidRPr="005A7921">
        <w:rPr>
          <w:rFonts w:ascii="JaghbUni" w:hAnsi="JaghbUni"/>
          <w:szCs w:val="24"/>
        </w:rPr>
        <w:t>ʿ</w:t>
      </w:r>
      <w:r w:rsidR="001E46DB" w:rsidRPr="00583D21">
        <w:rPr>
          <w:szCs w:val="24"/>
        </w:rPr>
        <w:t>timad</w:t>
      </w:r>
      <w:proofErr w:type="spellEnd"/>
      <w:r w:rsidR="00DC1225" w:rsidRPr="00583D21">
        <w:rPr>
          <w:szCs w:val="24"/>
        </w:rPr>
        <w:t xml:space="preserve"> al-</w:t>
      </w:r>
      <w:proofErr w:type="spellStart"/>
      <w:r w:rsidR="00DC1225" w:rsidRPr="00583D21">
        <w:rPr>
          <w:szCs w:val="24"/>
        </w:rPr>
        <w:t>Saltanih</w:t>
      </w:r>
      <w:proofErr w:type="spellEnd"/>
      <w:r w:rsidR="00DC1225" w:rsidRPr="00583D21">
        <w:rPr>
          <w:szCs w:val="24"/>
        </w:rPr>
        <w:t>, “</w:t>
      </w:r>
      <w:proofErr w:type="gramStart"/>
      <w:r w:rsidR="00DC1225" w:rsidRPr="00583D21">
        <w:rPr>
          <w:szCs w:val="24"/>
        </w:rPr>
        <w:t>apparently</w:t>
      </w:r>
      <w:proofErr w:type="gramEnd"/>
      <w:r w:rsidR="00DC1225" w:rsidRPr="00583D21">
        <w:rPr>
          <w:szCs w:val="24"/>
        </w:rPr>
        <w:t xml:space="preserve"> he [i.e.</w:t>
      </w:r>
      <w:r w:rsidR="00E8245A">
        <w:rPr>
          <w:szCs w:val="24"/>
        </w:rPr>
        <w:t>,</w:t>
      </w:r>
      <w:r w:rsidR="00DC1225" w:rsidRPr="00583D21">
        <w:rPr>
          <w:szCs w:val="24"/>
        </w:rPr>
        <w:t xml:space="preserve"> </w:t>
      </w:r>
      <w:r w:rsidR="00E72F4E">
        <w:rPr>
          <w:szCs w:val="24"/>
        </w:rPr>
        <w:t>Agha</w:t>
      </w:r>
      <w:r w:rsidR="00DC1225" w:rsidRPr="00583D21">
        <w:rPr>
          <w:szCs w:val="24"/>
        </w:rPr>
        <w:t xml:space="preserve"> Muhammad Khan] felt in his heart that this journey would be his last journey,” and therefore made appropriate preparations.</w:t>
      </w:r>
      <w:r w:rsidR="00DC1225" w:rsidRPr="00583D21">
        <w:rPr>
          <w:szCs w:val="24"/>
          <w:vertAlign w:val="superscript"/>
        </w:rPr>
        <w:endnoteReference w:id="90"/>
      </w:r>
      <w:r w:rsidR="00DC1225" w:rsidRPr="00583D21">
        <w:rPr>
          <w:szCs w:val="24"/>
        </w:rPr>
        <w:t xml:space="preserve"> He took most of his commanders and advisors with him, including </w:t>
      </w:r>
      <w:proofErr w:type="spellStart"/>
      <w:r w:rsidR="001E46DB" w:rsidRPr="00583D21">
        <w:rPr>
          <w:szCs w:val="24"/>
        </w:rPr>
        <w:t>I</w:t>
      </w:r>
      <w:r w:rsidR="00E8245A" w:rsidRPr="005A7921">
        <w:rPr>
          <w:rFonts w:ascii="JaghbUni" w:hAnsi="JaghbUni"/>
          <w:szCs w:val="24"/>
        </w:rPr>
        <w:t>ʿ</w:t>
      </w:r>
      <w:r w:rsidR="001E46DB" w:rsidRPr="00583D21">
        <w:rPr>
          <w:szCs w:val="24"/>
        </w:rPr>
        <w:t>timad</w:t>
      </w:r>
      <w:proofErr w:type="spellEnd"/>
      <w:r w:rsidR="00DC1225" w:rsidRPr="00583D21">
        <w:rPr>
          <w:szCs w:val="24"/>
        </w:rPr>
        <w:t xml:space="preserve"> al-</w:t>
      </w:r>
      <w:proofErr w:type="spellStart"/>
      <w:r w:rsidR="00DC1225" w:rsidRPr="00583D21">
        <w:rPr>
          <w:szCs w:val="24"/>
        </w:rPr>
        <w:t>Dawlih</w:t>
      </w:r>
      <w:proofErr w:type="spellEnd"/>
      <w:r w:rsidR="00DC1225" w:rsidRPr="00583D21">
        <w:rPr>
          <w:szCs w:val="24"/>
        </w:rPr>
        <w:t>, his</w:t>
      </w:r>
      <w:r w:rsidR="00195094" w:rsidRPr="00583D21">
        <w:rPr>
          <w:szCs w:val="24"/>
        </w:rPr>
        <w:t xml:space="preserve"> prime minister</w:t>
      </w:r>
      <w:r w:rsidR="00DC1225" w:rsidRPr="00583D21">
        <w:rPr>
          <w:szCs w:val="24"/>
        </w:rPr>
        <w:t xml:space="preserve">, but ordered Mirza </w:t>
      </w:r>
      <w:proofErr w:type="spellStart"/>
      <w:r w:rsidR="00DC1225" w:rsidRPr="00583D21">
        <w:rPr>
          <w:szCs w:val="24"/>
        </w:rPr>
        <w:t>Shafi</w:t>
      </w:r>
      <w:r w:rsidR="00E8245A" w:rsidRPr="005A7921">
        <w:rPr>
          <w:rFonts w:ascii="JaghbUni" w:hAnsi="JaghbUni"/>
          <w:szCs w:val="24"/>
        </w:rPr>
        <w:t>ʿ</w:t>
      </w:r>
      <w:proofErr w:type="spellEnd"/>
      <w:r w:rsidR="00DC1225" w:rsidRPr="00583D21">
        <w:rPr>
          <w:szCs w:val="24"/>
        </w:rPr>
        <w:t xml:space="preserve"> and Muhammad </w:t>
      </w:r>
      <w:r w:rsidR="00DC1225" w:rsidRPr="00583D21">
        <w:rPr>
          <w:szCs w:val="24"/>
        </w:rPr>
        <w:lastRenderedPageBreak/>
        <w:t xml:space="preserve">Khan Qajar </w:t>
      </w:r>
      <w:proofErr w:type="spellStart"/>
      <w:r w:rsidR="00DC1225" w:rsidRPr="00583D21">
        <w:rPr>
          <w:szCs w:val="24"/>
        </w:rPr>
        <w:t>Devellu</w:t>
      </w:r>
      <w:proofErr w:type="spellEnd"/>
      <w:r w:rsidR="00DC1225" w:rsidRPr="00583D21">
        <w:rPr>
          <w:szCs w:val="24"/>
        </w:rPr>
        <w:t xml:space="preserve">, the governor of Tehran, to stay behind in Tehran. </w:t>
      </w:r>
      <w:r w:rsidR="00E72F4E">
        <w:rPr>
          <w:szCs w:val="24"/>
        </w:rPr>
        <w:t>Agha</w:t>
      </w:r>
      <w:r w:rsidR="00DC1225" w:rsidRPr="00583D21">
        <w:rPr>
          <w:szCs w:val="24"/>
        </w:rPr>
        <w:t xml:space="preserve"> Muhammad Khan instructed Mirza </w:t>
      </w:r>
      <w:proofErr w:type="spellStart"/>
      <w:r w:rsidR="00DC1225" w:rsidRPr="00583D21">
        <w:rPr>
          <w:szCs w:val="24"/>
        </w:rPr>
        <w:t>Shafi</w:t>
      </w:r>
      <w:r w:rsidR="00E8245A" w:rsidRPr="005A7921">
        <w:rPr>
          <w:rFonts w:ascii="JaghbUni" w:hAnsi="JaghbUni"/>
          <w:szCs w:val="24"/>
        </w:rPr>
        <w:t>ʿ</w:t>
      </w:r>
      <w:proofErr w:type="spellEnd"/>
      <w:r w:rsidR="00DC1225" w:rsidRPr="00583D21">
        <w:rPr>
          <w:szCs w:val="24"/>
        </w:rPr>
        <w:t xml:space="preserve"> that should anything befall him, under no circumstances was Mirza </w:t>
      </w:r>
      <w:proofErr w:type="spellStart"/>
      <w:r w:rsidR="00DC1225" w:rsidRPr="00583D21">
        <w:rPr>
          <w:szCs w:val="24"/>
        </w:rPr>
        <w:t>Shafi</w:t>
      </w:r>
      <w:r w:rsidR="00E8245A" w:rsidRPr="005A7921">
        <w:rPr>
          <w:rFonts w:ascii="JaghbUni" w:hAnsi="JaghbUni"/>
          <w:szCs w:val="24"/>
        </w:rPr>
        <w:t>ʿ</w:t>
      </w:r>
      <w:proofErr w:type="spellEnd"/>
      <w:r w:rsidR="00DC1225" w:rsidRPr="00583D21">
        <w:rPr>
          <w:szCs w:val="24"/>
        </w:rPr>
        <w:t xml:space="preserve"> to permit any of the “princes, ministers, or military commanders” (</w:t>
      </w:r>
      <w:proofErr w:type="spellStart"/>
      <w:r w:rsidR="00DC1225" w:rsidRPr="00583D21">
        <w:rPr>
          <w:i/>
          <w:szCs w:val="24"/>
        </w:rPr>
        <w:t>shāhzādigān</w:t>
      </w:r>
      <w:proofErr w:type="spellEnd"/>
      <w:r w:rsidR="00DC1225" w:rsidRPr="00583D21">
        <w:rPr>
          <w:i/>
          <w:szCs w:val="24"/>
        </w:rPr>
        <w:t xml:space="preserve"> </w:t>
      </w:r>
      <w:proofErr w:type="spellStart"/>
      <w:r w:rsidR="00DC1225" w:rsidRPr="00583D21">
        <w:rPr>
          <w:i/>
          <w:szCs w:val="24"/>
        </w:rPr>
        <w:t>va</w:t>
      </w:r>
      <w:proofErr w:type="spellEnd"/>
      <w:r w:rsidR="00DC1225" w:rsidRPr="00583D21">
        <w:rPr>
          <w:i/>
          <w:szCs w:val="24"/>
        </w:rPr>
        <w:t xml:space="preserve"> </w:t>
      </w:r>
      <w:proofErr w:type="spellStart"/>
      <w:r w:rsidR="00DC1225" w:rsidRPr="00583D21">
        <w:rPr>
          <w:i/>
          <w:szCs w:val="24"/>
        </w:rPr>
        <w:t>vuzarā</w:t>
      </w:r>
      <w:proofErr w:type="spellEnd"/>
      <w:r w:rsidR="00DC1225" w:rsidRPr="00583D21">
        <w:rPr>
          <w:i/>
          <w:szCs w:val="24"/>
        </w:rPr>
        <w:t xml:space="preserve">’ </w:t>
      </w:r>
      <w:proofErr w:type="spellStart"/>
      <w:r w:rsidR="00DC1225" w:rsidRPr="00583D21">
        <w:rPr>
          <w:i/>
          <w:szCs w:val="24"/>
        </w:rPr>
        <w:t>va</w:t>
      </w:r>
      <w:proofErr w:type="spellEnd"/>
      <w:r w:rsidR="00DC1225" w:rsidRPr="00583D21">
        <w:rPr>
          <w:i/>
          <w:szCs w:val="24"/>
        </w:rPr>
        <w:t xml:space="preserve"> </w:t>
      </w:r>
      <w:proofErr w:type="spellStart"/>
      <w:r w:rsidR="00DC1225" w:rsidRPr="00583D21">
        <w:rPr>
          <w:i/>
          <w:szCs w:val="24"/>
        </w:rPr>
        <w:t>umarā</w:t>
      </w:r>
      <w:proofErr w:type="spellEnd"/>
      <w:r w:rsidR="00DC1225" w:rsidRPr="00583D21">
        <w:rPr>
          <w:i/>
          <w:szCs w:val="24"/>
        </w:rPr>
        <w:t>’</w:t>
      </w:r>
      <w:r w:rsidR="00DC1225" w:rsidRPr="00583D21">
        <w:rPr>
          <w:szCs w:val="24"/>
        </w:rPr>
        <w:t>) into the city, until the heir-apparent</w:t>
      </w:r>
      <w:r w:rsidR="00750850" w:rsidRPr="00583D21">
        <w:rPr>
          <w:szCs w:val="24"/>
        </w:rPr>
        <w:t>—</w:t>
      </w:r>
      <w:r w:rsidR="00DC1225" w:rsidRPr="00583D21">
        <w:rPr>
          <w:szCs w:val="24"/>
        </w:rPr>
        <w:t>i.e.</w:t>
      </w:r>
      <w:r w:rsidR="00E8245A">
        <w:rPr>
          <w:szCs w:val="24"/>
        </w:rPr>
        <w:t>,</w:t>
      </w:r>
      <w:r w:rsidR="00DC1225" w:rsidRPr="00583D21">
        <w:rPr>
          <w:szCs w:val="24"/>
        </w:rPr>
        <w:t xml:space="preserve"> Baba Khan, the future Fath-</w:t>
      </w:r>
      <w:proofErr w:type="spellStart"/>
      <w:r w:rsidR="00E8245A" w:rsidRPr="005A7921">
        <w:rPr>
          <w:rFonts w:ascii="JaghbUni" w:hAnsi="JaghbUni"/>
          <w:szCs w:val="24"/>
        </w:rPr>
        <w:t>ʿ</w:t>
      </w:r>
      <w:r w:rsidR="00DC1225" w:rsidRPr="00583D21">
        <w:rPr>
          <w:szCs w:val="24"/>
        </w:rPr>
        <w:t>Ali</w:t>
      </w:r>
      <w:proofErr w:type="spellEnd"/>
      <w:r w:rsidR="00DC1225" w:rsidRPr="00583D21">
        <w:rPr>
          <w:szCs w:val="24"/>
        </w:rPr>
        <w:t xml:space="preserve"> Shah</w:t>
      </w:r>
      <w:r w:rsidR="00750850" w:rsidRPr="00583D21">
        <w:rPr>
          <w:szCs w:val="24"/>
        </w:rPr>
        <w:t>—</w:t>
      </w:r>
      <w:r w:rsidR="00DC1225" w:rsidRPr="00583D21">
        <w:rPr>
          <w:szCs w:val="24"/>
        </w:rPr>
        <w:t xml:space="preserve">arrived from his post as governor of Fars to take the throne. As it turned out, </w:t>
      </w:r>
      <w:r w:rsidR="00E72F4E">
        <w:rPr>
          <w:szCs w:val="24"/>
        </w:rPr>
        <w:t>Agha</w:t>
      </w:r>
      <w:r w:rsidR="00DC1225" w:rsidRPr="00583D21">
        <w:rPr>
          <w:szCs w:val="24"/>
        </w:rPr>
        <w:t xml:space="preserve"> Muhammad Khan conquered Shusha, but was then assassinated by three men in his retinue as Qajar forces marched on Georgia.</w:t>
      </w:r>
      <w:r w:rsidR="00DC1225" w:rsidRPr="00583D21">
        <w:rPr>
          <w:szCs w:val="24"/>
          <w:vertAlign w:val="superscript"/>
        </w:rPr>
        <w:endnoteReference w:id="91"/>
      </w:r>
      <w:r w:rsidR="00DC1225" w:rsidRPr="00583D21">
        <w:rPr>
          <w:szCs w:val="24"/>
        </w:rPr>
        <w:t xml:space="preserve"> </w:t>
      </w:r>
      <w:r w:rsidR="00E72F4E">
        <w:rPr>
          <w:szCs w:val="24"/>
        </w:rPr>
        <w:t>Agha</w:t>
      </w:r>
      <w:r w:rsidR="00DC1225" w:rsidRPr="00583D21">
        <w:rPr>
          <w:szCs w:val="24"/>
        </w:rPr>
        <w:t xml:space="preserve"> Muhammad Khan’s senior advisors, including his</w:t>
      </w:r>
      <w:r w:rsidR="002F5C16" w:rsidRPr="00583D21">
        <w:rPr>
          <w:szCs w:val="24"/>
        </w:rPr>
        <w:t xml:space="preserve"> prime minister</w:t>
      </w:r>
      <w:r w:rsidR="00DC1225" w:rsidRPr="00583D21">
        <w:rPr>
          <w:szCs w:val="24"/>
        </w:rPr>
        <w:t xml:space="preserve">, </w:t>
      </w:r>
      <w:proofErr w:type="spellStart"/>
      <w:r w:rsidR="001E46DB" w:rsidRPr="00583D21">
        <w:rPr>
          <w:szCs w:val="24"/>
        </w:rPr>
        <w:t>I</w:t>
      </w:r>
      <w:r w:rsidR="00E8245A" w:rsidRPr="005A7921">
        <w:rPr>
          <w:rFonts w:ascii="JaghbUni" w:hAnsi="JaghbUni"/>
          <w:szCs w:val="24"/>
        </w:rPr>
        <w:t>ʿ</w:t>
      </w:r>
      <w:r w:rsidR="001E46DB" w:rsidRPr="00583D21">
        <w:rPr>
          <w:szCs w:val="24"/>
        </w:rPr>
        <w:t>timad</w:t>
      </w:r>
      <w:proofErr w:type="spellEnd"/>
      <w:r w:rsidR="00DC1225" w:rsidRPr="00583D21">
        <w:rPr>
          <w:szCs w:val="24"/>
        </w:rPr>
        <w:t xml:space="preserve"> al-</w:t>
      </w:r>
      <w:proofErr w:type="spellStart"/>
      <w:r w:rsidR="00DC1225" w:rsidRPr="00583D21">
        <w:rPr>
          <w:szCs w:val="24"/>
        </w:rPr>
        <w:t>Dawlih</w:t>
      </w:r>
      <w:proofErr w:type="spellEnd"/>
      <w:r w:rsidR="00DC1225" w:rsidRPr="00583D21">
        <w:rPr>
          <w:szCs w:val="24"/>
        </w:rPr>
        <w:t xml:space="preserve">, and his brother, </w:t>
      </w:r>
      <w:proofErr w:type="spellStart"/>
      <w:r w:rsidR="00DC1225" w:rsidRPr="00583D21">
        <w:rPr>
          <w:szCs w:val="24"/>
        </w:rPr>
        <w:t>Husayn</w:t>
      </w:r>
      <w:proofErr w:type="spellEnd"/>
      <w:r w:rsidR="00DC1225" w:rsidRPr="00583D21">
        <w:rPr>
          <w:szCs w:val="24"/>
        </w:rPr>
        <w:t xml:space="preserve"> </w:t>
      </w:r>
      <w:proofErr w:type="spellStart"/>
      <w:r w:rsidR="00DC1225" w:rsidRPr="00583D21">
        <w:rPr>
          <w:szCs w:val="24"/>
        </w:rPr>
        <w:t>Quli</w:t>
      </w:r>
      <w:proofErr w:type="spellEnd"/>
      <w:r w:rsidR="00DC1225" w:rsidRPr="00583D21">
        <w:rPr>
          <w:szCs w:val="24"/>
        </w:rPr>
        <w:t xml:space="preserve"> Khan, rushed back to Tehran to inform others of the shah’s death. Mirza </w:t>
      </w:r>
      <w:proofErr w:type="spellStart"/>
      <w:r w:rsidR="00DC1225" w:rsidRPr="00583D21">
        <w:rPr>
          <w:szCs w:val="24"/>
        </w:rPr>
        <w:t>Shafi</w:t>
      </w:r>
      <w:r w:rsidR="00E8245A" w:rsidRPr="005A7921">
        <w:rPr>
          <w:rFonts w:ascii="JaghbUni" w:hAnsi="JaghbUni"/>
          <w:szCs w:val="24"/>
        </w:rPr>
        <w:t>ʿ</w:t>
      </w:r>
      <w:proofErr w:type="spellEnd"/>
      <w:r w:rsidR="00DC1225" w:rsidRPr="00583D21">
        <w:rPr>
          <w:szCs w:val="24"/>
        </w:rPr>
        <w:t>, however, true to his orders, refused to allow even the prime minister and the late shah’s brother back into the capital. He immediately sent a messenger to Shiraz to summon their heir, Baba Khan, to Tehran. Only when he had arrived, were others also allowed back into the capital.</w:t>
      </w:r>
      <w:r w:rsidR="00DC1225" w:rsidRPr="00583D21">
        <w:rPr>
          <w:szCs w:val="24"/>
          <w:vertAlign w:val="superscript"/>
        </w:rPr>
        <w:endnoteReference w:id="92"/>
      </w:r>
    </w:p>
    <w:p w14:paraId="2FDF0BB5" w14:textId="3CE36931" w:rsidR="00FC0D7E" w:rsidRPr="00583D21" w:rsidRDefault="00F141BE" w:rsidP="00E8245A">
      <w:pPr>
        <w:spacing w:line="480" w:lineRule="auto"/>
        <w:ind w:firstLine="720"/>
        <w:rPr>
          <w:szCs w:val="24"/>
        </w:rPr>
      </w:pPr>
      <w:r w:rsidRPr="00583D21">
        <w:rPr>
          <w:szCs w:val="24"/>
        </w:rPr>
        <w:t>D</w:t>
      </w:r>
      <w:r w:rsidR="00195094" w:rsidRPr="00583D21">
        <w:rPr>
          <w:szCs w:val="24"/>
        </w:rPr>
        <w:t>iplomatic and political missions</w:t>
      </w:r>
      <w:r w:rsidRPr="00583D21">
        <w:rPr>
          <w:szCs w:val="24"/>
        </w:rPr>
        <w:t xml:space="preserve">, such as those above, </w:t>
      </w:r>
      <w:r w:rsidR="00195094" w:rsidRPr="00583D21">
        <w:rPr>
          <w:szCs w:val="24"/>
        </w:rPr>
        <w:t xml:space="preserve">were </w:t>
      </w:r>
      <w:r w:rsidR="00362925" w:rsidRPr="00583D21">
        <w:rPr>
          <w:szCs w:val="24"/>
        </w:rPr>
        <w:t xml:space="preserve">obvious tasks for </w:t>
      </w:r>
      <w:proofErr w:type="spellStart"/>
      <w:r w:rsidR="00362925" w:rsidRPr="00583D21">
        <w:rPr>
          <w:i/>
          <w:iCs/>
          <w:szCs w:val="24"/>
        </w:rPr>
        <w:t>dīvān</w:t>
      </w:r>
      <w:proofErr w:type="spellEnd"/>
      <w:r w:rsidR="00362925" w:rsidRPr="00583D21">
        <w:rPr>
          <w:i/>
          <w:iCs/>
          <w:szCs w:val="24"/>
        </w:rPr>
        <w:t xml:space="preserve"> </w:t>
      </w:r>
      <w:r w:rsidR="00362925" w:rsidRPr="00583D21">
        <w:rPr>
          <w:szCs w:val="24"/>
        </w:rPr>
        <w:t>ministers</w:t>
      </w:r>
      <w:r w:rsidR="00A00B4A" w:rsidRPr="00583D21">
        <w:rPr>
          <w:szCs w:val="24"/>
        </w:rPr>
        <w:t xml:space="preserve">, </w:t>
      </w:r>
      <w:r w:rsidR="00E1620B" w:rsidRPr="00583D21">
        <w:rPr>
          <w:szCs w:val="24"/>
        </w:rPr>
        <w:t>b</w:t>
      </w:r>
      <w:r w:rsidR="00362925" w:rsidRPr="00583D21">
        <w:rPr>
          <w:szCs w:val="24"/>
        </w:rPr>
        <w:t>ut these ministers also</w:t>
      </w:r>
      <w:r w:rsidR="002B27BD" w:rsidRPr="00583D21">
        <w:rPr>
          <w:szCs w:val="24"/>
        </w:rPr>
        <w:t xml:space="preserve"> attempted to bolster</w:t>
      </w:r>
      <w:r w:rsidR="00362925" w:rsidRPr="00583D21">
        <w:rPr>
          <w:szCs w:val="24"/>
        </w:rPr>
        <w:t xml:space="preserve"> their prestige through social, </w:t>
      </w:r>
      <w:r w:rsidR="002C30E5" w:rsidRPr="00583D21">
        <w:rPr>
          <w:szCs w:val="24"/>
        </w:rPr>
        <w:t xml:space="preserve">cultural, and </w:t>
      </w:r>
      <w:r w:rsidR="00362925" w:rsidRPr="00583D21">
        <w:rPr>
          <w:szCs w:val="24"/>
        </w:rPr>
        <w:t xml:space="preserve">economic pursuits. To take the example of </w:t>
      </w:r>
      <w:proofErr w:type="spellStart"/>
      <w:r w:rsidR="00E8245A" w:rsidRPr="005A7921">
        <w:rPr>
          <w:rFonts w:ascii="JaghbUni" w:hAnsi="JaghbUni"/>
          <w:szCs w:val="24"/>
        </w:rPr>
        <w:t>ʿ</w:t>
      </w:r>
      <w:r w:rsidR="00362925" w:rsidRPr="00583D21">
        <w:rPr>
          <w:szCs w:val="24"/>
        </w:rPr>
        <w:t>Abd</w:t>
      </w:r>
      <w:proofErr w:type="spellEnd"/>
      <w:r w:rsidR="00E8245A">
        <w:rPr>
          <w:szCs w:val="24"/>
        </w:rPr>
        <w:t xml:space="preserve"> A</w:t>
      </w:r>
      <w:r w:rsidR="00362925" w:rsidRPr="00583D21">
        <w:rPr>
          <w:szCs w:val="24"/>
        </w:rPr>
        <w:t xml:space="preserve">llah Khan </w:t>
      </w:r>
      <w:r w:rsidR="005D1870" w:rsidRPr="00583D21">
        <w:rPr>
          <w:szCs w:val="24"/>
        </w:rPr>
        <w:t>Amin</w:t>
      </w:r>
      <w:r w:rsidR="00362925" w:rsidRPr="00583D21">
        <w:rPr>
          <w:szCs w:val="24"/>
        </w:rPr>
        <w:t xml:space="preserve"> al-</w:t>
      </w:r>
      <w:proofErr w:type="spellStart"/>
      <w:r w:rsidR="00362925" w:rsidRPr="00583D21">
        <w:rPr>
          <w:szCs w:val="24"/>
        </w:rPr>
        <w:t>Dawlih</w:t>
      </w:r>
      <w:proofErr w:type="spellEnd"/>
      <w:r w:rsidR="00362925" w:rsidRPr="00583D21">
        <w:rPr>
          <w:szCs w:val="24"/>
        </w:rPr>
        <w:t xml:space="preserve">: he expended a great deal of effort and resources to revitalize Isfahan, by building schools, parks, and other structures. </w:t>
      </w:r>
      <w:r w:rsidR="003303A1" w:rsidRPr="00583D21">
        <w:rPr>
          <w:szCs w:val="24"/>
        </w:rPr>
        <w:t>D</w:t>
      </w:r>
      <w:r w:rsidR="00362925" w:rsidRPr="00583D21">
        <w:rPr>
          <w:szCs w:val="24"/>
        </w:rPr>
        <w:t>uring his tenure in Fath-</w:t>
      </w:r>
      <w:proofErr w:type="spellStart"/>
      <w:r w:rsidR="00E8245A" w:rsidRPr="005A7921">
        <w:rPr>
          <w:rFonts w:ascii="JaghbUni" w:hAnsi="JaghbUni"/>
          <w:szCs w:val="24"/>
        </w:rPr>
        <w:t>ʿ</w:t>
      </w:r>
      <w:r w:rsidR="00362925" w:rsidRPr="00583D21">
        <w:rPr>
          <w:szCs w:val="24"/>
        </w:rPr>
        <w:t>Ali</w:t>
      </w:r>
      <w:proofErr w:type="spellEnd"/>
      <w:r w:rsidR="00362925" w:rsidRPr="00583D21">
        <w:rPr>
          <w:szCs w:val="24"/>
        </w:rPr>
        <w:t xml:space="preserve"> Shah’s </w:t>
      </w:r>
      <w:proofErr w:type="spellStart"/>
      <w:r w:rsidR="00362925" w:rsidRPr="00583D21">
        <w:rPr>
          <w:i/>
          <w:iCs/>
          <w:szCs w:val="24"/>
        </w:rPr>
        <w:t>dīvān</w:t>
      </w:r>
      <w:proofErr w:type="spellEnd"/>
      <w:r w:rsidR="003303A1" w:rsidRPr="00583D21">
        <w:rPr>
          <w:szCs w:val="24"/>
        </w:rPr>
        <w:t xml:space="preserve">, the population of Isfahan </w:t>
      </w:r>
      <w:r w:rsidR="00362925" w:rsidRPr="00583D21">
        <w:rPr>
          <w:szCs w:val="24"/>
        </w:rPr>
        <w:t>reportedly grew to 300,000</w:t>
      </w:r>
      <w:r w:rsidR="00750850" w:rsidRPr="00583D21">
        <w:rPr>
          <w:szCs w:val="24"/>
        </w:rPr>
        <w:t>—</w:t>
      </w:r>
      <w:r w:rsidR="00362925" w:rsidRPr="00583D21">
        <w:rPr>
          <w:szCs w:val="24"/>
        </w:rPr>
        <w:t xml:space="preserve">a sharp rebound following the decline of the </w:t>
      </w:r>
      <w:r w:rsidR="00753539" w:rsidRPr="00583D21">
        <w:rPr>
          <w:szCs w:val="24"/>
        </w:rPr>
        <w:t>18th</w:t>
      </w:r>
      <w:r w:rsidR="00362925" w:rsidRPr="00583D21">
        <w:rPr>
          <w:szCs w:val="24"/>
        </w:rPr>
        <w:t xml:space="preserve"> century, and close to the population during the Safavid era.</w:t>
      </w:r>
      <w:r w:rsidR="00362925" w:rsidRPr="00583D21">
        <w:rPr>
          <w:rStyle w:val="EndnoteReference"/>
          <w:szCs w:val="24"/>
        </w:rPr>
        <w:endnoteReference w:id="93"/>
      </w:r>
      <w:r w:rsidR="00362925" w:rsidRPr="00583D21">
        <w:rPr>
          <w:szCs w:val="24"/>
        </w:rPr>
        <w:t xml:space="preserve"> Meanwhile, me</w:t>
      </w:r>
      <w:r w:rsidR="00FC0D7E" w:rsidRPr="00583D21">
        <w:rPr>
          <w:szCs w:val="24"/>
        </w:rPr>
        <w:t>n l</w:t>
      </w:r>
      <w:r w:rsidR="00B7394B" w:rsidRPr="00583D21">
        <w:rPr>
          <w:szCs w:val="24"/>
        </w:rPr>
        <w:t>ike Abu</w:t>
      </w:r>
      <w:r w:rsidR="00E8245A">
        <w:rPr>
          <w:szCs w:val="24"/>
        </w:rPr>
        <w:t xml:space="preserve"> a</w:t>
      </w:r>
      <w:r w:rsidR="00B7394B" w:rsidRPr="00583D21">
        <w:rPr>
          <w:szCs w:val="24"/>
        </w:rPr>
        <w:t>l-</w:t>
      </w:r>
      <w:proofErr w:type="spellStart"/>
      <w:r w:rsidR="00B7394B" w:rsidRPr="00583D21">
        <w:rPr>
          <w:szCs w:val="24"/>
        </w:rPr>
        <w:t>Qasim</w:t>
      </w:r>
      <w:proofErr w:type="spellEnd"/>
      <w:r w:rsidR="00B7394B" w:rsidRPr="00583D21">
        <w:rPr>
          <w:szCs w:val="24"/>
        </w:rPr>
        <w:t xml:space="preserve"> </w:t>
      </w:r>
      <w:proofErr w:type="spellStart"/>
      <w:r w:rsidR="00B7394B" w:rsidRPr="00583D21">
        <w:rPr>
          <w:szCs w:val="24"/>
        </w:rPr>
        <w:t>Farahani</w:t>
      </w:r>
      <w:proofErr w:type="spellEnd"/>
      <w:r w:rsidR="00B7394B" w:rsidRPr="00583D21">
        <w:rPr>
          <w:szCs w:val="24"/>
        </w:rPr>
        <w:t xml:space="preserve"> </w:t>
      </w:r>
      <w:proofErr w:type="spellStart"/>
      <w:r w:rsidR="005D1870" w:rsidRPr="00583D21">
        <w:rPr>
          <w:szCs w:val="24"/>
        </w:rPr>
        <w:t>Qa</w:t>
      </w:r>
      <w:r w:rsidR="00E8245A" w:rsidRPr="005A7921">
        <w:rPr>
          <w:rFonts w:ascii="JaghbUni" w:hAnsi="JaghbUni"/>
          <w:szCs w:val="24"/>
        </w:rPr>
        <w:t>ʾ</w:t>
      </w:r>
      <w:r w:rsidR="005D1870" w:rsidRPr="00583D21">
        <w:rPr>
          <w:szCs w:val="24"/>
        </w:rPr>
        <w:t>im</w:t>
      </w:r>
      <w:proofErr w:type="spellEnd"/>
      <w:r w:rsidR="005D1870" w:rsidRPr="00583D21">
        <w:rPr>
          <w:szCs w:val="24"/>
        </w:rPr>
        <w:t>-Maqam</w:t>
      </w:r>
      <w:r w:rsidR="00FC0D7E" w:rsidRPr="00583D21">
        <w:rPr>
          <w:szCs w:val="24"/>
        </w:rPr>
        <w:t xml:space="preserve"> wrote poetry and prose that </w:t>
      </w:r>
      <w:r w:rsidR="00E8245A" w:rsidRPr="00583D21">
        <w:rPr>
          <w:szCs w:val="24"/>
        </w:rPr>
        <w:t>w</w:t>
      </w:r>
      <w:r w:rsidR="00E8245A">
        <w:rPr>
          <w:szCs w:val="24"/>
        </w:rPr>
        <w:t>ere</w:t>
      </w:r>
      <w:r w:rsidR="00E8245A" w:rsidRPr="00583D21">
        <w:rPr>
          <w:szCs w:val="24"/>
        </w:rPr>
        <w:t xml:space="preserve"> </w:t>
      </w:r>
      <w:r w:rsidR="00FC0D7E" w:rsidRPr="00583D21">
        <w:rPr>
          <w:szCs w:val="24"/>
        </w:rPr>
        <w:t>widely praised during his own time. His literary output included panegyrics (</w:t>
      </w:r>
      <w:proofErr w:type="spellStart"/>
      <w:r w:rsidR="00FC0D7E" w:rsidRPr="00583D21">
        <w:rPr>
          <w:i/>
          <w:szCs w:val="24"/>
        </w:rPr>
        <w:t>qaṣīda</w:t>
      </w:r>
      <w:proofErr w:type="spellEnd"/>
      <w:r w:rsidR="00FC0D7E" w:rsidRPr="00583D21">
        <w:rPr>
          <w:szCs w:val="24"/>
        </w:rPr>
        <w:t xml:space="preserve">) and popular poetry in his </w:t>
      </w:r>
      <w:proofErr w:type="spellStart"/>
      <w:r w:rsidR="00FC0D7E" w:rsidRPr="00583D21">
        <w:rPr>
          <w:i/>
          <w:szCs w:val="24"/>
        </w:rPr>
        <w:t>Jalāyirnāma</w:t>
      </w:r>
      <w:proofErr w:type="spellEnd"/>
      <w:r w:rsidR="00D230CD">
        <w:rPr>
          <w:iCs/>
          <w:szCs w:val="24"/>
        </w:rPr>
        <w:t xml:space="preserve"> (The Book of </w:t>
      </w:r>
      <w:proofErr w:type="spellStart"/>
      <w:r w:rsidR="00D230CD">
        <w:rPr>
          <w:iCs/>
          <w:szCs w:val="24"/>
        </w:rPr>
        <w:t>Jalayir</w:t>
      </w:r>
      <w:proofErr w:type="spellEnd"/>
      <w:r w:rsidR="00D230CD">
        <w:rPr>
          <w:iCs/>
          <w:szCs w:val="24"/>
        </w:rPr>
        <w:t>)</w:t>
      </w:r>
      <w:r w:rsidR="00FC0D7E" w:rsidRPr="00583D21">
        <w:rPr>
          <w:szCs w:val="24"/>
        </w:rPr>
        <w:t>, as well as a collection of official correspondence, letters of friendship (</w:t>
      </w:r>
      <w:proofErr w:type="spellStart"/>
      <w:r w:rsidR="00FC0D7E" w:rsidRPr="00583D21">
        <w:rPr>
          <w:i/>
          <w:szCs w:val="24"/>
        </w:rPr>
        <w:t>ikhwāniyāt</w:t>
      </w:r>
      <w:proofErr w:type="spellEnd"/>
      <w:r w:rsidR="00FC0D7E" w:rsidRPr="00583D21">
        <w:rPr>
          <w:szCs w:val="24"/>
        </w:rPr>
        <w:t>), essays, and introductions to other works.</w:t>
      </w:r>
      <w:r w:rsidR="00FC0D7E" w:rsidRPr="00583D21">
        <w:rPr>
          <w:rStyle w:val="EndnoteReference"/>
          <w:szCs w:val="24"/>
        </w:rPr>
        <w:endnoteReference w:id="94"/>
      </w:r>
      <w:r w:rsidR="00FC0D7E" w:rsidRPr="00583D21">
        <w:rPr>
          <w:szCs w:val="24"/>
        </w:rPr>
        <w:t xml:space="preserve"> Another </w:t>
      </w:r>
      <w:r w:rsidR="005F14CC" w:rsidRPr="00583D21">
        <w:rPr>
          <w:szCs w:val="24"/>
        </w:rPr>
        <w:t>prime minister</w:t>
      </w:r>
      <w:r w:rsidR="00FC0D7E" w:rsidRPr="00583D21">
        <w:rPr>
          <w:szCs w:val="24"/>
        </w:rPr>
        <w:t xml:space="preserve">, </w:t>
      </w:r>
      <w:proofErr w:type="spellStart"/>
      <w:r w:rsidR="00FC0D7E" w:rsidRPr="00583D21">
        <w:rPr>
          <w:szCs w:val="24"/>
        </w:rPr>
        <w:t>Mu</w:t>
      </w:r>
      <w:r w:rsidR="00E8245A" w:rsidRPr="005A7921">
        <w:rPr>
          <w:rFonts w:ascii="JaghbUni" w:hAnsi="JaghbUni"/>
          <w:szCs w:val="24"/>
        </w:rPr>
        <w:t>ʿ</w:t>
      </w:r>
      <w:r w:rsidR="00FC0D7E" w:rsidRPr="00583D21">
        <w:rPr>
          <w:szCs w:val="24"/>
        </w:rPr>
        <w:t>tamid</w:t>
      </w:r>
      <w:proofErr w:type="spellEnd"/>
      <w:r w:rsidR="00FC0D7E" w:rsidRPr="00583D21">
        <w:rPr>
          <w:szCs w:val="24"/>
        </w:rPr>
        <w:t xml:space="preserve"> al-</w:t>
      </w:r>
      <w:proofErr w:type="spellStart"/>
      <w:r w:rsidR="00FC0D7E" w:rsidRPr="00583D21">
        <w:rPr>
          <w:szCs w:val="24"/>
        </w:rPr>
        <w:t>Dawlih</w:t>
      </w:r>
      <w:proofErr w:type="spellEnd"/>
      <w:r w:rsidR="00FC0D7E" w:rsidRPr="00583D21">
        <w:rPr>
          <w:szCs w:val="24"/>
        </w:rPr>
        <w:t xml:space="preserve">, wrote under the </w:t>
      </w:r>
      <w:r w:rsidR="00FC0D7E" w:rsidRPr="00583D21">
        <w:rPr>
          <w:szCs w:val="24"/>
        </w:rPr>
        <w:lastRenderedPageBreak/>
        <w:t>pen</w:t>
      </w:r>
      <w:r w:rsidR="00E8245A">
        <w:rPr>
          <w:szCs w:val="24"/>
        </w:rPr>
        <w:t xml:space="preserve"> </w:t>
      </w:r>
      <w:r w:rsidR="00FC0D7E" w:rsidRPr="00583D21">
        <w:rPr>
          <w:szCs w:val="24"/>
        </w:rPr>
        <w:t>name Nash</w:t>
      </w:r>
      <w:r w:rsidR="00E8245A">
        <w:rPr>
          <w:szCs w:val="24"/>
        </w:rPr>
        <w:t>at</w:t>
      </w:r>
      <w:r w:rsidR="00FC0D7E" w:rsidRPr="00583D21">
        <w:rPr>
          <w:szCs w:val="24"/>
        </w:rPr>
        <w:t>, and was among Fath-</w:t>
      </w:r>
      <w:proofErr w:type="spellStart"/>
      <w:r w:rsidR="00E8245A" w:rsidRPr="005A7921">
        <w:rPr>
          <w:rFonts w:ascii="JaghbUni" w:hAnsi="JaghbUni"/>
          <w:szCs w:val="24"/>
        </w:rPr>
        <w:t>ʿ</w:t>
      </w:r>
      <w:r w:rsidR="00FC0D7E" w:rsidRPr="00583D21">
        <w:rPr>
          <w:szCs w:val="24"/>
        </w:rPr>
        <w:t>Ali</w:t>
      </w:r>
      <w:proofErr w:type="spellEnd"/>
      <w:r w:rsidR="00FC0D7E" w:rsidRPr="00583D21">
        <w:rPr>
          <w:szCs w:val="24"/>
        </w:rPr>
        <w:t xml:space="preserve"> Shah’s favorite poets.</w:t>
      </w:r>
      <w:r w:rsidR="00FC0D7E" w:rsidRPr="00583D21">
        <w:rPr>
          <w:szCs w:val="24"/>
          <w:vertAlign w:val="superscript"/>
        </w:rPr>
        <w:endnoteReference w:id="95"/>
      </w:r>
      <w:r w:rsidR="00FC0D7E" w:rsidRPr="00583D21">
        <w:rPr>
          <w:szCs w:val="24"/>
        </w:rPr>
        <w:t xml:space="preserve"> Some of this work was in</w:t>
      </w:r>
      <w:r w:rsidR="005F3B5B" w:rsidRPr="00583D21">
        <w:rPr>
          <w:szCs w:val="24"/>
        </w:rPr>
        <w:t>tended to legitimize Qajar rule</w:t>
      </w:r>
      <w:r w:rsidR="00FC0D7E" w:rsidRPr="00583D21">
        <w:rPr>
          <w:szCs w:val="24"/>
        </w:rPr>
        <w:t xml:space="preserve"> or promote the </w:t>
      </w:r>
      <w:proofErr w:type="spellStart"/>
      <w:r w:rsidR="00FC0D7E" w:rsidRPr="00583D21">
        <w:rPr>
          <w:szCs w:val="24"/>
        </w:rPr>
        <w:t>Qajars</w:t>
      </w:r>
      <w:proofErr w:type="spellEnd"/>
      <w:r w:rsidR="00FC0D7E" w:rsidRPr="00583D21">
        <w:rPr>
          <w:szCs w:val="24"/>
        </w:rPr>
        <w:t xml:space="preserve"> as defenders of the faith, while in other cases it </w:t>
      </w:r>
      <w:r w:rsidR="00574B50">
        <w:rPr>
          <w:szCs w:val="24"/>
        </w:rPr>
        <w:t xml:space="preserve">was </w:t>
      </w:r>
      <w:r w:rsidR="00F70E1A">
        <w:rPr>
          <w:szCs w:val="24"/>
        </w:rPr>
        <w:t xml:space="preserve">more </w:t>
      </w:r>
      <w:r w:rsidR="00FC0D7E" w:rsidRPr="00583D21">
        <w:rPr>
          <w:szCs w:val="24"/>
        </w:rPr>
        <w:t>aesthetic.</w:t>
      </w:r>
      <w:r w:rsidR="00FC0D7E" w:rsidRPr="00583D21">
        <w:rPr>
          <w:szCs w:val="24"/>
          <w:vertAlign w:val="superscript"/>
        </w:rPr>
        <w:endnoteReference w:id="96"/>
      </w:r>
      <w:r w:rsidR="002C30E5" w:rsidRPr="00583D21">
        <w:rPr>
          <w:szCs w:val="24"/>
        </w:rPr>
        <w:t xml:space="preserve"> Finally, ministers accumulated wealth through</w:t>
      </w:r>
      <w:r w:rsidR="009915BD" w:rsidRPr="00583D21">
        <w:rPr>
          <w:szCs w:val="24"/>
        </w:rPr>
        <w:t xml:space="preserve"> real estate and land purchases. The </w:t>
      </w:r>
      <w:proofErr w:type="spellStart"/>
      <w:r w:rsidR="009915BD" w:rsidRPr="00583D21">
        <w:rPr>
          <w:szCs w:val="24"/>
        </w:rPr>
        <w:t>Qa</w:t>
      </w:r>
      <w:r w:rsidR="00E8245A" w:rsidRPr="005A7921">
        <w:rPr>
          <w:rFonts w:ascii="JaghbUni" w:hAnsi="JaghbUni"/>
          <w:szCs w:val="24"/>
        </w:rPr>
        <w:t>ʾ</w:t>
      </w:r>
      <w:r w:rsidR="009915BD" w:rsidRPr="005A7921">
        <w:rPr>
          <w:rFonts w:ascii="JaghbUni" w:hAnsi="JaghbUni"/>
          <w:szCs w:val="24"/>
        </w:rPr>
        <w:t>i</w:t>
      </w:r>
      <w:r w:rsidR="009915BD" w:rsidRPr="00583D21">
        <w:rPr>
          <w:szCs w:val="24"/>
        </w:rPr>
        <w:t>m</w:t>
      </w:r>
      <w:proofErr w:type="spellEnd"/>
      <w:r w:rsidR="009915BD" w:rsidRPr="00583D21">
        <w:rPr>
          <w:szCs w:val="24"/>
        </w:rPr>
        <w:t xml:space="preserve">-Maqam, Nuri, and </w:t>
      </w:r>
      <w:proofErr w:type="spellStart"/>
      <w:r w:rsidR="009915BD" w:rsidRPr="00583D21">
        <w:rPr>
          <w:szCs w:val="24"/>
        </w:rPr>
        <w:t>Ashtiyani</w:t>
      </w:r>
      <w:proofErr w:type="spellEnd"/>
      <w:r w:rsidR="009915BD" w:rsidRPr="00583D21">
        <w:rPr>
          <w:szCs w:val="24"/>
        </w:rPr>
        <w:t xml:space="preserve"> families, among others, became wealthy landowners during the early 19th century, a fact that</w:t>
      </w:r>
      <w:r w:rsidR="00E1385D" w:rsidRPr="00583D21">
        <w:rPr>
          <w:szCs w:val="24"/>
        </w:rPr>
        <w:t xml:space="preserve"> bec</w:t>
      </w:r>
      <w:r w:rsidR="00F048CB">
        <w:rPr>
          <w:szCs w:val="24"/>
        </w:rPr>
        <w:t>a</w:t>
      </w:r>
      <w:r w:rsidR="00E1385D" w:rsidRPr="00583D21">
        <w:rPr>
          <w:szCs w:val="24"/>
        </w:rPr>
        <w:t>me even more apparent when they lost parts of their wealth as a result of competition with other ministerial families.</w:t>
      </w:r>
      <w:r w:rsidR="00E1385D" w:rsidRPr="00583D21">
        <w:rPr>
          <w:rStyle w:val="EndnoteReference"/>
          <w:szCs w:val="24"/>
        </w:rPr>
        <w:endnoteReference w:id="97"/>
      </w:r>
      <w:r w:rsidR="002C30E5" w:rsidRPr="00583D21">
        <w:rPr>
          <w:szCs w:val="24"/>
        </w:rPr>
        <w:t xml:space="preserve"> </w:t>
      </w:r>
      <w:r w:rsidR="005F3B5B" w:rsidRPr="00583D21">
        <w:rPr>
          <w:szCs w:val="24"/>
        </w:rPr>
        <w:t xml:space="preserve">Taken together, </w:t>
      </w:r>
      <w:r w:rsidR="002C30E5" w:rsidRPr="00583D21">
        <w:rPr>
          <w:szCs w:val="24"/>
        </w:rPr>
        <w:t>and when considered alongside the marriage alliances between Qajar rulers and ministerial families, these activities remind us of the many different ways in which political elites reinforce their elite position within society.</w:t>
      </w:r>
    </w:p>
    <w:p w14:paraId="52A797CC" w14:textId="4DCFCE55" w:rsidR="00D9395E" w:rsidRPr="00583D21" w:rsidRDefault="00D9395E" w:rsidP="003A5E70">
      <w:pPr>
        <w:spacing w:line="480" w:lineRule="auto"/>
        <w:ind w:firstLine="720"/>
        <w:rPr>
          <w:szCs w:val="24"/>
        </w:rPr>
      </w:pPr>
      <w:r w:rsidRPr="00583D21">
        <w:rPr>
          <w:szCs w:val="24"/>
        </w:rPr>
        <w:t xml:space="preserve">Nevertheless, </w:t>
      </w:r>
      <w:r w:rsidR="00775A9E" w:rsidRPr="00583D21">
        <w:rPr>
          <w:szCs w:val="24"/>
        </w:rPr>
        <w:t xml:space="preserve">ministers could fall precipitously and violently from power. In fact, rivalry, factionalism, and violence </w:t>
      </w:r>
      <w:r w:rsidR="003A5E70">
        <w:rPr>
          <w:szCs w:val="24"/>
        </w:rPr>
        <w:t>were</w:t>
      </w:r>
      <w:r w:rsidR="00775A9E" w:rsidRPr="00583D21">
        <w:rPr>
          <w:szCs w:val="24"/>
        </w:rPr>
        <w:t xml:space="preserve"> critical element</w:t>
      </w:r>
      <w:r w:rsidR="003A5E70">
        <w:rPr>
          <w:szCs w:val="24"/>
        </w:rPr>
        <w:t>s</w:t>
      </w:r>
      <w:r w:rsidR="00775A9E" w:rsidRPr="00583D21">
        <w:rPr>
          <w:szCs w:val="24"/>
        </w:rPr>
        <w:t xml:space="preserve"> in the early Qajar </w:t>
      </w:r>
      <w:proofErr w:type="spellStart"/>
      <w:r w:rsidR="00775A9E" w:rsidRPr="00583D21">
        <w:rPr>
          <w:i/>
          <w:iCs/>
          <w:szCs w:val="24"/>
        </w:rPr>
        <w:t>dīvān</w:t>
      </w:r>
      <w:proofErr w:type="spellEnd"/>
      <w:r w:rsidR="00775A9E" w:rsidRPr="00583D21">
        <w:rPr>
          <w:szCs w:val="24"/>
        </w:rPr>
        <w:t xml:space="preserve">. </w:t>
      </w:r>
      <w:r w:rsidRPr="00583D21">
        <w:rPr>
          <w:szCs w:val="24"/>
        </w:rPr>
        <w:t xml:space="preserve">A well-known example of a minister’s demise is </w:t>
      </w:r>
      <w:r w:rsidR="001E46DB" w:rsidRPr="00583D21">
        <w:rPr>
          <w:szCs w:val="24"/>
        </w:rPr>
        <w:t xml:space="preserve">Muhammad </w:t>
      </w:r>
      <w:r w:rsidRPr="00583D21">
        <w:rPr>
          <w:szCs w:val="24"/>
        </w:rPr>
        <w:t xml:space="preserve">Ibrahim </w:t>
      </w:r>
      <w:proofErr w:type="spellStart"/>
      <w:r w:rsidR="001E46DB" w:rsidRPr="005A7921">
        <w:rPr>
          <w:rFonts w:ascii="JaghbUni" w:hAnsi="JaghbUni"/>
          <w:szCs w:val="24"/>
        </w:rPr>
        <w:t>I</w:t>
      </w:r>
      <w:r w:rsidR="003A5E70" w:rsidRPr="005A7921">
        <w:rPr>
          <w:rFonts w:ascii="JaghbUni" w:hAnsi="JaghbUni"/>
          <w:szCs w:val="24"/>
        </w:rPr>
        <w:t>ʿ</w:t>
      </w:r>
      <w:r w:rsidR="001E46DB" w:rsidRPr="00583D21">
        <w:rPr>
          <w:szCs w:val="24"/>
        </w:rPr>
        <w:t>timad</w:t>
      </w:r>
      <w:proofErr w:type="spellEnd"/>
      <w:r w:rsidRPr="00583D21">
        <w:rPr>
          <w:szCs w:val="24"/>
        </w:rPr>
        <w:t xml:space="preserve"> al-</w:t>
      </w:r>
      <w:proofErr w:type="spellStart"/>
      <w:r w:rsidRPr="00583D21">
        <w:rPr>
          <w:szCs w:val="24"/>
        </w:rPr>
        <w:t>Dawlih</w:t>
      </w:r>
      <w:proofErr w:type="spellEnd"/>
      <w:r w:rsidRPr="00583D21">
        <w:rPr>
          <w:szCs w:val="24"/>
        </w:rPr>
        <w:t xml:space="preserve">, who, despite having a long and distinguished career serving both </w:t>
      </w:r>
      <w:proofErr w:type="spellStart"/>
      <w:r w:rsidRPr="00583D21">
        <w:rPr>
          <w:szCs w:val="24"/>
        </w:rPr>
        <w:t>Zand</w:t>
      </w:r>
      <w:proofErr w:type="spellEnd"/>
      <w:r w:rsidRPr="00583D21">
        <w:rPr>
          <w:szCs w:val="24"/>
        </w:rPr>
        <w:t xml:space="preserve"> and Qajar rulers, and being related to the </w:t>
      </w:r>
      <w:proofErr w:type="spellStart"/>
      <w:r w:rsidRPr="00583D21">
        <w:rPr>
          <w:szCs w:val="24"/>
        </w:rPr>
        <w:t>Qajars</w:t>
      </w:r>
      <w:proofErr w:type="spellEnd"/>
      <w:r w:rsidRPr="00583D21">
        <w:rPr>
          <w:szCs w:val="24"/>
        </w:rPr>
        <w:t xml:space="preserve"> through marriage, was ult</w:t>
      </w:r>
      <w:r w:rsidR="00A93164" w:rsidRPr="00583D21">
        <w:rPr>
          <w:szCs w:val="24"/>
        </w:rPr>
        <w:t>imately executed in 1801</w:t>
      </w:r>
      <w:r w:rsidRPr="00583D21">
        <w:rPr>
          <w:szCs w:val="24"/>
        </w:rPr>
        <w:t xml:space="preserve"> after being accused of conspiracy and betrayal.</w:t>
      </w:r>
      <w:r w:rsidRPr="00583D21">
        <w:rPr>
          <w:szCs w:val="24"/>
          <w:vertAlign w:val="superscript"/>
        </w:rPr>
        <w:endnoteReference w:id="98"/>
      </w:r>
      <w:r w:rsidRPr="00583D21">
        <w:rPr>
          <w:szCs w:val="24"/>
        </w:rPr>
        <w:t xml:space="preserve"> </w:t>
      </w:r>
      <w:r w:rsidR="00BF5221" w:rsidRPr="00583D21">
        <w:rPr>
          <w:szCs w:val="24"/>
        </w:rPr>
        <w:t xml:space="preserve">The circumstances surrounding </w:t>
      </w:r>
      <w:r w:rsidR="005D1870" w:rsidRPr="00583D21">
        <w:rPr>
          <w:szCs w:val="24"/>
        </w:rPr>
        <w:t>Amin</w:t>
      </w:r>
      <w:r w:rsidR="00BF5221" w:rsidRPr="00583D21">
        <w:rPr>
          <w:szCs w:val="24"/>
        </w:rPr>
        <w:t xml:space="preserve"> al-</w:t>
      </w:r>
      <w:proofErr w:type="spellStart"/>
      <w:r w:rsidR="00BF5221" w:rsidRPr="00583D21">
        <w:rPr>
          <w:szCs w:val="24"/>
        </w:rPr>
        <w:t>Dawlih’s</w:t>
      </w:r>
      <w:proofErr w:type="spellEnd"/>
      <w:r w:rsidR="00BF5221" w:rsidRPr="00583D21">
        <w:rPr>
          <w:szCs w:val="24"/>
        </w:rPr>
        <w:t xml:space="preserve"> demise provide another example. In </w:t>
      </w:r>
      <w:r w:rsidR="002407BB" w:rsidRPr="00583D21">
        <w:rPr>
          <w:szCs w:val="24"/>
        </w:rPr>
        <w:t xml:space="preserve">early 1824, a certain </w:t>
      </w:r>
      <w:proofErr w:type="spellStart"/>
      <w:r w:rsidR="002407BB" w:rsidRPr="00583D21">
        <w:rPr>
          <w:szCs w:val="24"/>
        </w:rPr>
        <w:t>Ha</w:t>
      </w:r>
      <w:r w:rsidRPr="00583D21">
        <w:rPr>
          <w:szCs w:val="24"/>
        </w:rPr>
        <w:t>shim</w:t>
      </w:r>
      <w:proofErr w:type="spellEnd"/>
      <w:r w:rsidRPr="00583D21">
        <w:rPr>
          <w:szCs w:val="24"/>
        </w:rPr>
        <w:t xml:space="preserve"> Khan led a rebellion of the </w:t>
      </w:r>
      <w:proofErr w:type="spellStart"/>
      <w:r w:rsidRPr="00583D21">
        <w:rPr>
          <w:szCs w:val="24"/>
        </w:rPr>
        <w:t>Lur</w:t>
      </w:r>
      <w:proofErr w:type="spellEnd"/>
      <w:r w:rsidRPr="00583D21">
        <w:rPr>
          <w:szCs w:val="24"/>
        </w:rPr>
        <w:t xml:space="preserve"> population of</w:t>
      </w:r>
      <w:r w:rsidR="002407BB" w:rsidRPr="00583D21">
        <w:rPr>
          <w:szCs w:val="24"/>
        </w:rPr>
        <w:t xml:space="preserve"> </w:t>
      </w:r>
      <w:proofErr w:type="spellStart"/>
      <w:r w:rsidR="002407BB" w:rsidRPr="00583D21">
        <w:rPr>
          <w:szCs w:val="24"/>
        </w:rPr>
        <w:t>Lunba</w:t>
      </w:r>
      <w:r w:rsidRPr="00583D21">
        <w:rPr>
          <w:szCs w:val="24"/>
        </w:rPr>
        <w:t>n</w:t>
      </w:r>
      <w:proofErr w:type="spellEnd"/>
      <w:r w:rsidRPr="00583D21">
        <w:rPr>
          <w:szCs w:val="24"/>
        </w:rPr>
        <w:t>, in Isfahan. The governor of Isfahan at the time was</w:t>
      </w:r>
      <w:r w:rsidRPr="005A7921">
        <w:rPr>
          <w:rFonts w:ascii="JaghbUni" w:hAnsi="JaghbUni"/>
          <w:szCs w:val="24"/>
        </w:rPr>
        <w:t xml:space="preserve"> </w:t>
      </w:r>
      <w:proofErr w:type="spellStart"/>
      <w:r w:rsidR="003A5E70" w:rsidRPr="005A7921">
        <w:rPr>
          <w:rFonts w:ascii="JaghbUni" w:hAnsi="JaghbUni"/>
          <w:szCs w:val="24"/>
        </w:rPr>
        <w:t>ʿ</w:t>
      </w:r>
      <w:r w:rsidRPr="005A7921">
        <w:rPr>
          <w:rFonts w:ascii="JaghbUni" w:hAnsi="JaghbUni"/>
          <w:szCs w:val="24"/>
        </w:rPr>
        <w:t>Ali</w:t>
      </w:r>
      <w:proofErr w:type="spellEnd"/>
      <w:r w:rsidRPr="00583D21">
        <w:rPr>
          <w:szCs w:val="24"/>
        </w:rPr>
        <w:t xml:space="preserve"> Muhammad Khan, who was the son of </w:t>
      </w:r>
      <w:r w:rsidR="005D1870" w:rsidRPr="00583D21">
        <w:rPr>
          <w:szCs w:val="24"/>
        </w:rPr>
        <w:t>Amin</w:t>
      </w:r>
      <w:r w:rsidRPr="00583D21">
        <w:rPr>
          <w:szCs w:val="24"/>
        </w:rPr>
        <w:t xml:space="preserve"> al-</w:t>
      </w:r>
      <w:proofErr w:type="spellStart"/>
      <w:r w:rsidRPr="00583D21">
        <w:rPr>
          <w:szCs w:val="24"/>
        </w:rPr>
        <w:t>Dawlih</w:t>
      </w:r>
      <w:proofErr w:type="spellEnd"/>
      <w:r w:rsidRPr="00583D21">
        <w:rPr>
          <w:szCs w:val="24"/>
        </w:rPr>
        <w:t>, and also son-in-law of Fath-</w:t>
      </w:r>
      <w:proofErr w:type="spellStart"/>
      <w:r w:rsidR="003A5E70" w:rsidRPr="005A7921">
        <w:rPr>
          <w:rFonts w:ascii="JaghbUni" w:hAnsi="JaghbUni"/>
          <w:szCs w:val="24"/>
        </w:rPr>
        <w:t>ʿ</w:t>
      </w:r>
      <w:r w:rsidRPr="00583D21">
        <w:rPr>
          <w:szCs w:val="24"/>
        </w:rPr>
        <w:t>Ali</w:t>
      </w:r>
      <w:proofErr w:type="spellEnd"/>
      <w:r w:rsidRPr="00583D21">
        <w:rPr>
          <w:szCs w:val="24"/>
        </w:rPr>
        <w:t xml:space="preserve"> Shah.</w:t>
      </w:r>
      <w:r w:rsidRPr="00583D21">
        <w:rPr>
          <w:szCs w:val="24"/>
          <w:vertAlign w:val="superscript"/>
        </w:rPr>
        <w:endnoteReference w:id="99"/>
      </w:r>
      <w:r w:rsidRPr="00583D21">
        <w:rPr>
          <w:szCs w:val="24"/>
        </w:rPr>
        <w:t xml:space="preserve"> He was, at the same time, a nephew of the rebellion’s leader, </w:t>
      </w:r>
      <w:proofErr w:type="spellStart"/>
      <w:r w:rsidRPr="00583D21">
        <w:rPr>
          <w:szCs w:val="24"/>
        </w:rPr>
        <w:t>Hashim</w:t>
      </w:r>
      <w:proofErr w:type="spellEnd"/>
      <w:r w:rsidRPr="00583D21">
        <w:rPr>
          <w:szCs w:val="24"/>
        </w:rPr>
        <w:t xml:space="preserve"> Khan, which led to the suspicion that he </w:t>
      </w:r>
      <w:r w:rsidR="00BF5221" w:rsidRPr="00583D21">
        <w:rPr>
          <w:szCs w:val="24"/>
        </w:rPr>
        <w:t xml:space="preserve">was not taking proper steps to stop </w:t>
      </w:r>
      <w:r w:rsidRPr="00583D21">
        <w:rPr>
          <w:szCs w:val="24"/>
        </w:rPr>
        <w:t>the rebellion. Fath-</w:t>
      </w:r>
      <w:proofErr w:type="spellStart"/>
      <w:r w:rsidR="003A5E70" w:rsidRPr="005A7921">
        <w:rPr>
          <w:rFonts w:ascii="JaghbUni" w:hAnsi="JaghbUni"/>
          <w:szCs w:val="24"/>
        </w:rPr>
        <w:t>ʿ</w:t>
      </w:r>
      <w:r w:rsidRPr="00583D21">
        <w:rPr>
          <w:szCs w:val="24"/>
        </w:rPr>
        <w:t>Ali</w:t>
      </w:r>
      <w:proofErr w:type="spellEnd"/>
      <w:r w:rsidRPr="00583D21">
        <w:rPr>
          <w:szCs w:val="24"/>
        </w:rPr>
        <w:t xml:space="preserve"> Shah marched on Isfahan after the Nowruz celebrations, and after quelling the uprising, blinded </w:t>
      </w:r>
      <w:proofErr w:type="spellStart"/>
      <w:r w:rsidRPr="00583D21">
        <w:rPr>
          <w:szCs w:val="24"/>
        </w:rPr>
        <w:t>Hashim</w:t>
      </w:r>
      <w:proofErr w:type="spellEnd"/>
      <w:r w:rsidRPr="00583D21">
        <w:rPr>
          <w:szCs w:val="24"/>
        </w:rPr>
        <w:t xml:space="preserve"> Khan, removed </w:t>
      </w:r>
      <w:proofErr w:type="spellStart"/>
      <w:r w:rsidR="003A5E70" w:rsidRPr="00CE1409">
        <w:rPr>
          <w:rFonts w:ascii="JaghbUni" w:hAnsi="JaghbUni"/>
          <w:szCs w:val="24"/>
        </w:rPr>
        <w:t>ʿ</w:t>
      </w:r>
      <w:r w:rsidRPr="00583D21">
        <w:rPr>
          <w:szCs w:val="24"/>
        </w:rPr>
        <w:t>Ali</w:t>
      </w:r>
      <w:proofErr w:type="spellEnd"/>
      <w:r w:rsidRPr="00583D21">
        <w:rPr>
          <w:szCs w:val="24"/>
        </w:rPr>
        <w:t xml:space="preserve"> Muhammad Khan as the governor, and</w:t>
      </w:r>
      <w:r w:rsidR="004B15BF">
        <w:rPr>
          <w:szCs w:val="24"/>
        </w:rPr>
        <w:t xml:space="preserve"> replaced him with </w:t>
      </w:r>
      <w:r w:rsidR="00924123">
        <w:rPr>
          <w:szCs w:val="24"/>
        </w:rPr>
        <w:t xml:space="preserve">his </w:t>
      </w:r>
      <w:r w:rsidRPr="00583D21">
        <w:rPr>
          <w:szCs w:val="24"/>
        </w:rPr>
        <w:t xml:space="preserve">son Sultan Muhammad Mirza as the governor. In what was possibly further retribution, </w:t>
      </w:r>
      <w:r w:rsidR="005D1870" w:rsidRPr="00583D21">
        <w:rPr>
          <w:szCs w:val="24"/>
        </w:rPr>
        <w:t>Amin</w:t>
      </w:r>
      <w:r w:rsidRPr="00583D21">
        <w:rPr>
          <w:szCs w:val="24"/>
        </w:rPr>
        <w:t xml:space="preserve"> al-</w:t>
      </w:r>
      <w:proofErr w:type="spellStart"/>
      <w:r w:rsidRPr="00583D21">
        <w:rPr>
          <w:szCs w:val="24"/>
        </w:rPr>
        <w:t>Dawlih</w:t>
      </w:r>
      <w:proofErr w:type="spellEnd"/>
      <w:r w:rsidR="00750850" w:rsidRPr="00583D21">
        <w:rPr>
          <w:szCs w:val="24"/>
        </w:rPr>
        <w:t>—</w:t>
      </w:r>
      <w:r w:rsidRPr="00583D21">
        <w:rPr>
          <w:szCs w:val="24"/>
        </w:rPr>
        <w:t>the erstwhile governor’s father</w:t>
      </w:r>
      <w:r w:rsidR="00750850" w:rsidRPr="00583D21">
        <w:rPr>
          <w:szCs w:val="24"/>
        </w:rPr>
        <w:t>—</w:t>
      </w:r>
      <w:r w:rsidRPr="00583D21">
        <w:rPr>
          <w:szCs w:val="24"/>
        </w:rPr>
        <w:t>was removed as</w:t>
      </w:r>
      <w:r w:rsidR="00BF5221" w:rsidRPr="00583D21">
        <w:rPr>
          <w:szCs w:val="24"/>
        </w:rPr>
        <w:t xml:space="preserve"> prime </w:t>
      </w:r>
      <w:r w:rsidR="00BF5221" w:rsidRPr="00583D21">
        <w:rPr>
          <w:iCs/>
          <w:szCs w:val="24"/>
        </w:rPr>
        <w:lastRenderedPageBreak/>
        <w:t xml:space="preserve">minister </w:t>
      </w:r>
      <w:r w:rsidRPr="00583D21">
        <w:rPr>
          <w:iCs/>
          <w:szCs w:val="24"/>
        </w:rPr>
        <w:t>and</w:t>
      </w:r>
      <w:r w:rsidR="00BF5221" w:rsidRPr="00583D21">
        <w:rPr>
          <w:szCs w:val="24"/>
        </w:rPr>
        <w:t xml:space="preserve"> in his place</w:t>
      </w:r>
      <w:r w:rsidRPr="00583D21">
        <w:rPr>
          <w:szCs w:val="24"/>
        </w:rPr>
        <w:t xml:space="preserve"> the s</w:t>
      </w:r>
      <w:r w:rsidR="00937235">
        <w:rPr>
          <w:szCs w:val="24"/>
        </w:rPr>
        <w:t xml:space="preserve">hah appointed Allah </w:t>
      </w:r>
      <w:proofErr w:type="spellStart"/>
      <w:r w:rsidR="00937235">
        <w:rPr>
          <w:szCs w:val="24"/>
        </w:rPr>
        <w:t>Y</w:t>
      </w:r>
      <w:r w:rsidR="002407BB" w:rsidRPr="00583D21">
        <w:rPr>
          <w:szCs w:val="24"/>
        </w:rPr>
        <w:t>ar</w:t>
      </w:r>
      <w:proofErr w:type="spellEnd"/>
      <w:r w:rsidR="002407BB" w:rsidRPr="00583D21">
        <w:rPr>
          <w:szCs w:val="24"/>
        </w:rPr>
        <w:t xml:space="preserve"> Khan As</w:t>
      </w:r>
      <w:r w:rsidRPr="00583D21">
        <w:rPr>
          <w:szCs w:val="24"/>
        </w:rPr>
        <w:t>af al-</w:t>
      </w:r>
      <w:proofErr w:type="spellStart"/>
      <w:r w:rsidRPr="00583D21">
        <w:rPr>
          <w:szCs w:val="24"/>
        </w:rPr>
        <w:t>Dawlih</w:t>
      </w:r>
      <w:proofErr w:type="spellEnd"/>
      <w:r w:rsidRPr="00583D21">
        <w:rPr>
          <w:szCs w:val="24"/>
        </w:rPr>
        <w:t xml:space="preserve">, a Qajar from the </w:t>
      </w:r>
      <w:proofErr w:type="spellStart"/>
      <w:r w:rsidRPr="00583D21">
        <w:rPr>
          <w:szCs w:val="24"/>
        </w:rPr>
        <w:t>Devell</w:t>
      </w:r>
      <w:r w:rsidR="002407BB" w:rsidRPr="00583D21">
        <w:rPr>
          <w:szCs w:val="24"/>
        </w:rPr>
        <w:t>u</w:t>
      </w:r>
      <w:proofErr w:type="spellEnd"/>
      <w:r w:rsidRPr="00583D21">
        <w:rPr>
          <w:szCs w:val="24"/>
        </w:rPr>
        <w:t xml:space="preserve"> clan.</w:t>
      </w:r>
      <w:r w:rsidRPr="00583D21">
        <w:rPr>
          <w:szCs w:val="24"/>
          <w:vertAlign w:val="superscript"/>
        </w:rPr>
        <w:endnoteReference w:id="100"/>
      </w:r>
      <w:r w:rsidR="005475F5" w:rsidRPr="00583D21">
        <w:rPr>
          <w:szCs w:val="24"/>
        </w:rPr>
        <w:t xml:space="preserve"> </w:t>
      </w:r>
    </w:p>
    <w:p w14:paraId="656206CA" w14:textId="4F3B16DE" w:rsidR="00A93164" w:rsidRPr="00583D21" w:rsidRDefault="00A93164" w:rsidP="00C23F24">
      <w:pPr>
        <w:spacing w:line="480" w:lineRule="auto"/>
        <w:ind w:firstLine="720"/>
        <w:rPr>
          <w:szCs w:val="24"/>
        </w:rPr>
      </w:pPr>
      <w:r w:rsidRPr="00583D21">
        <w:rPr>
          <w:szCs w:val="24"/>
        </w:rPr>
        <w:t>Violent episodes such as these were not unusual in Qajar and Iranian history</w:t>
      </w:r>
      <w:r w:rsidR="00750850" w:rsidRPr="00583D21">
        <w:rPr>
          <w:szCs w:val="24"/>
        </w:rPr>
        <w:t>—</w:t>
      </w:r>
      <w:r w:rsidRPr="00583D21">
        <w:rPr>
          <w:szCs w:val="24"/>
        </w:rPr>
        <w:t xml:space="preserve">or for that matter in the history of other empires and states. </w:t>
      </w:r>
      <w:r w:rsidR="00C23F24">
        <w:rPr>
          <w:szCs w:val="24"/>
        </w:rPr>
        <w:t>E</w:t>
      </w:r>
      <w:r w:rsidRPr="00583D21">
        <w:rPr>
          <w:szCs w:val="24"/>
        </w:rPr>
        <w:t xml:space="preserve">xamples of ministerial downfall in the Iranian context suggest </w:t>
      </w:r>
      <w:r w:rsidR="001D50F4" w:rsidRPr="00583D21">
        <w:rPr>
          <w:szCs w:val="24"/>
        </w:rPr>
        <w:t>a weakness in administrative power</w:t>
      </w:r>
      <w:r w:rsidRPr="00583D21">
        <w:rPr>
          <w:szCs w:val="24"/>
        </w:rPr>
        <w:t xml:space="preserve">, </w:t>
      </w:r>
      <w:r w:rsidR="00C23F24">
        <w:rPr>
          <w:szCs w:val="24"/>
        </w:rPr>
        <w:t xml:space="preserve">but </w:t>
      </w:r>
      <w:r w:rsidRPr="00583D21">
        <w:rPr>
          <w:szCs w:val="24"/>
        </w:rPr>
        <w:t xml:space="preserve">they also lay bare the </w:t>
      </w:r>
      <w:r w:rsidR="0054458D" w:rsidRPr="00583D21">
        <w:rPr>
          <w:szCs w:val="24"/>
        </w:rPr>
        <w:t>ministerial competition among men vying</w:t>
      </w:r>
      <w:r w:rsidRPr="00583D21">
        <w:rPr>
          <w:szCs w:val="24"/>
        </w:rPr>
        <w:t xml:space="preserve"> for their own interests. In </w:t>
      </w:r>
      <w:r w:rsidR="0054458D" w:rsidRPr="00583D21">
        <w:rPr>
          <w:szCs w:val="24"/>
        </w:rPr>
        <w:t>the</w:t>
      </w:r>
      <w:r w:rsidRPr="00583D21">
        <w:rPr>
          <w:szCs w:val="24"/>
        </w:rPr>
        <w:t xml:space="preserve"> case</w:t>
      </w:r>
      <w:r w:rsidR="0054458D" w:rsidRPr="00583D21">
        <w:rPr>
          <w:szCs w:val="24"/>
        </w:rPr>
        <w:t xml:space="preserve"> of </w:t>
      </w:r>
      <w:proofErr w:type="spellStart"/>
      <w:r w:rsidR="001E46DB" w:rsidRPr="00583D21">
        <w:rPr>
          <w:szCs w:val="24"/>
        </w:rPr>
        <w:t>I</w:t>
      </w:r>
      <w:r w:rsidR="00C23F24" w:rsidRPr="005A7921">
        <w:rPr>
          <w:rFonts w:ascii="JaghbUni" w:hAnsi="JaghbUni"/>
          <w:szCs w:val="24"/>
        </w:rPr>
        <w:t>ʿ</w:t>
      </w:r>
      <w:r w:rsidR="001E46DB" w:rsidRPr="00583D21">
        <w:rPr>
          <w:szCs w:val="24"/>
        </w:rPr>
        <w:t>timad</w:t>
      </w:r>
      <w:proofErr w:type="spellEnd"/>
      <w:r w:rsidR="0054458D" w:rsidRPr="00583D21">
        <w:rPr>
          <w:szCs w:val="24"/>
        </w:rPr>
        <w:t xml:space="preserve"> al-</w:t>
      </w:r>
      <w:proofErr w:type="spellStart"/>
      <w:r w:rsidR="0054458D" w:rsidRPr="00583D21">
        <w:rPr>
          <w:szCs w:val="24"/>
        </w:rPr>
        <w:t>Dawlih</w:t>
      </w:r>
      <w:proofErr w:type="spellEnd"/>
      <w:r w:rsidRPr="00583D21">
        <w:rPr>
          <w:szCs w:val="24"/>
        </w:rPr>
        <w:t xml:space="preserve">, Mirza </w:t>
      </w:r>
      <w:proofErr w:type="spellStart"/>
      <w:r w:rsidRPr="00583D21">
        <w:rPr>
          <w:szCs w:val="24"/>
        </w:rPr>
        <w:t>Shafi</w:t>
      </w:r>
      <w:r w:rsidR="00C23F24" w:rsidRPr="00CE11D6">
        <w:rPr>
          <w:rFonts w:ascii="JaghbUni" w:hAnsi="JaghbUni"/>
          <w:szCs w:val="24"/>
        </w:rPr>
        <w:t>ʿ</w:t>
      </w:r>
      <w:proofErr w:type="spellEnd"/>
      <w:r w:rsidRPr="00583D21">
        <w:rPr>
          <w:szCs w:val="24"/>
        </w:rPr>
        <w:t xml:space="preserve">, a secretary to </w:t>
      </w:r>
      <w:proofErr w:type="spellStart"/>
      <w:r w:rsidRPr="00583D21">
        <w:rPr>
          <w:szCs w:val="24"/>
        </w:rPr>
        <w:t>I</w:t>
      </w:r>
      <w:r w:rsidR="00C23F24" w:rsidRPr="00CE11D6">
        <w:rPr>
          <w:rFonts w:ascii="JaghbUni" w:hAnsi="JaghbUni"/>
          <w:szCs w:val="24"/>
        </w:rPr>
        <w:t>ʿ</w:t>
      </w:r>
      <w:r w:rsidRPr="00583D21">
        <w:rPr>
          <w:szCs w:val="24"/>
        </w:rPr>
        <w:t>timad</w:t>
      </w:r>
      <w:proofErr w:type="spellEnd"/>
      <w:r w:rsidRPr="00583D21">
        <w:rPr>
          <w:szCs w:val="24"/>
        </w:rPr>
        <w:t xml:space="preserve"> al-</w:t>
      </w:r>
      <w:proofErr w:type="spellStart"/>
      <w:r w:rsidRPr="00583D21">
        <w:rPr>
          <w:szCs w:val="24"/>
        </w:rPr>
        <w:t>Dawlih</w:t>
      </w:r>
      <w:proofErr w:type="spellEnd"/>
      <w:r w:rsidRPr="00583D21">
        <w:rPr>
          <w:szCs w:val="24"/>
        </w:rPr>
        <w:t>, was also his fierce rival, and may have played a part in engineering his superior’s downfall in order to secure his own place as prime minister.</w:t>
      </w:r>
      <w:r w:rsidR="001E46DB" w:rsidRPr="00583D21">
        <w:rPr>
          <w:rStyle w:val="EndnoteReference"/>
          <w:szCs w:val="24"/>
        </w:rPr>
        <w:endnoteReference w:id="101"/>
      </w:r>
      <w:r w:rsidRPr="00583D21">
        <w:rPr>
          <w:szCs w:val="24"/>
        </w:rPr>
        <w:t xml:space="preserve"> </w:t>
      </w:r>
    </w:p>
    <w:p w14:paraId="189FB406" w14:textId="1C079D6D" w:rsidR="00364AD5" w:rsidRPr="00583D21" w:rsidRDefault="00364AD5" w:rsidP="005A7921">
      <w:pPr>
        <w:spacing w:line="480" w:lineRule="auto"/>
        <w:rPr>
          <w:szCs w:val="24"/>
          <w:highlight w:val="white"/>
        </w:rPr>
      </w:pPr>
    </w:p>
    <w:p w14:paraId="015EF64E" w14:textId="1C2C8CE5" w:rsidR="00364AD5" w:rsidRPr="005A7921" w:rsidRDefault="00C23F24" w:rsidP="00364AD5">
      <w:pPr>
        <w:spacing w:line="480" w:lineRule="auto"/>
        <w:rPr>
          <w:b/>
          <w:bCs/>
          <w:szCs w:val="24"/>
        </w:rPr>
      </w:pPr>
      <w:r w:rsidRPr="005A7921">
        <w:rPr>
          <w:b/>
          <w:bCs/>
          <w:szCs w:val="24"/>
        </w:rPr>
        <w:t>Conclusion</w:t>
      </w:r>
    </w:p>
    <w:p w14:paraId="5F60EAF5" w14:textId="353C57DC" w:rsidR="009A55A7" w:rsidRDefault="000261E7" w:rsidP="00E47E58">
      <w:pPr>
        <w:spacing w:line="480" w:lineRule="auto"/>
        <w:rPr>
          <w:iCs/>
          <w:szCs w:val="24"/>
        </w:rPr>
      </w:pPr>
      <w:r w:rsidRPr="00583D21">
        <w:rPr>
          <w:iCs/>
          <w:szCs w:val="24"/>
        </w:rPr>
        <w:t xml:space="preserve">In trying to understand how and why the Qajar state formed, close attention to </w:t>
      </w:r>
      <w:r w:rsidR="005C5B13" w:rsidRPr="00583D21">
        <w:rPr>
          <w:iCs/>
          <w:szCs w:val="24"/>
        </w:rPr>
        <w:t>the social makeup of the state—</w:t>
      </w:r>
      <w:r w:rsidRPr="00583D21">
        <w:rPr>
          <w:iCs/>
          <w:szCs w:val="24"/>
        </w:rPr>
        <w:t>who served in the administration, what their social and economic background was, and how t</w:t>
      </w:r>
      <w:r w:rsidR="006C5E53" w:rsidRPr="00583D21">
        <w:rPr>
          <w:iCs/>
          <w:szCs w:val="24"/>
        </w:rPr>
        <w:t>hey were related to one another</w:t>
      </w:r>
      <w:r w:rsidR="005C5B13" w:rsidRPr="00583D21">
        <w:rPr>
          <w:iCs/>
          <w:szCs w:val="24"/>
        </w:rPr>
        <w:t xml:space="preserve"> and to the </w:t>
      </w:r>
      <w:proofErr w:type="spellStart"/>
      <w:r w:rsidR="005C5B13" w:rsidRPr="00583D21">
        <w:rPr>
          <w:iCs/>
          <w:szCs w:val="24"/>
        </w:rPr>
        <w:t>Qajars</w:t>
      </w:r>
      <w:proofErr w:type="spellEnd"/>
      <w:r w:rsidR="005C5B13" w:rsidRPr="00583D21">
        <w:rPr>
          <w:iCs/>
          <w:szCs w:val="24"/>
        </w:rPr>
        <w:t xml:space="preserve">—is </w:t>
      </w:r>
      <w:r w:rsidRPr="00583D21">
        <w:rPr>
          <w:iCs/>
          <w:szCs w:val="24"/>
        </w:rPr>
        <w:t xml:space="preserve">as significant as which ideology shaped the government or which political offices comprised the administration. A socially oriented political history </w:t>
      </w:r>
      <w:r w:rsidR="005C5B13" w:rsidRPr="00583D21">
        <w:rPr>
          <w:iCs/>
          <w:szCs w:val="24"/>
        </w:rPr>
        <w:t xml:space="preserve">moves us beyond </w:t>
      </w:r>
      <w:r w:rsidR="00482220" w:rsidRPr="00583D21">
        <w:rPr>
          <w:iCs/>
          <w:szCs w:val="24"/>
        </w:rPr>
        <w:t>description</w:t>
      </w:r>
      <w:r w:rsidR="002A13C2" w:rsidRPr="00583D21">
        <w:rPr>
          <w:iCs/>
          <w:szCs w:val="24"/>
        </w:rPr>
        <w:t>s</w:t>
      </w:r>
      <w:r w:rsidR="00482220" w:rsidRPr="00583D21">
        <w:rPr>
          <w:iCs/>
          <w:szCs w:val="24"/>
        </w:rPr>
        <w:t xml:space="preserve"> of the </w:t>
      </w:r>
      <w:r w:rsidR="005C5B13" w:rsidRPr="00583D21">
        <w:rPr>
          <w:iCs/>
          <w:szCs w:val="24"/>
        </w:rPr>
        <w:t>institutional and formal cha</w:t>
      </w:r>
      <w:r w:rsidR="007F25F5" w:rsidRPr="00583D21">
        <w:rPr>
          <w:iCs/>
          <w:szCs w:val="24"/>
        </w:rPr>
        <w:t xml:space="preserve">racteristics of the Qajar state. </w:t>
      </w:r>
      <w:r w:rsidR="00164402" w:rsidRPr="00583D21">
        <w:rPr>
          <w:iCs/>
          <w:szCs w:val="24"/>
        </w:rPr>
        <w:t xml:space="preserve">Ultimately, </w:t>
      </w:r>
      <w:r w:rsidR="002A13C2" w:rsidRPr="00583D21">
        <w:rPr>
          <w:iCs/>
          <w:szCs w:val="24"/>
        </w:rPr>
        <w:t xml:space="preserve">the </w:t>
      </w:r>
      <w:r w:rsidR="00364AD5" w:rsidRPr="00583D21">
        <w:rPr>
          <w:iCs/>
          <w:szCs w:val="24"/>
        </w:rPr>
        <w:t xml:space="preserve">methodology outlined </w:t>
      </w:r>
      <w:r w:rsidR="00164402" w:rsidRPr="00583D21">
        <w:rPr>
          <w:iCs/>
          <w:szCs w:val="24"/>
        </w:rPr>
        <w:t xml:space="preserve">here </w:t>
      </w:r>
      <w:r w:rsidR="00364AD5" w:rsidRPr="00583D21">
        <w:rPr>
          <w:iCs/>
          <w:szCs w:val="24"/>
        </w:rPr>
        <w:t xml:space="preserve">has the potential </w:t>
      </w:r>
      <w:r w:rsidR="00C44A04" w:rsidRPr="00583D21">
        <w:rPr>
          <w:iCs/>
          <w:szCs w:val="24"/>
        </w:rPr>
        <w:t xml:space="preserve">to bring </w:t>
      </w:r>
      <w:r w:rsidR="005518D6" w:rsidRPr="00583D21">
        <w:rPr>
          <w:iCs/>
          <w:szCs w:val="24"/>
        </w:rPr>
        <w:t>Qajar political history into c</w:t>
      </w:r>
      <w:r w:rsidR="00164402" w:rsidRPr="00583D21">
        <w:rPr>
          <w:iCs/>
          <w:szCs w:val="24"/>
        </w:rPr>
        <w:t>loser conversation with debates on state and imperial formation animat</w:t>
      </w:r>
      <w:r w:rsidR="009A55A7" w:rsidRPr="00583D21">
        <w:rPr>
          <w:iCs/>
          <w:szCs w:val="24"/>
        </w:rPr>
        <w:t>ing</w:t>
      </w:r>
      <w:r w:rsidR="00164402" w:rsidRPr="00583D21">
        <w:rPr>
          <w:iCs/>
          <w:szCs w:val="24"/>
        </w:rPr>
        <w:t xml:space="preserve"> historians </w:t>
      </w:r>
      <w:r w:rsidR="00716D4B">
        <w:rPr>
          <w:iCs/>
          <w:szCs w:val="24"/>
        </w:rPr>
        <w:t>who work on different times and places</w:t>
      </w:r>
      <w:r w:rsidR="00364AD5" w:rsidRPr="00583D21">
        <w:rPr>
          <w:iCs/>
          <w:szCs w:val="24"/>
        </w:rPr>
        <w:t>.</w:t>
      </w:r>
      <w:r w:rsidR="009A55A7" w:rsidRPr="00583D21">
        <w:rPr>
          <w:iCs/>
          <w:szCs w:val="24"/>
        </w:rPr>
        <w:t xml:space="preserve"> </w:t>
      </w:r>
      <w:r w:rsidR="00AE4981" w:rsidRPr="00583D21">
        <w:rPr>
          <w:iCs/>
          <w:szCs w:val="24"/>
        </w:rPr>
        <w:t xml:space="preserve">From </w:t>
      </w:r>
      <w:r w:rsidR="004C1BFC" w:rsidRPr="00583D21">
        <w:rPr>
          <w:iCs/>
          <w:szCs w:val="24"/>
        </w:rPr>
        <w:t>a modern</w:t>
      </w:r>
      <w:r w:rsidR="00AE4981" w:rsidRPr="00583D21">
        <w:rPr>
          <w:iCs/>
          <w:szCs w:val="24"/>
        </w:rPr>
        <w:t xml:space="preserve"> perspective</w:t>
      </w:r>
      <w:r w:rsidR="004C1BFC" w:rsidRPr="00583D21">
        <w:rPr>
          <w:iCs/>
          <w:szCs w:val="24"/>
        </w:rPr>
        <w:t>,</w:t>
      </w:r>
      <w:r w:rsidR="00AE4981" w:rsidRPr="00583D21">
        <w:rPr>
          <w:iCs/>
          <w:szCs w:val="24"/>
        </w:rPr>
        <w:t xml:space="preserve"> </w:t>
      </w:r>
      <w:r w:rsidR="00DB3C2D" w:rsidRPr="00583D21">
        <w:rPr>
          <w:iCs/>
          <w:szCs w:val="24"/>
        </w:rPr>
        <w:t xml:space="preserve">to say that </w:t>
      </w:r>
      <w:r w:rsidR="004C1BFC" w:rsidRPr="00583D21">
        <w:rPr>
          <w:iCs/>
          <w:szCs w:val="24"/>
        </w:rPr>
        <w:t xml:space="preserve">a state was both bureaucratic and patrimonial, had both old and new social elements, and </w:t>
      </w:r>
      <w:r w:rsidR="00613028" w:rsidRPr="00583D21">
        <w:rPr>
          <w:iCs/>
          <w:szCs w:val="24"/>
        </w:rPr>
        <w:t xml:space="preserve">had a central administration that functioned as an </w:t>
      </w:r>
      <w:r w:rsidR="004C1BFC" w:rsidRPr="00583D21">
        <w:rPr>
          <w:iCs/>
          <w:szCs w:val="24"/>
        </w:rPr>
        <w:t xml:space="preserve">arena for competition </w:t>
      </w:r>
      <w:r w:rsidR="00487172" w:rsidRPr="00583D21">
        <w:rPr>
          <w:iCs/>
          <w:szCs w:val="24"/>
        </w:rPr>
        <w:t>among</w:t>
      </w:r>
      <w:r w:rsidR="004C1BFC" w:rsidRPr="00583D21">
        <w:rPr>
          <w:iCs/>
          <w:szCs w:val="24"/>
        </w:rPr>
        <w:t xml:space="preserve"> its ministers </w:t>
      </w:r>
      <w:r w:rsidR="00DB3C2D" w:rsidRPr="00583D21">
        <w:rPr>
          <w:iCs/>
          <w:szCs w:val="24"/>
        </w:rPr>
        <w:t xml:space="preserve">sounds like </w:t>
      </w:r>
      <w:r w:rsidR="00F411F5" w:rsidRPr="00583D21">
        <w:rPr>
          <w:iCs/>
          <w:szCs w:val="24"/>
        </w:rPr>
        <w:t xml:space="preserve">a case for its </w:t>
      </w:r>
      <w:r w:rsidR="00613028" w:rsidRPr="00583D21">
        <w:rPr>
          <w:iCs/>
          <w:szCs w:val="24"/>
        </w:rPr>
        <w:t xml:space="preserve">many </w:t>
      </w:r>
      <w:r w:rsidR="00F411F5" w:rsidRPr="00583D21">
        <w:rPr>
          <w:iCs/>
          <w:szCs w:val="24"/>
        </w:rPr>
        <w:t xml:space="preserve">shortcomings. But in the context of the late 18th century, and in the wake of the political turmoil </w:t>
      </w:r>
      <w:r w:rsidR="00E47E58" w:rsidRPr="00583D21">
        <w:rPr>
          <w:iCs/>
          <w:szCs w:val="24"/>
        </w:rPr>
        <w:t xml:space="preserve">following </w:t>
      </w:r>
      <w:r w:rsidR="00F411F5" w:rsidRPr="00583D21">
        <w:rPr>
          <w:iCs/>
          <w:szCs w:val="24"/>
        </w:rPr>
        <w:t xml:space="preserve">the Safavid Empire’s collapse, </w:t>
      </w:r>
      <w:r w:rsidR="00F411F5" w:rsidRPr="00583D21">
        <w:rPr>
          <w:iCs/>
          <w:szCs w:val="24"/>
        </w:rPr>
        <w:lastRenderedPageBreak/>
        <w:t>the</w:t>
      </w:r>
      <w:r w:rsidR="007F25F5" w:rsidRPr="00583D21">
        <w:rPr>
          <w:iCs/>
          <w:szCs w:val="24"/>
        </w:rPr>
        <w:t xml:space="preserve"> </w:t>
      </w:r>
      <w:r w:rsidR="00E47E58" w:rsidRPr="00583D21">
        <w:rPr>
          <w:iCs/>
          <w:szCs w:val="24"/>
        </w:rPr>
        <w:t>attributes</w:t>
      </w:r>
      <w:r w:rsidR="007F25F5" w:rsidRPr="00583D21">
        <w:rPr>
          <w:iCs/>
          <w:szCs w:val="24"/>
        </w:rPr>
        <w:t xml:space="preserve"> </w:t>
      </w:r>
      <w:r w:rsidR="00780F88" w:rsidRPr="00583D21">
        <w:rPr>
          <w:iCs/>
          <w:szCs w:val="24"/>
        </w:rPr>
        <w:t xml:space="preserve">of </w:t>
      </w:r>
      <w:r w:rsidR="007F25F5" w:rsidRPr="00583D21">
        <w:rPr>
          <w:iCs/>
          <w:szCs w:val="24"/>
        </w:rPr>
        <w:t xml:space="preserve">early Qajar Iran’s politics also </w:t>
      </w:r>
      <w:r w:rsidR="00780F88" w:rsidRPr="00583D21">
        <w:rPr>
          <w:iCs/>
          <w:szCs w:val="24"/>
        </w:rPr>
        <w:t xml:space="preserve">serve as a reminder that the making of states is a </w:t>
      </w:r>
      <w:r w:rsidR="007F25F5" w:rsidRPr="00583D21">
        <w:rPr>
          <w:iCs/>
          <w:szCs w:val="24"/>
        </w:rPr>
        <w:t>process</w:t>
      </w:r>
      <w:r w:rsidR="00780F88" w:rsidRPr="00583D21">
        <w:rPr>
          <w:iCs/>
          <w:szCs w:val="24"/>
        </w:rPr>
        <w:t xml:space="preserve"> defined by both continuity and change.</w:t>
      </w:r>
    </w:p>
    <w:p w14:paraId="50ACFB43" w14:textId="23B836E6" w:rsidR="00DC27EB" w:rsidRPr="00583D21" w:rsidRDefault="00DC27EB" w:rsidP="00DC27EB">
      <w:pPr>
        <w:spacing w:line="480" w:lineRule="auto"/>
        <w:jc w:val="center"/>
        <w:rPr>
          <w:iCs/>
          <w:szCs w:val="24"/>
        </w:rPr>
      </w:pPr>
      <w:r>
        <w:rPr>
          <w:iCs/>
          <w:szCs w:val="24"/>
        </w:rPr>
        <w:t>INSERT TABLE 1</w:t>
      </w:r>
    </w:p>
    <w:p w14:paraId="769C785C" w14:textId="77777777" w:rsidR="0062060D" w:rsidRDefault="0062060D">
      <w:pPr>
        <w:spacing w:line="480" w:lineRule="auto"/>
        <w:rPr>
          <w:szCs w:val="24"/>
        </w:rPr>
      </w:pPr>
    </w:p>
    <w:p w14:paraId="1C7CCEEB" w14:textId="4917526A" w:rsidR="009521AD" w:rsidRDefault="00C23F24" w:rsidP="00C117F6">
      <w:pPr>
        <w:pStyle w:val="EndnoteText"/>
        <w:spacing w:line="480" w:lineRule="auto"/>
      </w:pPr>
      <w:r>
        <w:rPr>
          <w:i/>
          <w:iCs/>
        </w:rPr>
        <w:t>Author’s note</w:t>
      </w:r>
      <w:r>
        <w:t xml:space="preserve">: For their constructive critiques of earlier versions of this article, I thank Abbas </w:t>
      </w:r>
      <w:proofErr w:type="spellStart"/>
      <w:r>
        <w:t>Amanat</w:t>
      </w:r>
      <w:proofErr w:type="spellEnd"/>
      <w:r>
        <w:t xml:space="preserve">, Dominic </w:t>
      </w:r>
      <w:proofErr w:type="spellStart"/>
      <w:r>
        <w:t>Parviz</w:t>
      </w:r>
      <w:proofErr w:type="spellEnd"/>
      <w:r>
        <w:t xml:space="preserve"> </w:t>
      </w:r>
      <w:proofErr w:type="spellStart"/>
      <w:r>
        <w:t>Brookshaw</w:t>
      </w:r>
      <w:proofErr w:type="spellEnd"/>
      <w:r>
        <w:t xml:space="preserve">, </w:t>
      </w:r>
      <w:proofErr w:type="spellStart"/>
      <w:r>
        <w:t>Arash</w:t>
      </w:r>
      <w:proofErr w:type="spellEnd"/>
      <w:r>
        <w:t xml:space="preserve"> </w:t>
      </w:r>
      <w:proofErr w:type="spellStart"/>
      <w:r>
        <w:t>Khazeni</w:t>
      </w:r>
      <w:proofErr w:type="spellEnd"/>
      <w:r>
        <w:t xml:space="preserve">, Tanya Lawrence, and the anonymous </w:t>
      </w:r>
      <w:r w:rsidRPr="006F4160">
        <w:rPr>
          <w:i/>
          <w:iCs/>
        </w:rPr>
        <w:t>IJMES</w:t>
      </w:r>
      <w:r>
        <w:t xml:space="preserve"> </w:t>
      </w:r>
      <w:r w:rsidRPr="006F4160">
        <w:t>reviewers</w:t>
      </w:r>
      <w:r>
        <w:t xml:space="preserve">. I also wish to thank </w:t>
      </w:r>
      <w:proofErr w:type="spellStart"/>
      <w:r>
        <w:t>Akram</w:t>
      </w:r>
      <w:proofErr w:type="spellEnd"/>
      <w:r>
        <w:t xml:space="preserve"> </w:t>
      </w:r>
      <w:proofErr w:type="spellStart"/>
      <w:r>
        <w:t>Khater</w:t>
      </w:r>
      <w:proofErr w:type="spellEnd"/>
      <w:r>
        <w:t xml:space="preserve"> and Jeffrey </w:t>
      </w:r>
      <w:proofErr w:type="spellStart"/>
      <w:r>
        <w:t>Culang</w:t>
      </w:r>
      <w:proofErr w:type="spellEnd"/>
      <w:r>
        <w:t xml:space="preserve"> for their help in shepherding the article through the review process</w:t>
      </w:r>
      <w:r w:rsidR="000D279C">
        <w:t xml:space="preserve"> and preparing it for publication</w:t>
      </w:r>
      <w:r>
        <w:t>. Finally, this article benefited from the questions and discussion during the Middle East Studies Association’s 2017 Annual Meeting in Washington, D.C.</w:t>
      </w:r>
    </w:p>
    <w:p w14:paraId="1EC17BC9" w14:textId="40FF9C30" w:rsidR="00C117F6" w:rsidRDefault="00C117F6" w:rsidP="00C117F6">
      <w:pPr>
        <w:pStyle w:val="EndnoteText"/>
        <w:spacing w:line="480" w:lineRule="auto"/>
      </w:pPr>
    </w:p>
    <w:p w14:paraId="2917BA33" w14:textId="0E4F0B6D" w:rsidR="00C117F6" w:rsidRDefault="00C117F6" w:rsidP="00C117F6">
      <w:pPr>
        <w:pStyle w:val="EndnoteText"/>
        <w:spacing w:line="480" w:lineRule="auto"/>
      </w:pPr>
    </w:p>
    <w:p w14:paraId="0976005C" w14:textId="0EF87FE6" w:rsidR="00C117F6" w:rsidRDefault="00C117F6" w:rsidP="00C117F6">
      <w:pPr>
        <w:pStyle w:val="EndnoteText"/>
        <w:spacing w:line="480" w:lineRule="auto"/>
      </w:pPr>
    </w:p>
    <w:p w14:paraId="6E4F500D" w14:textId="73BEF715" w:rsidR="00C117F6" w:rsidRDefault="00C117F6" w:rsidP="00C117F6">
      <w:pPr>
        <w:pStyle w:val="EndnoteText"/>
        <w:spacing w:line="480" w:lineRule="auto"/>
      </w:pPr>
    </w:p>
    <w:p w14:paraId="0019E448" w14:textId="7C57572C" w:rsidR="00C117F6" w:rsidRDefault="00C117F6" w:rsidP="00C117F6">
      <w:pPr>
        <w:pStyle w:val="EndnoteText"/>
        <w:spacing w:line="480" w:lineRule="auto"/>
      </w:pPr>
    </w:p>
    <w:p w14:paraId="3DB83BF5" w14:textId="5FE0E8C3" w:rsidR="00C117F6" w:rsidRDefault="00C117F6" w:rsidP="00C117F6">
      <w:pPr>
        <w:pStyle w:val="EndnoteText"/>
        <w:spacing w:line="480" w:lineRule="auto"/>
      </w:pPr>
    </w:p>
    <w:p w14:paraId="524E7AF9" w14:textId="27D07F25" w:rsidR="00C117F6" w:rsidRDefault="00C117F6" w:rsidP="00C117F6">
      <w:pPr>
        <w:pStyle w:val="EndnoteText"/>
        <w:spacing w:line="480" w:lineRule="auto"/>
      </w:pPr>
    </w:p>
    <w:p w14:paraId="04AA7C5F" w14:textId="1B71F865" w:rsidR="00C117F6" w:rsidRDefault="00C117F6" w:rsidP="00C117F6">
      <w:pPr>
        <w:pStyle w:val="EndnoteText"/>
        <w:spacing w:line="480" w:lineRule="auto"/>
      </w:pPr>
    </w:p>
    <w:p w14:paraId="7E52F0C9" w14:textId="4EEC54C4" w:rsidR="00C117F6" w:rsidRDefault="00C117F6" w:rsidP="00C117F6">
      <w:pPr>
        <w:pStyle w:val="EndnoteText"/>
        <w:spacing w:line="480" w:lineRule="auto"/>
      </w:pPr>
    </w:p>
    <w:p w14:paraId="5B7CC5E2" w14:textId="5CC05168" w:rsidR="00C117F6" w:rsidRDefault="00C117F6" w:rsidP="00C117F6">
      <w:pPr>
        <w:pStyle w:val="EndnoteText"/>
        <w:spacing w:line="480" w:lineRule="auto"/>
      </w:pPr>
    </w:p>
    <w:p w14:paraId="58FFE89C" w14:textId="6C8B7CBD" w:rsidR="00C117F6" w:rsidRDefault="00C117F6" w:rsidP="00C117F6">
      <w:pPr>
        <w:pStyle w:val="EndnoteText"/>
        <w:spacing w:line="480" w:lineRule="auto"/>
      </w:pPr>
    </w:p>
    <w:p w14:paraId="3E3D5738" w14:textId="5247E339" w:rsidR="00C117F6" w:rsidRDefault="00C117F6" w:rsidP="00C117F6">
      <w:pPr>
        <w:pStyle w:val="EndnoteText"/>
        <w:spacing w:line="480" w:lineRule="auto"/>
      </w:pPr>
    </w:p>
    <w:p w14:paraId="2AE4E06B" w14:textId="77777777" w:rsidR="00C117F6" w:rsidRDefault="00C117F6" w:rsidP="00C117F6">
      <w:pPr>
        <w:pStyle w:val="EndnoteText"/>
        <w:spacing w:line="480" w:lineRule="auto"/>
      </w:pPr>
    </w:p>
    <w:p w14:paraId="482E7D21" w14:textId="47EB665F" w:rsidR="00DA6653" w:rsidRPr="009521AD" w:rsidRDefault="00DA6653" w:rsidP="00745F5E">
      <w:pPr>
        <w:pStyle w:val="EndnoteText"/>
        <w:spacing w:line="480" w:lineRule="auto"/>
        <w:rPr>
          <w:b/>
          <w:bCs/>
        </w:rPr>
      </w:pPr>
      <w:r w:rsidRPr="009521AD">
        <w:rPr>
          <w:b/>
          <w:bCs/>
        </w:rPr>
        <w:lastRenderedPageBreak/>
        <w:t xml:space="preserve">Figure </w:t>
      </w:r>
      <w:r w:rsidR="009521AD" w:rsidRPr="009521AD">
        <w:rPr>
          <w:b/>
          <w:bCs/>
        </w:rPr>
        <w:t>1</w:t>
      </w:r>
    </w:p>
    <w:p w14:paraId="04E3B0A5" w14:textId="663E0447" w:rsidR="00DA6653" w:rsidRDefault="00DA6653" w:rsidP="00745F5E">
      <w:pPr>
        <w:pStyle w:val="EndnoteText"/>
        <w:spacing w:line="480" w:lineRule="auto"/>
      </w:pPr>
      <w:r w:rsidRPr="00583D21">
        <w:rPr>
          <w:noProof/>
          <w:lang w:eastAsia="en-US"/>
        </w:rPr>
        <w:drawing>
          <wp:inline distT="0" distB="0" distL="0" distR="0" wp14:anchorId="7436FCA5" wp14:editId="7C873282">
            <wp:extent cx="3286530" cy="4917440"/>
            <wp:effectExtent l="0" t="0" r="0" b="101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07717-02.tiff"/>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86530" cy="4917440"/>
                    </a:xfrm>
                    <a:prstGeom prst="rect">
                      <a:avLst/>
                    </a:prstGeom>
                  </pic:spPr>
                </pic:pic>
              </a:graphicData>
            </a:graphic>
          </wp:inline>
        </w:drawing>
      </w:r>
    </w:p>
    <w:p w14:paraId="291E3D28" w14:textId="77777777" w:rsidR="00DA6653" w:rsidRPr="00583D21" w:rsidRDefault="00DA6653" w:rsidP="00DA6653">
      <w:pPr>
        <w:spacing w:line="240" w:lineRule="auto"/>
        <w:rPr>
          <w:szCs w:val="24"/>
        </w:rPr>
      </w:pPr>
      <w:proofErr w:type="spellStart"/>
      <w:r>
        <w:rPr>
          <w:szCs w:val="24"/>
        </w:rPr>
        <w:t>I</w:t>
      </w:r>
      <w:r w:rsidRPr="005A7921">
        <w:rPr>
          <w:rFonts w:ascii="JaghbUni" w:hAnsi="JaghbUni"/>
          <w:szCs w:val="24"/>
        </w:rPr>
        <w:t>ʿ</w:t>
      </w:r>
      <w:r>
        <w:rPr>
          <w:szCs w:val="24"/>
        </w:rPr>
        <w:t>tima</w:t>
      </w:r>
      <w:r w:rsidRPr="00583D21">
        <w:rPr>
          <w:szCs w:val="24"/>
        </w:rPr>
        <w:t>d</w:t>
      </w:r>
      <w:proofErr w:type="spellEnd"/>
      <w:r w:rsidRPr="00583D21">
        <w:rPr>
          <w:szCs w:val="24"/>
        </w:rPr>
        <w:t xml:space="preserve"> al-</w:t>
      </w:r>
      <w:proofErr w:type="spellStart"/>
      <w:r w:rsidRPr="00583D21">
        <w:rPr>
          <w:szCs w:val="24"/>
        </w:rPr>
        <w:t>Dawlih</w:t>
      </w:r>
      <w:proofErr w:type="spellEnd"/>
      <w:r w:rsidRPr="00583D21">
        <w:rPr>
          <w:szCs w:val="24"/>
        </w:rPr>
        <w:t xml:space="preserve"> (standing) with </w:t>
      </w:r>
      <w:r>
        <w:rPr>
          <w:szCs w:val="24"/>
        </w:rPr>
        <w:t>Agha</w:t>
      </w:r>
      <w:r w:rsidRPr="00583D21">
        <w:rPr>
          <w:szCs w:val="24"/>
        </w:rPr>
        <w:t xml:space="preserve"> Muhammad Khan. © The British Library Board. Inside back cover of Add. 24903, The British Library.</w:t>
      </w:r>
    </w:p>
    <w:p w14:paraId="15F9D785" w14:textId="7FB6883C" w:rsidR="00745F5E" w:rsidRDefault="00745F5E" w:rsidP="00745F5E">
      <w:pPr>
        <w:pStyle w:val="EndnoteText"/>
        <w:spacing w:line="480" w:lineRule="auto"/>
      </w:pPr>
    </w:p>
    <w:p w14:paraId="18956B2C" w14:textId="373D36C0" w:rsidR="00C117F6" w:rsidRDefault="00C117F6" w:rsidP="00745F5E">
      <w:pPr>
        <w:pStyle w:val="EndnoteText"/>
        <w:spacing w:line="480" w:lineRule="auto"/>
      </w:pPr>
    </w:p>
    <w:p w14:paraId="426A2D54" w14:textId="7E59D796" w:rsidR="00C117F6" w:rsidRDefault="00C117F6" w:rsidP="00745F5E">
      <w:pPr>
        <w:pStyle w:val="EndnoteText"/>
        <w:spacing w:line="480" w:lineRule="auto"/>
      </w:pPr>
    </w:p>
    <w:p w14:paraId="57B0A128" w14:textId="2E236B8D" w:rsidR="00C117F6" w:rsidRDefault="00C117F6" w:rsidP="00745F5E">
      <w:pPr>
        <w:pStyle w:val="EndnoteText"/>
        <w:spacing w:line="480" w:lineRule="auto"/>
      </w:pPr>
    </w:p>
    <w:p w14:paraId="1FE1C8E8" w14:textId="33E5271A" w:rsidR="00C117F6" w:rsidRDefault="00C117F6" w:rsidP="00745F5E">
      <w:pPr>
        <w:pStyle w:val="EndnoteText"/>
        <w:spacing w:line="480" w:lineRule="auto"/>
      </w:pPr>
    </w:p>
    <w:p w14:paraId="48E4D8E2" w14:textId="52EF4283" w:rsidR="009521AD" w:rsidRDefault="009521AD" w:rsidP="00745F5E">
      <w:pPr>
        <w:pStyle w:val="EndnoteText"/>
        <w:spacing w:line="480" w:lineRule="auto"/>
      </w:pPr>
    </w:p>
    <w:p w14:paraId="3FD78EFB" w14:textId="77777777" w:rsidR="00C117F6" w:rsidRDefault="00C117F6" w:rsidP="00745F5E">
      <w:pPr>
        <w:pStyle w:val="EndnoteText"/>
        <w:spacing w:line="480" w:lineRule="auto"/>
      </w:pPr>
    </w:p>
    <w:p w14:paraId="66A879D7" w14:textId="38F7DB79" w:rsidR="009521AD" w:rsidRPr="009521AD" w:rsidRDefault="009521AD" w:rsidP="00745F5E">
      <w:pPr>
        <w:pStyle w:val="EndnoteText"/>
        <w:spacing w:line="480" w:lineRule="auto"/>
        <w:rPr>
          <w:b/>
          <w:bCs/>
        </w:rPr>
      </w:pPr>
      <w:r w:rsidRPr="009521AD">
        <w:rPr>
          <w:b/>
          <w:bCs/>
        </w:rPr>
        <w:lastRenderedPageBreak/>
        <w:t>Figure 2</w:t>
      </w:r>
    </w:p>
    <w:p w14:paraId="366A6CE6" w14:textId="77777777" w:rsidR="009521AD" w:rsidRPr="00583D21" w:rsidRDefault="009521AD" w:rsidP="009521AD">
      <w:pPr>
        <w:spacing w:line="480" w:lineRule="auto"/>
        <w:rPr>
          <w:szCs w:val="24"/>
        </w:rPr>
      </w:pPr>
      <w:r w:rsidRPr="00583D21">
        <w:rPr>
          <w:noProof/>
          <w:szCs w:val="24"/>
          <w:lang w:eastAsia="en-US"/>
        </w:rPr>
        <w:drawing>
          <wp:inline distT="0" distB="0" distL="0" distR="0" wp14:anchorId="60976D9F" wp14:editId="2C554E65">
            <wp:extent cx="3861812" cy="5631809"/>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72406.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64871" cy="5636270"/>
                    </a:xfrm>
                    <a:prstGeom prst="rect">
                      <a:avLst/>
                    </a:prstGeom>
                  </pic:spPr>
                </pic:pic>
              </a:graphicData>
            </a:graphic>
          </wp:inline>
        </w:drawing>
      </w:r>
    </w:p>
    <w:p w14:paraId="2BE08D3F" w14:textId="77777777" w:rsidR="009521AD" w:rsidRPr="00583D21" w:rsidRDefault="009521AD" w:rsidP="009521AD">
      <w:pPr>
        <w:spacing w:line="240" w:lineRule="auto"/>
        <w:rPr>
          <w:szCs w:val="24"/>
        </w:rPr>
      </w:pPr>
      <w:r w:rsidRPr="00583D21">
        <w:rPr>
          <w:szCs w:val="24"/>
        </w:rPr>
        <w:t xml:space="preserve">Mirza Riza </w:t>
      </w:r>
      <w:proofErr w:type="spellStart"/>
      <w:r w:rsidRPr="00583D21">
        <w:rPr>
          <w:szCs w:val="24"/>
        </w:rPr>
        <w:t>Quli</w:t>
      </w:r>
      <w:proofErr w:type="spellEnd"/>
      <w:r w:rsidRPr="00583D21">
        <w:rPr>
          <w:szCs w:val="24"/>
        </w:rPr>
        <w:t xml:space="preserve">, the </w:t>
      </w: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r w:rsidRPr="00583D21">
        <w:rPr>
          <w:szCs w:val="24"/>
        </w:rPr>
        <w:t>, presenting gifts to Fath-</w:t>
      </w:r>
      <w:proofErr w:type="spellStart"/>
      <w:r w:rsidRPr="005A7921">
        <w:rPr>
          <w:rFonts w:ascii="JaghbUni" w:hAnsi="JaghbUni"/>
          <w:szCs w:val="24"/>
        </w:rPr>
        <w:t>ʿ</w:t>
      </w:r>
      <w:r w:rsidRPr="00583D21">
        <w:rPr>
          <w:szCs w:val="24"/>
        </w:rPr>
        <w:t>Ali</w:t>
      </w:r>
      <w:proofErr w:type="spellEnd"/>
      <w:r w:rsidRPr="00583D21">
        <w:rPr>
          <w:szCs w:val="24"/>
        </w:rPr>
        <w:t xml:space="preserve"> Shah Qajar © The British Library Board. IO Islamic 3442, f 64v, The British Library.</w:t>
      </w:r>
    </w:p>
    <w:p w14:paraId="17AB7299" w14:textId="1B73DB56" w:rsidR="009521AD" w:rsidRDefault="009521AD" w:rsidP="00745F5E">
      <w:pPr>
        <w:pStyle w:val="EndnoteText"/>
        <w:spacing w:line="480" w:lineRule="auto"/>
      </w:pPr>
    </w:p>
    <w:p w14:paraId="46B22891" w14:textId="4B951989" w:rsidR="009521AD" w:rsidRDefault="009521AD" w:rsidP="00745F5E">
      <w:pPr>
        <w:pStyle w:val="EndnoteText"/>
        <w:spacing w:line="480" w:lineRule="auto"/>
      </w:pPr>
    </w:p>
    <w:p w14:paraId="32017B41" w14:textId="7DE24852" w:rsidR="00C117F6" w:rsidRDefault="00C117F6" w:rsidP="00745F5E">
      <w:pPr>
        <w:pStyle w:val="EndnoteText"/>
        <w:spacing w:line="480" w:lineRule="auto"/>
      </w:pPr>
    </w:p>
    <w:p w14:paraId="6CFD7E94" w14:textId="53EDD94B" w:rsidR="00C117F6" w:rsidRDefault="00C117F6" w:rsidP="00745F5E">
      <w:pPr>
        <w:pStyle w:val="EndnoteText"/>
        <w:spacing w:line="480" w:lineRule="auto"/>
      </w:pPr>
    </w:p>
    <w:p w14:paraId="66B5F0E1" w14:textId="77777777" w:rsidR="00C117F6" w:rsidRDefault="00C117F6" w:rsidP="00745F5E">
      <w:pPr>
        <w:pStyle w:val="EndnoteText"/>
        <w:spacing w:line="480" w:lineRule="auto"/>
      </w:pPr>
      <w:bookmarkStart w:id="0" w:name="_GoBack"/>
      <w:bookmarkEnd w:id="0"/>
    </w:p>
    <w:p w14:paraId="7459170C" w14:textId="26E57AE3" w:rsidR="009521AD" w:rsidRDefault="009521AD" w:rsidP="00745F5E">
      <w:pPr>
        <w:pStyle w:val="EndnoteText"/>
        <w:spacing w:line="480" w:lineRule="auto"/>
      </w:pPr>
      <w:r>
        <w:rPr>
          <w:b/>
          <w:bCs/>
        </w:rPr>
        <w:lastRenderedPageBreak/>
        <w:t>Figure 3</w:t>
      </w:r>
    </w:p>
    <w:p w14:paraId="29868478" w14:textId="77777777" w:rsidR="009521AD" w:rsidRPr="00583D21" w:rsidRDefault="009521AD" w:rsidP="009521AD">
      <w:pPr>
        <w:spacing w:line="480" w:lineRule="auto"/>
        <w:ind w:firstLine="720"/>
        <w:rPr>
          <w:szCs w:val="24"/>
        </w:rPr>
      </w:pPr>
      <w:r w:rsidRPr="00583D21">
        <w:rPr>
          <w:rFonts w:ascii="Helvetica" w:hAnsi="Helvetica" w:cs="Helvetica"/>
          <w:noProof/>
          <w:color w:val="auto"/>
          <w:szCs w:val="24"/>
          <w:lang w:eastAsia="en-US"/>
        </w:rPr>
        <w:drawing>
          <wp:inline distT="0" distB="0" distL="0" distR="0" wp14:anchorId="6AF5A78D" wp14:editId="6D29BF63">
            <wp:extent cx="5662717" cy="3537283"/>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74745" cy="3544797"/>
                    </a:xfrm>
                    <a:prstGeom prst="rect">
                      <a:avLst/>
                    </a:prstGeom>
                    <a:noFill/>
                    <a:ln>
                      <a:noFill/>
                    </a:ln>
                  </pic:spPr>
                </pic:pic>
              </a:graphicData>
            </a:graphic>
          </wp:inline>
        </w:drawing>
      </w:r>
    </w:p>
    <w:p w14:paraId="4CA8231E" w14:textId="072AA4CE" w:rsidR="009521AD" w:rsidRDefault="009521AD" w:rsidP="009521AD">
      <w:pPr>
        <w:pStyle w:val="EndnoteText"/>
        <w:spacing w:line="480" w:lineRule="auto"/>
      </w:pPr>
      <w:r w:rsidRPr="00583D21">
        <w:t xml:space="preserve">Geographic origins of ministers. The size of the dots reflects the number of ministers from that town or city. Map by </w:t>
      </w:r>
      <w:r>
        <w:t>Assef Ashraf</w:t>
      </w:r>
      <w:r w:rsidRPr="00583D21">
        <w:t>.</w:t>
      </w:r>
    </w:p>
    <w:p w14:paraId="0A012EEF" w14:textId="3C8D6618" w:rsidR="00DC27EB" w:rsidRDefault="00DC27EB" w:rsidP="009521AD">
      <w:pPr>
        <w:pStyle w:val="EndnoteText"/>
        <w:spacing w:line="480" w:lineRule="auto"/>
      </w:pPr>
    </w:p>
    <w:p w14:paraId="22FB222B" w14:textId="2C204819" w:rsidR="00DC27EB" w:rsidRPr="00DC27EB" w:rsidRDefault="00DC27EB" w:rsidP="00486574">
      <w:pPr>
        <w:pStyle w:val="EndnoteText"/>
        <w:spacing w:line="480" w:lineRule="auto"/>
      </w:pPr>
      <w:r>
        <w:rPr>
          <w:b/>
          <w:bCs/>
        </w:rPr>
        <w:t>Table 1</w:t>
      </w:r>
    </w:p>
    <w:p w14:paraId="3FE349D9" w14:textId="26DFD462" w:rsidR="00DC27EB" w:rsidRDefault="00DC27EB" w:rsidP="00486574">
      <w:pPr>
        <w:spacing w:line="480" w:lineRule="auto"/>
        <w:jc w:val="center"/>
        <w:outlineLvl w:val="0"/>
        <w:rPr>
          <w:bCs/>
          <w:szCs w:val="24"/>
        </w:rPr>
      </w:pPr>
      <w:proofErr w:type="spellStart"/>
      <w:r w:rsidRPr="00583D21">
        <w:rPr>
          <w:bCs/>
          <w:i/>
          <w:szCs w:val="24"/>
        </w:rPr>
        <w:t>Dīvān</w:t>
      </w:r>
      <w:proofErr w:type="spellEnd"/>
      <w:r w:rsidRPr="00583D21">
        <w:rPr>
          <w:bCs/>
          <w:i/>
          <w:szCs w:val="24"/>
        </w:rPr>
        <w:t xml:space="preserve"> </w:t>
      </w:r>
      <w:r w:rsidRPr="00583D21">
        <w:rPr>
          <w:bCs/>
          <w:szCs w:val="24"/>
        </w:rPr>
        <w:t>Ministers</w:t>
      </w:r>
    </w:p>
    <w:p w14:paraId="73E3783C" w14:textId="77777777" w:rsidR="00486574" w:rsidRPr="00486574" w:rsidRDefault="00486574" w:rsidP="00486574">
      <w:pPr>
        <w:spacing w:line="480" w:lineRule="auto"/>
        <w:jc w:val="center"/>
        <w:outlineLvl w:val="0"/>
        <w:rPr>
          <w:bCs/>
          <w:szCs w:val="24"/>
        </w:rPr>
      </w:pPr>
    </w:p>
    <w:tbl>
      <w:tblPr>
        <w:tblStyle w:val="a"/>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868"/>
        <w:gridCol w:w="1868"/>
        <w:gridCol w:w="1868"/>
        <w:gridCol w:w="1868"/>
        <w:gridCol w:w="1868"/>
      </w:tblGrid>
      <w:tr w:rsidR="00DC27EB" w:rsidRPr="00583D21" w14:paraId="16A6EDBA" w14:textId="77777777" w:rsidTr="0008250D">
        <w:trPr>
          <w:cantSplit/>
        </w:trPr>
        <w:tc>
          <w:tcPr>
            <w:tcW w:w="1000" w:type="pct"/>
            <w:tcMar>
              <w:top w:w="100" w:type="dxa"/>
              <w:left w:w="100" w:type="dxa"/>
              <w:bottom w:w="100" w:type="dxa"/>
              <w:right w:w="100" w:type="dxa"/>
            </w:tcMar>
          </w:tcPr>
          <w:p w14:paraId="0D94EBFE" w14:textId="77777777" w:rsidR="00DC27EB" w:rsidRPr="00583D21" w:rsidRDefault="00DC27EB" w:rsidP="0008250D">
            <w:pPr>
              <w:widowControl w:val="0"/>
              <w:spacing w:line="240" w:lineRule="auto"/>
              <w:rPr>
                <w:bCs/>
                <w:szCs w:val="24"/>
              </w:rPr>
            </w:pPr>
            <w:r w:rsidRPr="00583D21">
              <w:rPr>
                <w:bCs/>
                <w:szCs w:val="24"/>
              </w:rPr>
              <w:t>Name</w:t>
            </w:r>
          </w:p>
        </w:tc>
        <w:tc>
          <w:tcPr>
            <w:tcW w:w="1000" w:type="pct"/>
            <w:tcMar>
              <w:top w:w="100" w:type="dxa"/>
              <w:left w:w="100" w:type="dxa"/>
              <w:bottom w:w="100" w:type="dxa"/>
              <w:right w:w="100" w:type="dxa"/>
            </w:tcMar>
          </w:tcPr>
          <w:p w14:paraId="252E20CE" w14:textId="77777777" w:rsidR="00DC27EB" w:rsidRPr="00583D21" w:rsidRDefault="00DC27EB" w:rsidP="0008250D">
            <w:pPr>
              <w:widowControl w:val="0"/>
              <w:spacing w:line="240" w:lineRule="auto"/>
              <w:rPr>
                <w:bCs/>
                <w:szCs w:val="24"/>
              </w:rPr>
            </w:pPr>
            <w:r w:rsidRPr="00583D21">
              <w:rPr>
                <w:bCs/>
                <w:szCs w:val="24"/>
              </w:rPr>
              <w:t>Position</w:t>
            </w:r>
          </w:p>
        </w:tc>
        <w:tc>
          <w:tcPr>
            <w:tcW w:w="1000" w:type="pct"/>
            <w:tcMar>
              <w:top w:w="100" w:type="dxa"/>
              <w:left w:w="100" w:type="dxa"/>
              <w:bottom w:w="100" w:type="dxa"/>
              <w:right w:w="100" w:type="dxa"/>
            </w:tcMar>
          </w:tcPr>
          <w:p w14:paraId="75AD34C8" w14:textId="77777777" w:rsidR="00DC27EB" w:rsidRPr="00583D21" w:rsidRDefault="00DC27EB" w:rsidP="0008250D">
            <w:pPr>
              <w:widowControl w:val="0"/>
              <w:spacing w:line="240" w:lineRule="auto"/>
              <w:rPr>
                <w:bCs/>
                <w:szCs w:val="24"/>
              </w:rPr>
            </w:pPr>
            <w:r w:rsidRPr="00583D21">
              <w:rPr>
                <w:bCs/>
                <w:szCs w:val="24"/>
              </w:rPr>
              <w:t>Familial Background</w:t>
            </w:r>
          </w:p>
        </w:tc>
        <w:tc>
          <w:tcPr>
            <w:tcW w:w="1000" w:type="pct"/>
            <w:tcMar>
              <w:top w:w="100" w:type="dxa"/>
              <w:left w:w="100" w:type="dxa"/>
              <w:bottom w:w="100" w:type="dxa"/>
              <w:right w:w="100" w:type="dxa"/>
            </w:tcMar>
          </w:tcPr>
          <w:p w14:paraId="10CED478" w14:textId="77777777" w:rsidR="00DC27EB" w:rsidRPr="00583D21" w:rsidRDefault="00DC27EB" w:rsidP="0008250D">
            <w:pPr>
              <w:widowControl w:val="0"/>
              <w:spacing w:line="240" w:lineRule="auto"/>
              <w:rPr>
                <w:bCs/>
                <w:szCs w:val="24"/>
              </w:rPr>
            </w:pPr>
            <w:r w:rsidRPr="00583D21">
              <w:rPr>
                <w:bCs/>
                <w:szCs w:val="24"/>
              </w:rPr>
              <w:t>City or Province of Origin</w:t>
            </w:r>
          </w:p>
        </w:tc>
        <w:tc>
          <w:tcPr>
            <w:tcW w:w="1000" w:type="pct"/>
          </w:tcPr>
          <w:p w14:paraId="69B9C427" w14:textId="77777777" w:rsidR="00DC27EB" w:rsidRPr="00583D21" w:rsidRDefault="00DC27EB" w:rsidP="0008250D">
            <w:pPr>
              <w:widowControl w:val="0"/>
              <w:spacing w:line="240" w:lineRule="auto"/>
              <w:rPr>
                <w:bCs/>
                <w:szCs w:val="24"/>
              </w:rPr>
            </w:pPr>
            <w:r w:rsidRPr="00583D21">
              <w:rPr>
                <w:bCs/>
                <w:szCs w:val="24"/>
              </w:rPr>
              <w:t>Date Appointed</w:t>
            </w:r>
          </w:p>
        </w:tc>
      </w:tr>
      <w:tr w:rsidR="00DC27EB" w:rsidRPr="00583D21" w14:paraId="19646E5A" w14:textId="77777777" w:rsidTr="0008250D">
        <w:trPr>
          <w:cantSplit/>
        </w:trPr>
        <w:tc>
          <w:tcPr>
            <w:tcW w:w="1000" w:type="pct"/>
            <w:tcMar>
              <w:top w:w="100" w:type="dxa"/>
              <w:left w:w="100" w:type="dxa"/>
              <w:bottom w:w="100" w:type="dxa"/>
              <w:right w:w="100" w:type="dxa"/>
            </w:tcMar>
          </w:tcPr>
          <w:p w14:paraId="1CFABF15" w14:textId="77777777" w:rsidR="00DC27EB" w:rsidRPr="00583D21" w:rsidRDefault="00DC27EB" w:rsidP="0008250D">
            <w:pPr>
              <w:widowControl w:val="0"/>
              <w:spacing w:line="240" w:lineRule="auto"/>
              <w:rPr>
                <w:szCs w:val="24"/>
                <w:lang w:val="it-IT"/>
              </w:rPr>
            </w:pPr>
            <w:r>
              <w:rPr>
                <w:szCs w:val="24"/>
                <w:lang w:val="it-IT"/>
              </w:rPr>
              <w:t>Muhammad Ibrahim I</w:t>
            </w:r>
            <w:r>
              <w:rPr>
                <w:rFonts w:ascii="JaghbUni" w:hAnsi="JaghbUni"/>
              </w:rPr>
              <w:t>ʿ</w:t>
            </w:r>
            <w:proofErr w:type="spellStart"/>
            <w:r w:rsidRPr="00583D21">
              <w:rPr>
                <w:szCs w:val="24"/>
                <w:lang w:val="it-IT"/>
              </w:rPr>
              <w:t>timad</w:t>
            </w:r>
            <w:proofErr w:type="spellEnd"/>
            <w:r w:rsidRPr="00583D21">
              <w:rPr>
                <w:szCs w:val="24"/>
                <w:lang w:val="it-IT"/>
              </w:rPr>
              <w:t xml:space="preserve"> al-</w:t>
            </w:r>
            <w:proofErr w:type="spellStart"/>
            <w:r w:rsidRPr="00583D21">
              <w:rPr>
                <w:szCs w:val="24"/>
                <w:lang w:val="it-IT"/>
              </w:rPr>
              <w:t>Dawlih</w:t>
            </w:r>
            <w:proofErr w:type="spellEnd"/>
          </w:p>
        </w:tc>
        <w:tc>
          <w:tcPr>
            <w:tcW w:w="1000" w:type="pct"/>
            <w:tcMar>
              <w:top w:w="100" w:type="dxa"/>
              <w:left w:w="100" w:type="dxa"/>
              <w:bottom w:w="100" w:type="dxa"/>
              <w:right w:w="100" w:type="dxa"/>
            </w:tcMar>
          </w:tcPr>
          <w:p w14:paraId="5A81392E"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sidRPr="00AF37BB">
              <w:rPr>
                <w:rFonts w:ascii="JaghbUni" w:hAnsi="JaghbUni"/>
                <w:i/>
                <w:iCs/>
                <w:szCs w:val="24"/>
              </w:rPr>
              <w:t>a</w:t>
            </w:r>
            <w:r>
              <w:rPr>
                <w:rFonts w:ascii="JaghbUni" w:hAnsi="JaghbUni"/>
                <w:i/>
                <w:iCs/>
                <w:szCs w:val="24"/>
              </w:rPr>
              <w:t>ʿ</w:t>
            </w:r>
            <w:r w:rsidRPr="00AF37BB">
              <w:rPr>
                <w:rFonts w:ascii="JaghbUni" w:hAnsi="JaghbUni"/>
                <w:i/>
                <w:iCs/>
                <w:szCs w:val="24"/>
              </w:rPr>
              <w:t>ẓam</w:t>
            </w:r>
            <w:proofErr w:type="spellEnd"/>
          </w:p>
        </w:tc>
        <w:tc>
          <w:tcPr>
            <w:tcW w:w="1000" w:type="pct"/>
            <w:tcMar>
              <w:top w:w="100" w:type="dxa"/>
              <w:left w:w="100" w:type="dxa"/>
              <w:bottom w:w="100" w:type="dxa"/>
              <w:right w:w="100" w:type="dxa"/>
            </w:tcMar>
          </w:tcPr>
          <w:p w14:paraId="2A7B8E87" w14:textId="77777777" w:rsidR="00DC27EB" w:rsidRPr="00583D21" w:rsidRDefault="00DC27EB" w:rsidP="0008250D">
            <w:pPr>
              <w:widowControl w:val="0"/>
              <w:spacing w:line="240" w:lineRule="auto"/>
              <w:rPr>
                <w:szCs w:val="24"/>
              </w:rPr>
            </w:pPr>
            <w:proofErr w:type="spellStart"/>
            <w:r w:rsidRPr="00583D21">
              <w:rPr>
                <w:szCs w:val="24"/>
              </w:rPr>
              <w:t>Zand</w:t>
            </w:r>
            <w:proofErr w:type="spellEnd"/>
          </w:p>
        </w:tc>
        <w:tc>
          <w:tcPr>
            <w:tcW w:w="1000" w:type="pct"/>
            <w:tcMar>
              <w:top w:w="100" w:type="dxa"/>
              <w:left w:w="100" w:type="dxa"/>
              <w:bottom w:w="100" w:type="dxa"/>
              <w:right w:w="100" w:type="dxa"/>
            </w:tcMar>
          </w:tcPr>
          <w:p w14:paraId="61178B56" w14:textId="77777777" w:rsidR="00DC27EB" w:rsidRPr="00583D21" w:rsidRDefault="00DC27EB" w:rsidP="0008250D">
            <w:pPr>
              <w:widowControl w:val="0"/>
              <w:spacing w:line="240" w:lineRule="auto"/>
              <w:rPr>
                <w:szCs w:val="24"/>
              </w:rPr>
            </w:pPr>
            <w:r w:rsidRPr="00583D21">
              <w:rPr>
                <w:szCs w:val="24"/>
              </w:rPr>
              <w:t>Shiraz</w:t>
            </w:r>
          </w:p>
        </w:tc>
        <w:tc>
          <w:tcPr>
            <w:tcW w:w="1000" w:type="pct"/>
          </w:tcPr>
          <w:p w14:paraId="5F494838" w14:textId="77777777" w:rsidR="00DC27EB" w:rsidRPr="00583D21" w:rsidRDefault="00DC27EB" w:rsidP="0008250D">
            <w:pPr>
              <w:widowControl w:val="0"/>
              <w:spacing w:line="240" w:lineRule="auto"/>
              <w:rPr>
                <w:szCs w:val="24"/>
              </w:rPr>
            </w:pPr>
            <w:r w:rsidRPr="00583D21">
              <w:rPr>
                <w:szCs w:val="24"/>
              </w:rPr>
              <w:t>1794</w:t>
            </w:r>
          </w:p>
        </w:tc>
      </w:tr>
      <w:tr w:rsidR="00DC27EB" w:rsidRPr="00583D21" w14:paraId="2DA13FDC" w14:textId="77777777" w:rsidTr="0008250D">
        <w:trPr>
          <w:cantSplit/>
        </w:trPr>
        <w:tc>
          <w:tcPr>
            <w:tcW w:w="1000" w:type="pct"/>
            <w:tcBorders>
              <w:bottom w:val="single" w:sz="8" w:space="0" w:color="000000"/>
            </w:tcBorders>
            <w:tcMar>
              <w:top w:w="100" w:type="dxa"/>
              <w:left w:w="100" w:type="dxa"/>
              <w:bottom w:w="100" w:type="dxa"/>
              <w:right w:w="100" w:type="dxa"/>
            </w:tcMar>
          </w:tcPr>
          <w:p w14:paraId="3CEA3CA6" w14:textId="77777777" w:rsidR="00DC27EB" w:rsidRPr="00583D21" w:rsidRDefault="00DC27EB" w:rsidP="0008250D">
            <w:pPr>
              <w:widowControl w:val="0"/>
              <w:spacing w:line="240" w:lineRule="auto"/>
              <w:rPr>
                <w:szCs w:val="24"/>
              </w:rPr>
            </w:pPr>
            <w:r w:rsidRPr="00583D21">
              <w:rPr>
                <w:szCs w:val="24"/>
              </w:rPr>
              <w:t xml:space="preserve">Mirza Muhammad </w:t>
            </w:r>
            <w:proofErr w:type="spellStart"/>
            <w:r w:rsidRPr="00583D21">
              <w:rPr>
                <w:szCs w:val="24"/>
              </w:rPr>
              <w:t>Shafi</w:t>
            </w:r>
            <w:r>
              <w:rPr>
                <w:rFonts w:ascii="JaghbUni" w:hAnsi="JaghbUni"/>
              </w:rPr>
              <w:t>ʿ</w:t>
            </w:r>
            <w:proofErr w:type="spellEnd"/>
          </w:p>
        </w:tc>
        <w:tc>
          <w:tcPr>
            <w:tcW w:w="1000" w:type="pct"/>
            <w:tcBorders>
              <w:bottom w:val="single" w:sz="8" w:space="0" w:color="000000"/>
            </w:tcBorders>
            <w:tcMar>
              <w:top w:w="100" w:type="dxa"/>
              <w:left w:w="100" w:type="dxa"/>
              <w:bottom w:w="100" w:type="dxa"/>
              <w:right w:w="100" w:type="dxa"/>
            </w:tcMar>
          </w:tcPr>
          <w:p w14:paraId="012590DD"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Borders>
              <w:bottom w:val="single" w:sz="8" w:space="0" w:color="000000"/>
            </w:tcBorders>
            <w:tcMar>
              <w:top w:w="100" w:type="dxa"/>
              <w:left w:w="100" w:type="dxa"/>
              <w:bottom w:w="100" w:type="dxa"/>
              <w:right w:w="100" w:type="dxa"/>
            </w:tcMar>
          </w:tcPr>
          <w:p w14:paraId="1933189F" w14:textId="77777777" w:rsidR="00DC27EB" w:rsidRPr="00583D21" w:rsidRDefault="00DC27EB" w:rsidP="0008250D">
            <w:pPr>
              <w:widowControl w:val="0"/>
              <w:spacing w:line="240" w:lineRule="auto"/>
              <w:rPr>
                <w:szCs w:val="24"/>
              </w:rPr>
            </w:pPr>
            <w:proofErr w:type="spellStart"/>
            <w:r w:rsidRPr="00583D21">
              <w:rPr>
                <w:szCs w:val="24"/>
              </w:rPr>
              <w:t>Afshar</w:t>
            </w:r>
            <w:proofErr w:type="spellEnd"/>
          </w:p>
        </w:tc>
        <w:tc>
          <w:tcPr>
            <w:tcW w:w="1000" w:type="pct"/>
            <w:tcBorders>
              <w:bottom w:val="single" w:sz="8" w:space="0" w:color="000000"/>
            </w:tcBorders>
            <w:tcMar>
              <w:top w:w="100" w:type="dxa"/>
              <w:left w:w="100" w:type="dxa"/>
              <w:bottom w:w="100" w:type="dxa"/>
              <w:right w:w="100" w:type="dxa"/>
            </w:tcMar>
          </w:tcPr>
          <w:p w14:paraId="5844574A" w14:textId="77777777" w:rsidR="00DC27EB" w:rsidRPr="00583D21" w:rsidRDefault="00DC27EB" w:rsidP="0008250D">
            <w:pPr>
              <w:widowControl w:val="0"/>
              <w:spacing w:line="240" w:lineRule="auto"/>
              <w:rPr>
                <w:szCs w:val="24"/>
              </w:rPr>
            </w:pPr>
            <w:proofErr w:type="spellStart"/>
            <w:r w:rsidRPr="00583D21">
              <w:rPr>
                <w:szCs w:val="24"/>
              </w:rPr>
              <w:t>Bandpay</w:t>
            </w:r>
            <w:proofErr w:type="spellEnd"/>
            <w:r w:rsidRPr="00583D21">
              <w:rPr>
                <w:szCs w:val="24"/>
              </w:rPr>
              <w:t>, Mazandaran</w:t>
            </w:r>
          </w:p>
        </w:tc>
        <w:tc>
          <w:tcPr>
            <w:tcW w:w="1000" w:type="pct"/>
            <w:tcBorders>
              <w:bottom w:val="single" w:sz="8" w:space="0" w:color="000000"/>
            </w:tcBorders>
          </w:tcPr>
          <w:p w14:paraId="50D59AD2" w14:textId="77777777" w:rsidR="00DC27EB" w:rsidRPr="00583D21" w:rsidRDefault="00DC27EB" w:rsidP="0008250D">
            <w:pPr>
              <w:widowControl w:val="0"/>
              <w:spacing w:line="240" w:lineRule="auto"/>
              <w:rPr>
                <w:szCs w:val="24"/>
              </w:rPr>
            </w:pPr>
            <w:r w:rsidRPr="00583D21">
              <w:rPr>
                <w:szCs w:val="24"/>
              </w:rPr>
              <w:t>1801</w:t>
            </w:r>
          </w:p>
        </w:tc>
      </w:tr>
      <w:tr w:rsidR="00DC27EB" w:rsidRPr="00583D21" w14:paraId="7173B6BD" w14:textId="77777777" w:rsidTr="0008250D">
        <w:trPr>
          <w:cantSplit/>
        </w:trPr>
        <w:tc>
          <w:tcPr>
            <w:tcW w:w="1000" w:type="pct"/>
            <w:tcBorders>
              <w:bottom w:val="nil"/>
            </w:tcBorders>
            <w:shd w:val="clear" w:color="auto" w:fill="auto"/>
            <w:tcMar>
              <w:top w:w="100" w:type="dxa"/>
              <w:left w:w="100" w:type="dxa"/>
              <w:bottom w:w="100" w:type="dxa"/>
              <w:right w:w="100" w:type="dxa"/>
            </w:tcMar>
          </w:tcPr>
          <w:p w14:paraId="1E1B9F09" w14:textId="77777777" w:rsidR="00DC27EB" w:rsidRPr="00583D21" w:rsidRDefault="00DC27EB" w:rsidP="0008250D">
            <w:pPr>
              <w:widowControl w:val="0"/>
              <w:spacing w:line="240" w:lineRule="auto"/>
              <w:rPr>
                <w:szCs w:val="24"/>
              </w:rPr>
            </w:pPr>
            <w:r w:rsidRPr="00583D21">
              <w:rPr>
                <w:szCs w:val="24"/>
              </w:rPr>
              <w:lastRenderedPageBreak/>
              <w:t xml:space="preserve">Muhammad </w:t>
            </w:r>
            <w:proofErr w:type="spellStart"/>
            <w:r w:rsidRPr="00583D21">
              <w:rPr>
                <w:szCs w:val="24"/>
              </w:rPr>
              <w:t>Husayn</w:t>
            </w:r>
            <w:proofErr w:type="spellEnd"/>
            <w:r w:rsidRPr="00583D21">
              <w:rPr>
                <w:szCs w:val="24"/>
              </w:rPr>
              <w:t xml:space="preserve"> Amin al-</w:t>
            </w:r>
            <w:proofErr w:type="spellStart"/>
            <w:r w:rsidRPr="00583D21">
              <w:rPr>
                <w:szCs w:val="24"/>
              </w:rPr>
              <w:t>Dawlih</w:t>
            </w:r>
            <w:proofErr w:type="spellEnd"/>
          </w:p>
        </w:tc>
        <w:tc>
          <w:tcPr>
            <w:tcW w:w="1000" w:type="pct"/>
            <w:tcBorders>
              <w:bottom w:val="nil"/>
            </w:tcBorders>
            <w:shd w:val="clear" w:color="auto" w:fill="auto"/>
            <w:tcMar>
              <w:top w:w="100" w:type="dxa"/>
              <w:left w:w="100" w:type="dxa"/>
              <w:bottom w:w="100" w:type="dxa"/>
              <w:right w:w="100" w:type="dxa"/>
            </w:tcMar>
          </w:tcPr>
          <w:p w14:paraId="24B0D405" w14:textId="77777777" w:rsidR="00DC27EB" w:rsidRPr="00583D21" w:rsidRDefault="00DC27EB" w:rsidP="0008250D">
            <w:pPr>
              <w:spacing w:line="240" w:lineRule="auto"/>
              <w:rPr>
                <w:i/>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Borders>
              <w:bottom w:val="nil"/>
            </w:tcBorders>
            <w:shd w:val="clear" w:color="auto" w:fill="auto"/>
            <w:tcMar>
              <w:top w:w="100" w:type="dxa"/>
              <w:left w:w="100" w:type="dxa"/>
              <w:bottom w:w="100" w:type="dxa"/>
              <w:right w:w="100" w:type="dxa"/>
            </w:tcMar>
          </w:tcPr>
          <w:p w14:paraId="2EC27CB0" w14:textId="77777777" w:rsidR="00DC27EB" w:rsidRPr="00583D21" w:rsidRDefault="00DC27EB" w:rsidP="0008250D">
            <w:pPr>
              <w:widowControl w:val="0"/>
              <w:spacing w:line="240" w:lineRule="auto"/>
              <w:rPr>
                <w:szCs w:val="24"/>
              </w:rPr>
            </w:pPr>
            <w:r w:rsidRPr="00583D21">
              <w:rPr>
                <w:szCs w:val="24"/>
              </w:rPr>
              <w:t>Qajar</w:t>
            </w:r>
          </w:p>
        </w:tc>
        <w:tc>
          <w:tcPr>
            <w:tcW w:w="1000" w:type="pct"/>
            <w:tcBorders>
              <w:bottom w:val="nil"/>
            </w:tcBorders>
            <w:shd w:val="clear" w:color="auto" w:fill="auto"/>
            <w:tcMar>
              <w:top w:w="100" w:type="dxa"/>
              <w:left w:w="100" w:type="dxa"/>
              <w:bottom w:w="100" w:type="dxa"/>
              <w:right w:w="100" w:type="dxa"/>
            </w:tcMar>
          </w:tcPr>
          <w:p w14:paraId="7636409A" w14:textId="77777777" w:rsidR="00DC27EB" w:rsidRPr="00583D21" w:rsidRDefault="00DC27EB" w:rsidP="0008250D">
            <w:pPr>
              <w:widowControl w:val="0"/>
              <w:spacing w:line="240" w:lineRule="auto"/>
              <w:rPr>
                <w:szCs w:val="24"/>
              </w:rPr>
            </w:pPr>
            <w:r w:rsidRPr="00583D21">
              <w:rPr>
                <w:szCs w:val="24"/>
              </w:rPr>
              <w:t>Isfahan</w:t>
            </w:r>
          </w:p>
        </w:tc>
        <w:tc>
          <w:tcPr>
            <w:tcW w:w="1000" w:type="pct"/>
            <w:tcBorders>
              <w:bottom w:val="nil"/>
            </w:tcBorders>
            <w:shd w:val="clear" w:color="auto" w:fill="auto"/>
          </w:tcPr>
          <w:p w14:paraId="1A595DE4" w14:textId="77777777" w:rsidR="00DC27EB" w:rsidRPr="00583D21" w:rsidRDefault="00DC27EB" w:rsidP="0008250D">
            <w:pPr>
              <w:widowControl w:val="0"/>
              <w:spacing w:line="240" w:lineRule="auto"/>
              <w:rPr>
                <w:szCs w:val="24"/>
              </w:rPr>
            </w:pPr>
            <w:r w:rsidRPr="00583D21">
              <w:rPr>
                <w:szCs w:val="24"/>
              </w:rPr>
              <w:t>1813-1814</w:t>
            </w:r>
          </w:p>
        </w:tc>
      </w:tr>
      <w:tr w:rsidR="00DC27EB" w:rsidRPr="00583D21" w14:paraId="5992AEF5" w14:textId="77777777" w:rsidTr="0008250D">
        <w:trPr>
          <w:cantSplit/>
        </w:trPr>
        <w:tc>
          <w:tcPr>
            <w:tcW w:w="1000" w:type="pct"/>
            <w:tcBorders>
              <w:top w:val="nil"/>
              <w:bottom w:val="single" w:sz="8" w:space="0" w:color="000000"/>
            </w:tcBorders>
            <w:shd w:val="clear" w:color="auto" w:fill="auto"/>
            <w:tcMar>
              <w:top w:w="100" w:type="dxa"/>
              <w:left w:w="100" w:type="dxa"/>
              <w:bottom w:w="100" w:type="dxa"/>
              <w:right w:w="100" w:type="dxa"/>
            </w:tcMar>
          </w:tcPr>
          <w:p w14:paraId="7F36525D"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shd w:val="clear" w:color="auto" w:fill="auto"/>
            <w:tcMar>
              <w:top w:w="100" w:type="dxa"/>
              <w:left w:w="100" w:type="dxa"/>
              <w:bottom w:w="100" w:type="dxa"/>
              <w:right w:w="100" w:type="dxa"/>
            </w:tcMar>
          </w:tcPr>
          <w:p w14:paraId="6202B497"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Borders>
              <w:top w:val="nil"/>
              <w:bottom w:val="single" w:sz="8" w:space="0" w:color="000000"/>
            </w:tcBorders>
            <w:shd w:val="clear" w:color="auto" w:fill="auto"/>
            <w:tcMar>
              <w:top w:w="100" w:type="dxa"/>
              <w:left w:w="100" w:type="dxa"/>
              <w:bottom w:w="100" w:type="dxa"/>
              <w:right w:w="100" w:type="dxa"/>
            </w:tcMar>
          </w:tcPr>
          <w:p w14:paraId="1CD6F9F9"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shd w:val="clear" w:color="auto" w:fill="auto"/>
            <w:tcMar>
              <w:top w:w="100" w:type="dxa"/>
              <w:left w:w="100" w:type="dxa"/>
              <w:bottom w:w="100" w:type="dxa"/>
              <w:right w:w="100" w:type="dxa"/>
            </w:tcMar>
          </w:tcPr>
          <w:p w14:paraId="7E407542"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shd w:val="clear" w:color="auto" w:fill="auto"/>
          </w:tcPr>
          <w:p w14:paraId="09DF60D6" w14:textId="77777777" w:rsidR="00DC27EB" w:rsidRPr="00583D21" w:rsidRDefault="00DC27EB" w:rsidP="0008250D">
            <w:pPr>
              <w:widowControl w:val="0"/>
              <w:spacing w:line="240" w:lineRule="auto"/>
              <w:rPr>
                <w:szCs w:val="24"/>
              </w:rPr>
            </w:pPr>
            <w:r w:rsidRPr="00583D21">
              <w:rPr>
                <w:szCs w:val="24"/>
              </w:rPr>
              <w:t>1806-1807</w:t>
            </w:r>
          </w:p>
        </w:tc>
      </w:tr>
      <w:tr w:rsidR="00DC27EB" w:rsidRPr="00583D21" w14:paraId="0B508F00" w14:textId="77777777" w:rsidTr="0008250D">
        <w:trPr>
          <w:cantSplit/>
        </w:trPr>
        <w:tc>
          <w:tcPr>
            <w:tcW w:w="1000" w:type="pct"/>
            <w:tcBorders>
              <w:bottom w:val="nil"/>
            </w:tcBorders>
            <w:tcMar>
              <w:top w:w="100" w:type="dxa"/>
              <w:left w:w="100" w:type="dxa"/>
              <w:bottom w:w="100" w:type="dxa"/>
              <w:right w:w="100" w:type="dxa"/>
            </w:tcMar>
          </w:tcPr>
          <w:p w14:paraId="6B4ED633" w14:textId="77777777" w:rsidR="00DC27EB" w:rsidRPr="00583D21" w:rsidRDefault="00DC27EB" w:rsidP="0008250D">
            <w:pPr>
              <w:widowControl w:val="0"/>
              <w:spacing w:line="240" w:lineRule="auto"/>
              <w:rPr>
                <w:szCs w:val="24"/>
                <w:lang w:val="es-US"/>
              </w:rPr>
            </w:pPr>
            <w:r>
              <w:rPr>
                <w:szCs w:val="24"/>
                <w:lang w:val="es-US"/>
              </w:rPr>
              <w:t xml:space="preserve">Mirza </w:t>
            </w:r>
            <w:r>
              <w:rPr>
                <w:rFonts w:ascii="JaghbUni" w:hAnsi="JaghbUni"/>
              </w:rPr>
              <w:t>ʿ</w:t>
            </w:r>
            <w:r>
              <w:rPr>
                <w:szCs w:val="24"/>
                <w:lang w:val="es-US"/>
              </w:rPr>
              <w:t>Abdu’l-Vahhab Mu</w:t>
            </w:r>
            <w:r>
              <w:rPr>
                <w:rFonts w:ascii="JaghbUni" w:hAnsi="JaghbUni"/>
              </w:rPr>
              <w:t>ʿ</w:t>
            </w:r>
            <w:r w:rsidRPr="00583D21">
              <w:rPr>
                <w:szCs w:val="24"/>
                <w:lang w:val="es-US"/>
              </w:rPr>
              <w:t>tamid al-Dawlih</w:t>
            </w:r>
          </w:p>
        </w:tc>
        <w:tc>
          <w:tcPr>
            <w:tcW w:w="1000" w:type="pct"/>
            <w:tcBorders>
              <w:bottom w:val="nil"/>
            </w:tcBorders>
            <w:tcMar>
              <w:top w:w="100" w:type="dxa"/>
              <w:left w:w="100" w:type="dxa"/>
              <w:bottom w:w="100" w:type="dxa"/>
              <w:right w:w="100" w:type="dxa"/>
            </w:tcMar>
          </w:tcPr>
          <w:p w14:paraId="4A7C63A1"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Borders>
              <w:bottom w:val="nil"/>
            </w:tcBorders>
            <w:tcMar>
              <w:top w:w="100" w:type="dxa"/>
              <w:left w:w="100" w:type="dxa"/>
              <w:bottom w:w="100" w:type="dxa"/>
              <w:right w:w="100" w:type="dxa"/>
            </w:tcMar>
          </w:tcPr>
          <w:p w14:paraId="2106F021" w14:textId="77777777" w:rsidR="00DC27EB" w:rsidRPr="00583D21" w:rsidRDefault="00DC27EB" w:rsidP="0008250D">
            <w:pPr>
              <w:widowControl w:val="0"/>
              <w:spacing w:line="240" w:lineRule="auto"/>
              <w:rPr>
                <w:szCs w:val="24"/>
              </w:rPr>
            </w:pPr>
          </w:p>
        </w:tc>
        <w:tc>
          <w:tcPr>
            <w:tcW w:w="1000" w:type="pct"/>
            <w:tcBorders>
              <w:bottom w:val="nil"/>
            </w:tcBorders>
            <w:tcMar>
              <w:top w:w="100" w:type="dxa"/>
              <w:left w:w="100" w:type="dxa"/>
              <w:bottom w:w="100" w:type="dxa"/>
              <w:right w:w="100" w:type="dxa"/>
            </w:tcMar>
          </w:tcPr>
          <w:p w14:paraId="2236F742" w14:textId="77777777" w:rsidR="00DC27EB" w:rsidRPr="00583D21" w:rsidRDefault="00DC27EB" w:rsidP="0008250D">
            <w:pPr>
              <w:widowControl w:val="0"/>
              <w:spacing w:line="240" w:lineRule="auto"/>
              <w:rPr>
                <w:szCs w:val="24"/>
              </w:rPr>
            </w:pPr>
            <w:r w:rsidRPr="00583D21">
              <w:rPr>
                <w:szCs w:val="24"/>
              </w:rPr>
              <w:t>Isfahan</w:t>
            </w:r>
          </w:p>
        </w:tc>
        <w:tc>
          <w:tcPr>
            <w:tcW w:w="1000" w:type="pct"/>
            <w:tcBorders>
              <w:bottom w:val="nil"/>
            </w:tcBorders>
          </w:tcPr>
          <w:p w14:paraId="31B86D94" w14:textId="77777777" w:rsidR="00DC27EB" w:rsidRPr="00583D21" w:rsidRDefault="00DC27EB" w:rsidP="0008250D">
            <w:pPr>
              <w:widowControl w:val="0"/>
              <w:spacing w:line="240" w:lineRule="auto"/>
              <w:rPr>
                <w:szCs w:val="24"/>
              </w:rPr>
            </w:pPr>
          </w:p>
        </w:tc>
      </w:tr>
      <w:tr w:rsidR="00DC27EB" w:rsidRPr="00583D21" w14:paraId="41AB4316" w14:textId="77777777" w:rsidTr="0008250D">
        <w:trPr>
          <w:cantSplit/>
        </w:trPr>
        <w:tc>
          <w:tcPr>
            <w:tcW w:w="1000" w:type="pct"/>
            <w:tcBorders>
              <w:top w:val="nil"/>
              <w:bottom w:val="single" w:sz="8" w:space="0" w:color="000000"/>
            </w:tcBorders>
            <w:tcMar>
              <w:top w:w="100" w:type="dxa"/>
              <w:left w:w="100" w:type="dxa"/>
              <w:bottom w:w="100" w:type="dxa"/>
              <w:right w:w="100" w:type="dxa"/>
            </w:tcMar>
          </w:tcPr>
          <w:p w14:paraId="2C8AAA60"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tcMar>
              <w:top w:w="100" w:type="dxa"/>
              <w:left w:w="100" w:type="dxa"/>
              <w:bottom w:w="100" w:type="dxa"/>
              <w:right w:w="100" w:type="dxa"/>
            </w:tcMar>
          </w:tcPr>
          <w:p w14:paraId="5EB6E144"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Borders>
              <w:top w:val="nil"/>
              <w:bottom w:val="single" w:sz="8" w:space="0" w:color="000000"/>
            </w:tcBorders>
            <w:tcMar>
              <w:top w:w="100" w:type="dxa"/>
              <w:left w:w="100" w:type="dxa"/>
              <w:bottom w:w="100" w:type="dxa"/>
              <w:right w:w="100" w:type="dxa"/>
            </w:tcMar>
          </w:tcPr>
          <w:p w14:paraId="28ECD6FB"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tcMar>
              <w:top w:w="100" w:type="dxa"/>
              <w:left w:w="100" w:type="dxa"/>
              <w:bottom w:w="100" w:type="dxa"/>
              <w:right w:w="100" w:type="dxa"/>
            </w:tcMar>
          </w:tcPr>
          <w:p w14:paraId="21001687" w14:textId="77777777" w:rsidR="00DC27EB" w:rsidRPr="00583D21" w:rsidRDefault="00DC27EB" w:rsidP="0008250D">
            <w:pPr>
              <w:widowControl w:val="0"/>
              <w:spacing w:line="240" w:lineRule="auto"/>
              <w:rPr>
                <w:szCs w:val="24"/>
              </w:rPr>
            </w:pPr>
          </w:p>
        </w:tc>
        <w:tc>
          <w:tcPr>
            <w:tcW w:w="1000" w:type="pct"/>
            <w:tcBorders>
              <w:top w:val="nil"/>
              <w:bottom w:val="single" w:sz="8" w:space="0" w:color="000000"/>
            </w:tcBorders>
          </w:tcPr>
          <w:p w14:paraId="1B6D0D7D" w14:textId="77777777" w:rsidR="00DC27EB" w:rsidRPr="00583D21" w:rsidRDefault="00DC27EB" w:rsidP="0008250D">
            <w:pPr>
              <w:widowControl w:val="0"/>
              <w:spacing w:line="240" w:lineRule="auto"/>
              <w:rPr>
                <w:szCs w:val="24"/>
              </w:rPr>
            </w:pPr>
            <w:r w:rsidRPr="00583D21">
              <w:rPr>
                <w:szCs w:val="24"/>
              </w:rPr>
              <w:t>1805-06</w:t>
            </w:r>
          </w:p>
        </w:tc>
      </w:tr>
      <w:tr w:rsidR="00DC27EB" w:rsidRPr="00583D21" w14:paraId="494DD57B" w14:textId="77777777" w:rsidTr="0008250D">
        <w:trPr>
          <w:cantSplit/>
        </w:trPr>
        <w:tc>
          <w:tcPr>
            <w:tcW w:w="1000" w:type="pct"/>
            <w:tcBorders>
              <w:bottom w:val="nil"/>
            </w:tcBorders>
            <w:tcMar>
              <w:top w:w="100" w:type="dxa"/>
              <w:left w:w="100" w:type="dxa"/>
              <w:bottom w:w="100" w:type="dxa"/>
              <w:right w:w="100" w:type="dxa"/>
            </w:tcMar>
          </w:tcPr>
          <w:p w14:paraId="62397231" w14:textId="7D569BA9" w:rsidR="00DC27EB" w:rsidRPr="00583D21" w:rsidRDefault="00DC27EB" w:rsidP="0008250D">
            <w:pPr>
              <w:widowControl w:val="0"/>
              <w:spacing w:line="240" w:lineRule="auto"/>
              <w:rPr>
                <w:szCs w:val="24"/>
                <w:lang w:val="es-US"/>
              </w:rPr>
            </w:pPr>
            <w:r>
              <w:rPr>
                <w:rFonts w:ascii="JaghbUni" w:hAnsi="JaghbUni"/>
              </w:rPr>
              <w:t>ʿ</w:t>
            </w:r>
            <w:r w:rsidR="00AE275B">
              <w:rPr>
                <w:szCs w:val="24"/>
                <w:lang w:val="es-US"/>
              </w:rPr>
              <w:t>Abd A</w:t>
            </w:r>
            <w:r w:rsidRPr="00583D21">
              <w:rPr>
                <w:szCs w:val="24"/>
                <w:lang w:val="es-US"/>
              </w:rPr>
              <w:t>llah Khan Amin al-Dawlih</w:t>
            </w:r>
          </w:p>
        </w:tc>
        <w:tc>
          <w:tcPr>
            <w:tcW w:w="1000" w:type="pct"/>
            <w:tcBorders>
              <w:bottom w:val="nil"/>
            </w:tcBorders>
            <w:tcMar>
              <w:top w:w="100" w:type="dxa"/>
              <w:left w:w="100" w:type="dxa"/>
              <w:bottom w:w="100" w:type="dxa"/>
              <w:right w:w="100" w:type="dxa"/>
            </w:tcMar>
          </w:tcPr>
          <w:p w14:paraId="50DE9B6A"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Borders>
              <w:bottom w:val="nil"/>
            </w:tcBorders>
            <w:tcMar>
              <w:top w:w="100" w:type="dxa"/>
              <w:left w:w="100" w:type="dxa"/>
              <w:bottom w:w="100" w:type="dxa"/>
              <w:right w:w="100" w:type="dxa"/>
            </w:tcMar>
          </w:tcPr>
          <w:p w14:paraId="06FD14A4" w14:textId="77777777" w:rsidR="00DC27EB" w:rsidRPr="00583D21" w:rsidRDefault="00DC27EB" w:rsidP="0008250D">
            <w:pPr>
              <w:widowControl w:val="0"/>
              <w:spacing w:line="240" w:lineRule="auto"/>
              <w:rPr>
                <w:szCs w:val="24"/>
              </w:rPr>
            </w:pPr>
            <w:r w:rsidRPr="00583D21">
              <w:rPr>
                <w:szCs w:val="24"/>
              </w:rPr>
              <w:t>Qajar</w:t>
            </w:r>
          </w:p>
        </w:tc>
        <w:tc>
          <w:tcPr>
            <w:tcW w:w="1000" w:type="pct"/>
            <w:tcBorders>
              <w:bottom w:val="nil"/>
            </w:tcBorders>
            <w:tcMar>
              <w:top w:w="100" w:type="dxa"/>
              <w:left w:w="100" w:type="dxa"/>
              <w:bottom w:w="100" w:type="dxa"/>
              <w:right w:w="100" w:type="dxa"/>
            </w:tcMar>
          </w:tcPr>
          <w:p w14:paraId="360D96F8" w14:textId="77777777" w:rsidR="00DC27EB" w:rsidRPr="00583D21" w:rsidRDefault="00DC27EB" w:rsidP="0008250D">
            <w:pPr>
              <w:widowControl w:val="0"/>
              <w:spacing w:line="240" w:lineRule="auto"/>
              <w:rPr>
                <w:szCs w:val="24"/>
              </w:rPr>
            </w:pPr>
            <w:r w:rsidRPr="00583D21">
              <w:rPr>
                <w:szCs w:val="24"/>
              </w:rPr>
              <w:t>Isfahan</w:t>
            </w:r>
          </w:p>
        </w:tc>
        <w:tc>
          <w:tcPr>
            <w:tcW w:w="1000" w:type="pct"/>
            <w:tcBorders>
              <w:bottom w:val="nil"/>
            </w:tcBorders>
          </w:tcPr>
          <w:p w14:paraId="42657532" w14:textId="77777777" w:rsidR="00DC27EB" w:rsidRPr="00583D21" w:rsidRDefault="00DC27EB" w:rsidP="0008250D">
            <w:pPr>
              <w:widowControl w:val="0"/>
              <w:spacing w:line="240" w:lineRule="auto"/>
              <w:rPr>
                <w:szCs w:val="24"/>
              </w:rPr>
            </w:pPr>
            <w:r w:rsidRPr="00583D21">
              <w:rPr>
                <w:szCs w:val="24"/>
              </w:rPr>
              <w:t>1823 and 1827</w:t>
            </w:r>
          </w:p>
        </w:tc>
      </w:tr>
      <w:tr w:rsidR="00DC27EB" w:rsidRPr="00583D21" w14:paraId="0573C216" w14:textId="77777777" w:rsidTr="0008250D">
        <w:trPr>
          <w:cantSplit/>
        </w:trPr>
        <w:tc>
          <w:tcPr>
            <w:tcW w:w="1000" w:type="pct"/>
            <w:tcBorders>
              <w:top w:val="nil"/>
            </w:tcBorders>
            <w:tcMar>
              <w:top w:w="100" w:type="dxa"/>
              <w:left w:w="100" w:type="dxa"/>
              <w:bottom w:w="100" w:type="dxa"/>
              <w:right w:w="100" w:type="dxa"/>
            </w:tcMar>
          </w:tcPr>
          <w:p w14:paraId="4A03B31D" w14:textId="77777777" w:rsidR="00DC27EB" w:rsidRPr="00583D21" w:rsidRDefault="00DC27EB" w:rsidP="0008250D">
            <w:pPr>
              <w:widowControl w:val="0"/>
              <w:spacing w:line="240" w:lineRule="auto"/>
              <w:rPr>
                <w:szCs w:val="24"/>
              </w:rPr>
            </w:pPr>
          </w:p>
        </w:tc>
        <w:tc>
          <w:tcPr>
            <w:tcW w:w="1000" w:type="pct"/>
            <w:tcBorders>
              <w:top w:val="nil"/>
            </w:tcBorders>
            <w:tcMar>
              <w:top w:w="100" w:type="dxa"/>
              <w:left w:w="100" w:type="dxa"/>
              <w:bottom w:w="100" w:type="dxa"/>
              <w:right w:w="100" w:type="dxa"/>
            </w:tcMar>
          </w:tcPr>
          <w:p w14:paraId="0AFB3ACD"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Borders>
              <w:top w:val="nil"/>
            </w:tcBorders>
            <w:tcMar>
              <w:top w:w="100" w:type="dxa"/>
              <w:left w:w="100" w:type="dxa"/>
              <w:bottom w:w="100" w:type="dxa"/>
              <w:right w:w="100" w:type="dxa"/>
            </w:tcMar>
          </w:tcPr>
          <w:p w14:paraId="630B8716" w14:textId="77777777" w:rsidR="00DC27EB" w:rsidRPr="00583D21" w:rsidRDefault="00DC27EB" w:rsidP="0008250D">
            <w:pPr>
              <w:widowControl w:val="0"/>
              <w:spacing w:line="240" w:lineRule="auto"/>
              <w:rPr>
                <w:szCs w:val="24"/>
              </w:rPr>
            </w:pPr>
          </w:p>
        </w:tc>
        <w:tc>
          <w:tcPr>
            <w:tcW w:w="1000" w:type="pct"/>
            <w:tcBorders>
              <w:top w:val="nil"/>
            </w:tcBorders>
            <w:tcMar>
              <w:top w:w="100" w:type="dxa"/>
              <w:left w:w="100" w:type="dxa"/>
              <w:bottom w:w="100" w:type="dxa"/>
              <w:right w:w="100" w:type="dxa"/>
            </w:tcMar>
          </w:tcPr>
          <w:p w14:paraId="4C4A552C" w14:textId="77777777" w:rsidR="00DC27EB" w:rsidRPr="00583D21" w:rsidRDefault="00DC27EB" w:rsidP="0008250D">
            <w:pPr>
              <w:widowControl w:val="0"/>
              <w:spacing w:line="240" w:lineRule="auto"/>
              <w:rPr>
                <w:szCs w:val="24"/>
              </w:rPr>
            </w:pPr>
          </w:p>
        </w:tc>
        <w:tc>
          <w:tcPr>
            <w:tcW w:w="1000" w:type="pct"/>
            <w:tcBorders>
              <w:top w:val="nil"/>
            </w:tcBorders>
          </w:tcPr>
          <w:p w14:paraId="5AB24E54" w14:textId="77777777" w:rsidR="00DC27EB" w:rsidRPr="00583D21" w:rsidRDefault="00DC27EB" w:rsidP="0008250D">
            <w:pPr>
              <w:widowControl w:val="0"/>
              <w:spacing w:line="240" w:lineRule="auto"/>
              <w:rPr>
                <w:szCs w:val="24"/>
              </w:rPr>
            </w:pPr>
            <w:r w:rsidRPr="00583D21">
              <w:rPr>
                <w:szCs w:val="24"/>
              </w:rPr>
              <w:t>1813-1814</w:t>
            </w:r>
          </w:p>
        </w:tc>
      </w:tr>
      <w:tr w:rsidR="00DC27EB" w:rsidRPr="00583D21" w14:paraId="6EF38E53" w14:textId="77777777" w:rsidTr="0008250D">
        <w:trPr>
          <w:cantSplit/>
        </w:trPr>
        <w:tc>
          <w:tcPr>
            <w:tcW w:w="1000" w:type="pct"/>
            <w:tcMar>
              <w:top w:w="100" w:type="dxa"/>
              <w:left w:w="100" w:type="dxa"/>
              <w:bottom w:w="100" w:type="dxa"/>
              <w:right w:w="100" w:type="dxa"/>
            </w:tcMar>
          </w:tcPr>
          <w:p w14:paraId="44E98A1A" w14:textId="254A17B2" w:rsidR="00DC27EB" w:rsidRPr="00583D21" w:rsidRDefault="00DC27EB" w:rsidP="0008250D">
            <w:pPr>
              <w:widowControl w:val="0"/>
              <w:spacing w:line="240" w:lineRule="auto"/>
              <w:rPr>
                <w:szCs w:val="24"/>
              </w:rPr>
            </w:pPr>
            <w:r w:rsidRPr="00583D21">
              <w:rPr>
                <w:szCs w:val="24"/>
              </w:rPr>
              <w:t>Allah</w:t>
            </w:r>
            <w:r w:rsidR="00917FEB">
              <w:rPr>
                <w:szCs w:val="24"/>
              </w:rPr>
              <w:t xml:space="preserve"> </w:t>
            </w:r>
            <w:proofErr w:type="spellStart"/>
            <w:r w:rsidR="00917FEB">
              <w:rPr>
                <w:szCs w:val="24"/>
              </w:rPr>
              <w:t>Y</w:t>
            </w:r>
            <w:r w:rsidRPr="00583D21">
              <w:rPr>
                <w:szCs w:val="24"/>
              </w:rPr>
              <w:t>ar</w:t>
            </w:r>
            <w:proofErr w:type="spellEnd"/>
            <w:r w:rsidRPr="00583D21">
              <w:rPr>
                <w:szCs w:val="24"/>
              </w:rPr>
              <w:t xml:space="preserve"> Khan Asaf al-</w:t>
            </w:r>
            <w:proofErr w:type="spellStart"/>
            <w:r w:rsidRPr="00583D21">
              <w:rPr>
                <w:szCs w:val="24"/>
              </w:rPr>
              <w:t>Dawlih</w:t>
            </w:r>
            <w:proofErr w:type="spellEnd"/>
          </w:p>
        </w:tc>
        <w:tc>
          <w:tcPr>
            <w:tcW w:w="1000" w:type="pct"/>
            <w:tcMar>
              <w:top w:w="100" w:type="dxa"/>
              <w:left w:w="100" w:type="dxa"/>
              <w:bottom w:w="100" w:type="dxa"/>
              <w:right w:w="100" w:type="dxa"/>
            </w:tcMar>
          </w:tcPr>
          <w:p w14:paraId="4E63E58E"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Mar>
              <w:top w:w="100" w:type="dxa"/>
              <w:left w:w="100" w:type="dxa"/>
              <w:bottom w:w="100" w:type="dxa"/>
              <w:right w:w="100" w:type="dxa"/>
            </w:tcMar>
          </w:tcPr>
          <w:p w14:paraId="696A57D1" w14:textId="77777777" w:rsidR="00DC27EB" w:rsidRPr="00583D21" w:rsidRDefault="00DC27EB" w:rsidP="0008250D">
            <w:pPr>
              <w:widowControl w:val="0"/>
              <w:spacing w:line="240" w:lineRule="auto"/>
              <w:rPr>
                <w:szCs w:val="24"/>
              </w:rPr>
            </w:pPr>
            <w:r w:rsidRPr="00583D21">
              <w:rPr>
                <w:szCs w:val="24"/>
              </w:rPr>
              <w:t>Qajar</w:t>
            </w:r>
          </w:p>
        </w:tc>
        <w:tc>
          <w:tcPr>
            <w:tcW w:w="1000" w:type="pct"/>
            <w:tcMar>
              <w:top w:w="100" w:type="dxa"/>
              <w:left w:w="100" w:type="dxa"/>
              <w:bottom w:w="100" w:type="dxa"/>
              <w:right w:w="100" w:type="dxa"/>
            </w:tcMar>
          </w:tcPr>
          <w:p w14:paraId="2FB7E7F6" w14:textId="77777777" w:rsidR="00DC27EB" w:rsidRPr="00583D21" w:rsidRDefault="00DC27EB" w:rsidP="0008250D">
            <w:pPr>
              <w:widowControl w:val="0"/>
              <w:spacing w:line="240" w:lineRule="auto"/>
              <w:rPr>
                <w:szCs w:val="24"/>
              </w:rPr>
            </w:pPr>
            <w:proofErr w:type="spellStart"/>
            <w:r w:rsidRPr="00583D21">
              <w:rPr>
                <w:szCs w:val="24"/>
              </w:rPr>
              <w:t>Astarabad</w:t>
            </w:r>
            <w:proofErr w:type="spellEnd"/>
          </w:p>
        </w:tc>
        <w:tc>
          <w:tcPr>
            <w:tcW w:w="1000" w:type="pct"/>
          </w:tcPr>
          <w:p w14:paraId="3D4A8596" w14:textId="77777777" w:rsidR="00DC27EB" w:rsidRPr="00583D21" w:rsidRDefault="00DC27EB" w:rsidP="0008250D">
            <w:pPr>
              <w:widowControl w:val="0"/>
              <w:spacing w:line="240" w:lineRule="auto"/>
              <w:rPr>
                <w:szCs w:val="24"/>
              </w:rPr>
            </w:pPr>
          </w:p>
        </w:tc>
      </w:tr>
      <w:tr w:rsidR="00DC27EB" w:rsidRPr="00583D21" w14:paraId="05DAA580" w14:textId="77777777" w:rsidTr="0008250D">
        <w:trPr>
          <w:cantSplit/>
        </w:trPr>
        <w:tc>
          <w:tcPr>
            <w:tcW w:w="1000" w:type="pct"/>
            <w:tcMar>
              <w:top w:w="100" w:type="dxa"/>
              <w:left w:w="100" w:type="dxa"/>
              <w:bottom w:w="100" w:type="dxa"/>
              <w:right w:w="100" w:type="dxa"/>
            </w:tcMar>
          </w:tcPr>
          <w:p w14:paraId="10A80742" w14:textId="313BDA4C" w:rsidR="00DC27EB" w:rsidRPr="00583D21" w:rsidRDefault="00DC27EB" w:rsidP="0008250D">
            <w:pPr>
              <w:widowControl w:val="0"/>
              <w:spacing w:line="240" w:lineRule="auto"/>
              <w:rPr>
                <w:szCs w:val="24"/>
              </w:rPr>
            </w:pPr>
            <w:r>
              <w:rPr>
                <w:szCs w:val="24"/>
              </w:rPr>
              <w:t>Mirza Abu</w:t>
            </w:r>
            <w:r w:rsidR="00AE275B">
              <w:rPr>
                <w:szCs w:val="24"/>
              </w:rPr>
              <w:t xml:space="preserve"> a</w:t>
            </w:r>
            <w:r>
              <w:rPr>
                <w:szCs w:val="24"/>
              </w:rPr>
              <w:t>l-</w:t>
            </w:r>
            <w:proofErr w:type="spellStart"/>
            <w:r>
              <w:rPr>
                <w:szCs w:val="24"/>
              </w:rPr>
              <w:t>Qasim</w:t>
            </w:r>
            <w:proofErr w:type="spellEnd"/>
            <w:r>
              <w:rPr>
                <w:szCs w:val="24"/>
              </w:rPr>
              <w:t xml:space="preserve"> </w:t>
            </w:r>
            <w:proofErr w:type="spellStart"/>
            <w:r w:rsidRPr="00AF37BB">
              <w:rPr>
                <w:rFonts w:ascii="JaghbUni" w:hAnsi="JaghbUni"/>
                <w:szCs w:val="24"/>
              </w:rPr>
              <w:t>Qa</w:t>
            </w:r>
            <w:r>
              <w:rPr>
                <w:rFonts w:ascii="JaghbUni" w:hAnsi="JaghbUni"/>
                <w:szCs w:val="24"/>
              </w:rPr>
              <w:t>ʾ</w:t>
            </w:r>
            <w:r w:rsidRPr="00AF37BB">
              <w:rPr>
                <w:rFonts w:ascii="JaghbUni" w:hAnsi="JaghbUni"/>
                <w:szCs w:val="24"/>
              </w:rPr>
              <w:t>im</w:t>
            </w:r>
            <w:proofErr w:type="spellEnd"/>
            <w:r w:rsidRPr="00583D21">
              <w:rPr>
                <w:szCs w:val="24"/>
              </w:rPr>
              <w:t xml:space="preserve">-Maqam </w:t>
            </w:r>
            <w:proofErr w:type="spellStart"/>
            <w:r w:rsidRPr="00583D21">
              <w:rPr>
                <w:szCs w:val="24"/>
              </w:rPr>
              <w:t>Farahani</w:t>
            </w:r>
            <w:proofErr w:type="spellEnd"/>
          </w:p>
        </w:tc>
        <w:tc>
          <w:tcPr>
            <w:tcW w:w="1000" w:type="pct"/>
            <w:tcMar>
              <w:top w:w="100" w:type="dxa"/>
              <w:left w:w="100" w:type="dxa"/>
              <w:bottom w:w="100" w:type="dxa"/>
              <w:right w:w="100" w:type="dxa"/>
            </w:tcMar>
          </w:tcPr>
          <w:p w14:paraId="192B2142" w14:textId="77777777" w:rsidR="00DC27EB" w:rsidRPr="00583D21" w:rsidRDefault="00DC27EB" w:rsidP="0008250D">
            <w:pPr>
              <w:spacing w:line="240" w:lineRule="auto"/>
              <w:rPr>
                <w:szCs w:val="24"/>
              </w:rPr>
            </w:pPr>
            <w:proofErr w:type="spellStart"/>
            <w:r w:rsidRPr="00583D21">
              <w:rPr>
                <w:i/>
                <w:szCs w:val="24"/>
              </w:rPr>
              <w:t>ṣ</w:t>
            </w:r>
            <w:r>
              <w:rPr>
                <w:i/>
                <w:szCs w:val="24"/>
              </w:rPr>
              <w:t>adr-i</w:t>
            </w:r>
            <w:proofErr w:type="spellEnd"/>
            <w:r>
              <w:rPr>
                <w:i/>
                <w:szCs w:val="24"/>
              </w:rPr>
              <w:t xml:space="preserve"> </w:t>
            </w:r>
            <w:proofErr w:type="spellStart"/>
            <w:r>
              <w:rPr>
                <w:i/>
                <w:szCs w:val="24"/>
              </w:rPr>
              <w:t>a</w:t>
            </w:r>
            <w:r>
              <w:rPr>
                <w:rFonts w:ascii="JaghbUni" w:hAnsi="JaghbUni"/>
                <w:i/>
                <w:iCs/>
                <w:szCs w:val="24"/>
              </w:rPr>
              <w:t>ʿ</w:t>
            </w:r>
            <w:r w:rsidRPr="00583D21">
              <w:rPr>
                <w:i/>
                <w:szCs w:val="24"/>
              </w:rPr>
              <w:t>ẓam</w:t>
            </w:r>
            <w:proofErr w:type="spellEnd"/>
          </w:p>
        </w:tc>
        <w:tc>
          <w:tcPr>
            <w:tcW w:w="1000" w:type="pct"/>
            <w:tcMar>
              <w:top w:w="100" w:type="dxa"/>
              <w:left w:w="100" w:type="dxa"/>
              <w:bottom w:w="100" w:type="dxa"/>
              <w:right w:w="100" w:type="dxa"/>
            </w:tcMar>
          </w:tcPr>
          <w:p w14:paraId="26A78FE2" w14:textId="77777777" w:rsidR="00DC27EB" w:rsidRPr="00583D21" w:rsidRDefault="00DC27EB" w:rsidP="0008250D">
            <w:pPr>
              <w:widowControl w:val="0"/>
              <w:spacing w:line="240" w:lineRule="auto"/>
              <w:rPr>
                <w:szCs w:val="24"/>
              </w:rPr>
            </w:pPr>
            <w:r w:rsidRPr="00583D21">
              <w:rPr>
                <w:szCs w:val="24"/>
              </w:rPr>
              <w:t>Safavid</w:t>
            </w:r>
          </w:p>
        </w:tc>
        <w:tc>
          <w:tcPr>
            <w:tcW w:w="1000" w:type="pct"/>
            <w:tcMar>
              <w:top w:w="100" w:type="dxa"/>
              <w:left w:w="100" w:type="dxa"/>
              <w:bottom w:w="100" w:type="dxa"/>
              <w:right w:w="100" w:type="dxa"/>
            </w:tcMar>
          </w:tcPr>
          <w:p w14:paraId="05479FB5" w14:textId="77777777" w:rsidR="00DC27EB" w:rsidRPr="00583D21" w:rsidRDefault="00DC27EB" w:rsidP="0008250D">
            <w:pPr>
              <w:widowControl w:val="0"/>
              <w:spacing w:line="240" w:lineRule="auto"/>
              <w:rPr>
                <w:szCs w:val="24"/>
              </w:rPr>
            </w:pPr>
            <w:r w:rsidRPr="00583D21">
              <w:rPr>
                <w:szCs w:val="24"/>
              </w:rPr>
              <w:t>Farahan</w:t>
            </w:r>
          </w:p>
        </w:tc>
        <w:tc>
          <w:tcPr>
            <w:tcW w:w="1000" w:type="pct"/>
          </w:tcPr>
          <w:p w14:paraId="27C684A0" w14:textId="77777777" w:rsidR="00DC27EB" w:rsidRPr="00583D21" w:rsidRDefault="00DC27EB" w:rsidP="0008250D">
            <w:pPr>
              <w:widowControl w:val="0"/>
              <w:spacing w:line="240" w:lineRule="auto"/>
              <w:rPr>
                <w:szCs w:val="24"/>
              </w:rPr>
            </w:pPr>
            <w:r w:rsidRPr="00583D21">
              <w:rPr>
                <w:szCs w:val="24"/>
              </w:rPr>
              <w:t>1834</w:t>
            </w:r>
          </w:p>
        </w:tc>
      </w:tr>
      <w:tr w:rsidR="00DC27EB" w:rsidRPr="00583D21" w14:paraId="0EB2F852" w14:textId="77777777" w:rsidTr="0008250D">
        <w:trPr>
          <w:cantSplit/>
        </w:trPr>
        <w:tc>
          <w:tcPr>
            <w:tcW w:w="1000" w:type="pct"/>
            <w:tcMar>
              <w:top w:w="100" w:type="dxa"/>
              <w:left w:w="100" w:type="dxa"/>
              <w:bottom w:w="100" w:type="dxa"/>
              <w:right w:w="100" w:type="dxa"/>
            </w:tcMar>
          </w:tcPr>
          <w:p w14:paraId="300BDBE5" w14:textId="77777777" w:rsidR="00DC27EB" w:rsidRPr="00583D21" w:rsidRDefault="00DC27EB" w:rsidP="0008250D">
            <w:pPr>
              <w:widowControl w:val="0"/>
              <w:spacing w:line="240" w:lineRule="auto"/>
              <w:rPr>
                <w:szCs w:val="24"/>
              </w:rPr>
            </w:pPr>
            <w:r>
              <w:rPr>
                <w:szCs w:val="24"/>
              </w:rPr>
              <w:t xml:space="preserve">Mirza </w:t>
            </w:r>
            <w:proofErr w:type="spellStart"/>
            <w:r>
              <w:rPr>
                <w:szCs w:val="24"/>
              </w:rPr>
              <w:t>Isma</w:t>
            </w:r>
            <w:r>
              <w:rPr>
                <w:rFonts w:ascii="JaghbUni" w:hAnsi="JaghbUni"/>
              </w:rPr>
              <w:t>ʿ</w:t>
            </w:r>
            <w:r w:rsidRPr="00583D21">
              <w:rPr>
                <w:szCs w:val="24"/>
              </w:rPr>
              <w:t>il</w:t>
            </w:r>
            <w:proofErr w:type="spellEnd"/>
          </w:p>
        </w:tc>
        <w:tc>
          <w:tcPr>
            <w:tcW w:w="1000" w:type="pct"/>
            <w:tcMar>
              <w:top w:w="100" w:type="dxa"/>
              <w:left w:w="100" w:type="dxa"/>
              <w:bottom w:w="100" w:type="dxa"/>
              <w:right w:w="100" w:type="dxa"/>
            </w:tcMar>
          </w:tcPr>
          <w:p w14:paraId="51FFA31A"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5720FE27" w14:textId="77777777" w:rsidR="00DC27EB" w:rsidRPr="00583D21" w:rsidRDefault="00DC27EB" w:rsidP="0008250D">
            <w:pPr>
              <w:widowControl w:val="0"/>
              <w:spacing w:line="240" w:lineRule="auto"/>
              <w:rPr>
                <w:szCs w:val="24"/>
              </w:rPr>
            </w:pPr>
          </w:p>
        </w:tc>
        <w:tc>
          <w:tcPr>
            <w:tcW w:w="1000" w:type="pct"/>
            <w:tcMar>
              <w:top w:w="100" w:type="dxa"/>
              <w:left w:w="100" w:type="dxa"/>
              <w:bottom w:w="100" w:type="dxa"/>
              <w:right w:w="100" w:type="dxa"/>
            </w:tcMar>
          </w:tcPr>
          <w:p w14:paraId="27C2F29D" w14:textId="77777777" w:rsidR="00DC27EB" w:rsidRPr="00583D21" w:rsidRDefault="00DC27EB" w:rsidP="0008250D">
            <w:pPr>
              <w:widowControl w:val="0"/>
              <w:spacing w:line="240" w:lineRule="auto"/>
              <w:rPr>
                <w:szCs w:val="24"/>
              </w:rPr>
            </w:pPr>
            <w:r w:rsidRPr="00583D21">
              <w:rPr>
                <w:szCs w:val="24"/>
              </w:rPr>
              <w:t>Mazandaran</w:t>
            </w:r>
          </w:p>
        </w:tc>
        <w:tc>
          <w:tcPr>
            <w:tcW w:w="1000" w:type="pct"/>
          </w:tcPr>
          <w:p w14:paraId="7CE23FB5" w14:textId="77777777" w:rsidR="00DC27EB" w:rsidRPr="00583D21" w:rsidRDefault="00DC27EB" w:rsidP="0008250D">
            <w:pPr>
              <w:widowControl w:val="0"/>
              <w:spacing w:line="240" w:lineRule="auto"/>
              <w:rPr>
                <w:szCs w:val="24"/>
              </w:rPr>
            </w:pPr>
            <w:r w:rsidRPr="00583D21">
              <w:rPr>
                <w:szCs w:val="24"/>
              </w:rPr>
              <w:t>1779 (?)</w:t>
            </w:r>
          </w:p>
        </w:tc>
      </w:tr>
      <w:tr w:rsidR="00DC27EB" w:rsidRPr="00583D21" w14:paraId="1455EB74" w14:textId="77777777" w:rsidTr="0008250D">
        <w:trPr>
          <w:cantSplit/>
        </w:trPr>
        <w:tc>
          <w:tcPr>
            <w:tcW w:w="1000" w:type="pct"/>
            <w:tcMar>
              <w:top w:w="100" w:type="dxa"/>
              <w:left w:w="100" w:type="dxa"/>
              <w:bottom w:w="100" w:type="dxa"/>
              <w:right w:w="100" w:type="dxa"/>
            </w:tcMar>
          </w:tcPr>
          <w:p w14:paraId="02ED151E" w14:textId="77777777" w:rsidR="00DC27EB" w:rsidRPr="00583D21" w:rsidRDefault="00DC27EB" w:rsidP="0008250D">
            <w:pPr>
              <w:widowControl w:val="0"/>
              <w:spacing w:line="240" w:lineRule="auto"/>
              <w:rPr>
                <w:szCs w:val="24"/>
              </w:rPr>
            </w:pPr>
            <w:r w:rsidRPr="00583D21">
              <w:rPr>
                <w:szCs w:val="24"/>
              </w:rPr>
              <w:t xml:space="preserve">Mirza Muhammad </w:t>
            </w:r>
            <w:proofErr w:type="spellStart"/>
            <w:r w:rsidRPr="00583D21">
              <w:rPr>
                <w:szCs w:val="24"/>
              </w:rPr>
              <w:t>Zaki</w:t>
            </w:r>
            <w:proofErr w:type="spellEnd"/>
          </w:p>
        </w:tc>
        <w:tc>
          <w:tcPr>
            <w:tcW w:w="1000" w:type="pct"/>
            <w:tcMar>
              <w:top w:w="100" w:type="dxa"/>
              <w:left w:w="100" w:type="dxa"/>
              <w:bottom w:w="100" w:type="dxa"/>
              <w:right w:w="100" w:type="dxa"/>
            </w:tcMar>
          </w:tcPr>
          <w:p w14:paraId="5C4FE3A2"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7FDC9F7B" w14:textId="77777777" w:rsidR="00DC27EB" w:rsidRPr="00583D21" w:rsidRDefault="00DC27EB" w:rsidP="0008250D">
            <w:pPr>
              <w:widowControl w:val="0"/>
              <w:spacing w:line="240" w:lineRule="auto"/>
              <w:rPr>
                <w:szCs w:val="24"/>
              </w:rPr>
            </w:pPr>
          </w:p>
        </w:tc>
        <w:tc>
          <w:tcPr>
            <w:tcW w:w="1000" w:type="pct"/>
            <w:tcMar>
              <w:top w:w="100" w:type="dxa"/>
              <w:left w:w="100" w:type="dxa"/>
              <w:bottom w:w="100" w:type="dxa"/>
              <w:right w:w="100" w:type="dxa"/>
            </w:tcMar>
          </w:tcPr>
          <w:p w14:paraId="4DDF3C86" w14:textId="77777777" w:rsidR="00DC27EB" w:rsidRPr="00583D21" w:rsidRDefault="00DC27EB" w:rsidP="0008250D">
            <w:pPr>
              <w:widowControl w:val="0"/>
              <w:spacing w:line="240" w:lineRule="auto"/>
              <w:rPr>
                <w:szCs w:val="24"/>
              </w:rPr>
            </w:pPr>
            <w:r w:rsidRPr="00583D21">
              <w:rPr>
                <w:szCs w:val="24"/>
              </w:rPr>
              <w:t>Nur, Mazandaran</w:t>
            </w:r>
          </w:p>
        </w:tc>
        <w:tc>
          <w:tcPr>
            <w:tcW w:w="1000" w:type="pct"/>
          </w:tcPr>
          <w:p w14:paraId="0821D0DA" w14:textId="77777777" w:rsidR="00DC27EB" w:rsidRPr="00583D21" w:rsidRDefault="00DC27EB" w:rsidP="0008250D">
            <w:pPr>
              <w:widowControl w:val="0"/>
              <w:spacing w:line="240" w:lineRule="auto"/>
              <w:rPr>
                <w:szCs w:val="24"/>
              </w:rPr>
            </w:pPr>
          </w:p>
        </w:tc>
      </w:tr>
      <w:tr w:rsidR="00DC27EB" w:rsidRPr="00583D21" w14:paraId="5D02D079" w14:textId="77777777" w:rsidTr="0008250D">
        <w:trPr>
          <w:cantSplit/>
        </w:trPr>
        <w:tc>
          <w:tcPr>
            <w:tcW w:w="1000" w:type="pct"/>
            <w:tcBorders>
              <w:bottom w:val="single" w:sz="8" w:space="0" w:color="000000"/>
            </w:tcBorders>
            <w:tcMar>
              <w:top w:w="100" w:type="dxa"/>
              <w:left w:w="100" w:type="dxa"/>
              <w:bottom w:w="100" w:type="dxa"/>
              <w:right w:w="100" w:type="dxa"/>
            </w:tcMar>
          </w:tcPr>
          <w:p w14:paraId="3F3673B8" w14:textId="77777777" w:rsidR="00DC27EB" w:rsidRPr="00583D21" w:rsidRDefault="00DC27EB" w:rsidP="0008250D">
            <w:pPr>
              <w:widowControl w:val="0"/>
              <w:spacing w:line="240" w:lineRule="auto"/>
              <w:rPr>
                <w:szCs w:val="24"/>
              </w:rPr>
            </w:pPr>
            <w:r w:rsidRPr="00583D21">
              <w:rPr>
                <w:szCs w:val="24"/>
              </w:rPr>
              <w:t>Mirza Asadullah Nuri</w:t>
            </w:r>
          </w:p>
        </w:tc>
        <w:tc>
          <w:tcPr>
            <w:tcW w:w="1000" w:type="pct"/>
            <w:tcBorders>
              <w:bottom w:val="single" w:sz="8" w:space="0" w:color="000000"/>
            </w:tcBorders>
            <w:tcMar>
              <w:top w:w="100" w:type="dxa"/>
              <w:left w:w="100" w:type="dxa"/>
              <w:bottom w:w="100" w:type="dxa"/>
              <w:right w:w="100" w:type="dxa"/>
            </w:tcMar>
          </w:tcPr>
          <w:p w14:paraId="270224A0"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Borders>
              <w:bottom w:val="single" w:sz="8" w:space="0" w:color="000000"/>
            </w:tcBorders>
            <w:tcMar>
              <w:top w:w="100" w:type="dxa"/>
              <w:left w:w="100" w:type="dxa"/>
              <w:bottom w:w="100" w:type="dxa"/>
              <w:right w:w="100" w:type="dxa"/>
            </w:tcMar>
          </w:tcPr>
          <w:p w14:paraId="1843CC3E" w14:textId="77777777" w:rsidR="00DC27EB" w:rsidRPr="00583D21" w:rsidRDefault="00DC27EB" w:rsidP="0008250D">
            <w:pPr>
              <w:widowControl w:val="0"/>
              <w:spacing w:line="240" w:lineRule="auto"/>
              <w:rPr>
                <w:szCs w:val="24"/>
              </w:rPr>
            </w:pPr>
            <w:r w:rsidRPr="00583D21">
              <w:rPr>
                <w:szCs w:val="24"/>
              </w:rPr>
              <w:t>Qajar</w:t>
            </w:r>
          </w:p>
        </w:tc>
        <w:tc>
          <w:tcPr>
            <w:tcW w:w="1000" w:type="pct"/>
            <w:tcBorders>
              <w:bottom w:val="single" w:sz="8" w:space="0" w:color="000000"/>
            </w:tcBorders>
            <w:tcMar>
              <w:top w:w="100" w:type="dxa"/>
              <w:left w:w="100" w:type="dxa"/>
              <w:bottom w:w="100" w:type="dxa"/>
              <w:right w:w="100" w:type="dxa"/>
            </w:tcMar>
          </w:tcPr>
          <w:p w14:paraId="7BFF3040" w14:textId="77777777" w:rsidR="00DC27EB" w:rsidRPr="00583D21" w:rsidRDefault="00DC27EB" w:rsidP="0008250D">
            <w:pPr>
              <w:widowControl w:val="0"/>
              <w:spacing w:line="240" w:lineRule="auto"/>
              <w:rPr>
                <w:szCs w:val="24"/>
              </w:rPr>
            </w:pPr>
            <w:r w:rsidRPr="00583D21">
              <w:rPr>
                <w:szCs w:val="24"/>
              </w:rPr>
              <w:t>Nur, Mazandaran</w:t>
            </w:r>
          </w:p>
        </w:tc>
        <w:tc>
          <w:tcPr>
            <w:tcW w:w="1000" w:type="pct"/>
            <w:tcBorders>
              <w:bottom w:val="single" w:sz="8" w:space="0" w:color="000000"/>
            </w:tcBorders>
          </w:tcPr>
          <w:p w14:paraId="07EAFD44" w14:textId="77777777" w:rsidR="00DC27EB" w:rsidRPr="00583D21" w:rsidRDefault="00DC27EB" w:rsidP="0008250D">
            <w:pPr>
              <w:widowControl w:val="0"/>
              <w:spacing w:line="240" w:lineRule="auto"/>
              <w:rPr>
                <w:szCs w:val="24"/>
              </w:rPr>
            </w:pPr>
            <w:r w:rsidRPr="00583D21">
              <w:rPr>
                <w:szCs w:val="24"/>
              </w:rPr>
              <w:t>1795</w:t>
            </w:r>
          </w:p>
        </w:tc>
      </w:tr>
      <w:tr w:rsidR="00DC27EB" w:rsidRPr="00583D21" w14:paraId="70457888" w14:textId="77777777" w:rsidTr="0008250D">
        <w:trPr>
          <w:cantSplit/>
        </w:trPr>
        <w:tc>
          <w:tcPr>
            <w:tcW w:w="1000" w:type="pct"/>
            <w:tcBorders>
              <w:bottom w:val="nil"/>
            </w:tcBorders>
            <w:tcMar>
              <w:top w:w="100" w:type="dxa"/>
              <w:left w:w="100" w:type="dxa"/>
              <w:bottom w:w="100" w:type="dxa"/>
              <w:right w:w="100" w:type="dxa"/>
            </w:tcMar>
          </w:tcPr>
          <w:p w14:paraId="5004A9B1" w14:textId="77777777" w:rsidR="00DC27EB" w:rsidRPr="00583D21" w:rsidRDefault="00DC27EB" w:rsidP="0008250D">
            <w:pPr>
              <w:widowControl w:val="0"/>
              <w:spacing w:line="240" w:lineRule="auto"/>
              <w:rPr>
                <w:szCs w:val="24"/>
              </w:rPr>
            </w:pPr>
            <w:r w:rsidRPr="00583D21">
              <w:rPr>
                <w:szCs w:val="24"/>
              </w:rPr>
              <w:t xml:space="preserve">Mirza </w:t>
            </w:r>
            <w:proofErr w:type="spellStart"/>
            <w:r w:rsidRPr="00583D21">
              <w:rPr>
                <w:szCs w:val="24"/>
              </w:rPr>
              <w:t>Faridun</w:t>
            </w:r>
            <w:proofErr w:type="spellEnd"/>
            <w:r w:rsidRPr="00583D21">
              <w:rPr>
                <w:szCs w:val="24"/>
              </w:rPr>
              <w:t xml:space="preserve"> “</w:t>
            </w:r>
            <w:proofErr w:type="spellStart"/>
            <w:r w:rsidRPr="00583D21">
              <w:rPr>
                <w:szCs w:val="24"/>
              </w:rPr>
              <w:t>Khanlar</w:t>
            </w:r>
            <w:proofErr w:type="spellEnd"/>
            <w:r w:rsidRPr="00583D21">
              <w:rPr>
                <w:szCs w:val="24"/>
              </w:rPr>
              <w:t>” Halal-</w:t>
            </w:r>
            <w:proofErr w:type="spellStart"/>
            <w:r w:rsidRPr="00583D21">
              <w:rPr>
                <w:szCs w:val="24"/>
              </w:rPr>
              <w:t>Khur</w:t>
            </w:r>
            <w:proofErr w:type="spellEnd"/>
          </w:p>
        </w:tc>
        <w:tc>
          <w:tcPr>
            <w:tcW w:w="1000" w:type="pct"/>
            <w:tcBorders>
              <w:bottom w:val="nil"/>
            </w:tcBorders>
            <w:tcMar>
              <w:top w:w="100" w:type="dxa"/>
              <w:left w:w="100" w:type="dxa"/>
              <w:bottom w:w="100" w:type="dxa"/>
              <w:right w:w="100" w:type="dxa"/>
            </w:tcMar>
          </w:tcPr>
          <w:p w14:paraId="5DEECF2E"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Borders>
              <w:bottom w:val="nil"/>
            </w:tcBorders>
            <w:tcMar>
              <w:top w:w="100" w:type="dxa"/>
              <w:left w:w="100" w:type="dxa"/>
              <w:bottom w:w="100" w:type="dxa"/>
              <w:right w:w="100" w:type="dxa"/>
            </w:tcMar>
          </w:tcPr>
          <w:p w14:paraId="2D8EF66C" w14:textId="77777777" w:rsidR="00DC27EB" w:rsidRPr="00583D21" w:rsidRDefault="00DC27EB" w:rsidP="0008250D">
            <w:pPr>
              <w:widowControl w:val="0"/>
              <w:spacing w:line="240" w:lineRule="auto"/>
              <w:rPr>
                <w:szCs w:val="24"/>
              </w:rPr>
            </w:pPr>
          </w:p>
        </w:tc>
        <w:tc>
          <w:tcPr>
            <w:tcW w:w="1000" w:type="pct"/>
            <w:tcBorders>
              <w:bottom w:val="nil"/>
            </w:tcBorders>
            <w:tcMar>
              <w:top w:w="100" w:type="dxa"/>
              <w:left w:w="100" w:type="dxa"/>
              <w:bottom w:w="100" w:type="dxa"/>
              <w:right w:w="100" w:type="dxa"/>
            </w:tcMar>
          </w:tcPr>
          <w:p w14:paraId="6090577D" w14:textId="77777777" w:rsidR="00DC27EB" w:rsidRPr="00583D21" w:rsidRDefault="00DC27EB" w:rsidP="0008250D">
            <w:pPr>
              <w:widowControl w:val="0"/>
              <w:spacing w:line="240" w:lineRule="auto"/>
              <w:rPr>
                <w:szCs w:val="24"/>
              </w:rPr>
            </w:pPr>
            <w:proofErr w:type="spellStart"/>
            <w:r w:rsidRPr="00583D21">
              <w:rPr>
                <w:szCs w:val="24"/>
              </w:rPr>
              <w:t>Bandpay</w:t>
            </w:r>
            <w:proofErr w:type="spellEnd"/>
            <w:r w:rsidRPr="00583D21">
              <w:rPr>
                <w:szCs w:val="24"/>
              </w:rPr>
              <w:t>, Mazandaran</w:t>
            </w:r>
          </w:p>
        </w:tc>
        <w:tc>
          <w:tcPr>
            <w:tcW w:w="1000" w:type="pct"/>
            <w:tcBorders>
              <w:bottom w:val="nil"/>
            </w:tcBorders>
          </w:tcPr>
          <w:p w14:paraId="1C79307A" w14:textId="77777777" w:rsidR="00DC27EB" w:rsidRPr="00583D21" w:rsidRDefault="00DC27EB" w:rsidP="0008250D">
            <w:pPr>
              <w:widowControl w:val="0"/>
              <w:spacing w:line="240" w:lineRule="auto"/>
              <w:rPr>
                <w:szCs w:val="24"/>
              </w:rPr>
            </w:pPr>
          </w:p>
        </w:tc>
      </w:tr>
      <w:tr w:rsidR="00DC27EB" w:rsidRPr="00583D21" w14:paraId="56F3E96D" w14:textId="77777777" w:rsidTr="0008250D">
        <w:trPr>
          <w:cantSplit/>
        </w:trPr>
        <w:tc>
          <w:tcPr>
            <w:tcW w:w="1000" w:type="pct"/>
            <w:tcBorders>
              <w:top w:val="nil"/>
            </w:tcBorders>
            <w:tcMar>
              <w:top w:w="100" w:type="dxa"/>
              <w:left w:w="100" w:type="dxa"/>
              <w:bottom w:w="100" w:type="dxa"/>
              <w:right w:w="100" w:type="dxa"/>
            </w:tcMar>
          </w:tcPr>
          <w:p w14:paraId="342DECCC" w14:textId="77777777" w:rsidR="00DC27EB" w:rsidRPr="00583D21" w:rsidRDefault="00DC27EB" w:rsidP="0008250D">
            <w:pPr>
              <w:widowControl w:val="0"/>
              <w:spacing w:line="240" w:lineRule="auto"/>
              <w:rPr>
                <w:szCs w:val="24"/>
              </w:rPr>
            </w:pPr>
          </w:p>
        </w:tc>
        <w:tc>
          <w:tcPr>
            <w:tcW w:w="1000" w:type="pct"/>
            <w:tcBorders>
              <w:top w:val="nil"/>
            </w:tcBorders>
            <w:tcMar>
              <w:top w:w="100" w:type="dxa"/>
              <w:left w:w="100" w:type="dxa"/>
              <w:bottom w:w="100" w:type="dxa"/>
              <w:right w:w="100" w:type="dxa"/>
            </w:tcMar>
          </w:tcPr>
          <w:p w14:paraId="60E21D75"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Borders>
              <w:top w:val="nil"/>
            </w:tcBorders>
            <w:tcMar>
              <w:top w:w="100" w:type="dxa"/>
              <w:left w:w="100" w:type="dxa"/>
              <w:bottom w:w="100" w:type="dxa"/>
              <w:right w:w="100" w:type="dxa"/>
            </w:tcMar>
          </w:tcPr>
          <w:p w14:paraId="5D90F90E" w14:textId="77777777" w:rsidR="00DC27EB" w:rsidRPr="00583D21" w:rsidRDefault="00DC27EB" w:rsidP="0008250D">
            <w:pPr>
              <w:widowControl w:val="0"/>
              <w:spacing w:line="240" w:lineRule="auto"/>
              <w:rPr>
                <w:szCs w:val="24"/>
              </w:rPr>
            </w:pPr>
          </w:p>
        </w:tc>
        <w:tc>
          <w:tcPr>
            <w:tcW w:w="1000" w:type="pct"/>
            <w:tcBorders>
              <w:top w:val="nil"/>
            </w:tcBorders>
            <w:tcMar>
              <w:top w:w="100" w:type="dxa"/>
              <w:left w:w="100" w:type="dxa"/>
              <w:bottom w:w="100" w:type="dxa"/>
              <w:right w:w="100" w:type="dxa"/>
            </w:tcMar>
          </w:tcPr>
          <w:p w14:paraId="1DAF68FA" w14:textId="77777777" w:rsidR="00DC27EB" w:rsidRPr="00583D21" w:rsidRDefault="00DC27EB" w:rsidP="0008250D">
            <w:pPr>
              <w:widowControl w:val="0"/>
              <w:spacing w:line="240" w:lineRule="auto"/>
              <w:rPr>
                <w:szCs w:val="24"/>
              </w:rPr>
            </w:pPr>
          </w:p>
        </w:tc>
        <w:tc>
          <w:tcPr>
            <w:tcW w:w="1000" w:type="pct"/>
            <w:tcBorders>
              <w:top w:val="nil"/>
            </w:tcBorders>
          </w:tcPr>
          <w:p w14:paraId="6D5AFEF5" w14:textId="77777777" w:rsidR="00DC27EB" w:rsidRPr="00583D21" w:rsidRDefault="00DC27EB" w:rsidP="0008250D">
            <w:pPr>
              <w:widowControl w:val="0"/>
              <w:spacing w:line="240" w:lineRule="auto"/>
              <w:rPr>
                <w:szCs w:val="24"/>
              </w:rPr>
            </w:pPr>
          </w:p>
        </w:tc>
      </w:tr>
      <w:tr w:rsidR="00DC27EB" w:rsidRPr="00583D21" w14:paraId="79315670" w14:textId="77777777" w:rsidTr="0008250D">
        <w:trPr>
          <w:cantSplit/>
        </w:trPr>
        <w:tc>
          <w:tcPr>
            <w:tcW w:w="1000" w:type="pct"/>
            <w:tcMar>
              <w:top w:w="100" w:type="dxa"/>
              <w:left w:w="100" w:type="dxa"/>
              <w:bottom w:w="100" w:type="dxa"/>
              <w:right w:w="100" w:type="dxa"/>
            </w:tcMar>
          </w:tcPr>
          <w:p w14:paraId="664ECE24" w14:textId="77777777" w:rsidR="00DC27EB" w:rsidRPr="00583D21" w:rsidRDefault="00DC27EB" w:rsidP="0008250D">
            <w:pPr>
              <w:widowControl w:val="0"/>
              <w:spacing w:line="240" w:lineRule="auto"/>
              <w:rPr>
                <w:szCs w:val="24"/>
              </w:rPr>
            </w:pPr>
            <w:r>
              <w:rPr>
                <w:szCs w:val="24"/>
              </w:rPr>
              <w:t xml:space="preserve">Mirza Muhammad </w:t>
            </w:r>
            <w:proofErr w:type="spellStart"/>
            <w:r>
              <w:rPr>
                <w:rFonts w:ascii="JaghbUni" w:hAnsi="JaghbUni"/>
              </w:rPr>
              <w:t>ʿ</w:t>
            </w:r>
            <w:r w:rsidRPr="00583D21">
              <w:rPr>
                <w:szCs w:val="24"/>
              </w:rPr>
              <w:t>Ali</w:t>
            </w:r>
            <w:proofErr w:type="spellEnd"/>
            <w:r w:rsidRPr="00583D21">
              <w:rPr>
                <w:szCs w:val="24"/>
              </w:rPr>
              <w:t xml:space="preserve"> </w:t>
            </w:r>
            <w:proofErr w:type="spellStart"/>
            <w:r w:rsidRPr="00583D21">
              <w:rPr>
                <w:szCs w:val="24"/>
              </w:rPr>
              <w:t>Ashtiyani</w:t>
            </w:r>
            <w:proofErr w:type="spellEnd"/>
          </w:p>
        </w:tc>
        <w:tc>
          <w:tcPr>
            <w:tcW w:w="1000" w:type="pct"/>
            <w:tcMar>
              <w:top w:w="100" w:type="dxa"/>
              <w:left w:w="100" w:type="dxa"/>
              <w:bottom w:w="100" w:type="dxa"/>
              <w:right w:w="100" w:type="dxa"/>
            </w:tcMar>
          </w:tcPr>
          <w:p w14:paraId="78472938" w14:textId="77777777" w:rsidR="00DC27EB" w:rsidRPr="00583D21" w:rsidRDefault="00DC27EB" w:rsidP="0008250D">
            <w:pPr>
              <w:spacing w:line="240" w:lineRule="auto"/>
              <w:rPr>
                <w:i/>
                <w:szCs w:val="24"/>
              </w:rPr>
            </w:pPr>
            <w:proofErr w:type="spellStart"/>
            <w:r w:rsidRPr="00583D21">
              <w:rPr>
                <w:i/>
                <w:szCs w:val="24"/>
              </w:rPr>
              <w:t>mustawfī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5D0549FF" w14:textId="77777777" w:rsidR="00DC27EB" w:rsidRPr="00583D21" w:rsidRDefault="00DC27EB" w:rsidP="0008250D">
            <w:pPr>
              <w:widowControl w:val="0"/>
              <w:spacing w:line="240" w:lineRule="auto"/>
              <w:rPr>
                <w:szCs w:val="24"/>
              </w:rPr>
            </w:pPr>
          </w:p>
        </w:tc>
        <w:tc>
          <w:tcPr>
            <w:tcW w:w="1000" w:type="pct"/>
            <w:tcMar>
              <w:top w:w="100" w:type="dxa"/>
              <w:left w:w="100" w:type="dxa"/>
              <w:bottom w:w="100" w:type="dxa"/>
              <w:right w:w="100" w:type="dxa"/>
            </w:tcMar>
          </w:tcPr>
          <w:p w14:paraId="2EF490D5" w14:textId="77777777" w:rsidR="00DC27EB" w:rsidRPr="00583D21" w:rsidRDefault="00DC27EB" w:rsidP="0008250D">
            <w:pPr>
              <w:widowControl w:val="0"/>
              <w:spacing w:line="240" w:lineRule="auto"/>
              <w:rPr>
                <w:szCs w:val="24"/>
              </w:rPr>
            </w:pPr>
            <w:proofErr w:type="spellStart"/>
            <w:r w:rsidRPr="00583D21">
              <w:rPr>
                <w:szCs w:val="24"/>
              </w:rPr>
              <w:t>Ashtiyan</w:t>
            </w:r>
            <w:proofErr w:type="spellEnd"/>
            <w:r w:rsidRPr="00583D21">
              <w:rPr>
                <w:szCs w:val="24"/>
              </w:rPr>
              <w:t>, Arak</w:t>
            </w:r>
          </w:p>
        </w:tc>
        <w:tc>
          <w:tcPr>
            <w:tcW w:w="1000" w:type="pct"/>
          </w:tcPr>
          <w:p w14:paraId="77650302" w14:textId="77777777" w:rsidR="00DC27EB" w:rsidRPr="00583D21" w:rsidRDefault="00DC27EB" w:rsidP="0008250D">
            <w:pPr>
              <w:widowControl w:val="0"/>
              <w:spacing w:line="240" w:lineRule="auto"/>
              <w:rPr>
                <w:szCs w:val="24"/>
              </w:rPr>
            </w:pPr>
          </w:p>
        </w:tc>
      </w:tr>
      <w:tr w:rsidR="00DC27EB" w:rsidRPr="00583D21" w14:paraId="7D3F38FA" w14:textId="77777777" w:rsidTr="0008250D">
        <w:trPr>
          <w:cantSplit/>
        </w:trPr>
        <w:tc>
          <w:tcPr>
            <w:tcW w:w="1000" w:type="pct"/>
            <w:tcMar>
              <w:top w:w="100" w:type="dxa"/>
              <w:left w:w="100" w:type="dxa"/>
              <w:bottom w:w="100" w:type="dxa"/>
              <w:right w:w="100" w:type="dxa"/>
            </w:tcMar>
          </w:tcPr>
          <w:p w14:paraId="74CE0A7C" w14:textId="77777777" w:rsidR="00DC27EB" w:rsidRPr="00583D21" w:rsidRDefault="00DC27EB" w:rsidP="0008250D">
            <w:pPr>
              <w:widowControl w:val="0"/>
              <w:spacing w:line="240" w:lineRule="auto"/>
              <w:rPr>
                <w:szCs w:val="24"/>
              </w:rPr>
            </w:pPr>
            <w:r w:rsidRPr="00583D21">
              <w:rPr>
                <w:szCs w:val="24"/>
              </w:rPr>
              <w:lastRenderedPageBreak/>
              <w:t>Mirza R</w:t>
            </w:r>
            <w:r>
              <w:rPr>
                <w:szCs w:val="24"/>
              </w:rPr>
              <w:t xml:space="preserve">iza </w:t>
            </w:r>
            <w:proofErr w:type="spellStart"/>
            <w:r>
              <w:rPr>
                <w:szCs w:val="24"/>
              </w:rPr>
              <w:t>Quli</w:t>
            </w:r>
            <w:proofErr w:type="spellEnd"/>
            <w:r>
              <w:rPr>
                <w:szCs w:val="24"/>
              </w:rPr>
              <w:t xml:space="preserve"> </w:t>
            </w:r>
            <w:proofErr w:type="spellStart"/>
            <w:r w:rsidRPr="00AF37BB">
              <w:rPr>
                <w:rFonts w:ascii="JaghbUni" w:hAnsi="JaghbUni"/>
                <w:szCs w:val="24"/>
              </w:rPr>
              <w:t>Nava</w:t>
            </w:r>
            <w:r>
              <w:rPr>
                <w:rFonts w:ascii="JaghbUni" w:hAnsi="JaghbUni"/>
                <w:szCs w:val="24"/>
              </w:rPr>
              <w:t>ʾ</w:t>
            </w:r>
            <w:r w:rsidRPr="00AF37BB">
              <w:rPr>
                <w:rFonts w:ascii="JaghbUni" w:hAnsi="JaghbUni"/>
                <w:szCs w:val="24"/>
              </w:rPr>
              <w:t>i</w:t>
            </w:r>
            <w:proofErr w:type="spellEnd"/>
          </w:p>
        </w:tc>
        <w:tc>
          <w:tcPr>
            <w:tcW w:w="1000" w:type="pct"/>
            <w:tcMar>
              <w:top w:w="100" w:type="dxa"/>
              <w:left w:w="100" w:type="dxa"/>
              <w:bottom w:w="100" w:type="dxa"/>
              <w:right w:w="100" w:type="dxa"/>
            </w:tcMar>
          </w:tcPr>
          <w:p w14:paraId="1F75245F"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6C010496" w14:textId="77777777" w:rsidR="00DC27EB" w:rsidRPr="00583D21" w:rsidRDefault="00DC27EB" w:rsidP="0008250D">
            <w:pPr>
              <w:widowControl w:val="0"/>
              <w:spacing w:line="240" w:lineRule="auto"/>
              <w:rPr>
                <w:szCs w:val="24"/>
              </w:rPr>
            </w:pPr>
          </w:p>
        </w:tc>
        <w:tc>
          <w:tcPr>
            <w:tcW w:w="1000" w:type="pct"/>
            <w:tcMar>
              <w:top w:w="100" w:type="dxa"/>
              <w:left w:w="100" w:type="dxa"/>
              <w:bottom w:w="100" w:type="dxa"/>
              <w:right w:w="100" w:type="dxa"/>
            </w:tcMar>
          </w:tcPr>
          <w:p w14:paraId="7E19D18B" w14:textId="77777777" w:rsidR="00DC27EB" w:rsidRPr="00583D21" w:rsidRDefault="00DC27EB" w:rsidP="0008250D">
            <w:pPr>
              <w:widowControl w:val="0"/>
              <w:spacing w:line="240" w:lineRule="auto"/>
              <w:rPr>
                <w:szCs w:val="24"/>
              </w:rPr>
            </w:pPr>
            <w:proofErr w:type="spellStart"/>
            <w:r w:rsidRPr="00AF37BB">
              <w:rPr>
                <w:rFonts w:ascii="JaghbUni" w:hAnsi="JaghbUni"/>
                <w:szCs w:val="24"/>
              </w:rPr>
              <w:t>Nava</w:t>
            </w:r>
            <w:r>
              <w:rPr>
                <w:rFonts w:ascii="JaghbUni" w:hAnsi="JaghbUni"/>
                <w:szCs w:val="24"/>
              </w:rPr>
              <w:t>ʾ</w:t>
            </w:r>
            <w:r w:rsidRPr="00AF37BB">
              <w:rPr>
                <w:rFonts w:ascii="JaghbUni" w:hAnsi="JaghbUni"/>
                <w:szCs w:val="24"/>
              </w:rPr>
              <w:t>i</w:t>
            </w:r>
            <w:proofErr w:type="spellEnd"/>
            <w:r w:rsidRPr="00583D21">
              <w:rPr>
                <w:szCs w:val="24"/>
              </w:rPr>
              <w:t>, Azerbaijan</w:t>
            </w:r>
          </w:p>
        </w:tc>
        <w:tc>
          <w:tcPr>
            <w:tcW w:w="1000" w:type="pct"/>
          </w:tcPr>
          <w:p w14:paraId="3F88C6CB" w14:textId="77777777" w:rsidR="00DC27EB" w:rsidRPr="00583D21" w:rsidRDefault="00DC27EB" w:rsidP="0008250D">
            <w:pPr>
              <w:widowControl w:val="0"/>
              <w:spacing w:line="240" w:lineRule="auto"/>
              <w:rPr>
                <w:szCs w:val="24"/>
              </w:rPr>
            </w:pPr>
            <w:r w:rsidRPr="00583D21">
              <w:rPr>
                <w:szCs w:val="24"/>
              </w:rPr>
              <w:t>1791-1792</w:t>
            </w:r>
          </w:p>
        </w:tc>
      </w:tr>
      <w:tr w:rsidR="00DC27EB" w:rsidRPr="00583D21" w14:paraId="443AFBF5" w14:textId="77777777" w:rsidTr="0008250D">
        <w:trPr>
          <w:cantSplit/>
        </w:trPr>
        <w:tc>
          <w:tcPr>
            <w:tcW w:w="1000" w:type="pct"/>
            <w:tcMar>
              <w:top w:w="100" w:type="dxa"/>
              <w:left w:w="100" w:type="dxa"/>
              <w:bottom w:w="100" w:type="dxa"/>
              <w:right w:w="100" w:type="dxa"/>
            </w:tcMar>
          </w:tcPr>
          <w:p w14:paraId="7D79C9D9" w14:textId="77777777" w:rsidR="00DC27EB" w:rsidRPr="00583D21" w:rsidRDefault="00DC27EB" w:rsidP="0008250D">
            <w:pPr>
              <w:widowControl w:val="0"/>
              <w:spacing w:line="240" w:lineRule="auto"/>
              <w:rPr>
                <w:szCs w:val="24"/>
              </w:rPr>
            </w:pPr>
            <w:r w:rsidRPr="00583D21">
              <w:rPr>
                <w:szCs w:val="24"/>
              </w:rPr>
              <w:t>Mirza Muhammad Rahim</w:t>
            </w:r>
          </w:p>
        </w:tc>
        <w:tc>
          <w:tcPr>
            <w:tcW w:w="1000" w:type="pct"/>
            <w:tcMar>
              <w:top w:w="100" w:type="dxa"/>
              <w:left w:w="100" w:type="dxa"/>
              <w:bottom w:w="100" w:type="dxa"/>
              <w:right w:w="100" w:type="dxa"/>
            </w:tcMar>
          </w:tcPr>
          <w:p w14:paraId="444193ED"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22D4BBF3" w14:textId="77777777" w:rsidR="00DC27EB" w:rsidRPr="00583D21" w:rsidRDefault="00DC27EB" w:rsidP="0008250D">
            <w:pPr>
              <w:widowControl w:val="0"/>
              <w:spacing w:line="240" w:lineRule="auto"/>
              <w:rPr>
                <w:szCs w:val="24"/>
              </w:rPr>
            </w:pPr>
          </w:p>
        </w:tc>
        <w:tc>
          <w:tcPr>
            <w:tcW w:w="1000" w:type="pct"/>
            <w:tcMar>
              <w:top w:w="100" w:type="dxa"/>
              <w:left w:w="100" w:type="dxa"/>
              <w:bottom w:w="100" w:type="dxa"/>
              <w:right w:w="100" w:type="dxa"/>
            </w:tcMar>
          </w:tcPr>
          <w:p w14:paraId="563B0C61" w14:textId="77777777" w:rsidR="00DC27EB" w:rsidRPr="00583D21" w:rsidRDefault="00DC27EB" w:rsidP="0008250D">
            <w:pPr>
              <w:widowControl w:val="0"/>
              <w:spacing w:line="240" w:lineRule="auto"/>
              <w:rPr>
                <w:szCs w:val="24"/>
              </w:rPr>
            </w:pPr>
          </w:p>
        </w:tc>
        <w:tc>
          <w:tcPr>
            <w:tcW w:w="1000" w:type="pct"/>
          </w:tcPr>
          <w:p w14:paraId="3256BA6F" w14:textId="77777777" w:rsidR="00DC27EB" w:rsidRPr="00583D21" w:rsidRDefault="00DC27EB" w:rsidP="0008250D">
            <w:pPr>
              <w:widowControl w:val="0"/>
              <w:spacing w:line="240" w:lineRule="auto"/>
              <w:rPr>
                <w:szCs w:val="24"/>
              </w:rPr>
            </w:pPr>
          </w:p>
        </w:tc>
      </w:tr>
      <w:tr w:rsidR="00DC27EB" w:rsidRPr="00583D21" w14:paraId="503924D0" w14:textId="77777777" w:rsidTr="0008250D">
        <w:trPr>
          <w:cantSplit/>
        </w:trPr>
        <w:tc>
          <w:tcPr>
            <w:tcW w:w="1000" w:type="pct"/>
            <w:tcMar>
              <w:top w:w="100" w:type="dxa"/>
              <w:left w:w="100" w:type="dxa"/>
              <w:bottom w:w="100" w:type="dxa"/>
              <w:right w:w="100" w:type="dxa"/>
            </w:tcMar>
          </w:tcPr>
          <w:p w14:paraId="25E0B25C" w14:textId="77777777" w:rsidR="00DC27EB" w:rsidRPr="00583D21" w:rsidRDefault="00DC27EB" w:rsidP="0008250D">
            <w:pPr>
              <w:widowControl w:val="0"/>
              <w:spacing w:line="240" w:lineRule="auto"/>
              <w:rPr>
                <w:szCs w:val="24"/>
                <w:lang w:val="it-IT"/>
              </w:rPr>
            </w:pPr>
            <w:proofErr w:type="spellStart"/>
            <w:r w:rsidRPr="00583D21">
              <w:rPr>
                <w:szCs w:val="24"/>
                <w:lang w:val="it-IT"/>
              </w:rPr>
              <w:t>Mirza</w:t>
            </w:r>
            <w:proofErr w:type="spellEnd"/>
            <w:r w:rsidRPr="00583D21">
              <w:rPr>
                <w:szCs w:val="24"/>
                <w:lang w:val="it-IT"/>
              </w:rPr>
              <w:t xml:space="preserve"> Muhammad </w:t>
            </w:r>
            <w:proofErr w:type="spellStart"/>
            <w:r w:rsidRPr="00583D21">
              <w:rPr>
                <w:szCs w:val="24"/>
                <w:lang w:val="it-IT"/>
              </w:rPr>
              <w:t>Riza</w:t>
            </w:r>
            <w:proofErr w:type="spellEnd"/>
            <w:r w:rsidRPr="00583D21">
              <w:rPr>
                <w:szCs w:val="24"/>
                <w:lang w:val="it-IT"/>
              </w:rPr>
              <w:t xml:space="preserve"> “</w:t>
            </w:r>
            <w:proofErr w:type="spellStart"/>
            <w:r w:rsidRPr="00583D21">
              <w:rPr>
                <w:szCs w:val="24"/>
                <w:lang w:val="it-IT"/>
              </w:rPr>
              <w:t>Bandih</w:t>
            </w:r>
            <w:proofErr w:type="spellEnd"/>
            <w:r w:rsidRPr="00583D21">
              <w:rPr>
                <w:szCs w:val="24"/>
                <w:lang w:val="it-IT"/>
              </w:rPr>
              <w:t xml:space="preserve">” </w:t>
            </w:r>
            <w:proofErr w:type="spellStart"/>
            <w:r w:rsidRPr="00583D21">
              <w:rPr>
                <w:szCs w:val="24"/>
                <w:lang w:val="it-IT"/>
              </w:rPr>
              <w:t>Tabrizi</w:t>
            </w:r>
            <w:proofErr w:type="spellEnd"/>
          </w:p>
        </w:tc>
        <w:tc>
          <w:tcPr>
            <w:tcW w:w="1000" w:type="pct"/>
            <w:tcMar>
              <w:top w:w="100" w:type="dxa"/>
              <w:left w:w="100" w:type="dxa"/>
              <w:bottom w:w="100" w:type="dxa"/>
              <w:right w:w="100" w:type="dxa"/>
            </w:tcMar>
          </w:tcPr>
          <w:p w14:paraId="38272A6C"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51933126" w14:textId="77777777" w:rsidR="00DC27EB" w:rsidRPr="00583D21" w:rsidRDefault="00DC27EB" w:rsidP="0008250D">
            <w:pPr>
              <w:widowControl w:val="0"/>
              <w:spacing w:line="240" w:lineRule="auto"/>
              <w:rPr>
                <w:szCs w:val="24"/>
              </w:rPr>
            </w:pPr>
            <w:proofErr w:type="spellStart"/>
            <w:r w:rsidRPr="00583D21">
              <w:rPr>
                <w:szCs w:val="24"/>
              </w:rPr>
              <w:t>Afshar</w:t>
            </w:r>
            <w:proofErr w:type="spellEnd"/>
          </w:p>
        </w:tc>
        <w:tc>
          <w:tcPr>
            <w:tcW w:w="1000" w:type="pct"/>
            <w:tcMar>
              <w:top w:w="100" w:type="dxa"/>
              <w:left w:w="100" w:type="dxa"/>
              <w:bottom w:w="100" w:type="dxa"/>
              <w:right w:w="100" w:type="dxa"/>
            </w:tcMar>
          </w:tcPr>
          <w:p w14:paraId="16D15653" w14:textId="77777777" w:rsidR="00DC27EB" w:rsidRPr="00583D21" w:rsidRDefault="00DC27EB" w:rsidP="0008250D">
            <w:pPr>
              <w:widowControl w:val="0"/>
              <w:spacing w:line="240" w:lineRule="auto"/>
              <w:rPr>
                <w:szCs w:val="24"/>
              </w:rPr>
            </w:pPr>
            <w:r w:rsidRPr="00583D21">
              <w:rPr>
                <w:szCs w:val="24"/>
              </w:rPr>
              <w:t>Tabriz</w:t>
            </w:r>
          </w:p>
        </w:tc>
        <w:tc>
          <w:tcPr>
            <w:tcW w:w="1000" w:type="pct"/>
          </w:tcPr>
          <w:p w14:paraId="77E9679F" w14:textId="77777777" w:rsidR="00DC27EB" w:rsidRPr="00583D21" w:rsidRDefault="00DC27EB" w:rsidP="0008250D">
            <w:pPr>
              <w:widowControl w:val="0"/>
              <w:spacing w:line="240" w:lineRule="auto"/>
              <w:rPr>
                <w:szCs w:val="24"/>
              </w:rPr>
            </w:pPr>
          </w:p>
        </w:tc>
      </w:tr>
      <w:tr w:rsidR="00DC27EB" w:rsidRPr="00583D21" w14:paraId="54686E46" w14:textId="77777777" w:rsidTr="0008250D">
        <w:trPr>
          <w:cantSplit/>
        </w:trPr>
        <w:tc>
          <w:tcPr>
            <w:tcW w:w="1000" w:type="pct"/>
            <w:tcMar>
              <w:top w:w="100" w:type="dxa"/>
              <w:left w:w="100" w:type="dxa"/>
              <w:bottom w:w="100" w:type="dxa"/>
              <w:right w:w="100" w:type="dxa"/>
            </w:tcMar>
          </w:tcPr>
          <w:p w14:paraId="3B4628B0" w14:textId="77777777" w:rsidR="00DC27EB" w:rsidRPr="00583D21" w:rsidRDefault="00DC27EB" w:rsidP="0008250D">
            <w:pPr>
              <w:widowControl w:val="0"/>
              <w:spacing w:line="240" w:lineRule="auto"/>
              <w:rPr>
                <w:szCs w:val="24"/>
                <w:lang w:val="it-IT"/>
              </w:rPr>
            </w:pPr>
            <w:proofErr w:type="spellStart"/>
            <w:r w:rsidRPr="00583D21">
              <w:rPr>
                <w:szCs w:val="24"/>
                <w:lang w:val="it-IT"/>
              </w:rPr>
              <w:t>Mirza</w:t>
            </w:r>
            <w:proofErr w:type="spellEnd"/>
            <w:r w:rsidRPr="00583D21">
              <w:rPr>
                <w:szCs w:val="24"/>
                <w:lang w:val="it-IT"/>
              </w:rPr>
              <w:t xml:space="preserve"> Muhammad </w:t>
            </w:r>
            <w:proofErr w:type="spellStart"/>
            <w:r w:rsidRPr="00583D21">
              <w:rPr>
                <w:szCs w:val="24"/>
                <w:lang w:val="it-IT"/>
              </w:rPr>
              <w:t>Taqi</w:t>
            </w:r>
            <w:proofErr w:type="spellEnd"/>
            <w:r w:rsidRPr="00583D21">
              <w:rPr>
                <w:szCs w:val="24"/>
                <w:lang w:val="it-IT"/>
              </w:rPr>
              <w:t xml:space="preserve"> </w:t>
            </w:r>
            <w:r>
              <w:rPr>
                <w:rFonts w:ascii="JaghbUni" w:hAnsi="JaghbUni"/>
              </w:rPr>
              <w:t>ʿ</w:t>
            </w:r>
            <w:r w:rsidRPr="00583D21">
              <w:rPr>
                <w:szCs w:val="24"/>
                <w:lang w:val="it-IT"/>
              </w:rPr>
              <w:t>Ali-Abadi “</w:t>
            </w:r>
            <w:proofErr w:type="spellStart"/>
            <w:r w:rsidRPr="00583D21">
              <w:rPr>
                <w:szCs w:val="24"/>
                <w:lang w:val="it-IT"/>
              </w:rPr>
              <w:t>Sahib</w:t>
            </w:r>
            <w:proofErr w:type="spellEnd"/>
            <w:r w:rsidRPr="00583D21">
              <w:rPr>
                <w:szCs w:val="24"/>
                <w:lang w:val="it-IT"/>
              </w:rPr>
              <w:t>”</w:t>
            </w:r>
          </w:p>
        </w:tc>
        <w:tc>
          <w:tcPr>
            <w:tcW w:w="1000" w:type="pct"/>
            <w:tcMar>
              <w:top w:w="100" w:type="dxa"/>
              <w:left w:w="100" w:type="dxa"/>
              <w:bottom w:w="100" w:type="dxa"/>
              <w:right w:w="100" w:type="dxa"/>
            </w:tcMar>
          </w:tcPr>
          <w:p w14:paraId="0D93BBB6" w14:textId="77777777" w:rsidR="00DC27EB" w:rsidRPr="00583D21" w:rsidRDefault="00DC27EB" w:rsidP="0008250D">
            <w:pPr>
              <w:spacing w:line="240" w:lineRule="auto"/>
              <w:rPr>
                <w:i/>
                <w:szCs w:val="24"/>
              </w:rPr>
            </w:pPr>
            <w:proofErr w:type="spellStart"/>
            <w:r w:rsidRPr="00583D21">
              <w:rPr>
                <w:i/>
                <w:szCs w:val="24"/>
              </w:rPr>
              <w:t>munshī</w:t>
            </w:r>
            <w:proofErr w:type="spellEnd"/>
            <w:r w:rsidRPr="00583D21">
              <w:rPr>
                <w:i/>
                <w:szCs w:val="24"/>
              </w:rPr>
              <w:t xml:space="preserve"> al-</w:t>
            </w:r>
            <w:proofErr w:type="spellStart"/>
            <w:r w:rsidRPr="00583D21">
              <w:rPr>
                <w:i/>
                <w:szCs w:val="24"/>
              </w:rPr>
              <w:t>mamālik</w:t>
            </w:r>
            <w:proofErr w:type="spellEnd"/>
          </w:p>
        </w:tc>
        <w:tc>
          <w:tcPr>
            <w:tcW w:w="1000" w:type="pct"/>
            <w:tcMar>
              <w:top w:w="100" w:type="dxa"/>
              <w:left w:w="100" w:type="dxa"/>
              <w:bottom w:w="100" w:type="dxa"/>
              <w:right w:w="100" w:type="dxa"/>
            </w:tcMar>
          </w:tcPr>
          <w:p w14:paraId="7794EB70" w14:textId="77777777" w:rsidR="00DC27EB" w:rsidRPr="00583D21" w:rsidRDefault="00DC27EB" w:rsidP="0008250D">
            <w:pPr>
              <w:widowControl w:val="0"/>
              <w:spacing w:line="240" w:lineRule="auto"/>
              <w:rPr>
                <w:szCs w:val="24"/>
              </w:rPr>
            </w:pPr>
            <w:r w:rsidRPr="00583D21">
              <w:rPr>
                <w:szCs w:val="24"/>
              </w:rPr>
              <w:t xml:space="preserve">Qajar (son of Mirza Muhammad </w:t>
            </w:r>
            <w:proofErr w:type="spellStart"/>
            <w:r w:rsidRPr="00583D21">
              <w:rPr>
                <w:szCs w:val="24"/>
              </w:rPr>
              <w:t>Zaki</w:t>
            </w:r>
            <w:proofErr w:type="spellEnd"/>
            <w:r w:rsidRPr="00583D21">
              <w:rPr>
                <w:szCs w:val="24"/>
              </w:rPr>
              <w:t>)</w:t>
            </w:r>
          </w:p>
        </w:tc>
        <w:tc>
          <w:tcPr>
            <w:tcW w:w="1000" w:type="pct"/>
            <w:tcMar>
              <w:top w:w="100" w:type="dxa"/>
              <w:left w:w="100" w:type="dxa"/>
              <w:bottom w:w="100" w:type="dxa"/>
              <w:right w:w="100" w:type="dxa"/>
            </w:tcMar>
          </w:tcPr>
          <w:p w14:paraId="27191BFA" w14:textId="77777777" w:rsidR="00DC27EB" w:rsidRPr="00583D21" w:rsidRDefault="00DC27EB" w:rsidP="0008250D">
            <w:pPr>
              <w:widowControl w:val="0"/>
              <w:spacing w:line="240" w:lineRule="auto"/>
              <w:rPr>
                <w:szCs w:val="24"/>
              </w:rPr>
            </w:pPr>
            <w:r w:rsidRPr="00583D21">
              <w:rPr>
                <w:szCs w:val="24"/>
              </w:rPr>
              <w:t>Nur, Mazandaran</w:t>
            </w:r>
          </w:p>
        </w:tc>
        <w:tc>
          <w:tcPr>
            <w:tcW w:w="1000" w:type="pct"/>
          </w:tcPr>
          <w:p w14:paraId="09531C11" w14:textId="77777777" w:rsidR="00DC27EB" w:rsidRPr="00583D21" w:rsidRDefault="00DC27EB" w:rsidP="0008250D">
            <w:pPr>
              <w:widowControl w:val="0"/>
              <w:spacing w:line="240" w:lineRule="auto"/>
              <w:rPr>
                <w:szCs w:val="24"/>
              </w:rPr>
            </w:pPr>
          </w:p>
        </w:tc>
      </w:tr>
    </w:tbl>
    <w:p w14:paraId="4F08D0BB" w14:textId="77777777" w:rsidR="00DC27EB" w:rsidRPr="00DC27EB" w:rsidRDefault="00DC27EB" w:rsidP="009521AD">
      <w:pPr>
        <w:pStyle w:val="EndnoteText"/>
        <w:spacing w:line="480" w:lineRule="auto"/>
      </w:pPr>
    </w:p>
    <w:sectPr w:rsidR="00DC27EB" w:rsidRPr="00DC27EB" w:rsidSect="0044210B">
      <w:footerReference w:type="even" r:id="rId11"/>
      <w:footerReference w:type="default" r:id="rId12"/>
      <w:endnotePr>
        <w:numFmt w:val="decimal"/>
      </w:endnotePr>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A71B8E" w14:textId="77777777" w:rsidR="00F56998" w:rsidRDefault="00F56998">
      <w:pPr>
        <w:spacing w:line="240" w:lineRule="auto"/>
      </w:pPr>
      <w:r>
        <w:separator/>
      </w:r>
    </w:p>
  </w:endnote>
  <w:endnote w:type="continuationSeparator" w:id="0">
    <w:p w14:paraId="482CF915" w14:textId="77777777" w:rsidR="00F56998" w:rsidRDefault="00F56998">
      <w:pPr>
        <w:spacing w:line="240" w:lineRule="auto"/>
      </w:pPr>
      <w:r>
        <w:continuationSeparator/>
      </w:r>
    </w:p>
  </w:endnote>
  <w:endnote w:id="1">
    <w:p w14:paraId="574AB0ED" w14:textId="552CF692" w:rsidR="00E52E1B" w:rsidRPr="00D656C9" w:rsidRDefault="00E52E1B" w:rsidP="00C23F24">
      <w:pPr>
        <w:pStyle w:val="EndnoteText"/>
        <w:spacing w:line="480" w:lineRule="auto"/>
      </w:pPr>
      <w:r>
        <w:rPr>
          <w:rStyle w:val="EndnoteReference"/>
        </w:rPr>
        <w:endnoteRef/>
      </w:r>
      <w:r>
        <w:t xml:space="preserve"> “Administration” is an admittedly inadequate translation of </w:t>
      </w:r>
      <w:proofErr w:type="spellStart"/>
      <w:r>
        <w:rPr>
          <w:i/>
          <w:iCs/>
        </w:rPr>
        <w:t>dīvān</w:t>
      </w:r>
      <w:proofErr w:type="spellEnd"/>
      <w:r>
        <w:t>, which can be alternatively translated as “administrative office,” “chancery,” or even “government.” None of these terms</w:t>
      </w:r>
      <w:r w:rsidR="00EF5C1D">
        <w:t>, however,</w:t>
      </w:r>
      <w:r>
        <w:t xml:space="preserve"> captures the full meaning of </w:t>
      </w:r>
      <w:proofErr w:type="spellStart"/>
      <w:r>
        <w:rPr>
          <w:i/>
          <w:iCs/>
        </w:rPr>
        <w:t>dīvān</w:t>
      </w:r>
      <w:proofErr w:type="spellEnd"/>
      <w:r w:rsidR="003F2CF0">
        <w:t xml:space="preserve">. </w:t>
      </w:r>
      <w:r w:rsidR="00EF5C1D">
        <w:t>The essential idea behind the word — which s</w:t>
      </w:r>
      <w:r>
        <w:t xml:space="preserve">ome scholars argue </w:t>
      </w:r>
      <w:r w:rsidR="003F2CF0">
        <w:t>is</w:t>
      </w:r>
      <w:r>
        <w:t xml:space="preserve"> derived from the Old Persian word meaning “inscription” or “document,” while others say is derived from the Arabic verb meanin</w:t>
      </w:r>
      <w:r w:rsidR="00534C3A">
        <w:t>g “to collect</w:t>
      </w:r>
      <w:r w:rsidR="00EF5C1D">
        <w:t>” or “to register</w:t>
      </w:r>
      <w:r>
        <w:t>”</w:t>
      </w:r>
      <w:r w:rsidR="00EF5C1D">
        <w:t xml:space="preserve"> —</w:t>
      </w:r>
      <w:r>
        <w:t xml:space="preserve"> </w:t>
      </w:r>
      <w:r w:rsidR="00EF5C1D">
        <w:t xml:space="preserve">is </w:t>
      </w:r>
      <w:r>
        <w:t xml:space="preserve">that the </w:t>
      </w:r>
      <w:proofErr w:type="spellStart"/>
      <w:r>
        <w:rPr>
          <w:i/>
          <w:iCs/>
        </w:rPr>
        <w:t>dīvān</w:t>
      </w:r>
      <w:proofErr w:type="spellEnd"/>
      <w:r>
        <w:t xml:space="preserve"> is where government ministers, secretaries, and scribes conduct their record-keeping and administrative business. During the early Qajar period, the </w:t>
      </w:r>
      <w:proofErr w:type="spellStart"/>
      <w:r>
        <w:rPr>
          <w:i/>
          <w:iCs/>
        </w:rPr>
        <w:t>dīvān</w:t>
      </w:r>
      <w:proofErr w:type="spellEnd"/>
      <w:r>
        <w:t xml:space="preserve"> was also called the </w:t>
      </w:r>
      <w:r>
        <w:rPr>
          <w:i/>
          <w:iCs/>
        </w:rPr>
        <w:t>daftar-</w:t>
      </w:r>
      <w:proofErr w:type="spellStart"/>
      <w:r w:rsidRPr="00855A6C">
        <w:rPr>
          <w:i/>
          <w:iCs/>
        </w:rPr>
        <w:t>khānih</w:t>
      </w:r>
      <w:proofErr w:type="spellEnd"/>
      <w:r w:rsidR="00EF5C1D">
        <w:t xml:space="preserve"> (</w:t>
      </w:r>
      <w:r>
        <w:t>Chamber of Records</w:t>
      </w:r>
      <w:r w:rsidR="00EF5C1D">
        <w:t>).</w:t>
      </w:r>
      <w:r>
        <w:t xml:space="preserve"> See Mirza Fazlullah Khavari Shirazi, </w:t>
      </w:r>
      <w:r w:rsidR="000C6870">
        <w:rPr>
          <w:i/>
        </w:rPr>
        <w:t>Tarikh-</w:t>
      </w:r>
      <w:proofErr w:type="spellStart"/>
      <w:r w:rsidR="000C6870">
        <w:rPr>
          <w:i/>
        </w:rPr>
        <w:t>i</w:t>
      </w:r>
      <w:proofErr w:type="spellEnd"/>
      <w:r w:rsidR="000C6870">
        <w:rPr>
          <w:i/>
        </w:rPr>
        <w:t xml:space="preserve"> Zu a</w:t>
      </w:r>
      <w:r>
        <w:rPr>
          <w:i/>
        </w:rPr>
        <w:t>l-</w:t>
      </w:r>
      <w:proofErr w:type="spellStart"/>
      <w:r>
        <w:rPr>
          <w:i/>
        </w:rPr>
        <w:t>Qarnayn</w:t>
      </w:r>
      <w:proofErr w:type="spellEnd"/>
      <w:r>
        <w:t xml:space="preserve">, ed. Nasir </w:t>
      </w:r>
      <w:proofErr w:type="spellStart"/>
      <w:r>
        <w:t>Afsharfar</w:t>
      </w:r>
      <w:proofErr w:type="spellEnd"/>
      <w:r>
        <w:t xml:space="preserve"> (Tehran: </w:t>
      </w:r>
      <w:proofErr w:type="spellStart"/>
      <w:r>
        <w:t>Kitabkhanih</w:t>
      </w:r>
      <w:proofErr w:type="spellEnd"/>
      <w:r>
        <w:t xml:space="preserve">, </w:t>
      </w:r>
      <w:proofErr w:type="spellStart"/>
      <w:r>
        <w:t>Muzih</w:t>
      </w:r>
      <w:proofErr w:type="spellEnd"/>
      <w:r>
        <w:t xml:space="preserve">, </w:t>
      </w:r>
      <w:proofErr w:type="spellStart"/>
      <w:r>
        <w:t>va</w:t>
      </w:r>
      <w:proofErr w:type="spellEnd"/>
      <w:r>
        <w:t xml:space="preserve"> Markaz-</w:t>
      </w:r>
      <w:proofErr w:type="spellStart"/>
      <w:r>
        <w:t>i</w:t>
      </w:r>
      <w:proofErr w:type="spellEnd"/>
      <w:r>
        <w:t xml:space="preserve"> </w:t>
      </w:r>
      <w:proofErr w:type="spellStart"/>
      <w:r>
        <w:t>Asnad-i</w:t>
      </w:r>
      <w:proofErr w:type="spellEnd"/>
      <w:r>
        <w:t xml:space="preserve"> Majlis-</w:t>
      </w:r>
      <w:proofErr w:type="spellStart"/>
      <w:r>
        <w:t>i</w:t>
      </w:r>
      <w:proofErr w:type="spellEnd"/>
      <w:r>
        <w:t xml:space="preserve"> </w:t>
      </w:r>
      <w:proofErr w:type="spellStart"/>
      <w:r>
        <w:t>Shura-yi</w:t>
      </w:r>
      <w:proofErr w:type="spellEnd"/>
      <w:r>
        <w:t xml:space="preserve"> </w:t>
      </w:r>
      <w:proofErr w:type="spellStart"/>
      <w:r>
        <w:t>Islami</w:t>
      </w:r>
      <w:proofErr w:type="spellEnd"/>
      <w:r>
        <w:t xml:space="preserve">, 2001), 1:243; and John Malcolm, </w:t>
      </w:r>
      <w:r w:rsidRPr="00855A6C">
        <w:rPr>
          <w:i/>
          <w:iCs/>
        </w:rPr>
        <w:t xml:space="preserve">The History of Persia from the </w:t>
      </w:r>
      <w:proofErr w:type="gramStart"/>
      <w:r w:rsidRPr="00855A6C">
        <w:rPr>
          <w:i/>
          <w:iCs/>
        </w:rPr>
        <w:t>Most Early</w:t>
      </w:r>
      <w:proofErr w:type="gramEnd"/>
      <w:r w:rsidRPr="00855A6C">
        <w:rPr>
          <w:i/>
          <w:iCs/>
        </w:rPr>
        <w:t xml:space="preserve"> Period to the Present Time</w:t>
      </w:r>
      <w:r>
        <w:t xml:space="preserve"> (London: John Murray, 1815), 2:437</w:t>
      </w:r>
      <w:r w:rsidR="008771EB">
        <w:t xml:space="preserve">. </w:t>
      </w:r>
      <w:r w:rsidRPr="00855A6C">
        <w:t>For</w:t>
      </w:r>
      <w:r>
        <w:t xml:space="preserve"> more on the history and usage of the word </w:t>
      </w:r>
      <w:proofErr w:type="spellStart"/>
      <w:r>
        <w:rPr>
          <w:i/>
          <w:iCs/>
        </w:rPr>
        <w:t>dīvān</w:t>
      </w:r>
      <w:proofErr w:type="spellEnd"/>
      <w:r>
        <w:t>, see</w:t>
      </w:r>
      <w:r w:rsidR="00601F6D">
        <w:t xml:space="preserve"> François de Blois and C. Edmund Bosworth,</w:t>
      </w:r>
      <w:r>
        <w:t xml:space="preserve"> “</w:t>
      </w:r>
      <w:proofErr w:type="spellStart"/>
      <w:r>
        <w:t>Dīvān</w:t>
      </w:r>
      <w:proofErr w:type="spellEnd"/>
      <w:r>
        <w:t xml:space="preserve">,” </w:t>
      </w:r>
      <w:proofErr w:type="spellStart"/>
      <w:r>
        <w:rPr>
          <w:i/>
          <w:iCs/>
        </w:rPr>
        <w:t>Encyclopaedia</w:t>
      </w:r>
      <w:proofErr w:type="spellEnd"/>
      <w:r>
        <w:rPr>
          <w:i/>
          <w:iCs/>
        </w:rPr>
        <w:t xml:space="preserve"> </w:t>
      </w:r>
      <w:proofErr w:type="spellStart"/>
      <w:r>
        <w:rPr>
          <w:i/>
          <w:iCs/>
        </w:rPr>
        <w:t>Iranica</w:t>
      </w:r>
      <w:proofErr w:type="spellEnd"/>
      <w:r>
        <w:t xml:space="preserve">, VII/4, pp. 432–38, available online at </w:t>
      </w:r>
      <w:r w:rsidRPr="005A7921">
        <w:t>http://www.iranicaonline.org/articles/divan</w:t>
      </w:r>
      <w:r>
        <w:t xml:space="preserve">, accessed 10 January 2018; </w:t>
      </w:r>
      <w:r w:rsidR="00601F6D">
        <w:t>A.</w:t>
      </w:r>
      <w:r w:rsidR="005A3BE1">
        <w:t xml:space="preserve"> </w:t>
      </w:r>
      <w:r w:rsidR="00601F6D">
        <w:t xml:space="preserve">A. </w:t>
      </w:r>
      <w:proofErr w:type="spellStart"/>
      <w:r w:rsidR="00601F6D">
        <w:t>Duri</w:t>
      </w:r>
      <w:proofErr w:type="spellEnd"/>
      <w:r w:rsidR="00601F6D">
        <w:t xml:space="preserve"> et al.</w:t>
      </w:r>
      <w:r>
        <w:t>, “</w:t>
      </w:r>
      <w:proofErr w:type="spellStart"/>
      <w:r>
        <w:t>Dīwān</w:t>
      </w:r>
      <w:proofErr w:type="spellEnd"/>
      <w:r>
        <w:t>”, in</w:t>
      </w:r>
      <w:r w:rsidRPr="004F11D8">
        <w:t> </w:t>
      </w:r>
      <w:proofErr w:type="spellStart"/>
      <w:r w:rsidRPr="004F11D8">
        <w:rPr>
          <w:i/>
          <w:iCs/>
        </w:rPr>
        <w:t>Encyclopaedia</w:t>
      </w:r>
      <w:proofErr w:type="spellEnd"/>
      <w:r w:rsidRPr="004F11D8">
        <w:rPr>
          <w:i/>
          <w:iCs/>
        </w:rPr>
        <w:t xml:space="preserve"> of Islam, Second Edition</w:t>
      </w:r>
      <w:r w:rsidRPr="004F11D8">
        <w:t xml:space="preserve">, </w:t>
      </w:r>
      <w:r>
        <w:t xml:space="preserve">eds. </w:t>
      </w:r>
      <w:r w:rsidRPr="004F11D8">
        <w:t xml:space="preserve">P. </w:t>
      </w:r>
      <w:proofErr w:type="spellStart"/>
      <w:r w:rsidRPr="004F11D8">
        <w:t>Bearman</w:t>
      </w:r>
      <w:proofErr w:type="spellEnd"/>
      <w:r w:rsidRPr="004F11D8">
        <w:t xml:space="preserve">, Th. </w:t>
      </w:r>
      <w:proofErr w:type="spellStart"/>
      <w:r w:rsidRPr="004F11D8">
        <w:t>Bianquis</w:t>
      </w:r>
      <w:proofErr w:type="spellEnd"/>
      <w:r w:rsidRPr="004F11D8">
        <w:t>, C.E. Bosworth,</w:t>
      </w:r>
      <w:r>
        <w:t xml:space="preserve"> E. van </w:t>
      </w:r>
      <w:proofErr w:type="spellStart"/>
      <w:r>
        <w:t>Donzel</w:t>
      </w:r>
      <w:proofErr w:type="spellEnd"/>
      <w:r>
        <w:t xml:space="preserve">, W.P. Heinrichs, available online at </w:t>
      </w:r>
      <w:r w:rsidRPr="005A7921">
        <w:t>http://dx.doi.org/10.1163/1573-3912_islam_COM_0170</w:t>
      </w:r>
      <w:r>
        <w:t>, accessed 10 January 2018</w:t>
      </w:r>
      <w:r w:rsidRPr="00F1174B">
        <w:t>.</w:t>
      </w:r>
    </w:p>
  </w:endnote>
  <w:endnote w:id="2">
    <w:p w14:paraId="689C9961" w14:textId="5719F8A1" w:rsidR="00E52E1B" w:rsidRPr="00E32692" w:rsidRDefault="00E52E1B" w:rsidP="00824CFA">
      <w:pPr>
        <w:pStyle w:val="EndnoteText"/>
        <w:spacing w:line="480" w:lineRule="auto"/>
        <w:rPr>
          <w:rFonts w:ascii="Times New Roman" w:hAnsi="Times New Roman" w:cs="Times New Roman"/>
          <w:color w:val="auto"/>
        </w:rPr>
      </w:pPr>
      <w:r>
        <w:rPr>
          <w:rStyle w:val="EndnoteReference"/>
        </w:rPr>
        <w:endnoteRef/>
      </w:r>
      <w:r>
        <w:t xml:space="preserve"> There is a large body of writing on the “political men” of the Qajar period (</w:t>
      </w:r>
      <w:proofErr w:type="spellStart"/>
      <w:r w:rsidRPr="00B6115F">
        <w:rPr>
          <w:i/>
          <w:iCs/>
        </w:rPr>
        <w:t>rij</w:t>
      </w:r>
      <w:r>
        <w:rPr>
          <w:i/>
          <w:iCs/>
        </w:rPr>
        <w:t>ā</w:t>
      </w:r>
      <w:r w:rsidRPr="00B6115F">
        <w:rPr>
          <w:i/>
          <w:iCs/>
        </w:rPr>
        <w:t>l-i</w:t>
      </w:r>
      <w:proofErr w:type="spellEnd"/>
      <w:r w:rsidRPr="00B6115F">
        <w:rPr>
          <w:i/>
          <w:iCs/>
        </w:rPr>
        <w:t xml:space="preserve"> </w:t>
      </w:r>
      <w:proofErr w:type="spellStart"/>
      <w:r w:rsidRPr="00B6115F">
        <w:rPr>
          <w:i/>
          <w:iCs/>
        </w:rPr>
        <w:t>dawrih-yi</w:t>
      </w:r>
      <w:proofErr w:type="spellEnd"/>
      <w:r w:rsidRPr="00B6115F">
        <w:rPr>
          <w:i/>
          <w:iCs/>
        </w:rPr>
        <w:t xml:space="preserve"> </w:t>
      </w:r>
      <w:proofErr w:type="spellStart"/>
      <w:r w:rsidRPr="00B6115F">
        <w:rPr>
          <w:i/>
          <w:iCs/>
        </w:rPr>
        <w:t>Q</w:t>
      </w:r>
      <w:r>
        <w:rPr>
          <w:i/>
          <w:iCs/>
        </w:rPr>
        <w:t>ā</w:t>
      </w:r>
      <w:r w:rsidRPr="00B6115F">
        <w:rPr>
          <w:i/>
          <w:iCs/>
        </w:rPr>
        <w:t>j</w:t>
      </w:r>
      <w:r>
        <w:rPr>
          <w:i/>
          <w:iCs/>
        </w:rPr>
        <w:t>ā</w:t>
      </w:r>
      <w:r w:rsidRPr="00B6115F">
        <w:rPr>
          <w:i/>
          <w:iCs/>
        </w:rPr>
        <w:t>r</w:t>
      </w:r>
      <w:proofErr w:type="spellEnd"/>
      <w:r>
        <w:t xml:space="preserve">), which provides biographical information on—as the words suggest—the political men of the 19th century and their families. Most of this scholarship has focused on simply tracing the family backgrounds and networks of the men who held ministerial and secretarial posts. In that sense, the works are akin to the </w:t>
      </w:r>
      <w:r>
        <w:rPr>
          <w:i/>
          <w:iCs/>
        </w:rPr>
        <w:t>Dictionary of National Biography</w:t>
      </w:r>
      <w:r>
        <w:t xml:space="preserve"> in the British context. For some examples, see Mahdi </w:t>
      </w:r>
      <w:proofErr w:type="spellStart"/>
      <w:r>
        <w:t>Bamdad</w:t>
      </w:r>
      <w:proofErr w:type="spellEnd"/>
      <w:r>
        <w:t xml:space="preserve">, </w:t>
      </w:r>
      <w:proofErr w:type="spellStart"/>
      <w:r>
        <w:rPr>
          <w:i/>
        </w:rPr>
        <w:t>Sharh-i</w:t>
      </w:r>
      <w:proofErr w:type="spellEnd"/>
      <w:r>
        <w:rPr>
          <w:i/>
        </w:rPr>
        <w:t xml:space="preserve"> Hal-</w:t>
      </w:r>
      <w:proofErr w:type="spellStart"/>
      <w:r>
        <w:rPr>
          <w:i/>
        </w:rPr>
        <w:t>i</w:t>
      </w:r>
      <w:proofErr w:type="spellEnd"/>
      <w:r>
        <w:rPr>
          <w:i/>
        </w:rPr>
        <w:t xml:space="preserve"> </w:t>
      </w:r>
      <w:proofErr w:type="spellStart"/>
      <w:r>
        <w:rPr>
          <w:i/>
        </w:rPr>
        <w:t>Rijal-i</w:t>
      </w:r>
      <w:proofErr w:type="spellEnd"/>
      <w:r>
        <w:rPr>
          <w:i/>
        </w:rPr>
        <w:t xml:space="preserve"> Iran </w:t>
      </w:r>
      <w:proofErr w:type="spellStart"/>
      <w:r>
        <w:rPr>
          <w:i/>
        </w:rPr>
        <w:t>dar</w:t>
      </w:r>
      <w:proofErr w:type="spellEnd"/>
      <w:r>
        <w:rPr>
          <w:i/>
        </w:rPr>
        <w:t xml:space="preserve"> </w:t>
      </w:r>
      <w:proofErr w:type="spellStart"/>
      <w:r>
        <w:rPr>
          <w:i/>
        </w:rPr>
        <w:t>Qarn-i</w:t>
      </w:r>
      <w:proofErr w:type="spellEnd"/>
      <w:r>
        <w:rPr>
          <w:i/>
        </w:rPr>
        <w:t xml:space="preserve"> 12, 13, 14 Hijri</w:t>
      </w:r>
      <w:r>
        <w:t xml:space="preserve">, 6 vols. (Tehran: </w:t>
      </w:r>
      <w:proofErr w:type="spellStart"/>
      <w:r>
        <w:t>Zuvvar</w:t>
      </w:r>
      <w:proofErr w:type="spellEnd"/>
      <w:r>
        <w:t xml:space="preserve">, 2008); Dust </w:t>
      </w:r>
      <w:proofErr w:type="spellStart"/>
      <w:r w:rsidRPr="006C2673">
        <w:rPr>
          <w:rFonts w:ascii="JaghbUni" w:hAnsi="JaghbUni" w:cs="Times New Roman"/>
        </w:rPr>
        <w:t>ʿ</w:t>
      </w:r>
      <w:r>
        <w:t>Ali</w:t>
      </w:r>
      <w:proofErr w:type="spellEnd"/>
      <w:r>
        <w:t xml:space="preserve"> Khan </w:t>
      </w:r>
      <w:proofErr w:type="spellStart"/>
      <w:r>
        <w:t>Mu</w:t>
      </w:r>
      <w:r w:rsidRPr="006C2673">
        <w:rPr>
          <w:rFonts w:ascii="JaghbUni" w:hAnsi="JaghbUni" w:cs="Times New Roman"/>
        </w:rPr>
        <w:t>ʿ</w:t>
      </w:r>
      <w:r>
        <w:t>ayyir</w:t>
      </w:r>
      <w:proofErr w:type="spellEnd"/>
      <w:r>
        <w:t xml:space="preserve"> al-</w:t>
      </w:r>
      <w:proofErr w:type="spellStart"/>
      <w:r>
        <w:t>Mamalik</w:t>
      </w:r>
      <w:proofErr w:type="spellEnd"/>
      <w:r>
        <w:t xml:space="preserve">, </w:t>
      </w:r>
      <w:proofErr w:type="spellStart"/>
      <w:r>
        <w:rPr>
          <w:i/>
        </w:rPr>
        <w:t>Rijal-i</w:t>
      </w:r>
      <w:proofErr w:type="spellEnd"/>
      <w:r>
        <w:rPr>
          <w:i/>
        </w:rPr>
        <w:t xml:space="preserve"> </w:t>
      </w:r>
      <w:proofErr w:type="spellStart"/>
      <w:r w:rsidRPr="006C2673">
        <w:rPr>
          <w:rFonts w:ascii="JaghbUni" w:hAnsi="JaghbUni"/>
          <w:i/>
          <w:iCs/>
        </w:rPr>
        <w:t>ʿ</w:t>
      </w:r>
      <w:r>
        <w:rPr>
          <w:i/>
        </w:rPr>
        <w:t>Asr-i</w:t>
      </w:r>
      <w:proofErr w:type="spellEnd"/>
      <w:r>
        <w:rPr>
          <w:i/>
        </w:rPr>
        <w:t xml:space="preserve"> </w:t>
      </w:r>
      <w:proofErr w:type="spellStart"/>
      <w:r>
        <w:rPr>
          <w:i/>
        </w:rPr>
        <w:t>Nasiri</w:t>
      </w:r>
      <w:proofErr w:type="spellEnd"/>
      <w:r>
        <w:t>, 3rd ed. (Tehran: Tarikh-</w:t>
      </w:r>
      <w:proofErr w:type="spellStart"/>
      <w:r>
        <w:t>i</w:t>
      </w:r>
      <w:proofErr w:type="spellEnd"/>
      <w:r>
        <w:t xml:space="preserve"> Iran, 2010); </w:t>
      </w:r>
      <w:proofErr w:type="spellStart"/>
      <w:r>
        <w:t>Husayn</w:t>
      </w:r>
      <w:proofErr w:type="spellEnd"/>
      <w:r>
        <w:t xml:space="preserve"> </w:t>
      </w:r>
      <w:proofErr w:type="spellStart"/>
      <w:r>
        <w:t>Sa</w:t>
      </w:r>
      <w:r w:rsidRPr="006C2673">
        <w:rPr>
          <w:rFonts w:ascii="JaghbUni" w:hAnsi="JaghbUni" w:cs="Times New Roman"/>
        </w:rPr>
        <w:t>ʿ</w:t>
      </w:r>
      <w:r>
        <w:t>adat</w:t>
      </w:r>
      <w:proofErr w:type="spellEnd"/>
      <w:r>
        <w:t xml:space="preserve"> Nuri, </w:t>
      </w:r>
      <w:proofErr w:type="spellStart"/>
      <w:r>
        <w:rPr>
          <w:i/>
        </w:rPr>
        <w:t>Rijal-i</w:t>
      </w:r>
      <w:proofErr w:type="spellEnd"/>
      <w:r>
        <w:rPr>
          <w:i/>
        </w:rPr>
        <w:t xml:space="preserve"> </w:t>
      </w:r>
      <w:proofErr w:type="spellStart"/>
      <w:r>
        <w:rPr>
          <w:i/>
        </w:rPr>
        <w:t>Dawrih-yi</w:t>
      </w:r>
      <w:proofErr w:type="spellEnd"/>
      <w:r>
        <w:rPr>
          <w:i/>
        </w:rPr>
        <w:t xml:space="preserve"> Qajar</w:t>
      </w:r>
      <w:r>
        <w:t xml:space="preserve"> (Tehran: </w:t>
      </w:r>
      <w:proofErr w:type="spellStart"/>
      <w:r>
        <w:t>Intisharat-i</w:t>
      </w:r>
      <w:proofErr w:type="spellEnd"/>
      <w:r>
        <w:t xml:space="preserve"> Vahid, 1985); and Khan Malik </w:t>
      </w:r>
      <w:proofErr w:type="spellStart"/>
      <w:r>
        <w:t>Sasani</w:t>
      </w:r>
      <w:proofErr w:type="spellEnd"/>
      <w:r>
        <w:t xml:space="preserve">, </w:t>
      </w:r>
      <w:proofErr w:type="spellStart"/>
      <w:r>
        <w:rPr>
          <w:i/>
        </w:rPr>
        <w:t>Siyasatgaran-i</w:t>
      </w:r>
      <w:proofErr w:type="spellEnd"/>
      <w:r>
        <w:rPr>
          <w:i/>
        </w:rPr>
        <w:t xml:space="preserve"> </w:t>
      </w:r>
      <w:proofErr w:type="spellStart"/>
      <w:r>
        <w:rPr>
          <w:i/>
        </w:rPr>
        <w:t>Dawrih-i</w:t>
      </w:r>
      <w:proofErr w:type="spellEnd"/>
      <w:r>
        <w:rPr>
          <w:i/>
        </w:rPr>
        <w:t xml:space="preserve"> Qajar</w:t>
      </w:r>
      <w:r>
        <w:t xml:space="preserve">, 2 vols. (Tehran: </w:t>
      </w:r>
      <w:proofErr w:type="spellStart"/>
      <w:r>
        <w:t>Intisharat-i</w:t>
      </w:r>
      <w:proofErr w:type="spellEnd"/>
      <w:r>
        <w:t xml:space="preserve"> </w:t>
      </w:r>
      <w:proofErr w:type="spellStart"/>
      <w:r>
        <w:t>Hidayat</w:t>
      </w:r>
      <w:proofErr w:type="spellEnd"/>
      <w:r>
        <w:t xml:space="preserve">, 1974). Even those scholarly works with a more analytic approach tend to be schematic and focus on the macro level. See for instance </w:t>
      </w:r>
      <w:proofErr w:type="spellStart"/>
      <w:r w:rsidRPr="00790DA8">
        <w:rPr>
          <w:rFonts w:ascii="JaghbUni" w:hAnsi="JaghbUni" w:cs="Times New Roman"/>
        </w:rPr>
        <w:t>ʿ</w:t>
      </w:r>
      <w:r>
        <w:t>Ali</w:t>
      </w:r>
      <w:proofErr w:type="spellEnd"/>
      <w:r>
        <w:t xml:space="preserve"> </w:t>
      </w:r>
      <w:proofErr w:type="spellStart"/>
      <w:r>
        <w:t>Sha</w:t>
      </w:r>
      <w:r w:rsidRPr="00790DA8">
        <w:rPr>
          <w:rFonts w:ascii="JaghbUni" w:hAnsi="JaghbUni" w:cs="Times New Roman"/>
        </w:rPr>
        <w:t>ʿ</w:t>
      </w:r>
      <w:r>
        <w:t>bani</w:t>
      </w:r>
      <w:proofErr w:type="spellEnd"/>
      <w:r>
        <w:t xml:space="preserve">, </w:t>
      </w:r>
      <w:proofErr w:type="spellStart"/>
      <w:r>
        <w:rPr>
          <w:i/>
          <w:iCs/>
        </w:rPr>
        <w:t>Hizar</w:t>
      </w:r>
      <w:proofErr w:type="spellEnd"/>
      <w:r>
        <w:rPr>
          <w:i/>
          <w:iCs/>
        </w:rPr>
        <w:t xml:space="preserve"> </w:t>
      </w:r>
      <w:proofErr w:type="spellStart"/>
      <w:r>
        <w:rPr>
          <w:i/>
          <w:iCs/>
        </w:rPr>
        <w:t>Famil</w:t>
      </w:r>
      <w:proofErr w:type="spellEnd"/>
      <w:r>
        <w:rPr>
          <w:i/>
          <w:iCs/>
        </w:rPr>
        <w:t xml:space="preserve"> </w:t>
      </w:r>
      <w:r>
        <w:t xml:space="preserve">(Tehran: Bu </w:t>
      </w:r>
      <w:proofErr w:type="spellStart"/>
      <w:r w:rsidRPr="00790DA8">
        <w:rPr>
          <w:rFonts w:ascii="JaghbUni" w:hAnsi="JaghbUni" w:cs="Times New Roman"/>
        </w:rPr>
        <w:t>ʿ</w:t>
      </w:r>
      <w:r>
        <w:t>Ali</w:t>
      </w:r>
      <w:proofErr w:type="spellEnd"/>
      <w:r>
        <w:t>, 1987), whose book divides Iranian history from the eighteenth to the twentieth centuries into five distinct periods: the tribal era (</w:t>
      </w:r>
      <w:proofErr w:type="spellStart"/>
      <w:r w:rsidRPr="009F161B">
        <w:rPr>
          <w:i/>
          <w:iCs/>
        </w:rPr>
        <w:t>d</w:t>
      </w:r>
      <w:r>
        <w:rPr>
          <w:rFonts w:ascii="Times New Roman" w:hAnsi="Times New Roman" w:cs="Times New Roman"/>
          <w:i/>
          <w:iCs/>
          <w:color w:val="auto"/>
        </w:rPr>
        <w:t>awrih</w:t>
      </w:r>
      <w:r w:rsidRPr="009F161B">
        <w:rPr>
          <w:rFonts w:ascii="Times New Roman" w:hAnsi="Times New Roman" w:cs="Times New Roman"/>
          <w:i/>
          <w:iCs/>
          <w:color w:val="auto"/>
        </w:rPr>
        <w:t>-yi</w:t>
      </w:r>
      <w:proofErr w:type="spellEnd"/>
      <w:r w:rsidRPr="009F161B">
        <w:rPr>
          <w:rFonts w:ascii="Times New Roman" w:hAnsi="Times New Roman" w:cs="Times New Roman"/>
          <w:i/>
          <w:iCs/>
          <w:color w:val="auto"/>
        </w:rPr>
        <w:t xml:space="preserve"> </w:t>
      </w:r>
      <w:proofErr w:type="spellStart"/>
      <w:r w:rsidRPr="009F161B">
        <w:rPr>
          <w:rFonts w:ascii="Times New Roman" w:hAnsi="Times New Roman" w:cs="Times New Roman"/>
          <w:i/>
          <w:iCs/>
          <w:color w:val="auto"/>
        </w:rPr>
        <w:t>khānkhānī</w:t>
      </w:r>
      <w:proofErr w:type="spellEnd"/>
      <w:r>
        <w:rPr>
          <w:rFonts w:ascii="Times New Roman" w:hAnsi="Times New Roman" w:cs="Times New Roman"/>
          <w:color w:val="auto"/>
        </w:rPr>
        <w:t>), the epoch of princes (</w:t>
      </w:r>
      <w:proofErr w:type="spellStart"/>
      <w:r w:rsidRPr="00DB01AB">
        <w:rPr>
          <w:rFonts w:ascii="JaghbUni" w:hAnsi="JaghbUni" w:cs="Times New Roman"/>
          <w:i/>
          <w:iCs/>
        </w:rPr>
        <w:t>ʿ</w:t>
      </w:r>
      <w:r w:rsidRPr="009F161B">
        <w:rPr>
          <w:rFonts w:ascii="Times New Roman" w:hAnsi="Times New Roman" w:cs="Times New Roman"/>
          <w:i/>
          <w:iCs/>
          <w:color w:val="auto"/>
        </w:rPr>
        <w:t>aṣr-i</w:t>
      </w:r>
      <w:proofErr w:type="spellEnd"/>
      <w:r w:rsidRPr="009F161B">
        <w:rPr>
          <w:rFonts w:ascii="Times New Roman" w:hAnsi="Times New Roman" w:cs="Times New Roman"/>
          <w:i/>
          <w:iCs/>
          <w:color w:val="auto"/>
        </w:rPr>
        <w:t xml:space="preserve"> </w:t>
      </w:r>
      <w:proofErr w:type="spellStart"/>
      <w:r w:rsidRPr="009F161B">
        <w:rPr>
          <w:rFonts w:ascii="Times New Roman" w:hAnsi="Times New Roman" w:cs="Times New Roman"/>
          <w:i/>
          <w:iCs/>
          <w:color w:val="auto"/>
        </w:rPr>
        <w:t>shāhzādigān</w:t>
      </w:r>
      <w:proofErr w:type="spellEnd"/>
      <w:r>
        <w:rPr>
          <w:rFonts w:ascii="Times New Roman" w:hAnsi="Times New Roman" w:cs="Times New Roman"/>
          <w:color w:val="auto"/>
        </w:rPr>
        <w:t xml:space="preserve">), the emergence of </w:t>
      </w:r>
      <w:r>
        <w:rPr>
          <w:rFonts w:ascii="Times New Roman" w:hAnsi="Times New Roman" w:cs="Times New Roman"/>
          <w:color w:val="auto"/>
          <w:lang w:bidi="fa-IR"/>
        </w:rPr>
        <w:t>ministers (</w:t>
      </w:r>
      <w:proofErr w:type="spellStart"/>
      <w:r w:rsidRPr="009F161B">
        <w:rPr>
          <w:rFonts w:ascii="Times New Roman" w:hAnsi="Times New Roman" w:cs="Times New Roman"/>
          <w:i/>
          <w:iCs/>
          <w:color w:val="auto"/>
        </w:rPr>
        <w:t>ẓuhūr-i</w:t>
      </w:r>
      <w:proofErr w:type="spellEnd"/>
      <w:r w:rsidRPr="009F161B">
        <w:rPr>
          <w:rFonts w:ascii="Times New Roman" w:hAnsi="Times New Roman" w:cs="Times New Roman"/>
          <w:i/>
          <w:iCs/>
          <w:color w:val="auto"/>
        </w:rPr>
        <w:t xml:space="preserve"> </w:t>
      </w:r>
      <w:proofErr w:type="spellStart"/>
      <w:r w:rsidRPr="009F161B">
        <w:rPr>
          <w:rFonts w:ascii="Times New Roman" w:hAnsi="Times New Roman" w:cs="Times New Roman"/>
          <w:i/>
          <w:iCs/>
          <w:color w:val="auto"/>
        </w:rPr>
        <w:t>dīvānsālārān</w:t>
      </w:r>
      <w:proofErr w:type="spellEnd"/>
      <w:r>
        <w:rPr>
          <w:rFonts w:ascii="Times New Roman" w:hAnsi="Times New Roman" w:cs="Times New Roman"/>
          <w:color w:val="auto"/>
        </w:rPr>
        <w:t>), the presence of statesmen (</w:t>
      </w:r>
      <w:proofErr w:type="spellStart"/>
      <w:r w:rsidRPr="00E32692">
        <w:rPr>
          <w:rFonts w:ascii="Times New Roman" w:hAnsi="Times New Roman" w:cs="Times New Roman"/>
          <w:i/>
          <w:iCs/>
          <w:color w:val="auto"/>
        </w:rPr>
        <w:t>ḥużūr</w:t>
      </w:r>
      <w:r w:rsidRPr="009F161B">
        <w:rPr>
          <w:rFonts w:ascii="Times New Roman" w:hAnsi="Times New Roman" w:cs="Times New Roman"/>
          <w:i/>
          <w:iCs/>
          <w:color w:val="auto"/>
        </w:rPr>
        <w:t>-i</w:t>
      </w:r>
      <w:proofErr w:type="spellEnd"/>
      <w:r w:rsidRPr="009F161B">
        <w:rPr>
          <w:rFonts w:ascii="Times New Roman" w:hAnsi="Times New Roman" w:cs="Times New Roman"/>
          <w:i/>
          <w:iCs/>
          <w:color w:val="auto"/>
        </w:rPr>
        <w:t xml:space="preserve"> </w:t>
      </w:r>
      <w:proofErr w:type="spellStart"/>
      <w:r w:rsidRPr="009F161B">
        <w:rPr>
          <w:rFonts w:ascii="Times New Roman" w:hAnsi="Times New Roman" w:cs="Times New Roman"/>
          <w:i/>
          <w:iCs/>
          <w:color w:val="auto"/>
        </w:rPr>
        <w:t>dawlatmardān</w:t>
      </w:r>
      <w:proofErr w:type="spellEnd"/>
      <w:r>
        <w:rPr>
          <w:rFonts w:ascii="Times New Roman" w:hAnsi="Times New Roman" w:cs="Times New Roman"/>
          <w:color w:val="auto"/>
        </w:rPr>
        <w:t>), and parliamentary government (</w:t>
      </w:r>
      <w:proofErr w:type="spellStart"/>
      <w:r w:rsidRPr="00E32692">
        <w:rPr>
          <w:rFonts w:ascii="Times New Roman" w:hAnsi="Times New Roman" w:cs="Times New Roman"/>
          <w:i/>
          <w:iCs/>
          <w:color w:val="auto"/>
        </w:rPr>
        <w:t>ḥukūmat</w:t>
      </w:r>
      <w:r w:rsidRPr="009F161B">
        <w:rPr>
          <w:rFonts w:ascii="Times New Roman" w:hAnsi="Times New Roman" w:cs="Times New Roman"/>
          <w:i/>
          <w:iCs/>
          <w:color w:val="auto"/>
        </w:rPr>
        <w:t>-i</w:t>
      </w:r>
      <w:proofErr w:type="spellEnd"/>
      <w:r w:rsidRPr="009F161B">
        <w:rPr>
          <w:rFonts w:ascii="Times New Roman" w:hAnsi="Times New Roman" w:cs="Times New Roman"/>
          <w:i/>
          <w:iCs/>
          <w:color w:val="auto"/>
        </w:rPr>
        <w:t xml:space="preserve"> </w:t>
      </w:r>
      <w:proofErr w:type="spellStart"/>
      <w:r w:rsidRPr="009F161B">
        <w:rPr>
          <w:rFonts w:ascii="Times New Roman" w:hAnsi="Times New Roman" w:cs="Times New Roman"/>
          <w:i/>
          <w:iCs/>
          <w:color w:val="auto"/>
        </w:rPr>
        <w:t>pārlamānī</w:t>
      </w:r>
      <w:proofErr w:type="spellEnd"/>
      <w:r>
        <w:rPr>
          <w:rFonts w:ascii="Times New Roman" w:hAnsi="Times New Roman" w:cs="Times New Roman"/>
          <w:color w:val="auto"/>
        </w:rPr>
        <w:t>).</w:t>
      </w:r>
    </w:p>
  </w:endnote>
  <w:endnote w:id="3">
    <w:p w14:paraId="44C8DD5E" w14:textId="19691C99" w:rsidR="00E52E1B" w:rsidRPr="00EB3923" w:rsidRDefault="00E52E1B" w:rsidP="00A72800">
      <w:pPr>
        <w:spacing w:line="480" w:lineRule="auto"/>
        <w:rPr>
          <w:rFonts w:ascii="Times New Roman" w:eastAsia="Times New Roman" w:hAnsi="Times New Roman" w:cs="Times New Roman"/>
          <w:color w:val="auto"/>
          <w:szCs w:val="24"/>
        </w:rPr>
      </w:pPr>
      <w:r>
        <w:rPr>
          <w:rStyle w:val="EndnoteReference"/>
        </w:rPr>
        <w:endnoteRef/>
      </w:r>
      <w:r>
        <w:t xml:space="preserve"> The scholarly literature on this topic is vast. For a classic comparative study of aristocracies across different regions, see </w:t>
      </w:r>
      <w:r w:rsidRPr="00EB3923">
        <w:rPr>
          <w:rFonts w:ascii="Times New Roman" w:eastAsia="Times New Roman" w:hAnsi="Times New Roman" w:cs="Times New Roman"/>
          <w:color w:val="auto"/>
          <w:szCs w:val="24"/>
        </w:rPr>
        <w:t xml:space="preserve">Perry Anderson, </w:t>
      </w:r>
      <w:r w:rsidRPr="00EB3923">
        <w:rPr>
          <w:rFonts w:ascii="Times New Roman" w:eastAsia="Times New Roman" w:hAnsi="Times New Roman" w:cs="Times New Roman"/>
          <w:i/>
          <w:iCs/>
          <w:color w:val="auto"/>
          <w:szCs w:val="24"/>
        </w:rPr>
        <w:t>Lineages of the Absolutist State</w:t>
      </w:r>
      <w:r w:rsidRPr="00EB3923">
        <w:rPr>
          <w:rFonts w:ascii="Times New Roman" w:eastAsia="Times New Roman" w:hAnsi="Times New Roman" w:cs="Times New Roman"/>
          <w:color w:val="auto"/>
          <w:szCs w:val="24"/>
        </w:rPr>
        <w:t xml:space="preserve"> (London: New Left Books, 1974).</w:t>
      </w:r>
    </w:p>
  </w:endnote>
  <w:endnote w:id="4">
    <w:p w14:paraId="68E13D2E" w14:textId="529048CB" w:rsidR="00E52E1B" w:rsidRDefault="00E52E1B" w:rsidP="00344E9E">
      <w:pPr>
        <w:pStyle w:val="EndnoteText"/>
        <w:spacing w:line="480" w:lineRule="auto"/>
      </w:pPr>
      <w:r>
        <w:rPr>
          <w:vertAlign w:val="superscript"/>
        </w:rPr>
        <w:endnoteRef/>
      </w:r>
      <w:r>
        <w:t xml:space="preserve"> Ann K. S. Lambton, “The Tribal Resurgence and the Decline of the Bureaucracy in the Eighteenth Century,” in </w:t>
      </w:r>
      <w:r>
        <w:rPr>
          <w:i/>
        </w:rPr>
        <w:t>Studies in Eighteenth Century Islamic History</w:t>
      </w:r>
      <w:r>
        <w:t xml:space="preserve">, ed. Thomas Naff and Roger Owen (Carbondale, Ill.: Southern Illinois University Press, 1977), 108–32. On Iran’s economy during the 18th century, see Mirza Muhammad </w:t>
      </w:r>
      <w:proofErr w:type="spellStart"/>
      <w:r>
        <w:t>Kalantar-i</w:t>
      </w:r>
      <w:proofErr w:type="spellEnd"/>
      <w:r>
        <w:t xml:space="preserve"> Fars, </w:t>
      </w:r>
      <w:proofErr w:type="spellStart"/>
      <w:r>
        <w:rPr>
          <w:i/>
        </w:rPr>
        <w:t>Ruznama-yi</w:t>
      </w:r>
      <w:proofErr w:type="spellEnd"/>
      <w:r>
        <w:rPr>
          <w:i/>
        </w:rPr>
        <w:t xml:space="preserve"> Mirza Muhammad </w:t>
      </w:r>
      <w:proofErr w:type="spellStart"/>
      <w:r>
        <w:rPr>
          <w:i/>
        </w:rPr>
        <w:t>Kalantar-i</w:t>
      </w:r>
      <w:proofErr w:type="spellEnd"/>
      <w:r>
        <w:rPr>
          <w:i/>
        </w:rPr>
        <w:t xml:space="preserve"> Fars</w:t>
      </w:r>
      <w:r>
        <w:t xml:space="preserve">, ed. Abbas Iqbal (Tehran: </w:t>
      </w:r>
      <w:proofErr w:type="spellStart"/>
      <w:r>
        <w:t>Shirkat-i</w:t>
      </w:r>
      <w:proofErr w:type="spellEnd"/>
      <w:r>
        <w:t xml:space="preserve"> </w:t>
      </w:r>
      <w:proofErr w:type="spellStart"/>
      <w:r>
        <w:t>Sahami</w:t>
      </w:r>
      <w:proofErr w:type="spellEnd"/>
      <w:r>
        <w:t xml:space="preserve">, 1946); Muhammad </w:t>
      </w:r>
      <w:proofErr w:type="spellStart"/>
      <w:r>
        <w:t>Hashim</w:t>
      </w:r>
      <w:proofErr w:type="spellEnd"/>
      <w:r>
        <w:t xml:space="preserve"> Asaf Rustam al-</w:t>
      </w:r>
      <w:proofErr w:type="spellStart"/>
      <w:r>
        <w:t>Hukama</w:t>
      </w:r>
      <w:proofErr w:type="spellEnd"/>
      <w:r>
        <w:t xml:space="preserve">, </w:t>
      </w:r>
      <w:r>
        <w:rPr>
          <w:i/>
        </w:rPr>
        <w:t>Rustam al-</w:t>
      </w:r>
      <w:proofErr w:type="spellStart"/>
      <w:r>
        <w:rPr>
          <w:i/>
        </w:rPr>
        <w:t>Tavarikh</w:t>
      </w:r>
      <w:proofErr w:type="spellEnd"/>
      <w:r>
        <w:t xml:space="preserve">, ed. Muhammad </w:t>
      </w:r>
      <w:proofErr w:type="spellStart"/>
      <w:r>
        <w:t>Mushiri</w:t>
      </w:r>
      <w:proofErr w:type="spellEnd"/>
      <w:r>
        <w:t xml:space="preserve"> (Tehran: </w:t>
      </w:r>
      <w:proofErr w:type="spellStart"/>
      <w:r>
        <w:t>Taban</w:t>
      </w:r>
      <w:proofErr w:type="spellEnd"/>
      <w:r>
        <w:t xml:space="preserve">, 1969); and Charles P. </w:t>
      </w:r>
      <w:proofErr w:type="spellStart"/>
      <w:r>
        <w:t>Issawi</w:t>
      </w:r>
      <w:proofErr w:type="spellEnd"/>
      <w:r>
        <w:t xml:space="preserve">, </w:t>
      </w:r>
      <w:r>
        <w:rPr>
          <w:i/>
        </w:rPr>
        <w:t xml:space="preserve">The Economic History of Iran, 1800–1914 </w:t>
      </w:r>
      <w:r>
        <w:t>(Chicago: University of Chicago Press, 1971), 13.</w:t>
      </w:r>
    </w:p>
  </w:endnote>
  <w:endnote w:id="5">
    <w:p w14:paraId="23F50C57" w14:textId="13EB8F43" w:rsidR="00E52E1B" w:rsidRDefault="00E52E1B" w:rsidP="005E23BA">
      <w:pPr>
        <w:pStyle w:val="EndnoteText"/>
        <w:spacing w:line="480" w:lineRule="auto"/>
      </w:pPr>
      <w:r>
        <w:rPr>
          <w:vertAlign w:val="superscript"/>
        </w:rPr>
        <w:endnoteRef/>
      </w:r>
      <w:r>
        <w:t xml:space="preserve"> The years 1785 to 1834 correspond to the reigns of Agha Muhammad Khan (r. 1785–97) and Fath-</w:t>
      </w:r>
      <w:proofErr w:type="spellStart"/>
      <w:r>
        <w:rPr>
          <w:rFonts w:ascii="JaghbUni" w:hAnsi="JaghbUni"/>
        </w:rPr>
        <w:t>ʿ</w:t>
      </w:r>
      <w:r>
        <w:t>Ali</w:t>
      </w:r>
      <w:proofErr w:type="spellEnd"/>
      <w:r>
        <w:t xml:space="preserve"> Shah (r. 1797–1834).</w:t>
      </w:r>
    </w:p>
  </w:endnote>
  <w:endnote w:id="6">
    <w:p w14:paraId="0AE73E66" w14:textId="3CDC48DA" w:rsidR="00E52E1B" w:rsidRDefault="00E52E1B" w:rsidP="00EE0CEE">
      <w:pPr>
        <w:pStyle w:val="EndnoteText"/>
        <w:spacing w:line="480" w:lineRule="auto"/>
      </w:pPr>
      <w:r>
        <w:rPr>
          <w:vertAlign w:val="superscript"/>
        </w:rPr>
        <w:endnoteRef/>
      </w:r>
      <w:r>
        <w:t xml:space="preserve"> On the rise of the </w:t>
      </w:r>
      <w:proofErr w:type="spellStart"/>
      <w:r>
        <w:t>Qajars</w:t>
      </w:r>
      <w:proofErr w:type="spellEnd"/>
      <w:r>
        <w:t xml:space="preserve"> as being a “watershed” in Iranian history, see Lambton, “Persian Trade under the Early </w:t>
      </w:r>
      <w:proofErr w:type="spellStart"/>
      <w:r>
        <w:t>Qajars</w:t>
      </w:r>
      <w:proofErr w:type="spellEnd"/>
      <w:r>
        <w:t xml:space="preserve">,” in </w:t>
      </w:r>
      <w:r>
        <w:rPr>
          <w:i/>
        </w:rPr>
        <w:t xml:space="preserve">Qajar Persia: Eleven Studies </w:t>
      </w:r>
      <w:r>
        <w:t>(Austin, Tex.: University of Texas Press, 1987), 110.</w:t>
      </w:r>
    </w:p>
  </w:endnote>
  <w:endnote w:id="7">
    <w:p w14:paraId="64518BE5" w14:textId="1637E822" w:rsidR="00E52E1B" w:rsidRDefault="00E52E1B" w:rsidP="008D6EF5">
      <w:pPr>
        <w:pStyle w:val="EndnoteText"/>
        <w:spacing w:line="480" w:lineRule="auto"/>
      </w:pPr>
      <w:r>
        <w:rPr>
          <w:rStyle w:val="EndnoteReference"/>
        </w:rPr>
        <w:endnoteRef/>
      </w:r>
      <w:r>
        <w:t xml:space="preserve"> </w:t>
      </w:r>
      <w:r w:rsidRPr="00C447D0">
        <w:t xml:space="preserve">Vanessa Martin, “An Evaluation of Reform and Development of the State in the Early </w:t>
      </w:r>
      <w:proofErr w:type="spellStart"/>
      <w:r w:rsidRPr="00C447D0">
        <w:t>Qājār</w:t>
      </w:r>
      <w:proofErr w:type="spellEnd"/>
      <w:r w:rsidRPr="00C447D0">
        <w:t xml:space="preserve"> Period,” </w:t>
      </w:r>
      <w:r w:rsidRPr="00C447D0">
        <w:rPr>
          <w:i/>
          <w:iCs/>
        </w:rPr>
        <w:t xml:space="preserve">Die Welt Des </w:t>
      </w:r>
      <w:proofErr w:type="spellStart"/>
      <w:r w:rsidRPr="00C447D0">
        <w:rPr>
          <w:i/>
          <w:iCs/>
        </w:rPr>
        <w:t>Islams</w:t>
      </w:r>
      <w:proofErr w:type="spellEnd"/>
      <w:r>
        <w:rPr>
          <w:i/>
          <w:iCs/>
        </w:rPr>
        <w:t xml:space="preserve"> </w:t>
      </w:r>
      <w:r>
        <w:t xml:space="preserve">36 (1996): 1–24; Colin Meredith, “Early Qajar Administration: An Analysis of Its Development and Functions,” </w:t>
      </w:r>
      <w:r w:rsidRPr="00C447D0">
        <w:rPr>
          <w:i/>
        </w:rPr>
        <w:t>Iranian Studies</w:t>
      </w:r>
      <w:r>
        <w:t xml:space="preserve"> 4 (1971): 59–84. </w:t>
      </w:r>
    </w:p>
  </w:endnote>
  <w:endnote w:id="8">
    <w:p w14:paraId="2770BCEA" w14:textId="60247BE7" w:rsidR="00E52E1B" w:rsidRDefault="00E52E1B" w:rsidP="008D6EF5">
      <w:pPr>
        <w:pStyle w:val="EndnoteText"/>
        <w:spacing w:line="480" w:lineRule="auto"/>
      </w:pPr>
      <w:r>
        <w:rPr>
          <w:rStyle w:val="EndnoteReference"/>
        </w:rPr>
        <w:endnoteRef/>
      </w:r>
      <w:r>
        <w:t xml:space="preserve"> For studies on Qajar efforts to create a centralized bureaucracy, see </w:t>
      </w:r>
      <w:proofErr w:type="spellStart"/>
      <w:r>
        <w:t>Shaul</w:t>
      </w:r>
      <w:proofErr w:type="spellEnd"/>
      <w:r>
        <w:t xml:space="preserve"> </w:t>
      </w:r>
      <w:proofErr w:type="spellStart"/>
      <w:r>
        <w:t>Bakhash</w:t>
      </w:r>
      <w:proofErr w:type="spellEnd"/>
      <w:r>
        <w:t xml:space="preserve">, </w:t>
      </w:r>
      <w:r>
        <w:rPr>
          <w:i/>
        </w:rPr>
        <w:t xml:space="preserve">Iran: Monarchy, Bureaucracy, and Reform Under the </w:t>
      </w:r>
      <w:proofErr w:type="spellStart"/>
      <w:r>
        <w:rPr>
          <w:i/>
        </w:rPr>
        <w:t>Qajars</w:t>
      </w:r>
      <w:proofErr w:type="spellEnd"/>
      <w:r>
        <w:rPr>
          <w:i/>
        </w:rPr>
        <w:t>: 1858–1896</w:t>
      </w:r>
      <w:r>
        <w:t xml:space="preserve"> (London: Ithaca Press, 1978); </w:t>
      </w:r>
      <w:proofErr w:type="spellStart"/>
      <w:r>
        <w:t>Shaul</w:t>
      </w:r>
      <w:proofErr w:type="spellEnd"/>
      <w:r>
        <w:t xml:space="preserve"> </w:t>
      </w:r>
      <w:proofErr w:type="spellStart"/>
      <w:r>
        <w:t>Bakhash</w:t>
      </w:r>
      <w:proofErr w:type="spellEnd"/>
      <w:r>
        <w:t xml:space="preserve">, “The Evolution of Qajar Bureaucracy: 1779–1879,” </w:t>
      </w:r>
      <w:r>
        <w:rPr>
          <w:i/>
        </w:rPr>
        <w:t>Middle Eastern Studies</w:t>
      </w:r>
      <w:r>
        <w:t xml:space="preserve"> 7 (1971): 139–68; A. Reza </w:t>
      </w:r>
      <w:proofErr w:type="spellStart"/>
      <w:r>
        <w:t>Sheikholeslami</w:t>
      </w:r>
      <w:proofErr w:type="spellEnd"/>
      <w:r>
        <w:t xml:space="preserve">, </w:t>
      </w:r>
      <w:r w:rsidRPr="00C447D0">
        <w:rPr>
          <w:i/>
        </w:rPr>
        <w:t>The Structure of Central Authority in Qajar Iran, 1871-1896</w:t>
      </w:r>
      <w:r>
        <w:t xml:space="preserve"> (Atlanta, Ga.: Scholars Press, 1997); and </w:t>
      </w:r>
      <w:proofErr w:type="spellStart"/>
      <w:r>
        <w:t>Sheikholeslami</w:t>
      </w:r>
      <w:proofErr w:type="spellEnd"/>
      <w:r>
        <w:t xml:space="preserve">, “The Patrimonial Structure of Iranian Bureaucracy in the Late Nineteenth Century,” </w:t>
      </w:r>
      <w:r w:rsidRPr="00C447D0">
        <w:rPr>
          <w:i/>
        </w:rPr>
        <w:t>Iranian Studies</w:t>
      </w:r>
      <w:r>
        <w:t xml:space="preserve"> 11 (1978): 199–258. There are exceptions, of course. For an example of a study that places early Qajar kingship in the context of historical Persian, Turco-Mongolian, and Islamic institutions, see Abbas </w:t>
      </w:r>
      <w:proofErr w:type="spellStart"/>
      <w:r>
        <w:t>Amanat</w:t>
      </w:r>
      <w:proofErr w:type="spellEnd"/>
      <w:r>
        <w:t xml:space="preserve">, </w:t>
      </w:r>
      <w:r>
        <w:rPr>
          <w:i/>
        </w:rPr>
        <w:t>Pivot of the Universe: Nasir al-Din Shah Qajar and the Iranian Monarchy, 1831-1896</w:t>
      </w:r>
      <w:r>
        <w:t xml:space="preserve">, 2nd ed. (London: </w:t>
      </w:r>
      <w:proofErr w:type="spellStart"/>
      <w:r>
        <w:t>I.</w:t>
      </w:r>
      <w:proofErr w:type="gramStart"/>
      <w:r>
        <w:t>B.Tauris</w:t>
      </w:r>
      <w:proofErr w:type="spellEnd"/>
      <w:proofErr w:type="gramEnd"/>
      <w:r>
        <w:t>, 2008), 7–13.</w:t>
      </w:r>
    </w:p>
  </w:endnote>
  <w:endnote w:id="9">
    <w:p w14:paraId="2B0C25FD" w14:textId="2EC0B6DB" w:rsidR="00E52E1B" w:rsidRDefault="00E52E1B" w:rsidP="008D6EF5">
      <w:pPr>
        <w:pStyle w:val="EndnoteText"/>
        <w:spacing w:line="480" w:lineRule="auto"/>
      </w:pPr>
      <w:r>
        <w:rPr>
          <w:rStyle w:val="EndnoteReference"/>
        </w:rPr>
        <w:endnoteRef/>
      </w:r>
      <w:r>
        <w:t xml:space="preserve"> The relationship between the </w:t>
      </w:r>
      <w:proofErr w:type="spellStart"/>
      <w:r>
        <w:rPr>
          <w:rFonts w:ascii="JaghbUni" w:hAnsi="JaghbUni"/>
        </w:rPr>
        <w:t>ʿ</w:t>
      </w:r>
      <w:r>
        <w:t>ulama</w:t>
      </w:r>
      <w:r>
        <w:rPr>
          <w:rFonts w:ascii="JaghbUni" w:hAnsi="JaghbUni"/>
        </w:rPr>
        <w:t>ʾ</w:t>
      </w:r>
      <w:proofErr w:type="spellEnd"/>
      <w:r>
        <w:t xml:space="preserve"> and the Qajar state has generated vigorous scholarly debate. For some studies, see </w:t>
      </w:r>
      <w:r w:rsidRPr="00F86A14">
        <w:t xml:space="preserve">Hamid </w:t>
      </w:r>
      <w:proofErr w:type="spellStart"/>
      <w:r w:rsidRPr="00F86A14">
        <w:t>Algar</w:t>
      </w:r>
      <w:proofErr w:type="spellEnd"/>
      <w:r w:rsidRPr="00F86A14">
        <w:t xml:space="preserve">, </w:t>
      </w:r>
      <w:r w:rsidRPr="00F86A14">
        <w:rPr>
          <w:i/>
          <w:iCs/>
        </w:rPr>
        <w:t>Religion and State in Iran, 1785</w:t>
      </w:r>
      <w:r>
        <w:rPr>
          <w:i/>
          <w:iCs/>
        </w:rPr>
        <w:t>–</w:t>
      </w:r>
      <w:r w:rsidRPr="00F86A14">
        <w:rPr>
          <w:i/>
          <w:iCs/>
        </w:rPr>
        <w:t>1906: The Role of the Ulama in the Qajar Period</w:t>
      </w:r>
      <w:r w:rsidRPr="00F86A14">
        <w:t xml:space="preserve"> (Berkeley</w:t>
      </w:r>
      <w:r>
        <w:t>, Calif.</w:t>
      </w:r>
      <w:r w:rsidRPr="00F86A14">
        <w:t>: Univer</w:t>
      </w:r>
      <w:r>
        <w:t xml:space="preserve">sity of California Press, 1969); </w:t>
      </w:r>
      <w:r w:rsidRPr="00C705F7">
        <w:t xml:space="preserve">Said Amir </w:t>
      </w:r>
      <w:proofErr w:type="spellStart"/>
      <w:r w:rsidRPr="00C705F7">
        <w:t>Arjomand</w:t>
      </w:r>
      <w:proofErr w:type="spellEnd"/>
      <w:r w:rsidRPr="00C705F7">
        <w:t xml:space="preserve">, “The </w:t>
      </w:r>
      <w:proofErr w:type="spellStart"/>
      <w:r w:rsidRPr="00C705F7">
        <w:t>Shi</w:t>
      </w:r>
      <w:r w:rsidRPr="00546142">
        <w:rPr>
          <w:rFonts w:ascii="JaghbUni" w:hAnsi="JaghbUni"/>
        </w:rPr>
        <w:t>ʿ</w:t>
      </w:r>
      <w:r w:rsidRPr="00C705F7">
        <w:t>ite</w:t>
      </w:r>
      <w:proofErr w:type="spellEnd"/>
      <w:r w:rsidRPr="00C705F7">
        <w:t xml:space="preserve"> Hierocracy and the State in Pre-Modern Iran: 1785</w:t>
      </w:r>
      <w:r>
        <w:t>–</w:t>
      </w:r>
      <w:r w:rsidRPr="00C705F7">
        <w:t xml:space="preserve">1890,” </w:t>
      </w:r>
      <w:r w:rsidRPr="00C705F7">
        <w:rPr>
          <w:i/>
          <w:iCs/>
        </w:rPr>
        <w:t>European Journal of Sociology</w:t>
      </w:r>
      <w:r w:rsidRPr="00C705F7">
        <w:t xml:space="preserve"> 22 (1981): 40–78</w:t>
      </w:r>
      <w:r>
        <w:t xml:space="preserve">; </w:t>
      </w:r>
      <w:proofErr w:type="spellStart"/>
      <w:r>
        <w:t>Arjomand</w:t>
      </w:r>
      <w:proofErr w:type="spellEnd"/>
      <w:r w:rsidRPr="00C705F7">
        <w:t>, “The Office of Mulla-</w:t>
      </w:r>
      <w:proofErr w:type="spellStart"/>
      <w:r w:rsidRPr="00C705F7">
        <w:t>Bashi</w:t>
      </w:r>
      <w:proofErr w:type="spellEnd"/>
      <w:r w:rsidRPr="00C705F7">
        <w:t xml:space="preserve"> in </w:t>
      </w:r>
      <w:proofErr w:type="spellStart"/>
      <w:r w:rsidRPr="00C705F7">
        <w:t>Shi</w:t>
      </w:r>
      <w:r>
        <w:rPr>
          <w:rFonts w:ascii="JaghbUni" w:hAnsi="JaghbUni"/>
        </w:rPr>
        <w:t>ʿ</w:t>
      </w:r>
      <w:r w:rsidRPr="00C705F7">
        <w:t>ite</w:t>
      </w:r>
      <w:proofErr w:type="spellEnd"/>
      <w:r w:rsidRPr="00C705F7">
        <w:t xml:space="preserve"> Iran,” </w:t>
      </w:r>
      <w:proofErr w:type="spellStart"/>
      <w:r w:rsidRPr="00C705F7">
        <w:rPr>
          <w:i/>
          <w:iCs/>
        </w:rPr>
        <w:t>Studia</w:t>
      </w:r>
      <w:proofErr w:type="spellEnd"/>
      <w:r w:rsidRPr="00C705F7">
        <w:rPr>
          <w:i/>
          <w:iCs/>
        </w:rPr>
        <w:t xml:space="preserve"> </w:t>
      </w:r>
      <w:proofErr w:type="spellStart"/>
      <w:r w:rsidRPr="00C705F7">
        <w:rPr>
          <w:i/>
          <w:iCs/>
        </w:rPr>
        <w:t>Islamica</w:t>
      </w:r>
      <w:proofErr w:type="spellEnd"/>
      <w:r>
        <w:t xml:space="preserve">, no. 57 (1983): 135–46; </w:t>
      </w:r>
      <w:proofErr w:type="spellStart"/>
      <w:r>
        <w:t>Arjomand</w:t>
      </w:r>
      <w:proofErr w:type="spellEnd"/>
      <w:r w:rsidRPr="00C705F7">
        <w:t xml:space="preserve">, </w:t>
      </w:r>
      <w:r w:rsidRPr="00C705F7">
        <w:rPr>
          <w:i/>
          <w:iCs/>
        </w:rPr>
        <w:t>The Shadow of God and the Hidden Imam: Religion, Political Or</w:t>
      </w:r>
      <w:r>
        <w:rPr>
          <w:i/>
          <w:iCs/>
        </w:rPr>
        <w:t xml:space="preserve">der, and Societal Change in </w:t>
      </w:r>
      <w:proofErr w:type="spellStart"/>
      <w:r w:rsidRPr="00546142">
        <w:rPr>
          <w:rFonts w:ascii="JaghbUni" w:hAnsi="JaghbUni"/>
          <w:i/>
          <w:iCs/>
        </w:rPr>
        <w:t>Shi</w:t>
      </w:r>
      <w:r>
        <w:rPr>
          <w:rFonts w:ascii="JaghbUni" w:hAnsi="JaghbUni"/>
          <w:i/>
          <w:iCs/>
        </w:rPr>
        <w:t>ʿ</w:t>
      </w:r>
      <w:r w:rsidRPr="00546142">
        <w:rPr>
          <w:rFonts w:ascii="JaghbUni" w:hAnsi="JaghbUni"/>
          <w:i/>
          <w:iCs/>
        </w:rPr>
        <w:t>ite</w:t>
      </w:r>
      <w:proofErr w:type="spellEnd"/>
      <w:r w:rsidRPr="00C705F7">
        <w:rPr>
          <w:i/>
          <w:iCs/>
        </w:rPr>
        <w:t xml:space="preserve"> Iran from the Beginning to 1890</w:t>
      </w:r>
      <w:r w:rsidRPr="00C705F7">
        <w:t xml:space="preserve"> (Chicago: Uni</w:t>
      </w:r>
      <w:r>
        <w:t xml:space="preserve">versity of Chicago Press, 1984), 215–59; Ann K. S. Lambton, </w:t>
      </w:r>
      <w:r w:rsidRPr="00AB5790">
        <w:t>“A Reconsiderati</w:t>
      </w:r>
      <w:r>
        <w:t xml:space="preserve">on of the Position of the </w:t>
      </w:r>
      <w:proofErr w:type="spellStart"/>
      <w:r>
        <w:t>Marja</w:t>
      </w:r>
      <w:r>
        <w:rPr>
          <w:rFonts w:ascii="JaghbUni" w:hAnsi="JaghbUni"/>
        </w:rPr>
        <w:t>ʿ</w:t>
      </w:r>
      <w:proofErr w:type="spellEnd"/>
      <w:r w:rsidRPr="00AB5790">
        <w:t xml:space="preserve"> Al-</w:t>
      </w:r>
      <w:proofErr w:type="spellStart"/>
      <w:r w:rsidRPr="00AB5790">
        <w:t>Taqlīd</w:t>
      </w:r>
      <w:proofErr w:type="spellEnd"/>
      <w:r w:rsidRPr="00AB5790">
        <w:t xml:space="preserve"> and the Religious Institution,” </w:t>
      </w:r>
      <w:proofErr w:type="spellStart"/>
      <w:r w:rsidRPr="00AB5790">
        <w:rPr>
          <w:i/>
          <w:iCs/>
        </w:rPr>
        <w:t>Studia</w:t>
      </w:r>
      <w:proofErr w:type="spellEnd"/>
      <w:r w:rsidRPr="00AB5790">
        <w:rPr>
          <w:i/>
          <w:iCs/>
        </w:rPr>
        <w:t xml:space="preserve"> </w:t>
      </w:r>
      <w:proofErr w:type="spellStart"/>
      <w:r w:rsidRPr="00AB5790">
        <w:rPr>
          <w:i/>
          <w:iCs/>
        </w:rPr>
        <w:t>Islamica</w:t>
      </w:r>
      <w:proofErr w:type="spellEnd"/>
      <w:r>
        <w:t xml:space="preserve">, </w:t>
      </w:r>
      <w:r w:rsidRPr="00D64DF6">
        <w:t>no. 20</w:t>
      </w:r>
      <w:r>
        <w:t xml:space="preserve"> (1964): 115–35; Lambton, “Some New Trends in Islamic Political Thought in Late 18th and Early 19th Century Persia,” </w:t>
      </w:r>
      <w:proofErr w:type="spellStart"/>
      <w:r>
        <w:rPr>
          <w:i/>
        </w:rPr>
        <w:t>Studia</w:t>
      </w:r>
      <w:proofErr w:type="spellEnd"/>
      <w:r>
        <w:rPr>
          <w:i/>
        </w:rPr>
        <w:t xml:space="preserve"> </w:t>
      </w:r>
      <w:proofErr w:type="spellStart"/>
      <w:r>
        <w:rPr>
          <w:i/>
        </w:rPr>
        <w:t>Islamica</w:t>
      </w:r>
      <w:proofErr w:type="spellEnd"/>
      <w:r>
        <w:t xml:space="preserve">, </w:t>
      </w:r>
      <w:r w:rsidRPr="00D64DF6">
        <w:t>no. 39</w:t>
      </w:r>
      <w:r>
        <w:t xml:space="preserve"> (1974): 95–128; and Abbas </w:t>
      </w:r>
      <w:proofErr w:type="spellStart"/>
      <w:r>
        <w:t>Amanat</w:t>
      </w:r>
      <w:proofErr w:type="spellEnd"/>
      <w:r>
        <w:t xml:space="preserve">, </w:t>
      </w:r>
      <w:r>
        <w:rPr>
          <w:i/>
          <w:iCs/>
        </w:rPr>
        <w:t>Resurrection and Renewal: The Making of the Babi Movement in Iran, 1844-1850</w:t>
      </w:r>
      <w:r>
        <w:t xml:space="preserve"> (Ithaca, N.Y.: Cornell University Press, 1989), 33–69.</w:t>
      </w:r>
    </w:p>
  </w:endnote>
  <w:endnote w:id="10">
    <w:p w14:paraId="0C1A319B" w14:textId="218995CA" w:rsidR="00E52E1B" w:rsidRPr="001812C2" w:rsidRDefault="00E52E1B" w:rsidP="00344E9E">
      <w:pPr>
        <w:pStyle w:val="EndnoteText"/>
        <w:spacing w:line="480" w:lineRule="auto"/>
      </w:pPr>
      <w:r>
        <w:rPr>
          <w:vertAlign w:val="superscript"/>
        </w:rPr>
        <w:endnoteRef/>
      </w:r>
      <w:r>
        <w:t xml:space="preserve"> Gavin </w:t>
      </w:r>
      <w:proofErr w:type="spellStart"/>
      <w:r>
        <w:t>Hambly</w:t>
      </w:r>
      <w:proofErr w:type="spellEnd"/>
      <w:r>
        <w:t>, “</w:t>
      </w:r>
      <w:proofErr w:type="spellStart"/>
      <w:r>
        <w:t>Āghā</w:t>
      </w:r>
      <w:proofErr w:type="spellEnd"/>
      <w:r>
        <w:t xml:space="preserve"> </w:t>
      </w:r>
      <w:proofErr w:type="spellStart"/>
      <w:r>
        <w:t>Muḥammad</w:t>
      </w:r>
      <w:proofErr w:type="spellEnd"/>
      <w:r>
        <w:t xml:space="preserve"> </w:t>
      </w:r>
      <w:proofErr w:type="spellStart"/>
      <w:r>
        <w:t>Khān</w:t>
      </w:r>
      <w:proofErr w:type="spellEnd"/>
      <w:r>
        <w:t xml:space="preserve"> and the Establishment of the </w:t>
      </w:r>
      <w:proofErr w:type="spellStart"/>
      <w:r>
        <w:t>Qājār</w:t>
      </w:r>
      <w:proofErr w:type="spellEnd"/>
      <w:r>
        <w:t xml:space="preserve"> Dynasty,” in </w:t>
      </w:r>
      <w:r>
        <w:rPr>
          <w:i/>
        </w:rPr>
        <w:t>The Cambridge History of Iran</w:t>
      </w:r>
      <w:r>
        <w:t xml:space="preserve">, </w:t>
      </w:r>
      <w:r w:rsidR="00B62E96">
        <w:t xml:space="preserve">vol. 7, </w:t>
      </w:r>
      <w:r w:rsidR="00B62E96">
        <w:rPr>
          <w:i/>
          <w:iCs/>
        </w:rPr>
        <w:t xml:space="preserve">From Nadir Shah to the Islamic </w:t>
      </w:r>
      <w:r w:rsidR="00B62E96" w:rsidRPr="00D23D18">
        <w:rPr>
          <w:i/>
          <w:iCs/>
        </w:rPr>
        <w:t>Republic</w:t>
      </w:r>
      <w:r w:rsidR="00B62E96">
        <w:t xml:space="preserve">, </w:t>
      </w:r>
      <w:r>
        <w:t>ed. Peter Avery, Gavi</w:t>
      </w:r>
      <w:r w:rsidR="00B62E96">
        <w:t xml:space="preserve">n </w:t>
      </w:r>
      <w:proofErr w:type="spellStart"/>
      <w:r w:rsidR="00B62E96">
        <w:t>Hambly</w:t>
      </w:r>
      <w:proofErr w:type="spellEnd"/>
      <w:r w:rsidR="00B62E96">
        <w:t xml:space="preserve">, and Charles Melville </w:t>
      </w:r>
      <w:r>
        <w:t xml:space="preserve">(Cambridge: Cambridge University Press, 1991), 104–43; Gavin </w:t>
      </w:r>
      <w:proofErr w:type="spellStart"/>
      <w:r>
        <w:t>Hambly</w:t>
      </w:r>
      <w:proofErr w:type="spellEnd"/>
      <w:r>
        <w:t xml:space="preserve">, “Iran During the Reigns of Fath </w:t>
      </w:r>
      <w:proofErr w:type="spellStart"/>
      <w:r>
        <w:rPr>
          <w:rFonts w:ascii="JaghbUni" w:hAnsi="JaghbUni"/>
        </w:rPr>
        <w:t>ʿ</w:t>
      </w:r>
      <w:r>
        <w:t>Alī</w:t>
      </w:r>
      <w:proofErr w:type="spellEnd"/>
      <w:r>
        <w:t xml:space="preserve"> </w:t>
      </w:r>
      <w:proofErr w:type="spellStart"/>
      <w:r>
        <w:t>Shāh</w:t>
      </w:r>
      <w:proofErr w:type="spellEnd"/>
      <w:r>
        <w:t xml:space="preserve"> and Muhammad </w:t>
      </w:r>
      <w:proofErr w:type="spellStart"/>
      <w:r>
        <w:t>Shāh</w:t>
      </w:r>
      <w:proofErr w:type="spellEnd"/>
      <w:r>
        <w:t xml:space="preserve">,” in </w:t>
      </w:r>
      <w:r>
        <w:rPr>
          <w:i/>
        </w:rPr>
        <w:t>The Cambridge History of Iran</w:t>
      </w:r>
      <w:r>
        <w:t xml:space="preserve">, </w:t>
      </w:r>
      <w:r w:rsidR="00B62E96">
        <w:t xml:space="preserve">vol. 7, </w:t>
      </w:r>
      <w:r w:rsidR="00B62E96">
        <w:rPr>
          <w:i/>
          <w:iCs/>
        </w:rPr>
        <w:t xml:space="preserve">From Nadir Shah to the Islamic </w:t>
      </w:r>
      <w:r w:rsidR="00B62E96" w:rsidRPr="00D23D18">
        <w:rPr>
          <w:i/>
          <w:iCs/>
        </w:rPr>
        <w:t>Republic</w:t>
      </w:r>
      <w:r w:rsidR="00B62E96">
        <w:t xml:space="preserve">, </w:t>
      </w:r>
      <w:r>
        <w:t xml:space="preserve">ed. Peter Avery, Gavin Hambly, and Charles Melville (Cambridge: Cambridge University Press, 1991), 144–73; </w:t>
      </w:r>
      <w:r w:rsidRPr="00820AA2">
        <w:t>Leonard Helfgott, “The Rise of the Qajar Dynasty: The Political Economy of Tribalism in Eighteenth Century Persia” (PhD diss., University of Maryland, 1978)</w:t>
      </w:r>
      <w:r>
        <w:t xml:space="preserve">; Hormoz Ebrahimnejad, </w:t>
      </w:r>
      <w:r w:rsidRPr="001812C2">
        <w:rPr>
          <w:i/>
          <w:iCs/>
        </w:rPr>
        <w:t>Pouvoir et Succession en Iran: Les P</w:t>
      </w:r>
      <w:r>
        <w:rPr>
          <w:i/>
          <w:iCs/>
        </w:rPr>
        <w:t>remiers Qâjâr, 1726–</w:t>
      </w:r>
      <w:r w:rsidRPr="001812C2">
        <w:rPr>
          <w:i/>
          <w:iCs/>
        </w:rPr>
        <w:t>1834</w:t>
      </w:r>
      <w:r>
        <w:t xml:space="preserve"> (Paris: L’Harmattan, 2000); </w:t>
      </w:r>
      <w:r w:rsidRPr="00D64DF6">
        <w:rPr>
          <w:rFonts w:ascii="JaghbUni" w:hAnsi="JaghbUni"/>
        </w:rPr>
        <w:t>Sha</w:t>
      </w:r>
      <w:r>
        <w:rPr>
          <w:rFonts w:ascii="JaghbUni" w:hAnsi="JaghbUni"/>
        </w:rPr>
        <w:t>ʿ</w:t>
      </w:r>
      <w:r w:rsidRPr="00D64DF6">
        <w:rPr>
          <w:rFonts w:ascii="JaghbUni" w:hAnsi="JaghbUni"/>
        </w:rPr>
        <w:t>bani</w:t>
      </w:r>
      <w:r w:rsidRPr="00C35EC1">
        <w:t xml:space="preserve">, </w:t>
      </w:r>
      <w:r>
        <w:rPr>
          <w:i/>
          <w:iCs/>
        </w:rPr>
        <w:t>Hizar Fami</w:t>
      </w:r>
      <w:r w:rsidRPr="00C35EC1">
        <w:rPr>
          <w:i/>
          <w:iCs/>
        </w:rPr>
        <w:t>l</w:t>
      </w:r>
      <w:r>
        <w:t>, 19–</w:t>
      </w:r>
      <w:r w:rsidRPr="00C35EC1">
        <w:t>36</w:t>
      </w:r>
      <w:r>
        <w:t>.</w:t>
      </w:r>
    </w:p>
  </w:endnote>
  <w:endnote w:id="11">
    <w:p w14:paraId="6500FFFC" w14:textId="7B7557C4" w:rsidR="00E52E1B" w:rsidRDefault="00E52E1B" w:rsidP="008D6EF5">
      <w:pPr>
        <w:pStyle w:val="EndnoteText"/>
        <w:spacing w:line="480" w:lineRule="auto"/>
      </w:pPr>
      <w:r>
        <w:rPr>
          <w:rStyle w:val="EndnoteReference"/>
        </w:rPr>
        <w:endnoteRef/>
      </w:r>
      <w:r>
        <w:t xml:space="preserve"> I have borrowed the phrase “socially oriented political history” from Leslie Peirce</w:t>
      </w:r>
      <w:r w:rsidRPr="003B399B">
        <w:t xml:space="preserve">, “Writing Histories of Sexuality in the Middle East,” </w:t>
      </w:r>
      <w:r w:rsidRPr="003B399B">
        <w:rPr>
          <w:i/>
          <w:iCs/>
        </w:rPr>
        <w:t>The American Historical Review</w:t>
      </w:r>
      <w:r w:rsidRPr="003B399B">
        <w:t xml:space="preserve"> 114 (2009): </w:t>
      </w:r>
      <w:r>
        <w:t>1325</w:t>
      </w:r>
      <w:r w:rsidRPr="003B399B">
        <w:t>.</w:t>
      </w:r>
    </w:p>
  </w:endnote>
  <w:endnote w:id="12">
    <w:p w14:paraId="31784B67" w14:textId="08827334" w:rsidR="00E52E1B" w:rsidRDefault="00E52E1B" w:rsidP="00344E9E">
      <w:pPr>
        <w:spacing w:line="480" w:lineRule="auto"/>
      </w:pPr>
      <w:r>
        <w:rPr>
          <w:rStyle w:val="EndnoteReference"/>
        </w:rPr>
        <w:endnoteRef/>
      </w:r>
      <w:r>
        <w:t xml:space="preserve"> A seminal study of the informal ties that sustained political power during the early Islamic period is Roy P. </w:t>
      </w:r>
      <w:r>
        <w:t xml:space="preserve">Mottahedeh, </w:t>
      </w:r>
      <w:r w:rsidRPr="00793F22">
        <w:rPr>
          <w:i/>
          <w:iCs/>
        </w:rPr>
        <w:t>Loyalty and Leadership in an Early Islamic Society</w:t>
      </w:r>
      <w:r>
        <w:t xml:space="preserve"> (Princeton, N.J.: Princeton University Press, 1980). For helpful introductions to the literature on state formation after the social and cultural turns, see</w:t>
      </w:r>
      <w:r w:rsidRPr="00A6120F">
        <w:t xml:space="preserve"> </w:t>
      </w:r>
      <w:r w:rsidRPr="00A6120F">
        <w:rPr>
          <w:rFonts w:ascii="Times New Roman" w:eastAsia="Times New Roman" w:hAnsi="Times New Roman" w:cs="Times New Roman"/>
          <w:color w:val="auto"/>
          <w:szCs w:val="24"/>
        </w:rPr>
        <w:t xml:space="preserve">George Steinmetz, ed., </w:t>
      </w:r>
      <w:r w:rsidRPr="00A6120F">
        <w:rPr>
          <w:rFonts w:ascii="Times New Roman" w:eastAsia="Times New Roman" w:hAnsi="Times New Roman" w:cs="Times New Roman"/>
          <w:i/>
          <w:iCs/>
          <w:color w:val="auto"/>
          <w:szCs w:val="24"/>
        </w:rPr>
        <w:t>State/Culture: State-Formation After the Cultural Turn</w:t>
      </w:r>
      <w:r w:rsidRPr="00A6120F">
        <w:rPr>
          <w:rFonts w:ascii="Times New Roman" w:eastAsia="Times New Roman" w:hAnsi="Times New Roman" w:cs="Times New Roman"/>
          <w:color w:val="auto"/>
          <w:szCs w:val="24"/>
        </w:rPr>
        <w:t xml:space="preserve"> (Ithaca: Cornell University Press, 1999)</w:t>
      </w:r>
      <w:r>
        <w:rPr>
          <w:rFonts w:ascii="Times New Roman" w:eastAsia="Times New Roman" w:hAnsi="Times New Roman" w:cs="Times New Roman"/>
          <w:color w:val="auto"/>
          <w:szCs w:val="24"/>
        </w:rPr>
        <w:t xml:space="preserve">; and </w:t>
      </w:r>
      <w:r w:rsidRPr="00A6120F">
        <w:rPr>
          <w:rFonts w:ascii="Times New Roman" w:eastAsia="Times New Roman" w:hAnsi="Times New Roman" w:cs="Times New Roman"/>
          <w:color w:val="auto"/>
          <w:szCs w:val="24"/>
        </w:rPr>
        <w:t xml:space="preserve">Aradhana Sharma and Akhil Gupta, eds., </w:t>
      </w:r>
      <w:r w:rsidRPr="00A6120F">
        <w:rPr>
          <w:rFonts w:ascii="Times New Roman" w:eastAsia="Times New Roman" w:hAnsi="Times New Roman" w:cs="Times New Roman"/>
          <w:i/>
          <w:iCs/>
          <w:color w:val="auto"/>
          <w:szCs w:val="24"/>
        </w:rPr>
        <w:t>The Anthropology of the State: A Reader</w:t>
      </w:r>
      <w:r w:rsidRPr="00A6120F">
        <w:rPr>
          <w:rFonts w:ascii="Times New Roman" w:eastAsia="Times New Roman" w:hAnsi="Times New Roman" w:cs="Times New Roman"/>
          <w:color w:val="auto"/>
          <w:szCs w:val="24"/>
        </w:rPr>
        <w:t xml:space="preserve"> (Malden, M</w:t>
      </w:r>
      <w:r>
        <w:rPr>
          <w:rFonts w:ascii="Times New Roman" w:eastAsia="Times New Roman" w:hAnsi="Times New Roman" w:cs="Times New Roman"/>
          <w:color w:val="auto"/>
          <w:szCs w:val="24"/>
        </w:rPr>
        <w:t>ass.</w:t>
      </w:r>
      <w:r w:rsidRPr="00A6120F">
        <w:rPr>
          <w:rFonts w:ascii="Times New Roman" w:eastAsia="Times New Roman" w:hAnsi="Times New Roman" w:cs="Times New Roman"/>
          <w:color w:val="auto"/>
          <w:szCs w:val="24"/>
        </w:rPr>
        <w:t>: Blackwell, 2006).</w:t>
      </w:r>
    </w:p>
  </w:endnote>
  <w:endnote w:id="13">
    <w:p w14:paraId="6EF172AD" w14:textId="480F67C0" w:rsidR="00E52E1B" w:rsidRDefault="00E52E1B" w:rsidP="00344E9E">
      <w:pPr>
        <w:pStyle w:val="EndnoteText"/>
        <w:spacing w:line="480" w:lineRule="auto"/>
      </w:pPr>
      <w:r>
        <w:rPr>
          <w:rStyle w:val="EndnoteReference"/>
        </w:rPr>
        <w:endnoteRef/>
      </w:r>
      <w:r>
        <w:t xml:space="preserve"> See Julia Adams’ work on The Netherlands during the early modern period: </w:t>
      </w:r>
      <w:r w:rsidRPr="00846193">
        <w:rPr>
          <w:i/>
          <w:iCs/>
        </w:rPr>
        <w:t>The Familial State: Ruling Families and Merchant Capitalism in Early Modern Europe</w:t>
      </w:r>
      <w:r w:rsidRPr="00846193">
        <w:t xml:space="preserve"> (Ithaca</w:t>
      </w:r>
      <w:r>
        <w:t>, N.Y.</w:t>
      </w:r>
      <w:r w:rsidRPr="00846193">
        <w:t>: Cornell University Press, 2005).</w:t>
      </w:r>
    </w:p>
  </w:endnote>
  <w:endnote w:id="14">
    <w:p w14:paraId="3FC942E5" w14:textId="3AD8FDB8" w:rsidR="00E52E1B" w:rsidRPr="00566E34" w:rsidRDefault="00E52E1B" w:rsidP="00344E9E">
      <w:pPr>
        <w:spacing w:line="480" w:lineRule="auto"/>
        <w:rPr>
          <w:rFonts w:ascii="Times New Roman" w:eastAsia="Times New Roman" w:hAnsi="Times New Roman" w:cs="Times New Roman"/>
          <w:color w:val="auto"/>
          <w:szCs w:val="24"/>
        </w:rPr>
      </w:pPr>
      <w:r>
        <w:rPr>
          <w:rStyle w:val="EndnoteReference"/>
        </w:rPr>
        <w:endnoteRef/>
      </w:r>
      <w:r>
        <w:t xml:space="preserve"> On this </w:t>
      </w:r>
      <w:r>
        <w:t xml:space="preserve">point, see </w:t>
      </w:r>
      <w:r w:rsidRPr="00566E34">
        <w:rPr>
          <w:rFonts w:ascii="Times New Roman" w:eastAsia="Times New Roman" w:hAnsi="Times New Roman" w:cs="Times New Roman"/>
          <w:color w:val="auto"/>
          <w:szCs w:val="24"/>
        </w:rPr>
        <w:t xml:space="preserve">Christine Philliou, </w:t>
      </w:r>
      <w:r w:rsidRPr="00566E34">
        <w:rPr>
          <w:rFonts w:ascii="Times New Roman" w:eastAsia="Times New Roman" w:hAnsi="Times New Roman" w:cs="Times New Roman"/>
          <w:i/>
          <w:iCs/>
          <w:color w:val="auto"/>
          <w:szCs w:val="24"/>
        </w:rPr>
        <w:t>Biography of an Empire: Governing Ottomans in an Age of Revolution</w:t>
      </w:r>
      <w:r w:rsidRPr="00566E34">
        <w:rPr>
          <w:rFonts w:ascii="Times New Roman" w:eastAsia="Times New Roman" w:hAnsi="Times New Roman" w:cs="Times New Roman"/>
          <w:color w:val="auto"/>
          <w:szCs w:val="24"/>
        </w:rPr>
        <w:t xml:space="preserve"> (Berkeley</w:t>
      </w:r>
      <w:r>
        <w:rPr>
          <w:rFonts w:ascii="Times New Roman" w:eastAsia="Times New Roman" w:hAnsi="Times New Roman" w:cs="Times New Roman"/>
          <w:color w:val="auto"/>
          <w:szCs w:val="24"/>
        </w:rPr>
        <w:t>, Calif.</w:t>
      </w:r>
      <w:r w:rsidRPr="00566E34">
        <w:rPr>
          <w:rFonts w:ascii="Times New Roman" w:eastAsia="Times New Roman" w:hAnsi="Times New Roman" w:cs="Times New Roman"/>
          <w:color w:val="auto"/>
          <w:szCs w:val="24"/>
        </w:rPr>
        <w:t>: Univer</w:t>
      </w:r>
      <w:r>
        <w:rPr>
          <w:rFonts w:ascii="Times New Roman" w:eastAsia="Times New Roman" w:hAnsi="Times New Roman" w:cs="Times New Roman"/>
          <w:color w:val="auto"/>
          <w:szCs w:val="24"/>
        </w:rPr>
        <w:t>sity of California Press, 2011), xxiii–xxv.</w:t>
      </w:r>
    </w:p>
  </w:endnote>
  <w:endnote w:id="15">
    <w:p w14:paraId="7BA11AD5" w14:textId="77777777" w:rsidR="00E52E1B" w:rsidRDefault="00E52E1B" w:rsidP="00344E9E">
      <w:pPr>
        <w:pStyle w:val="EndnoteText"/>
        <w:spacing w:line="480" w:lineRule="auto"/>
      </w:pPr>
      <w:r>
        <w:rPr>
          <w:rStyle w:val="EndnoteReference"/>
        </w:rPr>
        <w:endnoteRef/>
      </w:r>
      <w:r>
        <w:t xml:space="preserve"> The two examples mentioned here, of course, do not cover the full spectrum of the scholarship on family history in the Middle East. For a helpful introduction to the small, but burgeoning, field of Middle Eastern </w:t>
      </w:r>
      <w:r>
        <w:t xml:space="preserve">family history, see </w:t>
      </w:r>
      <w:r w:rsidRPr="00783AF2">
        <w:t xml:space="preserve">Beshara Doumani, “Introduction,” in </w:t>
      </w:r>
      <w:r w:rsidRPr="00783AF2">
        <w:rPr>
          <w:i/>
          <w:iCs/>
        </w:rPr>
        <w:t>Family History in the Middle East: Household, Property, and Gender</w:t>
      </w:r>
      <w:r w:rsidRPr="00783AF2">
        <w:t>, ed. Beshara Doumani (Cambridge: Cambridge University Press, 2003), 1–19.</w:t>
      </w:r>
    </w:p>
  </w:endnote>
  <w:endnote w:id="16">
    <w:p w14:paraId="6E8F49F3" w14:textId="07581B47" w:rsidR="00E52E1B" w:rsidRPr="009B274E" w:rsidRDefault="00E52E1B" w:rsidP="00344E9E">
      <w:pPr>
        <w:spacing w:line="480" w:lineRule="auto"/>
        <w:rPr>
          <w:rFonts w:eastAsia="Times New Roman" w:cs="Times New Roman"/>
        </w:rPr>
      </w:pPr>
      <w:r>
        <w:rPr>
          <w:rStyle w:val="EndnoteReference"/>
        </w:rPr>
        <w:endnoteRef/>
      </w:r>
      <w:r>
        <w:t xml:space="preserve"> </w:t>
      </w:r>
      <w:r w:rsidRPr="009B274E">
        <w:rPr>
          <w:rFonts w:eastAsia="Times New Roman" w:cs="Times New Roman"/>
        </w:rPr>
        <w:t xml:space="preserve">Albert Hourani, “Ottoman Reform and the Politics of Notables,” in </w:t>
      </w:r>
      <w:r w:rsidRPr="009B274E">
        <w:rPr>
          <w:rFonts w:eastAsia="Times New Roman" w:cs="Times New Roman"/>
          <w:i/>
          <w:iCs/>
        </w:rPr>
        <w:t>The Modern Middle East: A Reader</w:t>
      </w:r>
      <w:r w:rsidRPr="009B274E">
        <w:rPr>
          <w:rFonts w:eastAsia="Times New Roman" w:cs="Times New Roman"/>
        </w:rPr>
        <w:t>, ed. Albert Hourani, Philip S. Khoury, and Mary C. Wilson, 2nd ed. (London and New York: I.B. Tauris,</w:t>
      </w:r>
      <w:r>
        <w:rPr>
          <w:rFonts w:eastAsia="Times New Roman" w:cs="Times New Roman"/>
        </w:rPr>
        <w:t xml:space="preserve"> 2004), 83–110, 89. </w:t>
      </w:r>
    </w:p>
  </w:endnote>
  <w:endnote w:id="17">
    <w:p w14:paraId="0A14D0C3" w14:textId="31DAB3B8" w:rsidR="00E52E1B" w:rsidRPr="00C547D1" w:rsidRDefault="00E52E1B" w:rsidP="00D92125">
      <w:pPr>
        <w:spacing w:line="480" w:lineRule="auto"/>
        <w:rPr>
          <w:rFonts w:ascii="Times New Roman" w:eastAsia="Times New Roman" w:hAnsi="Times New Roman" w:cs="Times New Roman"/>
          <w:color w:val="auto"/>
          <w:szCs w:val="24"/>
        </w:rPr>
      </w:pPr>
      <w:r>
        <w:rPr>
          <w:rStyle w:val="EndnoteReference"/>
        </w:rPr>
        <w:endnoteRef/>
      </w:r>
      <w:r>
        <w:t xml:space="preserve"> </w:t>
      </w:r>
      <w:r w:rsidRPr="00C547D1">
        <w:rPr>
          <w:rFonts w:ascii="Times New Roman" w:eastAsia="Times New Roman" w:hAnsi="Times New Roman" w:cs="Times New Roman"/>
          <w:color w:val="auto"/>
          <w:szCs w:val="24"/>
        </w:rPr>
        <w:t xml:space="preserve">James L. </w:t>
      </w:r>
      <w:r w:rsidRPr="00C547D1">
        <w:rPr>
          <w:rFonts w:ascii="Times New Roman" w:eastAsia="Times New Roman" w:hAnsi="Times New Roman" w:cs="Times New Roman"/>
          <w:color w:val="auto"/>
          <w:szCs w:val="24"/>
        </w:rPr>
        <w:t xml:space="preserve">Gelvin, “The ‘Politics of Notables’ Forty Years After,” </w:t>
      </w:r>
      <w:r w:rsidRPr="00C547D1">
        <w:rPr>
          <w:rFonts w:ascii="Times New Roman" w:eastAsia="Times New Roman" w:hAnsi="Times New Roman" w:cs="Times New Roman"/>
          <w:i/>
          <w:iCs/>
          <w:color w:val="auto"/>
          <w:szCs w:val="24"/>
        </w:rPr>
        <w:t>Middle East Studies Association Bulletin</w:t>
      </w:r>
      <w:r w:rsidRPr="00C547D1">
        <w:rPr>
          <w:rFonts w:ascii="Times New Roman" w:eastAsia="Times New Roman" w:hAnsi="Times New Roman" w:cs="Times New Roman"/>
          <w:color w:val="auto"/>
          <w:szCs w:val="24"/>
        </w:rPr>
        <w:t xml:space="preserve"> 40, no. 1 (June 2006): 19–29</w:t>
      </w:r>
      <w:r>
        <w:rPr>
          <w:rFonts w:ascii="Times New Roman" w:eastAsia="Times New Roman" w:hAnsi="Times New Roman" w:cs="Times New Roman"/>
          <w:color w:val="auto"/>
          <w:szCs w:val="24"/>
        </w:rPr>
        <w:t>, 26</w:t>
      </w:r>
      <w:r w:rsidRPr="00C547D1">
        <w:rPr>
          <w:rFonts w:ascii="Times New Roman" w:eastAsia="Times New Roman" w:hAnsi="Times New Roman" w:cs="Times New Roman"/>
          <w:color w:val="auto"/>
          <w:szCs w:val="24"/>
        </w:rPr>
        <w:t>.</w:t>
      </w:r>
      <w:r>
        <w:rPr>
          <w:rFonts w:ascii="Times New Roman" w:eastAsia="Times New Roman" w:hAnsi="Times New Roman" w:cs="Times New Roman"/>
          <w:color w:val="auto"/>
          <w:szCs w:val="24"/>
        </w:rPr>
        <w:t xml:space="preserve"> </w:t>
      </w:r>
      <w:r w:rsidRPr="00AC3D73">
        <w:t>For an example of how local urban elites were not necessarily intermediaries between the state and local society, and sometimes acted as a self-determining political force of thei</w:t>
      </w:r>
      <w:r>
        <w:t>r own, see Elizabeth Thompson, “</w:t>
      </w:r>
      <w:r w:rsidRPr="00AC3D73">
        <w:t>Ottoman Political Reform in the Provinces: The Damascu</w:t>
      </w:r>
      <w:r>
        <w:t xml:space="preserve">s Advisory Council in 1844–45,” </w:t>
      </w:r>
      <w:r>
        <w:rPr>
          <w:i/>
          <w:iCs/>
        </w:rPr>
        <w:t>International Journal of Middle East Studies</w:t>
      </w:r>
      <w:r w:rsidRPr="00AC3D73">
        <w:t xml:space="preserve"> </w:t>
      </w:r>
      <w:r>
        <w:t>25, no. 3 (August 1993), 457–</w:t>
      </w:r>
      <w:r w:rsidRPr="00AC3D73">
        <w:t>475</w:t>
      </w:r>
      <w:r>
        <w:t>.</w:t>
      </w:r>
    </w:p>
  </w:endnote>
  <w:endnote w:id="18">
    <w:p w14:paraId="368A747E" w14:textId="6571E197" w:rsidR="00E52E1B" w:rsidRPr="00566E34" w:rsidRDefault="00E52E1B" w:rsidP="00A7248E">
      <w:pPr>
        <w:spacing w:line="480" w:lineRule="auto"/>
        <w:rPr>
          <w:rFonts w:ascii="Times New Roman" w:eastAsia="Times New Roman" w:hAnsi="Times New Roman" w:cs="Times New Roman"/>
          <w:color w:val="auto"/>
          <w:szCs w:val="24"/>
          <w:lang w:eastAsia="en-US"/>
        </w:rPr>
      </w:pPr>
      <w:r>
        <w:rPr>
          <w:rStyle w:val="EndnoteReference"/>
        </w:rPr>
        <w:endnoteRef/>
      </w:r>
      <w:r>
        <w:t xml:space="preserve"> This is less true in the Ottoman context, where scholars have tied the growth of provincial households to the expansion of the empire. For </w:t>
      </w:r>
      <w:r>
        <w:t xml:space="preserve">example, see </w:t>
      </w:r>
      <w:r w:rsidRPr="00566E34">
        <w:rPr>
          <w:rFonts w:ascii="Times New Roman" w:eastAsia="Times New Roman" w:hAnsi="Times New Roman" w:cs="Times New Roman"/>
          <w:color w:val="auto"/>
          <w:szCs w:val="24"/>
        </w:rPr>
        <w:t xml:space="preserve">Dina Rizk Khoury, </w:t>
      </w:r>
      <w:r w:rsidRPr="00566E34">
        <w:rPr>
          <w:rFonts w:ascii="Times New Roman" w:eastAsia="Times New Roman" w:hAnsi="Times New Roman" w:cs="Times New Roman"/>
          <w:i/>
          <w:iCs/>
          <w:color w:val="auto"/>
          <w:szCs w:val="24"/>
        </w:rPr>
        <w:t>State and Provincial Society in the Ottoman Empire: Mosul, 1540</w:t>
      </w:r>
      <w:r>
        <w:rPr>
          <w:rFonts w:ascii="Times New Roman" w:eastAsia="Times New Roman" w:hAnsi="Times New Roman" w:cs="Times New Roman"/>
          <w:i/>
          <w:iCs/>
          <w:color w:val="auto"/>
          <w:szCs w:val="24"/>
        </w:rPr>
        <w:t>–</w:t>
      </w:r>
      <w:r w:rsidRPr="00566E34">
        <w:rPr>
          <w:rFonts w:ascii="Times New Roman" w:eastAsia="Times New Roman" w:hAnsi="Times New Roman" w:cs="Times New Roman"/>
          <w:i/>
          <w:iCs/>
          <w:color w:val="auto"/>
          <w:szCs w:val="24"/>
        </w:rPr>
        <w:t>1834</w:t>
      </w:r>
      <w:r w:rsidRPr="00566E34">
        <w:rPr>
          <w:rFonts w:ascii="Times New Roman" w:eastAsia="Times New Roman" w:hAnsi="Times New Roman" w:cs="Times New Roman"/>
          <w:color w:val="auto"/>
          <w:szCs w:val="24"/>
        </w:rPr>
        <w:t xml:space="preserve"> (Cambridge: Cambridge University Press, 1997).</w:t>
      </w:r>
      <w:r>
        <w:rPr>
          <w:rFonts w:ascii="Times New Roman" w:eastAsia="Times New Roman" w:hAnsi="Times New Roman" w:cs="Times New Roman"/>
          <w:color w:val="auto"/>
          <w:szCs w:val="24"/>
        </w:rPr>
        <w:t xml:space="preserve"> For examples of studies on Qajar Iran, see </w:t>
      </w:r>
      <w:r w:rsidRPr="00D92125">
        <w:rPr>
          <w:rFonts w:ascii="Times New Roman" w:eastAsia="Times New Roman" w:hAnsi="Times New Roman" w:cs="Times New Roman"/>
          <w:color w:val="auto"/>
          <w:szCs w:val="24"/>
          <w:lang w:eastAsia="en-US"/>
        </w:rPr>
        <w:t xml:space="preserve">James M. Gustafson, </w:t>
      </w:r>
      <w:r w:rsidRPr="00D92125">
        <w:rPr>
          <w:rFonts w:ascii="Times New Roman" w:eastAsia="Times New Roman" w:hAnsi="Times New Roman" w:cs="Times New Roman"/>
          <w:i/>
          <w:iCs/>
          <w:color w:val="auto"/>
          <w:szCs w:val="24"/>
          <w:lang w:eastAsia="en-US"/>
        </w:rPr>
        <w:t>Kirman and the Qajar Empire: Local Dimensions of Modernity</w:t>
      </w:r>
      <w:r>
        <w:rPr>
          <w:rFonts w:ascii="Times New Roman" w:eastAsia="Times New Roman" w:hAnsi="Times New Roman" w:cs="Times New Roman"/>
          <w:i/>
          <w:iCs/>
          <w:color w:val="auto"/>
          <w:szCs w:val="24"/>
          <w:lang w:eastAsia="en-US"/>
        </w:rPr>
        <w:t xml:space="preserve"> in Iran, 1794–</w:t>
      </w:r>
      <w:r w:rsidRPr="00D92125">
        <w:rPr>
          <w:rFonts w:ascii="Times New Roman" w:eastAsia="Times New Roman" w:hAnsi="Times New Roman" w:cs="Times New Roman"/>
          <w:i/>
          <w:iCs/>
          <w:color w:val="auto"/>
          <w:szCs w:val="24"/>
          <w:lang w:eastAsia="en-US"/>
        </w:rPr>
        <w:t>1914</w:t>
      </w:r>
      <w:r>
        <w:rPr>
          <w:rFonts w:ascii="Times New Roman" w:eastAsia="Times New Roman" w:hAnsi="Times New Roman" w:cs="Times New Roman"/>
          <w:color w:val="auto"/>
          <w:szCs w:val="24"/>
          <w:lang w:eastAsia="en-US"/>
        </w:rPr>
        <w:t xml:space="preserve"> (London: Routledge, 2015); </w:t>
      </w:r>
      <w:r w:rsidRPr="00D92125">
        <w:rPr>
          <w:rFonts w:ascii="Times New Roman" w:eastAsia="Times New Roman" w:hAnsi="Times New Roman" w:cs="Times New Roman"/>
          <w:color w:val="auto"/>
          <w:szCs w:val="24"/>
          <w:lang w:eastAsia="en-US"/>
        </w:rPr>
        <w:t xml:space="preserve">Heidi Walcher, </w:t>
      </w:r>
      <w:r w:rsidRPr="00D92125">
        <w:rPr>
          <w:rFonts w:ascii="Times New Roman" w:eastAsia="Times New Roman" w:hAnsi="Times New Roman" w:cs="Times New Roman"/>
          <w:i/>
          <w:iCs/>
          <w:color w:val="auto"/>
          <w:szCs w:val="24"/>
          <w:lang w:eastAsia="en-US"/>
        </w:rPr>
        <w:t>In the Shadow of the King: Zill Al-Sultan and Isfahan under the Qajars</w:t>
      </w:r>
      <w:r w:rsidRPr="00D92125">
        <w:rPr>
          <w:rFonts w:ascii="Times New Roman" w:eastAsia="Times New Roman" w:hAnsi="Times New Roman" w:cs="Times New Roman"/>
          <w:color w:val="auto"/>
          <w:szCs w:val="24"/>
          <w:lang w:eastAsia="en-US"/>
        </w:rPr>
        <w:t xml:space="preserve"> </w:t>
      </w:r>
      <w:r>
        <w:rPr>
          <w:rFonts w:ascii="Times New Roman" w:eastAsia="Times New Roman" w:hAnsi="Times New Roman" w:cs="Times New Roman"/>
          <w:color w:val="auto"/>
          <w:szCs w:val="24"/>
          <w:lang w:eastAsia="en-US"/>
        </w:rPr>
        <w:t xml:space="preserve">(London: I.B. Tauris, 2008); </w:t>
      </w:r>
      <w:r w:rsidRPr="00A7248E">
        <w:rPr>
          <w:rFonts w:ascii="Times New Roman" w:eastAsia="Times New Roman" w:hAnsi="Times New Roman" w:cs="Times New Roman"/>
          <w:color w:val="auto"/>
          <w:szCs w:val="24"/>
          <w:lang w:eastAsia="en-US"/>
        </w:rPr>
        <w:t xml:space="preserve">Christoph Werner, </w:t>
      </w:r>
      <w:r w:rsidRPr="00A7248E">
        <w:rPr>
          <w:rFonts w:ascii="Times New Roman" w:eastAsia="Times New Roman" w:hAnsi="Times New Roman" w:cs="Times New Roman"/>
          <w:i/>
          <w:iCs/>
          <w:color w:val="auto"/>
          <w:szCs w:val="24"/>
          <w:lang w:eastAsia="en-US"/>
        </w:rPr>
        <w:t>An Iranian Town in Transition: A Social and Economic History of the Elites o</w:t>
      </w:r>
      <w:r>
        <w:rPr>
          <w:rFonts w:ascii="Times New Roman" w:eastAsia="Times New Roman" w:hAnsi="Times New Roman" w:cs="Times New Roman"/>
          <w:i/>
          <w:iCs/>
          <w:color w:val="auto"/>
          <w:szCs w:val="24"/>
          <w:lang w:eastAsia="en-US"/>
        </w:rPr>
        <w:t>f Tabriz, 1747–</w:t>
      </w:r>
      <w:r w:rsidRPr="00A7248E">
        <w:rPr>
          <w:rFonts w:ascii="Times New Roman" w:eastAsia="Times New Roman" w:hAnsi="Times New Roman" w:cs="Times New Roman"/>
          <w:i/>
          <w:iCs/>
          <w:color w:val="auto"/>
          <w:szCs w:val="24"/>
          <w:lang w:eastAsia="en-US"/>
        </w:rPr>
        <w:t>1848</w:t>
      </w:r>
      <w:r w:rsidRPr="00A7248E">
        <w:rPr>
          <w:rFonts w:ascii="Times New Roman" w:eastAsia="Times New Roman" w:hAnsi="Times New Roman" w:cs="Times New Roman"/>
          <w:color w:val="auto"/>
          <w:szCs w:val="24"/>
          <w:lang w:eastAsia="en-US"/>
        </w:rPr>
        <w:t xml:space="preserve"> (Wiesbaden: Harrassowitz, 2000).</w:t>
      </w:r>
    </w:p>
  </w:endnote>
  <w:endnote w:id="19">
    <w:p w14:paraId="2C14AC26" w14:textId="28CCAE8B" w:rsidR="00E52E1B" w:rsidRPr="0027708F" w:rsidRDefault="00E52E1B" w:rsidP="00344E9E">
      <w:pPr>
        <w:spacing w:line="480" w:lineRule="auto"/>
        <w:rPr>
          <w:rFonts w:eastAsia="Times New Roman" w:cs="Times New Roman"/>
        </w:rPr>
      </w:pPr>
      <w:r>
        <w:rPr>
          <w:rStyle w:val="EndnoteReference"/>
        </w:rPr>
        <w:endnoteRef/>
      </w:r>
      <w:r>
        <w:t xml:space="preserve"> </w:t>
      </w:r>
      <w:r>
        <w:t>See Edmund Herzig, “</w:t>
      </w:r>
      <w:r w:rsidRPr="00E019E4">
        <w:t>The Family Firm in the Commercial Organization of the Julfa Armenians</w:t>
      </w:r>
      <w:r>
        <w:t xml:space="preserve">,” in </w:t>
      </w:r>
      <w:r w:rsidRPr="0027708F">
        <w:rPr>
          <w:i/>
          <w:iCs/>
        </w:rPr>
        <w:t>Etudes safavides</w:t>
      </w:r>
      <w:r>
        <w:t xml:space="preserve">, ed. Jean Calmard (Paris: </w:t>
      </w:r>
      <w:r w:rsidRPr="0027708F">
        <w:t>Institut Français de recherches en Iran</w:t>
      </w:r>
      <w:r>
        <w:t xml:space="preserve">, 1993), 287–304; </w:t>
      </w:r>
      <w:r w:rsidRPr="0027708F">
        <w:t>Rudi</w:t>
      </w:r>
      <w:r>
        <w:t xml:space="preserve"> Matthee, “Merchants in Safavid Iran: Participants and Perceptions,” </w:t>
      </w:r>
      <w:r>
        <w:rPr>
          <w:i/>
        </w:rPr>
        <w:t>Journal of Early Modern History</w:t>
      </w:r>
      <w:r>
        <w:t xml:space="preserve"> 4, no. 3/4 (2000): 233–68; </w:t>
      </w:r>
      <w:r w:rsidRPr="0027708F">
        <w:rPr>
          <w:rFonts w:eastAsia="Times New Roman" w:cs="Times New Roman"/>
        </w:rPr>
        <w:t xml:space="preserve">Sebouh Aslanian, “The Circulation of Men and Credit: The Role of the Commenda and the Family Firm in Julfan Society,” </w:t>
      </w:r>
      <w:r w:rsidRPr="0027708F">
        <w:rPr>
          <w:rFonts w:eastAsia="Times New Roman" w:cs="Times New Roman"/>
          <w:i/>
          <w:iCs/>
        </w:rPr>
        <w:t>Journal of the Economic and Social History of the Orient</w:t>
      </w:r>
      <w:r w:rsidRPr="0027708F">
        <w:rPr>
          <w:rFonts w:eastAsia="Times New Roman" w:cs="Times New Roman"/>
        </w:rPr>
        <w:t xml:space="preserve"> 50, no. 2 (2007): 124–70</w:t>
      </w:r>
      <w:r>
        <w:rPr>
          <w:rFonts w:eastAsia="Times New Roman" w:cs="Times New Roman"/>
        </w:rPr>
        <w:t xml:space="preserve">; </w:t>
      </w:r>
      <w:r w:rsidRPr="0027708F">
        <w:rPr>
          <w:rFonts w:eastAsia="Times New Roman" w:cs="Times New Roman"/>
        </w:rPr>
        <w:t xml:space="preserve">Sebouh D. Aslanian, </w:t>
      </w:r>
      <w:r w:rsidRPr="0027708F">
        <w:rPr>
          <w:rFonts w:eastAsia="Times New Roman" w:cs="Times New Roman"/>
          <w:i/>
          <w:iCs/>
        </w:rPr>
        <w:t>From the Indian Ocean to the Mediterranean: The Global Trade Networks of Armenian Merchants from New Julfa</w:t>
      </w:r>
      <w:r w:rsidRPr="0027708F">
        <w:rPr>
          <w:rFonts w:eastAsia="Times New Roman" w:cs="Times New Roman"/>
        </w:rPr>
        <w:t xml:space="preserve"> (Berkeley</w:t>
      </w:r>
      <w:r>
        <w:rPr>
          <w:rFonts w:eastAsia="Times New Roman" w:cs="Times New Roman"/>
        </w:rPr>
        <w:t>, Calif.</w:t>
      </w:r>
      <w:r w:rsidRPr="0027708F">
        <w:rPr>
          <w:rFonts w:eastAsia="Times New Roman" w:cs="Times New Roman"/>
        </w:rPr>
        <w:t>: University of California Press, 2011)</w:t>
      </w:r>
      <w:r>
        <w:rPr>
          <w:rFonts w:eastAsia="Times New Roman" w:cs="Times New Roman"/>
        </w:rPr>
        <w:t xml:space="preserve">; </w:t>
      </w:r>
      <w:r>
        <w:t xml:space="preserve">W. M. Floor, “The Merchants (Tujjār) in Qājār Iran,” </w:t>
      </w:r>
      <w:r>
        <w:rPr>
          <w:i/>
        </w:rPr>
        <w:t>Zeitschrift Der Deutschen Morgenländischen Gesellschaft</w:t>
      </w:r>
      <w:r>
        <w:t xml:space="preserve"> 126, no. 1 (1976): 101–35. For similar work done in the context of South Asia, see Sanjay Subrahmanyam and C. A. Bayly, “Portfolio Capitalists and the Political Economy of Early Modern India,” </w:t>
      </w:r>
      <w:r>
        <w:rPr>
          <w:i/>
        </w:rPr>
        <w:t>Indian Economic &amp; Social History Review</w:t>
      </w:r>
      <w:r>
        <w:t xml:space="preserve"> 25, no. 4 (1988): 401–24; Sanjay Subrahmanyam, “Iranians Abroad: Intra-Asian Elite Migration and Early Modern State Formation,” </w:t>
      </w:r>
      <w:r>
        <w:rPr>
          <w:i/>
        </w:rPr>
        <w:t>The Journal of Asian Studies</w:t>
      </w:r>
      <w:r>
        <w:t xml:space="preserve"> 51, no. 2 (May 1992): 340–63; Sanjay Subrahmanyam, “Of </w:t>
      </w:r>
      <w:r>
        <w:rPr>
          <w:i/>
        </w:rPr>
        <w:t>Imârat</w:t>
      </w:r>
      <w:r>
        <w:t xml:space="preserve"> and </w:t>
      </w:r>
      <w:r>
        <w:rPr>
          <w:i/>
        </w:rPr>
        <w:t>Tijârat</w:t>
      </w:r>
      <w:r>
        <w:t xml:space="preserve">: Asian Merchants and State Power in the Western Indian Ocean, 1400 to 1750,” </w:t>
      </w:r>
      <w:r>
        <w:rPr>
          <w:i/>
        </w:rPr>
        <w:t>Comparative Studies in Society and History</w:t>
      </w:r>
      <w:r>
        <w:t xml:space="preserve"> 37, no. 4 (October 1995): 750–80.</w:t>
      </w:r>
    </w:p>
  </w:endnote>
  <w:endnote w:id="20">
    <w:p w14:paraId="2CE23C40" w14:textId="426A902E" w:rsidR="00E52E1B" w:rsidRDefault="00E52E1B" w:rsidP="00A57C0A">
      <w:pPr>
        <w:pStyle w:val="EndnoteText"/>
        <w:spacing w:line="480" w:lineRule="auto"/>
      </w:pPr>
      <w:r>
        <w:rPr>
          <w:vertAlign w:val="superscript"/>
        </w:rPr>
        <w:endnoteRef/>
      </w:r>
      <w:r>
        <w:t xml:space="preserve"> The father </w:t>
      </w:r>
      <w:r>
        <w:t xml:space="preserve">and son Mirza </w:t>
      </w:r>
      <w:r>
        <w:rPr>
          <w:rFonts w:ascii="JaghbUni" w:hAnsi="JaghbUni"/>
        </w:rPr>
        <w:t>ʿ</w:t>
      </w:r>
      <w:r>
        <w:t xml:space="preserve">Isa “Buzurg” </w:t>
      </w:r>
      <w:r w:rsidRPr="003D466A">
        <w:rPr>
          <w:rFonts w:ascii="JaghbUni" w:hAnsi="JaghbUni"/>
        </w:rPr>
        <w:t>Qa</w:t>
      </w:r>
      <w:r>
        <w:rPr>
          <w:rFonts w:ascii="JaghbUni" w:hAnsi="JaghbUni"/>
        </w:rPr>
        <w:t>ʾ</w:t>
      </w:r>
      <w:r w:rsidRPr="003D466A">
        <w:rPr>
          <w:rFonts w:ascii="JaghbUni" w:hAnsi="JaghbUni"/>
        </w:rPr>
        <w:t>im</w:t>
      </w:r>
      <w:r>
        <w:t>-Maqam and Mirza Abu</w:t>
      </w:r>
      <w:r w:rsidR="00AE275B">
        <w:t xml:space="preserve"> a</w:t>
      </w:r>
      <w:r>
        <w:t>l-Qasim Qa</w:t>
      </w:r>
      <w:r>
        <w:rPr>
          <w:rFonts w:ascii="JaghbUni" w:hAnsi="JaghbUni"/>
        </w:rPr>
        <w:t>ʾ</w:t>
      </w:r>
      <w:r>
        <w:t xml:space="preserve">im-Maqam are also included, since they functioned as the </w:t>
      </w:r>
      <w:r>
        <w:rPr>
          <w:i/>
        </w:rPr>
        <w:t>ṣadr-i a</w:t>
      </w:r>
      <w:r w:rsidRPr="003D466A">
        <w:rPr>
          <w:rFonts w:ascii="JaghbUni" w:hAnsi="JaghbUni"/>
          <w:i/>
          <w:iCs/>
        </w:rPr>
        <w:t>ʿ</w:t>
      </w:r>
      <w:r>
        <w:rPr>
          <w:i/>
        </w:rPr>
        <w:t>ẓam</w:t>
      </w:r>
      <w:r>
        <w:t xml:space="preserve"> for </w:t>
      </w:r>
      <w:r>
        <w:rPr>
          <w:rFonts w:ascii="JaghbUni" w:hAnsi="JaghbUni"/>
        </w:rPr>
        <w:t>ʿ</w:t>
      </w:r>
      <w:r>
        <w:t>Abbas Mirza, the heir-apparent and influential prince under Fath-</w:t>
      </w:r>
      <w:r>
        <w:rPr>
          <w:rFonts w:ascii="JaghbUni" w:hAnsi="JaghbUni"/>
        </w:rPr>
        <w:t>ʿ</w:t>
      </w:r>
      <w:r>
        <w:t xml:space="preserve">Ali Shah. The other main </w:t>
      </w:r>
      <w:r>
        <w:rPr>
          <w:i/>
        </w:rPr>
        <w:t>dīvān</w:t>
      </w:r>
      <w:r>
        <w:t xml:space="preserve"> positions of the early Qajar period included the </w:t>
      </w:r>
      <w:r w:rsidR="0091029B" w:rsidRPr="00583D21">
        <w:t>revenue</w:t>
      </w:r>
      <w:r w:rsidR="0091029B">
        <w:t xml:space="preserve"> </w:t>
      </w:r>
      <w:r w:rsidR="0091029B" w:rsidRPr="00583D21">
        <w:t xml:space="preserve">secretary to the army </w:t>
      </w:r>
      <w:r>
        <w:rPr>
          <w:iCs/>
        </w:rPr>
        <w:t>(</w:t>
      </w:r>
      <w:r w:rsidR="00800FCF">
        <w:rPr>
          <w:i/>
        </w:rPr>
        <w:t>lashkar</w:t>
      </w:r>
      <w:r>
        <w:rPr>
          <w:i/>
        </w:rPr>
        <w:t>nivīs</w:t>
      </w:r>
      <w:r>
        <w:rPr>
          <w:iCs/>
        </w:rPr>
        <w:t>)</w:t>
      </w:r>
      <w:r>
        <w:t xml:space="preserve">, </w:t>
      </w:r>
      <w:r>
        <w:rPr>
          <w:iCs/>
        </w:rPr>
        <w:t xml:space="preserve">head of the </w:t>
      </w:r>
      <w:r w:rsidRPr="00A57C0A">
        <w:rPr>
          <w:i/>
        </w:rPr>
        <w:t>dīvān</w:t>
      </w:r>
      <w:r>
        <w:t xml:space="preserve"> (</w:t>
      </w:r>
      <w:r>
        <w:rPr>
          <w:i/>
        </w:rPr>
        <w:t>ṣāḥib-i dīvān</w:t>
      </w:r>
      <w:r>
        <w:t>), court chronicler (</w:t>
      </w:r>
      <w:r>
        <w:rPr>
          <w:i/>
        </w:rPr>
        <w:t>vaqāyi</w:t>
      </w:r>
      <w:r w:rsidRPr="003D466A">
        <w:rPr>
          <w:rFonts w:ascii="JaghbUni" w:hAnsi="JaghbUni"/>
          <w:i/>
          <w:iCs/>
        </w:rPr>
        <w:t>ʿ</w:t>
      </w:r>
      <w:r>
        <w:rPr>
          <w:i/>
        </w:rPr>
        <w:t>-nigār</w:t>
      </w:r>
      <w:r>
        <w:rPr>
          <w:iCs/>
        </w:rPr>
        <w:t>)</w:t>
      </w:r>
      <w:r>
        <w:t>, mint master (</w:t>
      </w:r>
      <w:r>
        <w:rPr>
          <w:i/>
        </w:rPr>
        <w:t>mu</w:t>
      </w:r>
      <w:r w:rsidRPr="003D466A">
        <w:rPr>
          <w:rFonts w:ascii="JaghbUni" w:hAnsi="JaghbUni"/>
          <w:i/>
          <w:iCs/>
        </w:rPr>
        <w:t>ʿ</w:t>
      </w:r>
      <w:r>
        <w:rPr>
          <w:i/>
        </w:rPr>
        <w:t>ayyir al-mamālik</w:t>
      </w:r>
      <w:r>
        <w:rPr>
          <w:iCs/>
        </w:rPr>
        <w:t>)</w:t>
      </w:r>
      <w:r>
        <w:t xml:space="preserve">, reader of the </w:t>
      </w:r>
      <w:r w:rsidRPr="00A57C0A">
        <w:rPr>
          <w:i/>
          <w:iCs/>
        </w:rPr>
        <w:t>khutba</w:t>
      </w:r>
      <w:r>
        <w:t xml:space="preserve"> at ceremonial occasions (</w:t>
      </w:r>
      <w:r>
        <w:rPr>
          <w:i/>
        </w:rPr>
        <w:t>khātib al-mamālik</w:t>
      </w:r>
      <w:r>
        <w:rPr>
          <w:iCs/>
        </w:rPr>
        <w:t>)</w:t>
      </w:r>
      <w:r>
        <w:t>, and chief astrologer (</w:t>
      </w:r>
      <w:r>
        <w:rPr>
          <w:i/>
        </w:rPr>
        <w:t>munajjim-bāshī</w:t>
      </w:r>
      <w:r>
        <w:rPr>
          <w:iCs/>
        </w:rPr>
        <w:t>)</w:t>
      </w:r>
      <w:r>
        <w:t xml:space="preserve">. See Lambton, “Persian Society under the Qajars,” in </w:t>
      </w:r>
      <w:r>
        <w:rPr>
          <w:i/>
        </w:rPr>
        <w:t>Qājār Persia: Eleven Studies</w:t>
      </w:r>
      <w:r>
        <w:t>, 99.</w:t>
      </w:r>
    </w:p>
  </w:endnote>
  <w:endnote w:id="21">
    <w:p w14:paraId="5EB4460A" w14:textId="59055708"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Abd al-Razzaq Bayg Dunbuli Maftun, </w:t>
      </w:r>
      <w:r>
        <w:rPr>
          <w:i/>
        </w:rPr>
        <w:t>Tazkirih-yi Nigaristan-i Dara</w:t>
      </w:r>
      <w:r>
        <w:t xml:space="preserve">, ed. </w:t>
      </w:r>
      <w:r>
        <w:rPr>
          <w:rFonts w:ascii="JaghbUni" w:hAnsi="JaghbUni"/>
        </w:rPr>
        <w:t>ʿ</w:t>
      </w:r>
      <w:r>
        <w:t xml:space="preserve">Abd al-Rasul Khayyampur (Tabriz: Kitabfurushi-yi Tehran, 1963); Mahmud Mirza Qajar, </w:t>
      </w:r>
      <w:r>
        <w:rPr>
          <w:i/>
        </w:rPr>
        <w:t>Safinat al-Mahmud</w:t>
      </w:r>
      <w:r>
        <w:t xml:space="preserve">, ed. </w:t>
      </w:r>
      <w:r>
        <w:rPr>
          <w:rFonts w:ascii="JaghbUni" w:hAnsi="JaghbUni"/>
        </w:rPr>
        <w:t>ʿ</w:t>
      </w:r>
      <w:r>
        <w:t xml:space="preserve">Abd al-Rasul Khayyampur, 2 vols. (Tabriz: Shafaq, 1968); Fazil Khan Garrusi, </w:t>
      </w:r>
      <w:r>
        <w:rPr>
          <w:i/>
        </w:rPr>
        <w:t>Tazkirih-yi Anjuman-i Khaqan</w:t>
      </w:r>
      <w:r>
        <w:t xml:space="preserve"> (Tehran: Layla, 1997); Ahmad Divan Baygi Shirazi, </w:t>
      </w:r>
      <w:r>
        <w:rPr>
          <w:i/>
        </w:rPr>
        <w:t>Hadiqat al-</w:t>
      </w:r>
      <w:r w:rsidRPr="00536ED3">
        <w:rPr>
          <w:rFonts w:ascii="JaghbUni" w:hAnsi="JaghbUni"/>
          <w:i/>
          <w:iCs/>
        </w:rPr>
        <w:t>Shu</w:t>
      </w:r>
      <w:r>
        <w:rPr>
          <w:rFonts w:ascii="JaghbUni" w:hAnsi="JaghbUni"/>
          <w:i/>
          <w:iCs/>
        </w:rPr>
        <w:t>ʿ</w:t>
      </w:r>
      <w:r w:rsidRPr="00536ED3">
        <w:rPr>
          <w:rFonts w:ascii="JaghbUni" w:hAnsi="JaghbUni"/>
          <w:i/>
          <w:iCs/>
        </w:rPr>
        <w:t>ar</w:t>
      </w:r>
      <w:r>
        <w:rPr>
          <w:rFonts w:ascii="JaghbUni" w:hAnsi="JaghbUni"/>
          <w:i/>
          <w:iCs/>
        </w:rPr>
        <w:t>a</w:t>
      </w:r>
      <w:r>
        <w:t xml:space="preserve">, ed. Abd al-Husayn </w:t>
      </w:r>
      <w:r w:rsidRPr="00536ED3">
        <w:rPr>
          <w:rFonts w:ascii="JaghbUni" w:hAnsi="JaghbUni"/>
        </w:rPr>
        <w:t>Nava</w:t>
      </w:r>
      <w:r>
        <w:rPr>
          <w:rFonts w:ascii="JaghbUni" w:hAnsi="JaghbUni"/>
        </w:rPr>
        <w:t>ʾ</w:t>
      </w:r>
      <w:r w:rsidRPr="00536ED3">
        <w:rPr>
          <w:rFonts w:ascii="JaghbUni" w:hAnsi="JaghbUni"/>
        </w:rPr>
        <w:t>i</w:t>
      </w:r>
      <w:r>
        <w:t>, 3 vols. (Tehran: Zarrin, 1985).</w:t>
      </w:r>
    </w:p>
  </w:endnote>
  <w:endnote w:id="22">
    <w:p w14:paraId="44EFE5AB" w14:textId="1433D723" w:rsidR="00E52E1B" w:rsidRDefault="00E52E1B" w:rsidP="00344E9E">
      <w:pPr>
        <w:pStyle w:val="EndnoteText"/>
        <w:spacing w:line="480" w:lineRule="auto"/>
      </w:pPr>
      <w:r>
        <w:rPr>
          <w:vertAlign w:val="superscript"/>
        </w:rPr>
        <w:endnoteRef/>
      </w:r>
      <w:r>
        <w:t xml:space="preserve"> </w:t>
      </w:r>
      <w:r>
        <w:rPr>
          <w:rFonts w:ascii="JaghbUni" w:hAnsi="JaghbUni"/>
        </w:rPr>
        <w:t>ʿ</w:t>
      </w:r>
      <w:r w:rsidR="00AE275B">
        <w:t>Abd A</w:t>
      </w:r>
      <w:r>
        <w:t xml:space="preserve">llah Mustawfi, </w:t>
      </w:r>
      <w:r>
        <w:rPr>
          <w:i/>
        </w:rPr>
        <w:t>Sharh-i Zindigani-yi Man: Tarikh-i Ijtima</w:t>
      </w:r>
      <w:r>
        <w:rPr>
          <w:rFonts w:ascii="JaghbUni" w:hAnsi="JaghbUni"/>
          <w:i/>
          <w:iCs/>
        </w:rPr>
        <w:t>ʿi</w:t>
      </w:r>
      <w:r>
        <w:rPr>
          <w:i/>
        </w:rPr>
        <w:t xml:space="preserve"> va Idari-i Dawrih-yi Qajariyyih</w:t>
      </w:r>
      <w:r>
        <w:t xml:space="preserve"> (Tehran: Zuvvar, 1964); </w:t>
      </w:r>
      <w:r>
        <w:rPr>
          <w:rFonts w:ascii="JaghbUni" w:hAnsi="JaghbUni"/>
        </w:rPr>
        <w:t>ʿ</w:t>
      </w:r>
      <w:r>
        <w:t>Ali Quli Mirza I</w:t>
      </w:r>
      <w:r>
        <w:rPr>
          <w:rFonts w:ascii="JaghbUni" w:hAnsi="JaghbUni"/>
        </w:rPr>
        <w:t>ʿ</w:t>
      </w:r>
      <w:r>
        <w:t xml:space="preserve">tizad al-Saltanih, </w:t>
      </w:r>
      <w:r>
        <w:rPr>
          <w:i/>
        </w:rPr>
        <w:t>Iksir al-Tavarikh</w:t>
      </w:r>
      <w:r>
        <w:t xml:space="preserve">, ed. Jamshid Kiyanfar (Tehran: Visman, 1991); Ahmad Mirza Qajar </w:t>
      </w:r>
      <w:r>
        <w:rPr>
          <w:rFonts w:ascii="JaghbUni" w:hAnsi="JaghbUni"/>
        </w:rPr>
        <w:t>ʿ</w:t>
      </w:r>
      <w:r>
        <w:t xml:space="preserve">Azud al-Dawlih, </w:t>
      </w:r>
      <w:r>
        <w:rPr>
          <w:i/>
        </w:rPr>
        <w:t xml:space="preserve">Tarikh-i </w:t>
      </w:r>
      <w:r>
        <w:rPr>
          <w:rFonts w:ascii="JaghbUni" w:hAnsi="JaghbUni"/>
          <w:i/>
          <w:iCs/>
        </w:rPr>
        <w:t>ʿ</w:t>
      </w:r>
      <w:r>
        <w:rPr>
          <w:i/>
        </w:rPr>
        <w:t>Azudi</w:t>
      </w:r>
      <w:r>
        <w:t xml:space="preserve">, ed. </w:t>
      </w:r>
      <w:r>
        <w:rPr>
          <w:rFonts w:ascii="JaghbUni" w:hAnsi="JaghbUni"/>
        </w:rPr>
        <w:t>ʿA</w:t>
      </w:r>
      <w:r>
        <w:t xml:space="preserve">bd al-Husayn </w:t>
      </w:r>
      <w:r w:rsidRPr="00312411">
        <w:rPr>
          <w:rFonts w:ascii="JaghbUni" w:hAnsi="JaghbUni"/>
        </w:rPr>
        <w:t>Nava</w:t>
      </w:r>
      <w:r>
        <w:rPr>
          <w:rFonts w:ascii="JaghbUni" w:hAnsi="JaghbUni"/>
        </w:rPr>
        <w:t>ʾ</w:t>
      </w:r>
      <w:r w:rsidRPr="00312411">
        <w:rPr>
          <w:rFonts w:ascii="JaghbUni" w:hAnsi="JaghbUni"/>
        </w:rPr>
        <w:t>i</w:t>
      </w:r>
      <w:r>
        <w:t xml:space="preserve"> (Tehran: </w:t>
      </w:r>
      <w:r>
        <w:rPr>
          <w:rFonts w:ascii="JaghbUni" w:hAnsi="JaghbUni"/>
        </w:rPr>
        <w:t>ʿ</w:t>
      </w:r>
      <w:r>
        <w:t xml:space="preserve">Ilm, 1997); Khavari Shirazi, “Khatimih-yi Ruznamchih-yi Humayun,” in </w:t>
      </w:r>
      <w:r>
        <w:rPr>
          <w:i/>
        </w:rPr>
        <w:t>Tarikh-i Zu</w:t>
      </w:r>
      <w:r w:rsidR="000C6870">
        <w:rPr>
          <w:i/>
        </w:rPr>
        <w:t xml:space="preserve"> a</w:t>
      </w:r>
      <w:r>
        <w:rPr>
          <w:i/>
        </w:rPr>
        <w:t>l-Qarnayn</w:t>
      </w:r>
      <w:r>
        <w:t>, 2:949–1165.</w:t>
      </w:r>
    </w:p>
  </w:endnote>
  <w:endnote w:id="23">
    <w:p w14:paraId="424AAA83" w14:textId="672A17D5" w:rsidR="00E52E1B" w:rsidRDefault="00E52E1B" w:rsidP="00344E9E">
      <w:pPr>
        <w:pStyle w:val="EndnoteText"/>
        <w:spacing w:line="480" w:lineRule="auto"/>
      </w:pPr>
      <w:r>
        <w:rPr>
          <w:vertAlign w:val="superscript"/>
        </w:rPr>
        <w:endnoteRef/>
      </w:r>
      <w:r>
        <w:t xml:space="preserve"> </w:t>
      </w:r>
      <w:r>
        <w:t xml:space="preserve">Muhammad Hasan Khan </w:t>
      </w:r>
      <w:r w:rsidRPr="00CD3667">
        <w:rPr>
          <w:rFonts w:ascii="JaghbUni" w:hAnsi="JaghbUni"/>
        </w:rPr>
        <w:t>I</w:t>
      </w:r>
      <w:r>
        <w:rPr>
          <w:rFonts w:ascii="JaghbUni" w:hAnsi="JaghbUni"/>
        </w:rPr>
        <w:t>ʿ</w:t>
      </w:r>
      <w:r w:rsidRPr="00CD3667">
        <w:rPr>
          <w:rFonts w:ascii="JaghbUni" w:hAnsi="JaghbUni"/>
        </w:rPr>
        <w:t>timad</w:t>
      </w:r>
      <w:r>
        <w:t xml:space="preserve"> al-Saltanih, </w:t>
      </w:r>
      <w:r>
        <w:rPr>
          <w:i/>
        </w:rPr>
        <w:t xml:space="preserve">Sadr al-Tavarikh: Sharh Hal-i Sadr </w:t>
      </w:r>
      <w:r w:rsidRPr="00CD3667">
        <w:rPr>
          <w:rFonts w:ascii="JaghbUni" w:hAnsi="JaghbUni"/>
          <w:i/>
          <w:iCs/>
        </w:rPr>
        <w:t>A</w:t>
      </w:r>
      <w:r>
        <w:rPr>
          <w:rFonts w:ascii="JaghbUni" w:hAnsi="JaghbUni"/>
          <w:i/>
          <w:iCs/>
        </w:rPr>
        <w:t>ʿz</w:t>
      </w:r>
      <w:r w:rsidRPr="00CD3667">
        <w:rPr>
          <w:rFonts w:ascii="JaghbUni" w:hAnsi="JaghbUni"/>
          <w:i/>
          <w:iCs/>
        </w:rPr>
        <w:t>am’h</w:t>
      </w:r>
      <w:r>
        <w:rPr>
          <w:rFonts w:ascii="JaghbUni" w:hAnsi="JaghbUni"/>
          <w:i/>
          <w:iCs/>
        </w:rPr>
        <w:t>a</w:t>
      </w:r>
      <w:r>
        <w:rPr>
          <w:i/>
        </w:rPr>
        <w:t>-yi Padshahan-i Qajar</w:t>
      </w:r>
      <w:r>
        <w:t xml:space="preserve">, ed. Muhammad Mushiri (Tehran: Ruzbihan, 1978); Karim Sulaymani, </w:t>
      </w:r>
      <w:r>
        <w:rPr>
          <w:i/>
        </w:rPr>
        <w:t>Alqab-i Rijal-i Dawrih-yi Qajariyyih</w:t>
      </w:r>
      <w:r>
        <w:t xml:space="preserve"> (Tehran: Kitabkhanih-i Milli-i Iran, 2000).</w:t>
      </w:r>
    </w:p>
  </w:endnote>
  <w:endnote w:id="24">
    <w:p w14:paraId="457C31D1" w14:textId="05A0B36D" w:rsidR="00E52E1B" w:rsidRDefault="00E52E1B" w:rsidP="00344E9E">
      <w:pPr>
        <w:pStyle w:val="EndnoteText"/>
        <w:spacing w:line="480" w:lineRule="auto"/>
      </w:pPr>
      <w:r>
        <w:rPr>
          <w:vertAlign w:val="superscript"/>
        </w:rPr>
        <w:endnoteRef/>
      </w:r>
      <w:r>
        <w:t xml:space="preserve"> </w:t>
      </w:r>
      <w:r>
        <w:t xml:space="preserve">Mirza Muhammad Sadiq Musavi Nami Isfahani, </w:t>
      </w:r>
      <w:r>
        <w:rPr>
          <w:i/>
        </w:rPr>
        <w:t>Tarikh-i Giti-Gusha</w:t>
      </w:r>
      <w:r>
        <w:t>, ed. Sa</w:t>
      </w:r>
      <w:r>
        <w:rPr>
          <w:rFonts w:ascii="JaghbUni" w:hAnsi="JaghbUni"/>
        </w:rPr>
        <w:t>ʿ</w:t>
      </w:r>
      <w:r>
        <w:t xml:space="preserve">id Nafisi (Tehran: Iqbal, 1937); Muhammad </w:t>
      </w:r>
      <w:r w:rsidRPr="00C06F19">
        <w:rPr>
          <w:rFonts w:ascii="JaghbUni" w:hAnsi="JaghbUni"/>
        </w:rPr>
        <w:t>Saru</w:t>
      </w:r>
      <w:r>
        <w:rPr>
          <w:rFonts w:ascii="JaghbUni" w:hAnsi="JaghbUni"/>
        </w:rPr>
        <w:t>ʾ</w:t>
      </w:r>
      <w:r w:rsidRPr="00C06F19">
        <w:rPr>
          <w:rFonts w:ascii="JaghbUni" w:hAnsi="JaghbUni"/>
        </w:rPr>
        <w:t>i</w:t>
      </w:r>
      <w:r>
        <w:t xml:space="preserve">, </w:t>
      </w:r>
      <w:r>
        <w:rPr>
          <w:i/>
        </w:rPr>
        <w:t>Tarikh-i Muhammadi: Ahsan al-Tavarikh</w:t>
      </w:r>
      <w:r>
        <w:t xml:space="preserve">, ed. Ghulam Reza </w:t>
      </w:r>
      <w:r w:rsidRPr="00C06F19">
        <w:rPr>
          <w:rFonts w:ascii="JaghbUni" w:hAnsi="JaghbUni"/>
        </w:rPr>
        <w:t>Tabataba</w:t>
      </w:r>
      <w:r>
        <w:rPr>
          <w:rFonts w:ascii="JaghbUni" w:hAnsi="JaghbUni"/>
        </w:rPr>
        <w:t>ʾ</w:t>
      </w:r>
      <w:r w:rsidRPr="00C06F19">
        <w:rPr>
          <w:rFonts w:ascii="JaghbUni" w:hAnsi="JaghbUni"/>
        </w:rPr>
        <w:t>i</w:t>
      </w:r>
      <w:r>
        <w:t xml:space="preserve"> Majd (Tehran: </w:t>
      </w:r>
      <w:r w:rsidRPr="00C06F19">
        <w:rPr>
          <w:rFonts w:ascii="JaghbUni" w:hAnsi="JaghbUni"/>
        </w:rPr>
        <w:t>Mu</w:t>
      </w:r>
      <w:r>
        <w:rPr>
          <w:rFonts w:ascii="JaghbUni" w:hAnsi="JaghbUni"/>
        </w:rPr>
        <w:t>ʾ</w:t>
      </w:r>
      <w:r w:rsidRPr="00C06F19">
        <w:rPr>
          <w:rFonts w:ascii="JaghbUni" w:hAnsi="JaghbUni"/>
        </w:rPr>
        <w:t>assasih</w:t>
      </w:r>
      <w:r>
        <w:t xml:space="preserve">-i Intisharat-i Amir Kabir, 1992); Khavari Shirazi, </w:t>
      </w:r>
      <w:r>
        <w:rPr>
          <w:i/>
        </w:rPr>
        <w:t>Tarikh-i Zu</w:t>
      </w:r>
      <w:r w:rsidR="000C6870">
        <w:rPr>
          <w:i/>
        </w:rPr>
        <w:t xml:space="preserve"> a</w:t>
      </w:r>
      <w:r>
        <w:rPr>
          <w:i/>
        </w:rPr>
        <w:t>l-Qarnayn</w:t>
      </w:r>
      <w:r>
        <w:t xml:space="preserve">; Mahmud Mirza Qajar, </w:t>
      </w:r>
      <w:r>
        <w:rPr>
          <w:i/>
        </w:rPr>
        <w:t>Tarikh-i Sahib-Qirani: Havadis-i Tarikh-i Silsilih-yi Qajar (1190-1248 A.H.)</w:t>
      </w:r>
      <w:r>
        <w:t>, ed. Nadirih Jalali (Tehran: Majlis, 2010).</w:t>
      </w:r>
    </w:p>
  </w:endnote>
  <w:endnote w:id="25">
    <w:p w14:paraId="56292C78" w14:textId="2DF5A9CF" w:rsidR="00E52E1B" w:rsidRPr="00846193" w:rsidRDefault="00E52E1B" w:rsidP="00B21978">
      <w:pPr>
        <w:pStyle w:val="EndnoteText"/>
        <w:spacing w:line="480" w:lineRule="auto"/>
      </w:pPr>
      <w:r>
        <w:rPr>
          <w:rStyle w:val="EndnoteReference"/>
        </w:rPr>
        <w:endnoteRef/>
      </w:r>
      <w:r>
        <w:t xml:space="preserve"> Julia Adams’ work, in particular, has revised traditional Weberian understandings of the state. See </w:t>
      </w:r>
      <w:proofErr w:type="gramStart"/>
      <w:r>
        <w:rPr>
          <w:i/>
          <w:iCs/>
        </w:rPr>
        <w:t>The</w:t>
      </w:r>
      <w:proofErr w:type="gramEnd"/>
      <w:r>
        <w:rPr>
          <w:i/>
          <w:iCs/>
        </w:rPr>
        <w:t xml:space="preserve"> Familial State</w:t>
      </w:r>
      <w:r>
        <w:t xml:space="preserve">. </w:t>
      </w:r>
    </w:p>
  </w:endnote>
  <w:endnote w:id="26">
    <w:p w14:paraId="65C0DDF6" w14:textId="49E98D18" w:rsidR="00E52E1B" w:rsidRDefault="00E52E1B" w:rsidP="00977838">
      <w:pPr>
        <w:spacing w:line="480" w:lineRule="auto"/>
      </w:pPr>
      <w:r>
        <w:rPr>
          <w:rStyle w:val="EndnoteReference"/>
        </w:rPr>
        <w:endnoteRef/>
      </w:r>
      <w:r>
        <w:t xml:space="preserve"> For more on “states in the making,” </w:t>
      </w:r>
      <w:r>
        <w:t xml:space="preserve">see </w:t>
      </w:r>
      <w:r w:rsidRPr="007F6794">
        <w:rPr>
          <w:rFonts w:ascii="Times New Roman" w:eastAsia="Times New Roman" w:hAnsi="Times New Roman" w:cs="Times New Roman"/>
          <w:color w:val="auto"/>
          <w:szCs w:val="24"/>
        </w:rPr>
        <w:t xml:space="preserve">Ann Laura Stoler and Carole McGranahan, “Introduction: Refiguring Imperial Terrains,” in </w:t>
      </w:r>
      <w:r w:rsidRPr="007F6794">
        <w:rPr>
          <w:rFonts w:ascii="Times New Roman" w:eastAsia="Times New Roman" w:hAnsi="Times New Roman" w:cs="Times New Roman"/>
          <w:i/>
          <w:iCs/>
          <w:color w:val="auto"/>
          <w:szCs w:val="24"/>
        </w:rPr>
        <w:t>Imperial Formations</w:t>
      </w:r>
      <w:r w:rsidRPr="007F6794">
        <w:rPr>
          <w:rFonts w:ascii="Times New Roman" w:eastAsia="Times New Roman" w:hAnsi="Times New Roman" w:cs="Times New Roman"/>
          <w:color w:val="auto"/>
          <w:szCs w:val="24"/>
        </w:rPr>
        <w:t>, ed. Ann Laura Stoler, Carole McGranahan, and Peter C. Perdue (Santa Fe, N.M.: School for Advanced Research Press, 2007), 3–42</w:t>
      </w:r>
      <w:r>
        <w:rPr>
          <w:rFonts w:ascii="Times New Roman" w:eastAsia="Times New Roman" w:hAnsi="Times New Roman" w:cs="Times New Roman"/>
          <w:color w:val="auto"/>
          <w:szCs w:val="24"/>
        </w:rPr>
        <w:t xml:space="preserve">, 8; Adams, </w:t>
      </w:r>
      <w:r>
        <w:rPr>
          <w:rFonts w:ascii="Times New Roman" w:eastAsia="Times New Roman" w:hAnsi="Times New Roman" w:cs="Times New Roman"/>
          <w:i/>
          <w:iCs/>
          <w:color w:val="auto"/>
          <w:szCs w:val="24"/>
        </w:rPr>
        <w:t>The Familial State</w:t>
      </w:r>
      <w:r>
        <w:rPr>
          <w:rFonts w:ascii="Times New Roman" w:eastAsia="Times New Roman" w:hAnsi="Times New Roman" w:cs="Times New Roman"/>
          <w:color w:val="auto"/>
          <w:szCs w:val="24"/>
        </w:rPr>
        <w:t>, 13.</w:t>
      </w:r>
    </w:p>
  </w:endnote>
  <w:endnote w:id="27">
    <w:p w14:paraId="124DCB2D" w14:textId="46711685" w:rsidR="00E52E1B" w:rsidRDefault="00E52E1B" w:rsidP="00593295">
      <w:pPr>
        <w:pStyle w:val="EndnoteText"/>
        <w:spacing w:line="480" w:lineRule="auto"/>
      </w:pPr>
      <w:r>
        <w:rPr>
          <w:vertAlign w:val="superscript"/>
        </w:rPr>
        <w:endnoteRef/>
      </w:r>
      <w:r>
        <w:t xml:space="preserve"> </w:t>
      </w:r>
      <w:r>
        <w:t xml:space="preserve">On the Zand </w:t>
      </w:r>
      <w:r>
        <w:rPr>
          <w:i/>
          <w:iCs/>
        </w:rPr>
        <w:t>dīvān</w:t>
      </w:r>
      <w:r>
        <w:t xml:space="preserve">, see John Perry, </w:t>
      </w:r>
      <w:r>
        <w:rPr>
          <w:i/>
        </w:rPr>
        <w:t xml:space="preserve">Karīm Khān Zand: A History of Iran, 1747–1779 </w:t>
      </w:r>
      <w:r>
        <w:t>(Chicago: University of Chicago Press, 1979), 217–218.</w:t>
      </w:r>
    </w:p>
  </w:endnote>
  <w:endnote w:id="28">
    <w:p w14:paraId="63E2CB6A" w14:textId="59EE63F8" w:rsidR="00E52E1B" w:rsidRPr="001B6239" w:rsidRDefault="00E52E1B" w:rsidP="00344E9E">
      <w:pPr>
        <w:pStyle w:val="EndnoteText"/>
        <w:spacing w:line="480" w:lineRule="auto"/>
        <w:rPr>
          <w:lang w:val="it-IT"/>
        </w:rPr>
      </w:pPr>
      <w:r>
        <w:rPr>
          <w:vertAlign w:val="superscript"/>
        </w:rPr>
        <w:endnoteRef/>
      </w:r>
      <w:r w:rsidRPr="001B6239">
        <w:rPr>
          <w:lang w:val="it-IT"/>
        </w:rPr>
        <w:t xml:space="preserve"> Mustawfi, </w:t>
      </w:r>
      <w:r w:rsidRPr="001B6239">
        <w:rPr>
          <w:i/>
          <w:lang w:val="it-IT"/>
        </w:rPr>
        <w:t>Shar</w:t>
      </w:r>
      <w:r>
        <w:rPr>
          <w:i/>
          <w:lang w:val="it-IT"/>
        </w:rPr>
        <w:t>h-i Zindigani</w:t>
      </w:r>
      <w:r w:rsidRPr="001B6239">
        <w:rPr>
          <w:i/>
          <w:lang w:val="it-IT"/>
        </w:rPr>
        <w:t>-yi Man</w:t>
      </w:r>
      <w:r>
        <w:rPr>
          <w:lang w:val="it-IT"/>
        </w:rPr>
        <w:t>, 2 and 7; I</w:t>
      </w:r>
      <w:r>
        <w:rPr>
          <w:rFonts w:ascii="JaghbUni" w:hAnsi="JaghbUni"/>
        </w:rPr>
        <w:t>ʿ</w:t>
      </w:r>
      <w:r w:rsidRPr="001B6239">
        <w:rPr>
          <w:lang w:val="it-IT"/>
        </w:rPr>
        <w:t xml:space="preserve">timad al-Saltanih, </w:t>
      </w:r>
      <w:r>
        <w:rPr>
          <w:i/>
          <w:lang w:val="it-IT"/>
        </w:rPr>
        <w:t>Sadr al-Tavari</w:t>
      </w:r>
      <w:r w:rsidRPr="001B6239">
        <w:rPr>
          <w:i/>
          <w:lang w:val="it-IT"/>
        </w:rPr>
        <w:t>kh</w:t>
      </w:r>
      <w:r>
        <w:rPr>
          <w:lang w:val="it-IT"/>
        </w:rPr>
        <w:t>, 21–</w:t>
      </w:r>
      <w:r w:rsidRPr="001B6239">
        <w:rPr>
          <w:lang w:val="it-IT"/>
        </w:rPr>
        <w:t>22.</w:t>
      </w:r>
    </w:p>
  </w:endnote>
  <w:endnote w:id="29">
    <w:p w14:paraId="0EA27C40" w14:textId="10DDA2C8" w:rsidR="00E52E1B" w:rsidRPr="001B6239" w:rsidRDefault="00E52E1B" w:rsidP="00344E9E">
      <w:pPr>
        <w:pStyle w:val="EndnoteText"/>
        <w:spacing w:line="480" w:lineRule="auto"/>
        <w:rPr>
          <w:lang w:val="it-IT"/>
        </w:rPr>
      </w:pPr>
      <w:r>
        <w:rPr>
          <w:vertAlign w:val="superscript"/>
        </w:rPr>
        <w:endnoteRef/>
      </w:r>
      <w:r>
        <w:rPr>
          <w:lang w:val="it-IT"/>
        </w:rPr>
        <w:t xml:space="preserve"> I</w:t>
      </w:r>
      <w:r>
        <w:rPr>
          <w:rFonts w:ascii="JaghbUni" w:hAnsi="JaghbUni"/>
        </w:rPr>
        <w:t>ʿ</w:t>
      </w:r>
      <w:r w:rsidRPr="001B6239">
        <w:rPr>
          <w:lang w:val="it-IT"/>
        </w:rPr>
        <w:t xml:space="preserve">timad al-Saltanih, </w:t>
      </w:r>
      <w:r>
        <w:rPr>
          <w:i/>
          <w:lang w:val="it-IT"/>
        </w:rPr>
        <w:t>Sadr al-Tavari</w:t>
      </w:r>
      <w:r w:rsidRPr="001B6239">
        <w:rPr>
          <w:i/>
          <w:lang w:val="it-IT"/>
        </w:rPr>
        <w:t>kh</w:t>
      </w:r>
      <w:r w:rsidRPr="001B6239">
        <w:rPr>
          <w:lang w:val="it-IT"/>
        </w:rPr>
        <w:t xml:space="preserve">, 20; Sulaymani, </w:t>
      </w:r>
      <w:r>
        <w:rPr>
          <w:i/>
          <w:lang w:val="it-IT"/>
        </w:rPr>
        <w:t>Alqab-i Rija</w:t>
      </w:r>
      <w:r w:rsidRPr="001B6239">
        <w:rPr>
          <w:i/>
          <w:lang w:val="it-IT"/>
        </w:rPr>
        <w:t>l</w:t>
      </w:r>
      <w:r w:rsidRPr="001B6239">
        <w:rPr>
          <w:lang w:val="it-IT"/>
        </w:rPr>
        <w:t xml:space="preserve">, 176; Bamdad, </w:t>
      </w:r>
      <w:r w:rsidRPr="001B6239">
        <w:rPr>
          <w:i/>
          <w:lang w:val="it-IT"/>
        </w:rPr>
        <w:t>Shar</w:t>
      </w:r>
      <w:r>
        <w:rPr>
          <w:i/>
          <w:lang w:val="it-IT"/>
        </w:rPr>
        <w:t>h</w:t>
      </w:r>
      <w:r w:rsidRPr="001B6239">
        <w:rPr>
          <w:i/>
          <w:lang w:val="it-IT"/>
        </w:rPr>
        <w:t xml:space="preserve">-i </w:t>
      </w:r>
      <w:r>
        <w:rPr>
          <w:i/>
          <w:lang w:val="it-IT"/>
        </w:rPr>
        <w:t>Ha</w:t>
      </w:r>
      <w:r w:rsidRPr="001B6239">
        <w:rPr>
          <w:i/>
          <w:lang w:val="it-IT"/>
        </w:rPr>
        <w:t>l</w:t>
      </w:r>
      <w:r>
        <w:rPr>
          <w:lang w:val="it-IT"/>
        </w:rPr>
        <w:t>, 2:37–</w:t>
      </w:r>
      <w:r w:rsidRPr="001B6239">
        <w:rPr>
          <w:lang w:val="it-IT"/>
        </w:rPr>
        <w:t>39.</w:t>
      </w:r>
    </w:p>
  </w:endnote>
  <w:endnote w:id="30">
    <w:p w14:paraId="0A8563D7" w14:textId="7F60B54E" w:rsidR="00E52E1B" w:rsidRPr="00E1385D" w:rsidRDefault="00E52E1B" w:rsidP="00344E9E">
      <w:pPr>
        <w:pStyle w:val="EndnoteText"/>
        <w:spacing w:line="480" w:lineRule="auto"/>
        <w:rPr>
          <w:lang w:val="it-IT"/>
        </w:rPr>
      </w:pPr>
      <w:r>
        <w:rPr>
          <w:vertAlign w:val="superscript"/>
        </w:rPr>
        <w:endnoteRef/>
      </w:r>
      <w:r w:rsidRPr="00E1385D">
        <w:rPr>
          <w:lang w:val="it-IT"/>
        </w:rPr>
        <w:t xml:space="preserve"> </w:t>
      </w:r>
      <w:r w:rsidRPr="00E1385D">
        <w:rPr>
          <w:lang w:val="it-IT"/>
        </w:rPr>
        <w:t>Abbas Amanat, “</w:t>
      </w:r>
      <w:r w:rsidRPr="00E1385D">
        <w:rPr>
          <w:color w:val="132430"/>
          <w:lang w:val="it-IT"/>
        </w:rPr>
        <w:t xml:space="preserve">Ebrāhīm Kalāntar Šīrāzī,” </w:t>
      </w:r>
      <w:r w:rsidRPr="00E1385D">
        <w:rPr>
          <w:i/>
          <w:color w:val="132430"/>
          <w:lang w:val="it-IT"/>
        </w:rPr>
        <w:t>Encyclopaedia Iranica</w:t>
      </w:r>
      <w:r w:rsidRPr="00E1385D">
        <w:rPr>
          <w:color w:val="132430"/>
          <w:lang w:val="it-IT"/>
        </w:rPr>
        <w:t xml:space="preserve">, </w:t>
      </w:r>
      <w:r w:rsidRPr="00E1385D">
        <w:rPr>
          <w:color w:val="132430"/>
          <w:highlight w:val="white"/>
          <w:lang w:val="it-IT"/>
        </w:rPr>
        <w:t>VIII/1, pp. 66</w:t>
      </w:r>
      <w:r>
        <w:rPr>
          <w:color w:val="132430"/>
          <w:highlight w:val="white"/>
          <w:lang w:val="it-IT"/>
        </w:rPr>
        <w:t>–</w:t>
      </w:r>
      <w:r w:rsidRPr="00E1385D">
        <w:rPr>
          <w:color w:val="132430"/>
          <w:highlight w:val="white"/>
          <w:lang w:val="it-IT"/>
        </w:rPr>
        <w:t xml:space="preserve">71, available online at: </w:t>
      </w:r>
      <w:hyperlink r:id="rId1">
        <w:r w:rsidRPr="00E1385D">
          <w:rPr>
            <w:color w:val="1155CC"/>
            <w:highlight w:val="white"/>
            <w:u w:val="single"/>
            <w:lang w:val="it-IT"/>
          </w:rPr>
          <w:t>http://www.iranicaonline.org/articles/ebrahim-kalantar-sirazi</w:t>
        </w:r>
      </w:hyperlink>
      <w:r w:rsidRPr="00E1385D">
        <w:rPr>
          <w:color w:val="132430"/>
          <w:highlight w:val="white"/>
          <w:lang w:val="it-IT"/>
        </w:rPr>
        <w:t xml:space="preserve"> (accessed on 10 January 2018).</w:t>
      </w:r>
    </w:p>
  </w:endnote>
  <w:endnote w:id="31">
    <w:p w14:paraId="427559C7" w14:textId="7965B484" w:rsidR="00E52E1B" w:rsidRDefault="00E52E1B" w:rsidP="00344E9E">
      <w:pPr>
        <w:pStyle w:val="EndnoteText"/>
        <w:spacing w:line="480" w:lineRule="auto"/>
      </w:pPr>
      <w:r>
        <w:rPr>
          <w:vertAlign w:val="superscript"/>
        </w:rPr>
        <w:endnoteRef/>
      </w:r>
      <w:r w:rsidRPr="001B6239">
        <w:rPr>
          <w:lang w:val="it-IT"/>
        </w:rPr>
        <w:t xml:space="preserve"> Khavari Shirazi, </w:t>
      </w:r>
      <w:r>
        <w:rPr>
          <w:i/>
          <w:lang w:val="it-IT"/>
        </w:rPr>
        <w:t>Tarikh-i Zu</w:t>
      </w:r>
      <w:r w:rsidR="000C6870">
        <w:rPr>
          <w:i/>
          <w:lang w:val="it-IT"/>
        </w:rPr>
        <w:t xml:space="preserve"> a</w:t>
      </w:r>
      <w:r w:rsidRPr="001B6239">
        <w:rPr>
          <w:i/>
          <w:lang w:val="it-IT"/>
        </w:rPr>
        <w:t>l-Qarnayn</w:t>
      </w:r>
      <w:r w:rsidRPr="001B6239">
        <w:rPr>
          <w:lang w:val="it-IT"/>
        </w:rPr>
        <w:t xml:space="preserve">, </w:t>
      </w:r>
      <w:r>
        <w:rPr>
          <w:lang w:val="it-IT"/>
        </w:rPr>
        <w:t>1:</w:t>
      </w:r>
      <w:r>
        <w:t>243.</w:t>
      </w:r>
    </w:p>
  </w:endnote>
  <w:endnote w:id="32">
    <w:p w14:paraId="65E3FE41" w14:textId="77777777" w:rsidR="00E52E1B" w:rsidRDefault="00E52E1B" w:rsidP="00344E9E">
      <w:pPr>
        <w:pStyle w:val="EndnoteText"/>
        <w:spacing w:line="480" w:lineRule="auto"/>
      </w:pPr>
      <w:r>
        <w:rPr>
          <w:vertAlign w:val="superscript"/>
        </w:rPr>
        <w:endnoteRef/>
      </w:r>
      <w:r>
        <w:t xml:space="preserve"> For differences between the early Qajar and </w:t>
      </w:r>
      <w:r>
        <w:t xml:space="preserve">Safavid administration see Hambly, “Iran During the Reigns of Fath ‘Alī Shāh and Muhammad Shāh,” 157n21. </w:t>
      </w:r>
    </w:p>
  </w:endnote>
  <w:endnote w:id="33">
    <w:p w14:paraId="3F76BD2E" w14:textId="77777777" w:rsidR="00E52E1B" w:rsidRDefault="00E52E1B" w:rsidP="00344E9E">
      <w:pPr>
        <w:pStyle w:val="EndnoteText"/>
        <w:spacing w:line="480" w:lineRule="auto"/>
        <w:rPr>
          <w:highlight w:val="yellow"/>
        </w:rPr>
      </w:pPr>
      <w:r>
        <w:rPr>
          <w:vertAlign w:val="superscript"/>
        </w:rPr>
        <w:endnoteRef/>
      </w:r>
      <w:r>
        <w:t xml:space="preserve"> </w:t>
      </w:r>
      <w:r>
        <w:t xml:space="preserve">Vladimir Minorsky, </w:t>
      </w:r>
      <w:r>
        <w:rPr>
          <w:i/>
        </w:rPr>
        <w:t>Taẕkirat al-Mulūk: A Manual of Ṣafavid Administration</w:t>
      </w:r>
      <w:r>
        <w:t xml:space="preserve"> (London: Luzac, 1943): 115.</w:t>
      </w:r>
    </w:p>
  </w:endnote>
  <w:endnote w:id="34">
    <w:p w14:paraId="5941564E" w14:textId="0C76A5FE" w:rsidR="00E52E1B" w:rsidRDefault="00E52E1B" w:rsidP="00344E9E">
      <w:pPr>
        <w:pStyle w:val="EndnoteText"/>
        <w:spacing w:line="480" w:lineRule="auto"/>
        <w:rPr>
          <w:highlight w:val="yellow"/>
        </w:rPr>
      </w:pPr>
      <w:r>
        <w:rPr>
          <w:vertAlign w:val="superscript"/>
        </w:rPr>
        <w:endnoteRef/>
      </w:r>
      <w:r>
        <w:t xml:space="preserve"> C. </w:t>
      </w:r>
      <w:r>
        <w:t xml:space="preserve">Edmund Bosworth, “Dīvān ii. Government office,” </w:t>
      </w:r>
      <w:r>
        <w:rPr>
          <w:i/>
          <w:highlight w:val="white"/>
        </w:rPr>
        <w:t>Encyclopaedia Iranica</w:t>
      </w:r>
      <w:r>
        <w:rPr>
          <w:highlight w:val="white"/>
        </w:rPr>
        <w:t>, VII/4, pp. 432–</w:t>
      </w:r>
      <w:r w:rsidRPr="00262AB6">
        <w:rPr>
          <w:highlight w:val="white"/>
        </w:rPr>
        <w:t>438</w:t>
      </w:r>
      <w:r>
        <w:rPr>
          <w:highlight w:val="white"/>
        </w:rPr>
        <w:t xml:space="preserve">, available online at </w:t>
      </w:r>
      <w:hyperlink r:id="rId2" w:anchor="pt2" w:history="1">
        <w:r w:rsidRPr="00997A7E">
          <w:rPr>
            <w:rStyle w:val="Hyperlink"/>
          </w:rPr>
          <w:t>http://www.iranicaonline.org/articles/divan#pt2</w:t>
        </w:r>
      </w:hyperlink>
      <w:r>
        <w:t xml:space="preserve"> (accessed on 10 January 2018).</w:t>
      </w:r>
    </w:p>
  </w:endnote>
  <w:endnote w:id="35">
    <w:p w14:paraId="09482C21" w14:textId="77777777" w:rsidR="00E52E1B" w:rsidRDefault="00E52E1B" w:rsidP="00344E9E">
      <w:pPr>
        <w:pStyle w:val="EndnoteText"/>
        <w:spacing w:line="480" w:lineRule="auto"/>
      </w:pPr>
      <w:r>
        <w:rPr>
          <w:vertAlign w:val="superscript"/>
        </w:rPr>
        <w:endnoteRef/>
      </w:r>
      <w:r>
        <w:t xml:space="preserve"> Hambly, “Āghā Muḥammad Khān,” 114.</w:t>
      </w:r>
    </w:p>
  </w:endnote>
  <w:endnote w:id="36">
    <w:p w14:paraId="30D193D4" w14:textId="2BE2758E" w:rsidR="00E52E1B" w:rsidRDefault="00E52E1B" w:rsidP="00344E9E">
      <w:pPr>
        <w:pStyle w:val="EndnoteText"/>
        <w:spacing w:line="480" w:lineRule="auto"/>
        <w:rPr>
          <w:highlight w:val="yellow"/>
        </w:rPr>
      </w:pPr>
      <w:r>
        <w:rPr>
          <w:vertAlign w:val="superscript"/>
        </w:rPr>
        <w:endnoteRef/>
      </w:r>
      <w:r>
        <w:t xml:space="preserve"> See H.R. Roemer, “The Safavid Period,” in </w:t>
      </w:r>
      <w:r>
        <w:rPr>
          <w:i/>
        </w:rPr>
        <w:t>The Cambridge History of Iran</w:t>
      </w:r>
      <w:r>
        <w:t>, ed. Peter Jackson and Lawrence Lockhart, vol. 6 (Cambridge: Cambridge University Press, 1986): 330–331.</w:t>
      </w:r>
    </w:p>
  </w:endnote>
  <w:endnote w:id="37">
    <w:p w14:paraId="4237EDAB" w14:textId="2E141631" w:rsidR="00E52E1B" w:rsidRPr="008A2114" w:rsidRDefault="00E52E1B" w:rsidP="00344E9E">
      <w:pPr>
        <w:pStyle w:val="EndnoteText"/>
        <w:spacing w:line="480" w:lineRule="auto"/>
      </w:pPr>
      <w:r>
        <w:rPr>
          <w:rStyle w:val="EndnoteReference"/>
        </w:rPr>
        <w:endnoteRef/>
      </w:r>
      <w:r>
        <w:t xml:space="preserve"> </w:t>
      </w:r>
      <w:r>
        <w:t>Examples include Mirza Shafi</w:t>
      </w:r>
      <w:r>
        <w:rPr>
          <w:rFonts w:ascii="JaghbUni" w:hAnsi="JaghbUni"/>
        </w:rPr>
        <w:t>ʿ</w:t>
      </w:r>
      <w:r w:rsidRPr="008A2114">
        <w:t xml:space="preserve"> (Shiraz), Mirza Abu</w:t>
      </w:r>
      <w:r w:rsidR="00AE275B">
        <w:t xml:space="preserve"> a</w:t>
      </w:r>
      <w:r w:rsidRPr="008A2114">
        <w:t xml:space="preserve">l-Qasim </w:t>
      </w:r>
      <w:r w:rsidRPr="00E17EB6">
        <w:rPr>
          <w:rFonts w:ascii="JaghbUni" w:hAnsi="JaghbUni"/>
        </w:rPr>
        <w:t>Qa</w:t>
      </w:r>
      <w:r>
        <w:rPr>
          <w:rFonts w:ascii="JaghbUni" w:hAnsi="JaghbUni"/>
        </w:rPr>
        <w:t>ʾ</w:t>
      </w:r>
      <w:r w:rsidRPr="00E17EB6">
        <w:rPr>
          <w:rFonts w:ascii="JaghbUni" w:hAnsi="JaghbUni"/>
        </w:rPr>
        <w:t>im</w:t>
      </w:r>
      <w:r>
        <w:t>-Maqam</w:t>
      </w:r>
      <w:r w:rsidRPr="008A2114">
        <w:t xml:space="preserve"> (Tabriz), and Khavari Shirazi (Shiraz).</w:t>
      </w:r>
    </w:p>
  </w:endnote>
  <w:endnote w:id="38">
    <w:p w14:paraId="76A58B9D" w14:textId="4F70513E" w:rsidR="00E52E1B" w:rsidRDefault="00E52E1B" w:rsidP="00344E9E">
      <w:pPr>
        <w:pStyle w:val="EndnoteText"/>
        <w:spacing w:line="480" w:lineRule="auto"/>
      </w:pPr>
      <w:r>
        <w:rPr>
          <w:vertAlign w:val="superscript"/>
        </w:rPr>
        <w:endnoteRef/>
      </w:r>
      <w:r>
        <w:t xml:space="preserve"> </w:t>
      </w:r>
      <w:r>
        <w:t>See “Savad-i Faramin-i Salatin va Umara</w:t>
      </w:r>
      <w:r>
        <w:rPr>
          <w:rFonts w:ascii="JaghbUni" w:hAnsi="JaghbUni"/>
        </w:rPr>
        <w:t>ʾ</w:t>
      </w:r>
      <w:r w:rsidRPr="008A2114">
        <w:t xml:space="preserve">-yi </w:t>
      </w:r>
      <w:r>
        <w:t>Hukka</w:t>
      </w:r>
      <w:r w:rsidRPr="008A2114">
        <w:t xml:space="preserve">m,” n.d. MS. 331, Majlis Library, Tehran (hereafter Majlis MS. 331). </w:t>
      </w:r>
      <w:r>
        <w:t>For a discussion of this source, see Assef Ashraf, “From Khan to Shah: State, Society, and Forming the Ties that Made Qajar Iran,” (PhD diss., Yale University, 2016), 181–188.</w:t>
      </w:r>
    </w:p>
  </w:endnote>
  <w:endnote w:id="39">
    <w:p w14:paraId="57A4F832" w14:textId="77777777" w:rsidR="00E52E1B" w:rsidRDefault="00E52E1B" w:rsidP="00344E9E">
      <w:pPr>
        <w:pStyle w:val="EndnoteText"/>
        <w:spacing w:line="480" w:lineRule="auto"/>
        <w:rPr>
          <w:highlight w:val="yellow"/>
        </w:rPr>
      </w:pPr>
      <w:r>
        <w:rPr>
          <w:vertAlign w:val="superscript"/>
        </w:rPr>
        <w:endnoteRef/>
      </w:r>
      <w:r>
        <w:t xml:space="preserve"> On </w:t>
      </w:r>
      <w:r>
        <w:t xml:space="preserve">this point, see Amanat, </w:t>
      </w:r>
      <w:r>
        <w:rPr>
          <w:i/>
        </w:rPr>
        <w:t>Pivot of the Universe</w:t>
      </w:r>
      <w:r>
        <w:t>, 3.</w:t>
      </w:r>
    </w:p>
  </w:endnote>
  <w:endnote w:id="40">
    <w:p w14:paraId="6ED289C7" w14:textId="3CB1247B" w:rsidR="00E52E1B" w:rsidRDefault="00E52E1B" w:rsidP="00344E9E">
      <w:pPr>
        <w:pStyle w:val="EndnoteText"/>
        <w:spacing w:line="480" w:lineRule="auto"/>
      </w:pPr>
      <w:r>
        <w:rPr>
          <w:vertAlign w:val="superscript"/>
        </w:rPr>
        <w:endnoteRef/>
      </w:r>
      <w:r>
        <w:t xml:space="preserve"> “Statement of the Fixed Revenue of Persia, 1811,” 8 August 1811. IOR/L/PS/9/67 f. 6, The British Library. There is no mention of an author on the document, but the date suggests it may </w:t>
      </w:r>
      <w:r>
        <w:t xml:space="preserve">have been Gore Ouseley, the British envoy in Iran in 1811. It is unclear how the Qajar government’s financial information came into the hands of the British. </w:t>
      </w:r>
      <w:proofErr w:type="gramStart"/>
      <w:r>
        <w:t>Thus</w:t>
      </w:r>
      <w:proofErr w:type="gramEnd"/>
      <w:r>
        <w:t xml:space="preserve"> the figures in the statement should be read with caution. Nevertheless, the statement does illustrate that revenue was collected from at least Azerbaijan, Gilan, Mazandaran, Khurasan, Arak, Fars, and tribes like the Bakhtiyari and Khudabandihlu.</w:t>
      </w:r>
    </w:p>
  </w:endnote>
  <w:endnote w:id="41">
    <w:p w14:paraId="1DFC7B8D" w14:textId="60D14EA2" w:rsidR="00E52E1B" w:rsidRDefault="00E52E1B" w:rsidP="00344E9E">
      <w:pPr>
        <w:pStyle w:val="EndnoteText"/>
        <w:spacing w:line="480" w:lineRule="auto"/>
      </w:pPr>
      <w:r>
        <w:rPr>
          <w:vertAlign w:val="superscript"/>
        </w:rPr>
        <w:endnoteRef/>
      </w:r>
      <w:r>
        <w:t xml:space="preserve"> </w:t>
      </w:r>
      <w:r>
        <w:t xml:space="preserve">One </w:t>
      </w:r>
      <w:r>
        <w:rPr>
          <w:i/>
        </w:rPr>
        <w:t xml:space="preserve">tūmān </w:t>
      </w:r>
      <w:r>
        <w:t xml:space="preserve">was worth roughly half a pound sterling at this point. For a discussion of the </w:t>
      </w:r>
      <w:r>
        <w:rPr>
          <w:i/>
        </w:rPr>
        <w:t>tūmān</w:t>
      </w:r>
      <w:r>
        <w:t xml:space="preserve">’s value in the 19th century, see Issawi, </w:t>
      </w:r>
      <w:r>
        <w:rPr>
          <w:i/>
        </w:rPr>
        <w:t xml:space="preserve">Economic History of Iran, </w:t>
      </w:r>
      <w:r>
        <w:t>343.</w:t>
      </w:r>
    </w:p>
  </w:endnote>
  <w:endnote w:id="42">
    <w:p w14:paraId="7A1C8532" w14:textId="77777777" w:rsidR="00E52E1B" w:rsidRDefault="00E52E1B" w:rsidP="00344E9E">
      <w:pPr>
        <w:pStyle w:val="EndnoteText"/>
        <w:spacing w:line="480" w:lineRule="auto"/>
      </w:pPr>
      <w:r>
        <w:rPr>
          <w:vertAlign w:val="superscript"/>
        </w:rPr>
        <w:endnoteRef/>
      </w:r>
      <w:r>
        <w:t xml:space="preserve"> Ibid., 13.</w:t>
      </w:r>
    </w:p>
  </w:endnote>
  <w:endnote w:id="43">
    <w:p w14:paraId="4C904910" w14:textId="72D4D561" w:rsidR="00E52E1B" w:rsidRPr="006E7E16" w:rsidRDefault="00E52E1B" w:rsidP="00AD6BC2">
      <w:pPr>
        <w:pStyle w:val="EndnoteText"/>
        <w:spacing w:line="480" w:lineRule="auto"/>
      </w:pPr>
      <w:r>
        <w:rPr>
          <w:rStyle w:val="EndnoteReference"/>
        </w:rPr>
        <w:endnoteRef/>
      </w:r>
      <w:r>
        <w:t xml:space="preserve"> There is a long tradition in Islamic history of family lineage playing a role in determining who is appointed to administrative posts. For examples from early </w:t>
      </w:r>
      <w:r>
        <w:t xml:space="preserve">Islamic history, see Mottahedeh, </w:t>
      </w:r>
      <w:r>
        <w:rPr>
          <w:i/>
          <w:iCs/>
        </w:rPr>
        <w:t>Loyalty and Leadership</w:t>
      </w:r>
      <w:r>
        <w:t>, 98–104.</w:t>
      </w:r>
    </w:p>
  </w:endnote>
  <w:endnote w:id="44">
    <w:p w14:paraId="6FA665D0" w14:textId="19C8255A" w:rsidR="00E52E1B" w:rsidRPr="00093FD1" w:rsidRDefault="00E52E1B" w:rsidP="00344E9E">
      <w:pPr>
        <w:spacing w:line="480" w:lineRule="auto"/>
        <w:rPr>
          <w:iCs/>
        </w:rPr>
      </w:pPr>
      <w:r>
        <w:rPr>
          <w:rStyle w:val="EndnoteReference"/>
        </w:rPr>
        <w:endnoteRef/>
      </w:r>
      <w:r>
        <w:t xml:space="preserve"> </w:t>
      </w:r>
      <w:r>
        <w:t xml:space="preserve">For an early-Qajar </w:t>
      </w:r>
      <w:r w:rsidRPr="00195034">
        <w:rPr>
          <w:i/>
        </w:rPr>
        <w:t>taẕkirih</w:t>
      </w:r>
      <w:r>
        <w:rPr>
          <w:i/>
        </w:rPr>
        <w:t xml:space="preserve"> </w:t>
      </w:r>
      <w:r>
        <w:rPr>
          <w:iCs/>
        </w:rPr>
        <w:t>of women poets, see</w:t>
      </w:r>
      <w:r w:rsidRPr="00195034">
        <w:t xml:space="preserve"> </w:t>
      </w:r>
      <w:r>
        <w:t xml:space="preserve">Mahmud Mirza Qajar, </w:t>
      </w:r>
      <w:r w:rsidRPr="00195034">
        <w:rPr>
          <w:i/>
          <w:iCs/>
        </w:rPr>
        <w:t>Ta</w:t>
      </w:r>
      <w:r>
        <w:rPr>
          <w:i/>
          <w:iCs/>
        </w:rPr>
        <w:t>zkiri</w:t>
      </w:r>
      <w:r w:rsidRPr="00195034">
        <w:rPr>
          <w:i/>
          <w:iCs/>
        </w:rPr>
        <w:t>h-yi Nuql-i Majlis</w:t>
      </w:r>
      <w:r>
        <w:t>, eds.</w:t>
      </w:r>
      <w:r w:rsidRPr="00195034">
        <w:t xml:space="preserve"> Muha</w:t>
      </w:r>
      <w:r>
        <w:t>mmad Nasiri and Nadirih Jalali (</w:t>
      </w:r>
      <w:r w:rsidRPr="00195034">
        <w:t>Tehran: M</w:t>
      </w:r>
      <w:r>
        <w:t>iras-i Maktu</w:t>
      </w:r>
      <w:r w:rsidRPr="00195034">
        <w:t>b, 2006</w:t>
      </w:r>
      <w:r>
        <w:t>)</w:t>
      </w:r>
      <w:r w:rsidRPr="00195034">
        <w:t>.</w:t>
      </w:r>
      <w:r>
        <w:t xml:space="preserve"> See also Dominic Parviz Brookshaw, “</w:t>
      </w:r>
      <w:r w:rsidRPr="00195034">
        <w:t>Women in Praise of Women: Female Poets a</w:t>
      </w:r>
      <w:r>
        <w:t>nd Female Patrons in Qajar Iran,</w:t>
      </w:r>
      <w:r w:rsidRPr="00195034">
        <w:t xml:space="preserve">” </w:t>
      </w:r>
      <w:r w:rsidRPr="00195034">
        <w:rPr>
          <w:i/>
          <w:iCs/>
        </w:rPr>
        <w:t>Iranian Studies</w:t>
      </w:r>
      <w:r>
        <w:t xml:space="preserve"> 46, no. 1 (2013): 17–48; Dominic Brookshaw, “</w:t>
      </w:r>
      <w:r w:rsidRPr="005641E2">
        <w:t>Qajar Confection: The Produc</w:t>
      </w:r>
      <w:r>
        <w:t>tion and Dissemination of Women’</w:t>
      </w:r>
      <w:r w:rsidRPr="005641E2">
        <w:t>s Poetry in Early Nineteenth-century Iran</w:t>
      </w:r>
      <w:r>
        <w:t xml:space="preserve">,” </w:t>
      </w:r>
      <w:r>
        <w:rPr>
          <w:i/>
          <w:iCs/>
        </w:rPr>
        <w:t>Middle Eastern Literatures</w:t>
      </w:r>
      <w:r>
        <w:t xml:space="preserve"> 17, no. 2 (October 2014): 113–</w:t>
      </w:r>
      <w:r w:rsidRPr="005641E2">
        <w:t>146</w:t>
      </w:r>
      <w:r>
        <w:t xml:space="preserve">, 115–16. On early-Qajar </w:t>
      </w:r>
      <w:r w:rsidRPr="00195034">
        <w:rPr>
          <w:i/>
        </w:rPr>
        <w:t>taẕkirih</w:t>
      </w:r>
      <w:r>
        <w:rPr>
          <w:iCs/>
        </w:rPr>
        <w:t xml:space="preserve">s, see </w:t>
      </w:r>
      <w:r>
        <w:rPr>
          <w:rFonts w:ascii="Times New Roman" w:eastAsia="Times New Roman" w:hAnsi="Times New Roman" w:cs="Times New Roman"/>
          <w:color w:val="auto"/>
          <w:szCs w:val="24"/>
        </w:rPr>
        <w:t>Anna Vanzan, “Adabiyan va Ijtima</w:t>
      </w:r>
      <w:r>
        <w:rPr>
          <w:rFonts w:ascii="JaghbUni" w:hAnsi="JaghbUni"/>
        </w:rPr>
        <w:t>ʿ</w:t>
      </w:r>
      <w:r>
        <w:rPr>
          <w:rFonts w:ascii="Times New Roman" w:eastAsia="Times New Roman" w:hAnsi="Times New Roman" w:cs="Times New Roman"/>
          <w:color w:val="auto"/>
          <w:szCs w:val="24"/>
        </w:rPr>
        <w:t xml:space="preserve"> dar Dawran-i Zand va Ava</w:t>
      </w:r>
      <w:r>
        <w:rPr>
          <w:rFonts w:ascii="JaghbUni" w:eastAsia="Times New Roman" w:hAnsi="JaghbUni" w:cs="Times New Roman"/>
          <w:color w:val="auto"/>
          <w:szCs w:val="24"/>
        </w:rPr>
        <w:t>ʾ</w:t>
      </w:r>
      <w:r>
        <w:rPr>
          <w:rFonts w:ascii="Times New Roman" w:eastAsia="Times New Roman" w:hAnsi="Times New Roman" w:cs="Times New Roman"/>
          <w:color w:val="auto"/>
          <w:szCs w:val="24"/>
        </w:rPr>
        <w:t>il-i Qajar bar Asa</w:t>
      </w:r>
      <w:r w:rsidRPr="00F32CA6">
        <w:rPr>
          <w:rFonts w:ascii="Times New Roman" w:eastAsia="Times New Roman" w:hAnsi="Times New Roman" w:cs="Times New Roman"/>
          <w:color w:val="auto"/>
          <w:szCs w:val="24"/>
        </w:rPr>
        <w:t xml:space="preserve">s-i </w:t>
      </w:r>
      <w:r>
        <w:rPr>
          <w:rFonts w:ascii="Times New Roman" w:eastAsia="Times New Roman" w:hAnsi="Times New Roman" w:cs="Times New Roman"/>
          <w:i/>
          <w:iCs/>
          <w:color w:val="auto"/>
          <w:szCs w:val="24"/>
        </w:rPr>
        <w:t>Tazkiri</w:t>
      </w:r>
      <w:r w:rsidRPr="00F32CA6">
        <w:rPr>
          <w:rFonts w:ascii="Times New Roman" w:eastAsia="Times New Roman" w:hAnsi="Times New Roman" w:cs="Times New Roman"/>
          <w:i/>
          <w:iCs/>
          <w:color w:val="auto"/>
          <w:szCs w:val="24"/>
        </w:rPr>
        <w:t>h-y</w:t>
      </w:r>
      <w:r>
        <w:rPr>
          <w:rFonts w:ascii="Times New Roman" w:eastAsia="Times New Roman" w:hAnsi="Times New Roman" w:cs="Times New Roman"/>
          <w:i/>
          <w:iCs/>
          <w:color w:val="auto"/>
          <w:szCs w:val="24"/>
        </w:rPr>
        <w:t>i Jahan-a</w:t>
      </w:r>
      <w:r w:rsidRPr="00F32CA6">
        <w:rPr>
          <w:rFonts w:ascii="Times New Roman" w:eastAsia="Times New Roman" w:hAnsi="Times New Roman" w:cs="Times New Roman"/>
          <w:i/>
          <w:iCs/>
          <w:color w:val="auto"/>
          <w:szCs w:val="24"/>
        </w:rPr>
        <w:t>r</w:t>
      </w:r>
      <w:r>
        <w:rPr>
          <w:rFonts w:ascii="Times New Roman" w:eastAsia="Times New Roman" w:hAnsi="Times New Roman" w:cs="Times New Roman"/>
          <w:i/>
          <w:iCs/>
          <w:color w:val="auto"/>
          <w:szCs w:val="24"/>
        </w:rPr>
        <w:t>a</w:t>
      </w:r>
      <w:r w:rsidRPr="00F32CA6">
        <w:rPr>
          <w:rFonts w:ascii="Times New Roman" w:eastAsia="Times New Roman" w:hAnsi="Times New Roman" w:cs="Times New Roman"/>
          <w:color w:val="auto"/>
          <w:szCs w:val="24"/>
        </w:rPr>
        <w:t xml:space="preserve">,” </w:t>
      </w:r>
      <w:r>
        <w:rPr>
          <w:rFonts w:ascii="Times New Roman" w:eastAsia="Times New Roman" w:hAnsi="Times New Roman" w:cs="Times New Roman"/>
          <w:i/>
          <w:iCs/>
          <w:color w:val="auto"/>
          <w:szCs w:val="24"/>
        </w:rPr>
        <w:t>Ira</w:t>
      </w:r>
      <w:r w:rsidRPr="00F32CA6">
        <w:rPr>
          <w:rFonts w:ascii="Times New Roman" w:eastAsia="Times New Roman" w:hAnsi="Times New Roman" w:cs="Times New Roman"/>
          <w:i/>
          <w:iCs/>
          <w:color w:val="auto"/>
          <w:szCs w:val="24"/>
        </w:rPr>
        <w:t>nsh</w:t>
      </w:r>
      <w:r>
        <w:rPr>
          <w:rFonts w:ascii="Times New Roman" w:eastAsia="Times New Roman" w:hAnsi="Times New Roman" w:cs="Times New Roman"/>
          <w:i/>
          <w:iCs/>
          <w:color w:val="auto"/>
          <w:szCs w:val="24"/>
        </w:rPr>
        <w:t>ena</w:t>
      </w:r>
      <w:r w:rsidRPr="00F32CA6">
        <w:rPr>
          <w:rFonts w:ascii="Times New Roman" w:eastAsia="Times New Roman" w:hAnsi="Times New Roman" w:cs="Times New Roman"/>
          <w:i/>
          <w:iCs/>
          <w:color w:val="auto"/>
          <w:szCs w:val="24"/>
        </w:rPr>
        <w:t>s</w:t>
      </w:r>
      <w:r>
        <w:rPr>
          <w:rFonts w:ascii="Times New Roman" w:eastAsia="Times New Roman" w:hAnsi="Times New Roman" w:cs="Times New Roman"/>
          <w:i/>
          <w:iCs/>
          <w:color w:val="auto"/>
          <w:szCs w:val="24"/>
        </w:rPr>
        <w:t>i</w:t>
      </w:r>
      <w:r>
        <w:rPr>
          <w:rFonts w:ascii="Times New Roman" w:eastAsia="Times New Roman" w:hAnsi="Times New Roman" w:cs="Times New Roman"/>
          <w:color w:val="auto"/>
          <w:szCs w:val="24"/>
        </w:rPr>
        <w:t xml:space="preserve"> 9, no. 3 (Autumn 1997): 37–52; </w:t>
      </w:r>
      <w:r w:rsidRPr="00934298">
        <w:rPr>
          <w:rFonts w:ascii="Times New Roman" w:eastAsia="Times New Roman" w:hAnsi="Times New Roman" w:cs="Times New Roman"/>
          <w:color w:val="auto"/>
          <w:szCs w:val="24"/>
        </w:rPr>
        <w:t>Naofumi Abe, “The Politics of Poetics in Early Qajar Iran: Writing Royal</w:t>
      </w:r>
      <w:r>
        <w:rPr>
          <w:rFonts w:ascii="Times New Roman" w:eastAsia="Times New Roman" w:hAnsi="Times New Roman" w:cs="Times New Roman"/>
          <w:color w:val="auto"/>
          <w:szCs w:val="24"/>
        </w:rPr>
        <w:t>-Commissioned Tazkeras at Fath-</w:t>
      </w:r>
      <w:r>
        <w:rPr>
          <w:rFonts w:ascii="JaghbUni" w:hAnsi="JaghbUni"/>
        </w:rPr>
        <w:t>ʿ</w:t>
      </w:r>
      <w:r w:rsidRPr="00934298">
        <w:rPr>
          <w:rFonts w:ascii="Times New Roman" w:eastAsia="Times New Roman" w:hAnsi="Times New Roman" w:cs="Times New Roman"/>
          <w:color w:val="auto"/>
          <w:szCs w:val="24"/>
        </w:rPr>
        <w:t xml:space="preserve">Ali Shāh’s Court,” </w:t>
      </w:r>
      <w:r w:rsidRPr="00934298">
        <w:rPr>
          <w:rFonts w:ascii="Times New Roman" w:eastAsia="Times New Roman" w:hAnsi="Times New Roman" w:cs="Times New Roman"/>
          <w:i/>
          <w:iCs/>
          <w:color w:val="auto"/>
          <w:szCs w:val="24"/>
        </w:rPr>
        <w:t>Journal of Persianate Studies</w:t>
      </w:r>
      <w:r w:rsidRPr="00934298">
        <w:rPr>
          <w:rFonts w:ascii="Times New Roman" w:eastAsia="Times New Roman" w:hAnsi="Times New Roman" w:cs="Times New Roman"/>
          <w:color w:val="auto"/>
          <w:szCs w:val="24"/>
        </w:rPr>
        <w:t xml:space="preserve"> 10, no. 2 (2017): 129–57.</w:t>
      </w:r>
    </w:p>
  </w:endnote>
  <w:endnote w:id="45">
    <w:p w14:paraId="5D9CD38C" w14:textId="35013D9B" w:rsidR="00E52E1B" w:rsidRDefault="00E52E1B" w:rsidP="00344E9E">
      <w:pPr>
        <w:pStyle w:val="EndnoteText"/>
        <w:spacing w:line="480" w:lineRule="auto"/>
      </w:pPr>
      <w:r>
        <w:rPr>
          <w:vertAlign w:val="superscript"/>
        </w:rPr>
        <w:endnoteRef/>
      </w:r>
      <w:r>
        <w:t xml:space="preserve"> </w:t>
      </w:r>
      <w:r>
        <w:t xml:space="preserve">See for example, Dunbuli Maftun, </w:t>
      </w:r>
      <w:r>
        <w:rPr>
          <w:i/>
        </w:rPr>
        <w:t>Tazkirih-yi Nigaristan-i Dara</w:t>
      </w:r>
      <w:r>
        <w:t>, 78.</w:t>
      </w:r>
    </w:p>
  </w:endnote>
  <w:endnote w:id="46">
    <w:p w14:paraId="646C8CC8" w14:textId="454C9E98" w:rsidR="00E52E1B" w:rsidRDefault="00E52E1B" w:rsidP="0064531C">
      <w:pPr>
        <w:pStyle w:val="EndnoteText"/>
        <w:spacing w:line="480" w:lineRule="auto"/>
      </w:pPr>
      <w:r>
        <w:rPr>
          <w:vertAlign w:val="superscript"/>
        </w:rPr>
        <w:endnoteRef/>
      </w:r>
      <w:r>
        <w:t xml:space="preserve"> Ibid., 145.</w:t>
      </w:r>
    </w:p>
  </w:endnote>
  <w:endnote w:id="47">
    <w:p w14:paraId="3361B637" w14:textId="1FBB3387" w:rsidR="00E52E1B" w:rsidRPr="00456C0D" w:rsidRDefault="00E52E1B" w:rsidP="00344E9E">
      <w:pPr>
        <w:pStyle w:val="EndnoteText"/>
        <w:spacing w:line="480" w:lineRule="auto"/>
      </w:pPr>
      <w:r>
        <w:rPr>
          <w:vertAlign w:val="superscript"/>
        </w:rPr>
        <w:endnoteRef/>
      </w:r>
      <w:r>
        <w:t xml:space="preserve"> </w:t>
      </w:r>
      <w:r>
        <w:t>For instance, I</w:t>
      </w:r>
      <w:r>
        <w:rPr>
          <w:rFonts w:ascii="JaghbUni" w:hAnsi="JaghbUni"/>
        </w:rPr>
        <w:t>ʿ</w:t>
      </w:r>
      <w:r>
        <w:t xml:space="preserve">timad al-Saltanih writes that Mirza Agha Khan Nuri’s ancestors were descended from Imam </w:t>
      </w:r>
      <w:r>
        <w:rPr>
          <w:rFonts w:ascii="JaghbUni" w:hAnsi="JaghbUni"/>
        </w:rPr>
        <w:t>ʿ</w:t>
      </w:r>
      <w:r>
        <w:t xml:space="preserve">Ali’s </w:t>
      </w:r>
      <w:proofErr w:type="gramStart"/>
      <w:r>
        <w:t>family, and</w:t>
      </w:r>
      <w:proofErr w:type="gramEnd"/>
      <w:r>
        <w:t xml:space="preserve"> were “venerable and respected” (</w:t>
      </w:r>
      <w:r>
        <w:rPr>
          <w:i/>
        </w:rPr>
        <w:t>mukarram va muḥtaram</w:t>
      </w:r>
      <w:r>
        <w:t>) during the Safavid, Afsharid, and Zand periods. I</w:t>
      </w:r>
      <w:r>
        <w:rPr>
          <w:rFonts w:ascii="JaghbUni" w:hAnsi="JaghbUni"/>
        </w:rPr>
        <w:t>ʿ</w:t>
      </w:r>
      <w:r w:rsidRPr="00456C0D">
        <w:t xml:space="preserve">timad al-Saltanih, </w:t>
      </w:r>
      <w:r>
        <w:rPr>
          <w:i/>
        </w:rPr>
        <w:t>Sadr al-Tavari</w:t>
      </w:r>
      <w:r w:rsidRPr="00456C0D">
        <w:rPr>
          <w:i/>
        </w:rPr>
        <w:t>kh</w:t>
      </w:r>
      <w:r w:rsidRPr="00456C0D">
        <w:t>, 233.</w:t>
      </w:r>
    </w:p>
  </w:endnote>
  <w:endnote w:id="48">
    <w:p w14:paraId="1FE263CA" w14:textId="55C514BB" w:rsidR="00E52E1B" w:rsidRDefault="00E52E1B" w:rsidP="00344E9E">
      <w:pPr>
        <w:pStyle w:val="EndnoteText"/>
        <w:spacing w:line="480" w:lineRule="auto"/>
      </w:pPr>
      <w:r>
        <w:rPr>
          <w:rStyle w:val="EndnoteReference"/>
        </w:rPr>
        <w:endnoteRef/>
      </w:r>
      <w:r>
        <w:t xml:space="preserve"> </w:t>
      </w:r>
      <w:r>
        <w:t xml:space="preserve">See Amanat, </w:t>
      </w:r>
      <w:r w:rsidRPr="0071339B">
        <w:rPr>
          <w:i/>
          <w:iCs/>
        </w:rPr>
        <w:t>Pivot of the Universe</w:t>
      </w:r>
      <w:r>
        <w:t>, 7–13.</w:t>
      </w:r>
    </w:p>
  </w:endnote>
  <w:endnote w:id="49">
    <w:p w14:paraId="0C0E12C9" w14:textId="4702041F" w:rsidR="00E52E1B" w:rsidRDefault="00E52E1B" w:rsidP="00344E9E">
      <w:pPr>
        <w:pStyle w:val="EndnoteText"/>
        <w:spacing w:line="480" w:lineRule="auto"/>
      </w:pPr>
      <w:r>
        <w:rPr>
          <w:vertAlign w:val="superscript"/>
        </w:rPr>
        <w:endnoteRef/>
      </w:r>
      <w:r>
        <w:t xml:space="preserve"> Amanat, “Ebrāhīm Kalāntar Šīrāzī.”</w:t>
      </w:r>
    </w:p>
  </w:endnote>
  <w:endnote w:id="50">
    <w:p w14:paraId="12F367D0" w14:textId="48F32220" w:rsidR="00E52E1B" w:rsidRDefault="00E52E1B" w:rsidP="00344E9E">
      <w:pPr>
        <w:pStyle w:val="EndnoteText"/>
        <w:spacing w:line="480" w:lineRule="auto"/>
      </w:pPr>
      <w:r>
        <w:rPr>
          <w:vertAlign w:val="superscript"/>
        </w:rPr>
        <w:endnoteRef/>
      </w:r>
      <w:r>
        <w:t xml:space="preserve"> For </w:t>
      </w:r>
      <w:r>
        <w:t>an account of I</w:t>
      </w:r>
      <w:r>
        <w:rPr>
          <w:rFonts w:ascii="JaghbUni" w:hAnsi="JaghbUni"/>
        </w:rPr>
        <w:t>ʿ</w:t>
      </w:r>
      <w:r>
        <w:t>timad al-Dawlih’s execution, see I</w:t>
      </w:r>
      <w:r>
        <w:rPr>
          <w:rFonts w:ascii="JaghbUni" w:hAnsi="JaghbUni"/>
        </w:rPr>
        <w:t>ʿ</w:t>
      </w:r>
      <w:r>
        <w:t xml:space="preserve">timad al-Saltanih, </w:t>
      </w:r>
      <w:r>
        <w:rPr>
          <w:i/>
        </w:rPr>
        <w:t>Sadr al-Tavarikh</w:t>
      </w:r>
      <w:r>
        <w:t>, 18–20.</w:t>
      </w:r>
    </w:p>
  </w:endnote>
  <w:endnote w:id="51">
    <w:p w14:paraId="1EE25248" w14:textId="63A379FE" w:rsidR="00E52E1B" w:rsidRDefault="00E52E1B" w:rsidP="00344E9E">
      <w:pPr>
        <w:pStyle w:val="EndnoteText"/>
        <w:spacing w:line="480" w:lineRule="auto"/>
      </w:pPr>
      <w:r>
        <w:rPr>
          <w:vertAlign w:val="superscript"/>
        </w:rPr>
        <w:endnoteRef/>
      </w:r>
      <w:r>
        <w:t xml:space="preserve"> Ibid., 15–21.</w:t>
      </w:r>
    </w:p>
  </w:endnote>
  <w:endnote w:id="52">
    <w:p w14:paraId="6B7B6514" w14:textId="77777777" w:rsidR="00E52E1B" w:rsidRDefault="00E52E1B" w:rsidP="00344E9E">
      <w:pPr>
        <w:pStyle w:val="EndnoteText"/>
        <w:spacing w:line="480" w:lineRule="auto"/>
      </w:pPr>
      <w:r>
        <w:rPr>
          <w:vertAlign w:val="superscript"/>
        </w:rPr>
        <w:endnoteRef/>
      </w:r>
      <w:r>
        <w:t xml:space="preserve"> Ibid., 45.</w:t>
      </w:r>
    </w:p>
  </w:endnote>
  <w:endnote w:id="53">
    <w:p w14:paraId="77E190B2" w14:textId="77777777" w:rsidR="00E52E1B" w:rsidRDefault="00E52E1B" w:rsidP="00344E9E">
      <w:pPr>
        <w:pStyle w:val="EndnoteText"/>
        <w:spacing w:line="480" w:lineRule="auto"/>
        <w:rPr>
          <w:highlight w:val="yellow"/>
        </w:rPr>
      </w:pPr>
      <w:r>
        <w:rPr>
          <w:vertAlign w:val="superscript"/>
        </w:rPr>
        <w:endnoteRef/>
      </w:r>
      <w:r>
        <w:t xml:space="preserve"> Ibid., 69.</w:t>
      </w:r>
    </w:p>
  </w:endnote>
  <w:endnote w:id="54">
    <w:p w14:paraId="723C3165" w14:textId="668DCA15" w:rsidR="00E52E1B" w:rsidRDefault="00E52E1B" w:rsidP="00344E9E">
      <w:pPr>
        <w:pStyle w:val="EndnoteText"/>
        <w:spacing w:line="480" w:lineRule="auto"/>
      </w:pPr>
      <w:r>
        <w:rPr>
          <w:vertAlign w:val="superscript"/>
        </w:rPr>
        <w:endnoteRef/>
      </w:r>
      <w:r>
        <w:t xml:space="preserve"> I</w:t>
      </w:r>
      <w:r>
        <w:rPr>
          <w:rFonts w:ascii="JaghbUni" w:hAnsi="JaghbUni"/>
        </w:rPr>
        <w:t>ʿ</w:t>
      </w:r>
      <w:r>
        <w:t xml:space="preserve">tizad al-Saltanih, </w:t>
      </w:r>
      <w:r>
        <w:rPr>
          <w:i/>
        </w:rPr>
        <w:t>Iksir al-Tavarikh</w:t>
      </w:r>
      <w:r>
        <w:t xml:space="preserve">, 247; Dunbuli Maftun, </w:t>
      </w:r>
      <w:r>
        <w:rPr>
          <w:i/>
        </w:rPr>
        <w:t>Tazkirih-yi Nigaristan-i Dara</w:t>
      </w:r>
      <w:r>
        <w:t xml:space="preserve">, 63–64. On </w:t>
      </w:r>
      <w:r>
        <w:rPr>
          <w:i/>
        </w:rPr>
        <w:t>Zinat al-Tavarikh</w:t>
      </w:r>
      <w:r>
        <w:t xml:space="preserve">, see Storey, </w:t>
      </w:r>
      <w:r>
        <w:rPr>
          <w:i/>
        </w:rPr>
        <w:t>Persian Literature</w:t>
      </w:r>
      <w:r>
        <w:t xml:space="preserve">, 1:147. </w:t>
      </w:r>
    </w:p>
  </w:endnote>
  <w:endnote w:id="55">
    <w:p w14:paraId="0A3FE1BC" w14:textId="1AB061C9" w:rsidR="00E52E1B" w:rsidRDefault="00E52E1B" w:rsidP="00344E9E">
      <w:pPr>
        <w:pStyle w:val="EndnoteText"/>
        <w:spacing w:line="480" w:lineRule="auto"/>
      </w:pPr>
      <w:r>
        <w:rPr>
          <w:vertAlign w:val="superscript"/>
        </w:rPr>
        <w:endnoteRef/>
      </w:r>
      <w:r>
        <w:t xml:space="preserve"> Another early-Qajar minister whose family held administrative roles back to the Safavid </w:t>
      </w:r>
      <w:r>
        <w:t xml:space="preserve">era was the </w:t>
      </w:r>
      <w:r>
        <w:rPr>
          <w:i/>
        </w:rPr>
        <w:t>mu</w:t>
      </w:r>
      <w:r>
        <w:rPr>
          <w:rFonts w:ascii="JaghbUni" w:hAnsi="JaghbUni"/>
          <w:i/>
          <w:iCs/>
        </w:rPr>
        <w:t>ʿ</w:t>
      </w:r>
      <w:r>
        <w:rPr>
          <w:i/>
        </w:rPr>
        <w:t>ayyir al-mamalik</w:t>
      </w:r>
      <w:r>
        <w:t xml:space="preserve"> (mint-master). Dust </w:t>
      </w:r>
      <w:r>
        <w:rPr>
          <w:rFonts w:ascii="JaghbUni" w:hAnsi="JaghbUni"/>
        </w:rPr>
        <w:t>ʿ</w:t>
      </w:r>
      <w:r>
        <w:t>Ali Khan Mu</w:t>
      </w:r>
      <w:r>
        <w:rPr>
          <w:rFonts w:ascii="JaghbUni" w:hAnsi="JaghbUni"/>
        </w:rPr>
        <w:t>ʿ</w:t>
      </w:r>
      <w:r>
        <w:t>ayyir al-Mamalik writes that his ancestors served as mint-masters since “the middle of the Safavid period” (</w:t>
      </w:r>
      <w:r>
        <w:rPr>
          <w:i/>
        </w:rPr>
        <w:t>avāsiṭ-i dawrān-i Ṣafaviyyih</w:t>
      </w:r>
      <w:r>
        <w:t xml:space="preserve">), when they were known as </w:t>
      </w:r>
      <w:r w:rsidRPr="00164D25">
        <w:rPr>
          <w:rFonts w:ascii="JaghbUni" w:hAnsi="JaghbUni"/>
          <w:i/>
          <w:iCs/>
        </w:rPr>
        <w:t>mu</w:t>
      </w:r>
      <w:r>
        <w:rPr>
          <w:rFonts w:ascii="JaghbUni" w:hAnsi="JaghbUni"/>
          <w:i/>
          <w:iCs/>
        </w:rPr>
        <w:t>ʿ</w:t>
      </w:r>
      <w:r w:rsidRPr="00164D25">
        <w:rPr>
          <w:rFonts w:ascii="JaghbUni" w:hAnsi="JaghbUni"/>
          <w:i/>
          <w:iCs/>
        </w:rPr>
        <w:t>ayyir</w:t>
      </w:r>
      <w:r>
        <w:rPr>
          <w:i/>
        </w:rPr>
        <w:t>-bāshī</w:t>
      </w:r>
      <w:r>
        <w:t>. Mu</w:t>
      </w:r>
      <w:r>
        <w:rPr>
          <w:rFonts w:ascii="JaghbUni" w:hAnsi="JaghbUni"/>
        </w:rPr>
        <w:t>ʿ</w:t>
      </w:r>
      <w:r>
        <w:t xml:space="preserve">ayyir al-Mamalik, </w:t>
      </w:r>
      <w:r>
        <w:rPr>
          <w:i/>
        </w:rPr>
        <w:t xml:space="preserve">Rijal-i </w:t>
      </w:r>
      <w:r>
        <w:rPr>
          <w:rFonts w:ascii="JaghbUni" w:hAnsi="JaghbUni"/>
          <w:i/>
          <w:iCs/>
        </w:rPr>
        <w:t>ʿ</w:t>
      </w:r>
      <w:r>
        <w:rPr>
          <w:i/>
        </w:rPr>
        <w:t>Asr-i Nasiri</w:t>
      </w:r>
      <w:r>
        <w:t>, 27.</w:t>
      </w:r>
    </w:p>
  </w:endnote>
  <w:endnote w:id="56">
    <w:p w14:paraId="4FC3AE74" w14:textId="5A9C7495" w:rsidR="00E52E1B" w:rsidRDefault="00E52E1B" w:rsidP="00344E9E">
      <w:pPr>
        <w:pStyle w:val="EndnoteText"/>
        <w:spacing w:line="480" w:lineRule="auto"/>
      </w:pPr>
      <w:r>
        <w:rPr>
          <w:vertAlign w:val="superscript"/>
        </w:rPr>
        <w:endnoteRef/>
      </w:r>
      <w:r>
        <w:t xml:space="preserve"> Farinaz Mutashar</w:t>
      </w:r>
      <w:r>
        <w:rPr>
          <w:rFonts w:ascii="JaghbUni" w:hAnsi="JaghbUni"/>
        </w:rPr>
        <w:t>ʿ</w:t>
      </w:r>
      <w:r>
        <w:t xml:space="preserve">i, “Nasabnama-yi </w:t>
      </w:r>
      <w:r w:rsidRPr="003B2FBB">
        <w:rPr>
          <w:rFonts w:ascii="JaghbUni" w:hAnsi="JaghbUni"/>
        </w:rPr>
        <w:t>Qa</w:t>
      </w:r>
      <w:r>
        <w:rPr>
          <w:rFonts w:ascii="JaghbUni" w:hAnsi="JaghbUni"/>
        </w:rPr>
        <w:t>ʾ</w:t>
      </w:r>
      <w:r w:rsidRPr="003B2FBB">
        <w:rPr>
          <w:rFonts w:ascii="JaghbUni" w:hAnsi="JaghbUni"/>
        </w:rPr>
        <w:t>im</w:t>
      </w:r>
      <w:r>
        <w:t xml:space="preserve">-Maqam,” </w:t>
      </w:r>
      <w:r>
        <w:rPr>
          <w:i/>
        </w:rPr>
        <w:t>Payam-i Baharistan</w:t>
      </w:r>
      <w:r>
        <w:t xml:space="preserve"> 8, no. 2 (Payiz 1387 Sh. / Autumn 2008): 376–385, 376.</w:t>
      </w:r>
    </w:p>
  </w:endnote>
  <w:endnote w:id="57">
    <w:p w14:paraId="21088B15" w14:textId="20C4C04E" w:rsidR="00E52E1B" w:rsidRDefault="00E52E1B" w:rsidP="00344E9E">
      <w:pPr>
        <w:pStyle w:val="EndnoteText"/>
        <w:spacing w:line="480" w:lineRule="auto"/>
      </w:pPr>
      <w:r>
        <w:rPr>
          <w:vertAlign w:val="superscript"/>
        </w:rPr>
        <w:endnoteRef/>
      </w:r>
      <w:r>
        <w:t xml:space="preserve"> </w:t>
      </w:r>
      <w:r>
        <w:t xml:space="preserve">Khavari Shirazi, </w:t>
      </w:r>
      <w:r>
        <w:rPr>
          <w:i/>
        </w:rPr>
        <w:t>Tarikh-i Zu</w:t>
      </w:r>
      <w:r w:rsidR="000C6870">
        <w:rPr>
          <w:i/>
        </w:rPr>
        <w:t xml:space="preserve"> a</w:t>
      </w:r>
      <w:r>
        <w:rPr>
          <w:i/>
        </w:rPr>
        <w:t>l-Qarnayn</w:t>
      </w:r>
      <w:r>
        <w:t>, 1:105; I</w:t>
      </w:r>
      <w:r>
        <w:rPr>
          <w:rFonts w:ascii="JaghbUni" w:hAnsi="JaghbUni"/>
        </w:rPr>
        <w:t>ʿ</w:t>
      </w:r>
      <w:r>
        <w:t xml:space="preserve">tizad al-Saltanih, </w:t>
      </w:r>
      <w:r>
        <w:rPr>
          <w:i/>
        </w:rPr>
        <w:t>Iksir al-Tavarīkh</w:t>
      </w:r>
      <w:r>
        <w:t xml:space="preserve">, 396; Dunbuli Maftun, </w:t>
      </w:r>
      <w:r>
        <w:rPr>
          <w:i/>
        </w:rPr>
        <w:t>Tazkirih-yi Nigaristan-i Dara</w:t>
      </w:r>
      <w:r>
        <w:t xml:space="preserve">, 113–114; Perry, </w:t>
      </w:r>
      <w:r>
        <w:rPr>
          <w:i/>
        </w:rPr>
        <w:t>Karīm Khān Zand</w:t>
      </w:r>
      <w:r>
        <w:t xml:space="preserve">, 218. See also </w:t>
      </w:r>
      <w:r>
        <w:rPr>
          <w:highlight w:val="white"/>
        </w:rPr>
        <w:t xml:space="preserve">Meredith, “Early Qajar Administration,” 79n16; </w:t>
      </w:r>
      <w:r>
        <w:rPr>
          <w:rFonts w:ascii="JaghbUni" w:hAnsi="JaghbUni"/>
        </w:rPr>
        <w:t>ʿ</w:t>
      </w:r>
      <w:r>
        <w:t xml:space="preserve">Azud al-Dawlih, </w:t>
      </w:r>
      <w:r>
        <w:rPr>
          <w:i/>
        </w:rPr>
        <w:t xml:space="preserve">Tarikh-i </w:t>
      </w:r>
      <w:r>
        <w:rPr>
          <w:rFonts w:ascii="JaghbUni" w:hAnsi="JaghbUni"/>
          <w:i/>
          <w:iCs/>
        </w:rPr>
        <w:t>ʿ</w:t>
      </w:r>
      <w:r>
        <w:rPr>
          <w:i/>
        </w:rPr>
        <w:t>Azudi</w:t>
      </w:r>
      <w:r>
        <w:rPr>
          <w:highlight w:val="white"/>
        </w:rPr>
        <w:t>, 289</w:t>
      </w:r>
      <w:r>
        <w:t>.</w:t>
      </w:r>
    </w:p>
  </w:endnote>
  <w:endnote w:id="58">
    <w:p w14:paraId="5FCC7088" w14:textId="4A7E420D" w:rsidR="00E52E1B" w:rsidRPr="001B6239" w:rsidRDefault="00E52E1B" w:rsidP="00344E9E">
      <w:pPr>
        <w:pStyle w:val="EndnoteText"/>
        <w:spacing w:line="480" w:lineRule="auto"/>
        <w:rPr>
          <w:lang w:val="it-IT"/>
        </w:rPr>
      </w:pPr>
      <w:r>
        <w:rPr>
          <w:vertAlign w:val="superscript"/>
        </w:rPr>
        <w:endnoteRef/>
      </w:r>
      <w:r>
        <w:rPr>
          <w:lang w:val="it-IT"/>
        </w:rPr>
        <w:t xml:space="preserve"> I</w:t>
      </w:r>
      <w:r>
        <w:rPr>
          <w:rFonts w:ascii="JaghbUni" w:hAnsi="JaghbUni"/>
        </w:rPr>
        <w:t>ʿ</w:t>
      </w:r>
      <w:r w:rsidRPr="001B6239">
        <w:rPr>
          <w:lang w:val="it-IT"/>
        </w:rPr>
        <w:t xml:space="preserve">tizad al-Saltanih, </w:t>
      </w:r>
      <w:r>
        <w:rPr>
          <w:i/>
          <w:lang w:val="it-IT"/>
        </w:rPr>
        <w:t>Iksir al-Tavari</w:t>
      </w:r>
      <w:r w:rsidRPr="001B6239">
        <w:rPr>
          <w:i/>
          <w:lang w:val="it-IT"/>
        </w:rPr>
        <w:t>kh</w:t>
      </w:r>
      <w:r w:rsidRPr="001B6239">
        <w:rPr>
          <w:lang w:val="it-IT"/>
        </w:rPr>
        <w:t>, 397.</w:t>
      </w:r>
    </w:p>
  </w:endnote>
  <w:endnote w:id="59">
    <w:p w14:paraId="4105EB52" w14:textId="3EBBED8D" w:rsidR="00E52E1B" w:rsidRDefault="00E52E1B" w:rsidP="00344E9E">
      <w:pPr>
        <w:pStyle w:val="EndnoteText"/>
        <w:spacing w:line="480" w:lineRule="auto"/>
      </w:pPr>
      <w:r>
        <w:rPr>
          <w:vertAlign w:val="superscript"/>
        </w:rPr>
        <w:endnoteRef/>
      </w:r>
      <w:r>
        <w:t xml:space="preserve"> I</w:t>
      </w:r>
      <w:r>
        <w:rPr>
          <w:rFonts w:ascii="JaghbUni" w:hAnsi="JaghbUni"/>
        </w:rPr>
        <w:t>ʿ</w:t>
      </w:r>
      <w:r>
        <w:t xml:space="preserve">tizad al-Saltanih describes Haydar </w:t>
      </w:r>
      <w:r>
        <w:rPr>
          <w:rFonts w:ascii="JaghbUni" w:hAnsi="JaghbUni"/>
        </w:rPr>
        <w:t>ʿ</w:t>
      </w:r>
      <w:r>
        <w:t>Ali as “among the relations” (</w:t>
      </w:r>
      <w:r>
        <w:rPr>
          <w:i/>
        </w:rPr>
        <w:t>az aqvām</w:t>
      </w:r>
      <w:r>
        <w:t xml:space="preserve">) of Haji Ibrahim. Ibid., 396.  </w:t>
      </w:r>
    </w:p>
  </w:endnote>
  <w:endnote w:id="60">
    <w:p w14:paraId="0DD08D94" w14:textId="37C3358B" w:rsidR="00E52E1B" w:rsidRDefault="00E52E1B" w:rsidP="00344E9E">
      <w:pPr>
        <w:pStyle w:val="EndnoteText"/>
        <w:spacing w:line="480" w:lineRule="auto"/>
      </w:pPr>
      <w:r>
        <w:rPr>
          <w:vertAlign w:val="superscript"/>
        </w:rPr>
        <w:endnoteRef/>
      </w:r>
      <w:r>
        <w:t xml:space="preserve"> On </w:t>
      </w:r>
      <w:r>
        <w:t>this point, see Amanat, “Ebrāhīm Kalāntar Šīrāzī.”</w:t>
      </w:r>
    </w:p>
  </w:endnote>
  <w:endnote w:id="61">
    <w:p w14:paraId="14D4251C" w14:textId="7F5D6422"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Azud al-Dawlih, </w:t>
      </w:r>
      <w:r>
        <w:rPr>
          <w:i/>
        </w:rPr>
        <w:t xml:space="preserve">Tarīkh-i </w:t>
      </w:r>
      <w:r>
        <w:rPr>
          <w:rFonts w:ascii="JaghbUni" w:hAnsi="JaghbUni"/>
          <w:i/>
          <w:iCs/>
        </w:rPr>
        <w:t>ʿ</w:t>
      </w:r>
      <w:r>
        <w:rPr>
          <w:i/>
        </w:rPr>
        <w:t>Azudi</w:t>
      </w:r>
      <w:r>
        <w:rPr>
          <w:highlight w:val="white"/>
        </w:rPr>
        <w:t>, 113.</w:t>
      </w:r>
    </w:p>
  </w:endnote>
  <w:endnote w:id="62">
    <w:p w14:paraId="02170B19" w14:textId="77777777" w:rsidR="00E52E1B" w:rsidRDefault="00E52E1B" w:rsidP="00344E9E">
      <w:pPr>
        <w:pStyle w:val="EndnoteText"/>
        <w:spacing w:line="480" w:lineRule="auto"/>
      </w:pPr>
      <w:r>
        <w:rPr>
          <w:vertAlign w:val="superscript"/>
        </w:rPr>
        <w:endnoteRef/>
      </w:r>
      <w:r>
        <w:t xml:space="preserve"> Majlis MS. 331, ff. 26v and 27r.</w:t>
      </w:r>
    </w:p>
  </w:endnote>
  <w:endnote w:id="63">
    <w:p w14:paraId="2406ED1C" w14:textId="4EC1829C" w:rsidR="00E52E1B" w:rsidRDefault="00E52E1B" w:rsidP="00344E9E">
      <w:pPr>
        <w:pStyle w:val="EndnoteText"/>
        <w:spacing w:line="480" w:lineRule="auto"/>
      </w:pPr>
      <w:r>
        <w:rPr>
          <w:vertAlign w:val="superscript"/>
        </w:rPr>
        <w:endnoteRef/>
      </w:r>
      <w:r>
        <w:t xml:space="preserve"> For </w:t>
      </w:r>
      <w:r>
        <w:t>an introduction to Kalb-</w:t>
      </w:r>
      <w:r>
        <w:rPr>
          <w:rFonts w:ascii="JaghbUni" w:hAnsi="JaghbUni"/>
        </w:rPr>
        <w:t>ʿ</w:t>
      </w:r>
      <w:r>
        <w:t>Ali Khan’s life see Majlis MS. 331, ff. 25v and 26.</w:t>
      </w:r>
    </w:p>
  </w:endnote>
  <w:endnote w:id="64">
    <w:p w14:paraId="38C30E9C" w14:textId="2EC4CE45" w:rsidR="00E52E1B" w:rsidRDefault="00E52E1B" w:rsidP="00344E9E">
      <w:pPr>
        <w:pStyle w:val="EndnoteText"/>
        <w:spacing w:line="480" w:lineRule="auto"/>
      </w:pPr>
      <w:r>
        <w:rPr>
          <w:vertAlign w:val="superscript"/>
        </w:rPr>
        <w:endnoteRef/>
      </w:r>
      <w:r>
        <w:t xml:space="preserve"> For </w:t>
      </w:r>
      <w:r>
        <w:t xml:space="preserve">some examples, see </w:t>
      </w:r>
      <w:r>
        <w:rPr>
          <w:rFonts w:ascii="JaghbUni" w:hAnsi="JaghbUni"/>
        </w:rPr>
        <w:t>ʿ</w:t>
      </w:r>
      <w:r>
        <w:t xml:space="preserve">Abd al-Razzaq Bayg Dunbuli Maftun, </w:t>
      </w:r>
      <w:r w:rsidRPr="0087561F">
        <w:rPr>
          <w:rFonts w:ascii="JaghbUni" w:hAnsi="JaghbUni"/>
          <w:i/>
          <w:iCs/>
        </w:rPr>
        <w:t>Ma</w:t>
      </w:r>
      <w:r>
        <w:rPr>
          <w:rFonts w:ascii="JaghbUni" w:hAnsi="JaghbUni"/>
          <w:i/>
          <w:iCs/>
        </w:rPr>
        <w:t>ʾas</w:t>
      </w:r>
      <w:r w:rsidRPr="0087561F">
        <w:rPr>
          <w:rFonts w:ascii="JaghbUni" w:hAnsi="JaghbUni"/>
          <w:i/>
          <w:iCs/>
        </w:rPr>
        <w:t>ir</w:t>
      </w:r>
      <w:r>
        <w:rPr>
          <w:i/>
        </w:rPr>
        <w:t>-i Sultaniyyih</w:t>
      </w:r>
      <w:r>
        <w:t xml:space="preserve">, ed. Firuz Mansuri (Tehran: </w:t>
      </w:r>
      <w:r w:rsidRPr="00FE4017">
        <w:rPr>
          <w:rFonts w:ascii="JaghbUni" w:hAnsi="JaghbUni"/>
        </w:rPr>
        <w:t>Mu</w:t>
      </w:r>
      <w:r>
        <w:rPr>
          <w:rFonts w:ascii="JaghbUni" w:hAnsi="JaghbUni"/>
        </w:rPr>
        <w:t>ʾ</w:t>
      </w:r>
      <w:r w:rsidRPr="00FE4017">
        <w:rPr>
          <w:rFonts w:ascii="JaghbUni" w:hAnsi="JaghbUni"/>
        </w:rPr>
        <w:t>assasih</w:t>
      </w:r>
      <w:r>
        <w:t xml:space="preserve">-yi </w:t>
      </w:r>
      <w:r w:rsidRPr="00FE4017">
        <w:rPr>
          <w:rFonts w:ascii="JaghbUni" w:hAnsi="JaghbUni"/>
        </w:rPr>
        <w:t>Ittila</w:t>
      </w:r>
      <w:r>
        <w:rPr>
          <w:rFonts w:ascii="JaghbUni" w:hAnsi="JaghbUni"/>
        </w:rPr>
        <w:t>ʾ</w:t>
      </w:r>
      <w:r w:rsidRPr="00FE4017">
        <w:rPr>
          <w:rFonts w:cstheme="majorBidi"/>
        </w:rPr>
        <w:t>a</w:t>
      </w:r>
      <w:r w:rsidRPr="00FE4017">
        <w:rPr>
          <w:rFonts w:ascii="JaghbUni" w:hAnsi="JaghbUni"/>
        </w:rPr>
        <w:t>t</w:t>
      </w:r>
      <w:r>
        <w:t xml:space="preserve">, 2005), 93 and 100; Nadir Mirza, </w:t>
      </w:r>
      <w:r>
        <w:rPr>
          <w:i/>
        </w:rPr>
        <w:t>Tarikh va Jughrafi-yi Dar al-Saltanih-yi Tabriz</w:t>
      </w:r>
      <w:r>
        <w:t xml:space="preserve">, ed. Ghulam Reza </w:t>
      </w:r>
      <w:r w:rsidRPr="00FE4017">
        <w:rPr>
          <w:rFonts w:ascii="JaghbUni" w:hAnsi="JaghbUni"/>
        </w:rPr>
        <w:t>Tabataba</w:t>
      </w:r>
      <w:r>
        <w:rPr>
          <w:rFonts w:ascii="JaghbUni" w:hAnsi="JaghbUni"/>
        </w:rPr>
        <w:t>ʾ</w:t>
      </w:r>
      <w:r w:rsidRPr="00FE4017">
        <w:rPr>
          <w:rFonts w:ascii="JaghbUni" w:hAnsi="JaghbUni"/>
        </w:rPr>
        <w:t>i</w:t>
      </w:r>
      <w:r>
        <w:t xml:space="preserve"> Majd (Tabriz: Intisharat-i Sutudih, 1994), 222–223; </w:t>
      </w:r>
      <w:r>
        <w:rPr>
          <w:i/>
        </w:rPr>
        <w:t xml:space="preserve">Akty Sobrannye Kavkazskoi͡u Arkheograficheskoi͡u Kommissiiei͡u (AKAK), </w:t>
      </w:r>
      <w:r>
        <w:t>(Tiflis: Glavnago Upravlenii͡a Nami͡estnika Kavkazskago, 1866), 1:408–410, 623–630.</w:t>
      </w:r>
    </w:p>
  </w:endnote>
  <w:endnote w:id="65">
    <w:p w14:paraId="1BCA996F" w14:textId="2E947A99" w:rsidR="00E52E1B" w:rsidRPr="0048513F" w:rsidRDefault="00E52E1B" w:rsidP="00344E9E">
      <w:pPr>
        <w:pStyle w:val="EndnoteText"/>
        <w:spacing w:line="480" w:lineRule="auto"/>
        <w:rPr>
          <w:iCs/>
        </w:rPr>
      </w:pPr>
      <w:r>
        <w:rPr>
          <w:rStyle w:val="EndnoteReference"/>
        </w:rPr>
        <w:endnoteRef/>
      </w:r>
      <w:r>
        <w:t xml:space="preserve"> </w:t>
      </w:r>
      <w:r>
        <w:rPr>
          <w:i/>
        </w:rPr>
        <w:t>Siyāq</w:t>
      </w:r>
      <w:r>
        <w:rPr>
          <w:iCs/>
        </w:rPr>
        <w:t xml:space="preserve"> was the short-hand numerical system used for accounting purposes by secretaries and financial accountants across much of the Islamic world. For an introduction to the system, see </w:t>
      </w:r>
      <w:r w:rsidRPr="00C33F86">
        <w:rPr>
          <w:iCs/>
        </w:rPr>
        <w:t xml:space="preserve">Muhammad </w:t>
      </w:r>
      <w:r>
        <w:rPr>
          <w:rFonts w:ascii="JaghbUni" w:hAnsi="JaghbUni"/>
        </w:rPr>
        <w:t>ʿ</w:t>
      </w:r>
      <w:r w:rsidRPr="00C33F86">
        <w:rPr>
          <w:iCs/>
        </w:rPr>
        <w:t xml:space="preserve">Ali Furugh Isfahani, </w:t>
      </w:r>
      <w:r>
        <w:rPr>
          <w:i/>
          <w:iCs/>
        </w:rPr>
        <w:t>Furughistan: Danishnama-yi Fann-i Isti</w:t>
      </w:r>
      <w:r w:rsidRPr="00C33F86">
        <w:rPr>
          <w:i/>
          <w:iCs/>
        </w:rPr>
        <w:t>f</w:t>
      </w:r>
      <w:r>
        <w:rPr>
          <w:i/>
          <w:iCs/>
        </w:rPr>
        <w:t>a va Siya</w:t>
      </w:r>
      <w:r w:rsidRPr="00C33F86">
        <w:rPr>
          <w:i/>
          <w:iCs/>
        </w:rPr>
        <w:t>q</w:t>
      </w:r>
      <w:r>
        <w:rPr>
          <w:iCs/>
        </w:rPr>
        <w:t>, ed. Iraj Afshar (Tehran: Miras-i Maktu</w:t>
      </w:r>
      <w:r w:rsidRPr="00C33F86">
        <w:rPr>
          <w:iCs/>
        </w:rPr>
        <w:t>b, 1999)</w:t>
      </w:r>
      <w:r>
        <w:rPr>
          <w:iCs/>
        </w:rPr>
        <w:t xml:space="preserve">; </w:t>
      </w:r>
      <w:r w:rsidRPr="0048513F">
        <w:rPr>
          <w:iCs/>
        </w:rPr>
        <w:t>Mohammad Bagheri, “</w:t>
      </w:r>
      <w:r w:rsidRPr="0048513F">
        <w:rPr>
          <w:i/>
          <w:iCs/>
        </w:rPr>
        <w:t>Siyāqat</w:t>
      </w:r>
      <w:r w:rsidRPr="0048513F">
        <w:rPr>
          <w:iCs/>
        </w:rPr>
        <w:t xml:space="preserve"> Accounting: Its Origins, History, and Principles,” </w:t>
      </w:r>
      <w:r w:rsidRPr="0048513F">
        <w:rPr>
          <w:i/>
          <w:iCs/>
        </w:rPr>
        <w:t>Acta Orientalia: Academiae Scientiarum Hungaricae</w:t>
      </w:r>
      <w:r>
        <w:rPr>
          <w:iCs/>
        </w:rPr>
        <w:t xml:space="preserve"> 51, no. 3 (1998): 297–301</w:t>
      </w:r>
      <w:r w:rsidRPr="0048513F">
        <w:rPr>
          <w:iCs/>
        </w:rPr>
        <w:t xml:space="preserve">. On the “professional toolkit” of the scribal class, see </w:t>
      </w:r>
      <w:r>
        <w:rPr>
          <w:iCs/>
        </w:rPr>
        <w:t xml:space="preserve">Rajeev </w:t>
      </w:r>
      <w:r w:rsidRPr="0048513F">
        <w:rPr>
          <w:iCs/>
        </w:rPr>
        <w:t>Kinra, “</w:t>
      </w:r>
      <w:r w:rsidRPr="0091698F">
        <w:rPr>
          <w:iCs/>
        </w:rPr>
        <w:t>Master and Munshī: A Brahman Secretary's Guide to Mughal Governance</w:t>
      </w:r>
      <w:r w:rsidRPr="0048513F">
        <w:rPr>
          <w:iCs/>
        </w:rPr>
        <w:t>,”</w:t>
      </w:r>
      <w:r>
        <w:rPr>
          <w:iCs/>
        </w:rPr>
        <w:t xml:space="preserve"> </w:t>
      </w:r>
      <w:r w:rsidRPr="0091698F">
        <w:rPr>
          <w:i/>
        </w:rPr>
        <w:t>Indian Economic &amp; Social History Review</w:t>
      </w:r>
      <w:r>
        <w:rPr>
          <w:iCs/>
        </w:rPr>
        <w:t xml:space="preserve"> 47, no. 4 (October and December 2010): 527–</w:t>
      </w:r>
      <w:r w:rsidRPr="0091698F">
        <w:rPr>
          <w:iCs/>
        </w:rPr>
        <w:t>561</w:t>
      </w:r>
      <w:r>
        <w:rPr>
          <w:iCs/>
        </w:rPr>
        <w:t>,</w:t>
      </w:r>
      <w:r w:rsidRPr="0048513F">
        <w:rPr>
          <w:iCs/>
        </w:rPr>
        <w:t xml:space="preserve"> 530.</w:t>
      </w:r>
    </w:p>
  </w:endnote>
  <w:endnote w:id="66">
    <w:p w14:paraId="5A259C36" w14:textId="72387958" w:rsidR="00E52E1B" w:rsidRDefault="00E52E1B" w:rsidP="00344E9E">
      <w:pPr>
        <w:pStyle w:val="EndnoteText"/>
        <w:spacing w:line="480" w:lineRule="auto"/>
      </w:pPr>
      <w:r>
        <w:rPr>
          <w:vertAlign w:val="superscript"/>
        </w:rPr>
        <w:endnoteRef/>
      </w:r>
      <w:r>
        <w:t xml:space="preserve"> For </w:t>
      </w:r>
      <w:r>
        <w:t>more on the Devellū and the Quyunlū branches of the Qajars, and their significance, see Hambly, “Āghā Muḥammad Khān,” 106-113.</w:t>
      </w:r>
    </w:p>
  </w:endnote>
  <w:endnote w:id="67">
    <w:p w14:paraId="6FE6A9D1" w14:textId="1727141B" w:rsidR="00E52E1B" w:rsidRPr="001B6239" w:rsidRDefault="00E52E1B" w:rsidP="00344E9E">
      <w:pPr>
        <w:pStyle w:val="EndnoteText"/>
        <w:spacing w:line="480" w:lineRule="auto"/>
        <w:rPr>
          <w:lang w:val="it-IT"/>
        </w:rPr>
      </w:pPr>
      <w:r>
        <w:rPr>
          <w:vertAlign w:val="superscript"/>
        </w:rPr>
        <w:endnoteRef/>
      </w:r>
      <w:r>
        <w:rPr>
          <w:lang w:val="it-IT"/>
        </w:rPr>
        <w:t xml:space="preserve"> I</w:t>
      </w:r>
      <w:r>
        <w:rPr>
          <w:rFonts w:ascii="JaghbUni" w:hAnsi="JaghbUni"/>
        </w:rPr>
        <w:t>ʿ</w:t>
      </w:r>
      <w:r w:rsidRPr="001B6239">
        <w:rPr>
          <w:lang w:val="it-IT"/>
        </w:rPr>
        <w:t xml:space="preserve">timad al-Saltanih, </w:t>
      </w:r>
      <w:r>
        <w:rPr>
          <w:i/>
          <w:lang w:val="it-IT"/>
        </w:rPr>
        <w:t>Sadr al-Tavari</w:t>
      </w:r>
      <w:r w:rsidRPr="001B6239">
        <w:rPr>
          <w:i/>
          <w:lang w:val="it-IT"/>
        </w:rPr>
        <w:t>kh</w:t>
      </w:r>
      <w:r w:rsidRPr="001B6239">
        <w:rPr>
          <w:lang w:val="it-IT"/>
        </w:rPr>
        <w:t>, 105.</w:t>
      </w:r>
    </w:p>
  </w:endnote>
  <w:endnote w:id="68">
    <w:p w14:paraId="7F0DADD5" w14:textId="707C47BC" w:rsidR="00E52E1B" w:rsidRDefault="00E52E1B" w:rsidP="00344E9E">
      <w:pPr>
        <w:pStyle w:val="EndnoteText"/>
        <w:spacing w:line="480" w:lineRule="auto"/>
      </w:pPr>
      <w:r>
        <w:rPr>
          <w:vertAlign w:val="superscript"/>
        </w:rPr>
        <w:endnoteRef/>
      </w:r>
      <w:r>
        <w:t xml:space="preserve"> James Morier, </w:t>
      </w:r>
      <w:r>
        <w:rPr>
          <w:i/>
        </w:rPr>
        <w:t>A Second Journey Through Persia, Armenia, and Asia minor, to Constantinople, between the years 1810 and 1816</w:t>
      </w:r>
      <w:r>
        <w:t xml:space="preserve"> (London: Longman, Hurst, Rees, Orme, and Brown, 1818), 131. </w:t>
      </w:r>
      <w:r>
        <w:t>See also Hambly, “Āghā Muḥammad Khān,” 139–140.</w:t>
      </w:r>
    </w:p>
  </w:endnote>
  <w:endnote w:id="69">
    <w:p w14:paraId="4AD2CEC5" w14:textId="1CE66EE2" w:rsidR="00E52E1B" w:rsidRPr="001B6239" w:rsidRDefault="00E52E1B" w:rsidP="00344E9E">
      <w:pPr>
        <w:pStyle w:val="EndnoteText"/>
        <w:spacing w:line="480" w:lineRule="auto"/>
        <w:rPr>
          <w:lang w:val="it-IT"/>
        </w:rPr>
      </w:pPr>
      <w:r>
        <w:rPr>
          <w:vertAlign w:val="superscript"/>
        </w:rPr>
        <w:endnoteRef/>
      </w:r>
      <w:r>
        <w:t xml:space="preserve"> Khavari Shirazi, </w:t>
      </w:r>
      <w:r>
        <w:rPr>
          <w:i/>
        </w:rPr>
        <w:t>Tarikh-i Zu</w:t>
      </w:r>
      <w:r w:rsidR="000C6870">
        <w:rPr>
          <w:i/>
        </w:rPr>
        <w:t xml:space="preserve"> a</w:t>
      </w:r>
      <w:r>
        <w:rPr>
          <w:i/>
        </w:rPr>
        <w:t>l-Qarnayn</w:t>
      </w:r>
      <w:r>
        <w:t>, 1</w:t>
      </w:r>
      <w:r>
        <w:rPr>
          <w:lang w:val="it-IT"/>
        </w:rPr>
        <w:t>:244; I</w:t>
      </w:r>
      <w:r>
        <w:rPr>
          <w:rFonts w:ascii="JaghbUni" w:hAnsi="JaghbUni"/>
        </w:rPr>
        <w:t>ʿ</w:t>
      </w:r>
      <w:r w:rsidRPr="001B6239">
        <w:rPr>
          <w:lang w:val="it-IT"/>
        </w:rPr>
        <w:t xml:space="preserve">tizad al-Saltanih, </w:t>
      </w:r>
      <w:r>
        <w:rPr>
          <w:i/>
          <w:lang w:val="it-IT"/>
        </w:rPr>
        <w:t>Iksir al-Tavari</w:t>
      </w:r>
      <w:r w:rsidRPr="001B6239">
        <w:rPr>
          <w:i/>
          <w:lang w:val="it-IT"/>
        </w:rPr>
        <w:t>kh</w:t>
      </w:r>
      <w:r>
        <w:rPr>
          <w:lang w:val="it-IT"/>
        </w:rPr>
        <w:t>, 242–</w:t>
      </w:r>
      <w:r w:rsidRPr="001B6239">
        <w:rPr>
          <w:lang w:val="it-IT"/>
        </w:rPr>
        <w:t>243.</w:t>
      </w:r>
    </w:p>
  </w:endnote>
  <w:endnote w:id="70">
    <w:p w14:paraId="1453484A" w14:textId="3F1DE052" w:rsidR="00E52E1B" w:rsidRPr="00113660" w:rsidRDefault="00E52E1B" w:rsidP="00113660">
      <w:pPr>
        <w:spacing w:line="480" w:lineRule="auto"/>
        <w:rPr>
          <w:rFonts w:ascii="Times New Roman" w:eastAsia="Times New Roman" w:hAnsi="Times New Roman"/>
          <w:color w:val="auto"/>
          <w:szCs w:val="24"/>
        </w:rPr>
      </w:pPr>
      <w:r>
        <w:rPr>
          <w:vertAlign w:val="superscript"/>
        </w:rPr>
        <w:endnoteRef/>
      </w:r>
      <w:r>
        <w:t xml:space="preserve"> </w:t>
      </w:r>
      <w:r>
        <w:rPr>
          <w:rFonts w:eastAsia="Times New Roman"/>
        </w:rPr>
        <w:t xml:space="preserve">Assef Ashraf, “The Politics of Gift Exchange in Early Qajar Iran, 1785–1834,” </w:t>
      </w:r>
      <w:r>
        <w:rPr>
          <w:rFonts w:eastAsia="Times New Roman"/>
          <w:i/>
          <w:iCs/>
        </w:rPr>
        <w:t>Comparative Studies in Society and History</w:t>
      </w:r>
      <w:r>
        <w:rPr>
          <w:rFonts w:eastAsia="Times New Roman"/>
        </w:rPr>
        <w:t xml:space="preserve"> 58, no. 2 (April 2016): 550–76, </w:t>
      </w:r>
      <w:r>
        <w:t>560.</w:t>
      </w:r>
    </w:p>
  </w:endnote>
  <w:endnote w:id="71">
    <w:p w14:paraId="5A0907DD" w14:textId="7C38AD2E" w:rsidR="00E52E1B" w:rsidRDefault="00E52E1B" w:rsidP="00344E9E">
      <w:pPr>
        <w:pStyle w:val="EndnoteText"/>
        <w:spacing w:line="480" w:lineRule="auto"/>
      </w:pPr>
      <w:r>
        <w:rPr>
          <w:vertAlign w:val="superscript"/>
        </w:rPr>
        <w:endnoteRef/>
      </w:r>
      <w:r>
        <w:t xml:space="preserve"> The “Sun Throne” was renamed </w:t>
      </w:r>
      <w:r>
        <w:t xml:space="preserve">in honor of Tavus Khanum because the latter was the shah’s favorite wife. For more on her, see </w:t>
      </w:r>
      <w:r>
        <w:rPr>
          <w:rFonts w:ascii="JaghbUni" w:hAnsi="JaghbUni"/>
        </w:rPr>
        <w:t>ʿ</w:t>
      </w:r>
      <w:r>
        <w:t xml:space="preserve">Azud al-Dawlih, </w:t>
      </w:r>
      <w:r>
        <w:rPr>
          <w:i/>
        </w:rPr>
        <w:t xml:space="preserve">Tarikh-i </w:t>
      </w:r>
      <w:r>
        <w:rPr>
          <w:rFonts w:ascii="JaghbUni" w:hAnsi="JaghbUni"/>
          <w:i/>
          <w:iCs/>
        </w:rPr>
        <w:t>ʿ</w:t>
      </w:r>
      <w:r>
        <w:rPr>
          <w:i/>
        </w:rPr>
        <w:t>Azudi</w:t>
      </w:r>
      <w:r>
        <w:t>, 19–27 and 71–76.</w:t>
      </w:r>
    </w:p>
  </w:endnote>
  <w:endnote w:id="72">
    <w:p w14:paraId="277F7FFB" w14:textId="0704990C" w:rsidR="00E52E1B" w:rsidRDefault="00E52E1B" w:rsidP="00344E9E">
      <w:pPr>
        <w:pStyle w:val="EndnoteText"/>
        <w:spacing w:line="480" w:lineRule="auto"/>
      </w:pPr>
      <w:r>
        <w:rPr>
          <w:vertAlign w:val="superscript"/>
        </w:rPr>
        <w:endnoteRef/>
      </w:r>
      <w:r>
        <w:t xml:space="preserve"> On the giving of the gift, </w:t>
      </w:r>
      <w:r>
        <w:t xml:space="preserve">see Khavari Shirazi, </w:t>
      </w:r>
      <w:r>
        <w:rPr>
          <w:i/>
        </w:rPr>
        <w:t>Tarikh-i Zu</w:t>
      </w:r>
      <w:r w:rsidR="000C6870">
        <w:rPr>
          <w:i/>
        </w:rPr>
        <w:t xml:space="preserve"> a</w:t>
      </w:r>
      <w:r>
        <w:rPr>
          <w:i/>
        </w:rPr>
        <w:t>l-Qarnayn</w:t>
      </w:r>
      <w:r>
        <w:t>, 1:163. For a discussion, see Ashraf, “Politics of Gifts,” 564.</w:t>
      </w:r>
    </w:p>
  </w:endnote>
  <w:endnote w:id="73">
    <w:p w14:paraId="72166380" w14:textId="362F677C" w:rsidR="00E52E1B" w:rsidRPr="00A00E74" w:rsidRDefault="00E52E1B" w:rsidP="00344E9E">
      <w:pPr>
        <w:spacing w:line="480" w:lineRule="auto"/>
        <w:rPr>
          <w:rFonts w:ascii="Times New Roman" w:eastAsia="Times New Roman" w:hAnsi="Times New Roman" w:cs="Times New Roman"/>
          <w:color w:val="auto"/>
          <w:szCs w:val="24"/>
        </w:rPr>
      </w:pPr>
      <w:r>
        <w:rPr>
          <w:rStyle w:val="EndnoteReference"/>
        </w:rPr>
        <w:endnoteRef/>
      </w:r>
      <w:r>
        <w:t xml:space="preserve"> On this </w:t>
      </w:r>
      <w:r>
        <w:t xml:space="preserve">point, see </w:t>
      </w:r>
      <w:r w:rsidRPr="00A00E74">
        <w:rPr>
          <w:rFonts w:ascii="Times New Roman" w:eastAsia="Times New Roman" w:hAnsi="Times New Roman" w:cs="Times New Roman"/>
          <w:color w:val="auto"/>
          <w:szCs w:val="24"/>
        </w:rPr>
        <w:t xml:space="preserve">Abbas Amanat, “The Downfall of Mirza Taqi Khan Amir Kabir and the Problem of Ministerial Authority in Qajar Iran,” </w:t>
      </w:r>
      <w:r w:rsidRPr="00A00E74">
        <w:rPr>
          <w:rFonts w:ascii="Times New Roman" w:eastAsia="Times New Roman" w:hAnsi="Times New Roman" w:cs="Times New Roman"/>
          <w:i/>
          <w:iCs/>
          <w:color w:val="auto"/>
          <w:szCs w:val="24"/>
        </w:rPr>
        <w:t>International Journal of Middle East Studies</w:t>
      </w:r>
      <w:r w:rsidRPr="00A00E74">
        <w:rPr>
          <w:rFonts w:ascii="Times New Roman" w:eastAsia="Times New Roman" w:hAnsi="Times New Roman" w:cs="Times New Roman"/>
          <w:color w:val="auto"/>
          <w:szCs w:val="24"/>
        </w:rPr>
        <w:t xml:space="preserve"> 23, </w:t>
      </w:r>
      <w:r>
        <w:rPr>
          <w:rFonts w:ascii="Times New Roman" w:eastAsia="Times New Roman" w:hAnsi="Times New Roman" w:cs="Times New Roman"/>
          <w:color w:val="auto"/>
          <w:szCs w:val="24"/>
        </w:rPr>
        <w:t>no. 04 (November 1991): 577–599, 577.</w:t>
      </w:r>
    </w:p>
  </w:endnote>
  <w:endnote w:id="74">
    <w:p w14:paraId="318ECCA3" w14:textId="6AB57AEB" w:rsidR="00E52E1B" w:rsidRDefault="00E52E1B" w:rsidP="00344E9E">
      <w:pPr>
        <w:pStyle w:val="EndnoteText"/>
        <w:spacing w:line="480" w:lineRule="auto"/>
      </w:pPr>
      <w:r>
        <w:rPr>
          <w:vertAlign w:val="superscript"/>
        </w:rPr>
        <w:endnoteRef/>
      </w:r>
      <w:r>
        <w:t xml:space="preserve"> The </w:t>
      </w:r>
      <w:r>
        <w:t>precise number of Fath-</w:t>
      </w:r>
      <w:r>
        <w:rPr>
          <w:rFonts w:ascii="JaghbUni" w:hAnsi="JaghbUni"/>
        </w:rPr>
        <w:t>ʿ</w:t>
      </w:r>
      <w:r>
        <w:t xml:space="preserve">Ali Shah’s wives and children is disputed. For some figures, see Muhammad Taqi Sipihr, </w:t>
      </w:r>
      <w:r>
        <w:rPr>
          <w:i/>
        </w:rPr>
        <w:t>Nasikh al-Tavarikh</w:t>
      </w:r>
      <w:r>
        <w:t xml:space="preserve">, ed. Muhammad Baqir Bihbudi (Tehran: Kitabfurushi-yi Islamiyyih, 1998), 2:140–146; Khavari Shirazi, </w:t>
      </w:r>
      <w:r>
        <w:rPr>
          <w:i/>
        </w:rPr>
        <w:t>Tarikh-i Zu</w:t>
      </w:r>
      <w:r w:rsidR="000C6870">
        <w:rPr>
          <w:i/>
        </w:rPr>
        <w:t xml:space="preserve"> a</w:t>
      </w:r>
      <w:r>
        <w:rPr>
          <w:i/>
        </w:rPr>
        <w:t>l-Qarnayn</w:t>
      </w:r>
      <w:r>
        <w:t xml:space="preserve">, 2:969–1035; </w:t>
      </w:r>
      <w:r>
        <w:rPr>
          <w:rFonts w:ascii="JaghbUni" w:hAnsi="JaghbUni"/>
        </w:rPr>
        <w:t>ʿ</w:t>
      </w:r>
      <w:r>
        <w:t xml:space="preserve">Azud al-Dawlih, </w:t>
      </w:r>
      <w:r>
        <w:rPr>
          <w:i/>
        </w:rPr>
        <w:t xml:space="preserve">Tarikh-i </w:t>
      </w:r>
      <w:r>
        <w:rPr>
          <w:rFonts w:ascii="JaghbUni" w:hAnsi="JaghbUni"/>
          <w:i/>
          <w:iCs/>
        </w:rPr>
        <w:t>ʿ</w:t>
      </w:r>
      <w:r>
        <w:rPr>
          <w:i/>
        </w:rPr>
        <w:t>Azudi</w:t>
      </w:r>
      <w:r>
        <w:t xml:space="preserve">, 336–364. See also Amanat, </w:t>
      </w:r>
      <w:r>
        <w:rPr>
          <w:i/>
        </w:rPr>
        <w:t>Pivot of the Universe</w:t>
      </w:r>
      <w:r>
        <w:t xml:space="preserve">, 19; Ervand Abrahamian, </w:t>
      </w:r>
      <w:r>
        <w:rPr>
          <w:i/>
        </w:rPr>
        <w:t>A History of Modern Iran</w:t>
      </w:r>
      <w:r>
        <w:t xml:space="preserve"> (Cambridge and New York: Cambridge University Press, 2008), 14.</w:t>
      </w:r>
    </w:p>
  </w:endnote>
  <w:endnote w:id="75">
    <w:p w14:paraId="4E4D4BD3" w14:textId="167383B6"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Azud al-Dawlih, </w:t>
      </w:r>
      <w:r>
        <w:rPr>
          <w:i/>
        </w:rPr>
        <w:t xml:space="preserve">Tarikh-i </w:t>
      </w:r>
      <w:r>
        <w:rPr>
          <w:rFonts w:ascii="JaghbUni" w:hAnsi="JaghbUni"/>
          <w:i/>
          <w:iCs/>
        </w:rPr>
        <w:t>ʿ</w:t>
      </w:r>
      <w:r>
        <w:rPr>
          <w:i/>
        </w:rPr>
        <w:t>Azudi</w:t>
      </w:r>
      <w:r>
        <w:t>, 63, 65, 112, 213. See also Brookshaw, “Qajar Confection,” 118–119.</w:t>
      </w:r>
    </w:p>
  </w:endnote>
  <w:endnote w:id="76">
    <w:p w14:paraId="0662C9DA" w14:textId="378CDD72"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Azud al-Dawlih, </w:t>
      </w:r>
      <w:r>
        <w:rPr>
          <w:i/>
        </w:rPr>
        <w:t xml:space="preserve">Tarikh-i </w:t>
      </w:r>
      <w:r>
        <w:rPr>
          <w:rFonts w:ascii="JaghbUni" w:hAnsi="JaghbUni"/>
          <w:i/>
          <w:iCs/>
        </w:rPr>
        <w:t>ʿ</w:t>
      </w:r>
      <w:r>
        <w:rPr>
          <w:i/>
        </w:rPr>
        <w:t>Azudi</w:t>
      </w:r>
      <w:r>
        <w:t xml:space="preserve">, 355; Khavari Shirazi, </w:t>
      </w:r>
      <w:r>
        <w:rPr>
          <w:i/>
        </w:rPr>
        <w:t>Tarikh-i Zu</w:t>
      </w:r>
      <w:r w:rsidR="000C6870">
        <w:rPr>
          <w:i/>
        </w:rPr>
        <w:t xml:space="preserve"> a</w:t>
      </w:r>
      <w:r>
        <w:rPr>
          <w:i/>
        </w:rPr>
        <w:t>l-Qarnayn</w:t>
      </w:r>
      <w:r>
        <w:t>, 2:1018–19. The numbering is based on Khavari Shirazi’s numbering.</w:t>
      </w:r>
    </w:p>
  </w:endnote>
  <w:endnote w:id="77">
    <w:p w14:paraId="16E66EC3" w14:textId="28FDD738"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Azud al-Dawlih, </w:t>
      </w:r>
      <w:r>
        <w:rPr>
          <w:i/>
        </w:rPr>
        <w:t xml:space="preserve">Tarikh-i </w:t>
      </w:r>
      <w:r>
        <w:rPr>
          <w:rFonts w:ascii="JaghbUni" w:hAnsi="JaghbUni"/>
          <w:i/>
          <w:iCs/>
        </w:rPr>
        <w:t>ʿ</w:t>
      </w:r>
      <w:r>
        <w:rPr>
          <w:i/>
        </w:rPr>
        <w:t>Azudi</w:t>
      </w:r>
      <w:r>
        <w:t>, 356–357.</w:t>
      </w:r>
    </w:p>
  </w:endnote>
  <w:endnote w:id="78">
    <w:p w14:paraId="2133FC05" w14:textId="4F2D3B59" w:rsidR="00E52E1B" w:rsidRDefault="00E52E1B" w:rsidP="00344E9E">
      <w:pPr>
        <w:pStyle w:val="EndnoteText"/>
        <w:spacing w:line="480" w:lineRule="auto"/>
      </w:pPr>
      <w:r>
        <w:rPr>
          <w:vertAlign w:val="superscript"/>
        </w:rPr>
        <w:endnoteRef/>
      </w:r>
      <w:r>
        <w:t xml:space="preserve"> Ibid., 353–354.</w:t>
      </w:r>
    </w:p>
  </w:endnote>
  <w:endnote w:id="79">
    <w:p w14:paraId="625802BD" w14:textId="02FFCE3D" w:rsidR="00E52E1B" w:rsidRDefault="00E52E1B" w:rsidP="00410728">
      <w:pPr>
        <w:pStyle w:val="EndnoteText"/>
        <w:spacing w:line="480" w:lineRule="auto"/>
      </w:pPr>
      <w:r>
        <w:rPr>
          <w:rStyle w:val="EndnoteReference"/>
        </w:rPr>
        <w:endnoteRef/>
      </w:r>
      <w:r>
        <w:t xml:space="preserve"> A notable example </w:t>
      </w:r>
      <w:r>
        <w:t xml:space="preserve">is Khavari Shirazi, “Khatimih-yi Ruznamchih-yi Humayun,” also published separately as </w:t>
      </w:r>
      <w:r w:rsidRPr="00ED48BF">
        <w:t xml:space="preserve">Mirza Fazlullah Khavari Shirazi, </w:t>
      </w:r>
      <w:r w:rsidRPr="00ED48BF">
        <w:rPr>
          <w:i/>
          <w:iCs/>
        </w:rPr>
        <w:t>Ta</w:t>
      </w:r>
      <w:r>
        <w:rPr>
          <w:i/>
          <w:iCs/>
        </w:rPr>
        <w:t>zkirih-yi Kha</w:t>
      </w:r>
      <w:r w:rsidRPr="00ED48BF">
        <w:rPr>
          <w:i/>
          <w:iCs/>
        </w:rPr>
        <w:t>var</w:t>
      </w:r>
      <w:r>
        <w:rPr>
          <w:i/>
          <w:iCs/>
        </w:rPr>
        <w:t>i</w:t>
      </w:r>
      <w:r w:rsidRPr="00ED48BF">
        <w:t>, ed. Mi</w:t>
      </w:r>
      <w:r>
        <w:t>r Hashim Muhaddis (Zanjan: Zanga</w:t>
      </w:r>
      <w:r w:rsidRPr="00ED48BF">
        <w:t>n, 2000).</w:t>
      </w:r>
    </w:p>
  </w:endnote>
  <w:endnote w:id="80">
    <w:p w14:paraId="656DEBF8" w14:textId="216A3B16" w:rsidR="00E52E1B" w:rsidRDefault="00E52E1B" w:rsidP="00344E9E">
      <w:pPr>
        <w:pStyle w:val="EndnoteText"/>
        <w:spacing w:line="480" w:lineRule="auto"/>
      </w:pPr>
      <w:r>
        <w:rPr>
          <w:vertAlign w:val="superscript"/>
        </w:rPr>
        <w:endnoteRef/>
      </w:r>
      <w:r>
        <w:t xml:space="preserve"> </w:t>
      </w:r>
      <w:r>
        <w:rPr>
          <w:rFonts w:ascii="JaghbUni" w:hAnsi="JaghbUni"/>
        </w:rPr>
        <w:t>ʿ</w:t>
      </w:r>
      <w:r>
        <w:t xml:space="preserve">Azud al-Dawlih, </w:t>
      </w:r>
      <w:r>
        <w:rPr>
          <w:i/>
        </w:rPr>
        <w:t xml:space="preserve">Tarikh-i </w:t>
      </w:r>
      <w:r>
        <w:rPr>
          <w:rFonts w:ascii="JaghbUni" w:hAnsi="JaghbUni"/>
          <w:i/>
          <w:iCs/>
        </w:rPr>
        <w:t>ʿ</w:t>
      </w:r>
      <w:r>
        <w:rPr>
          <w:i/>
        </w:rPr>
        <w:t>Azudi</w:t>
      </w:r>
      <w:r>
        <w:t>, 23.</w:t>
      </w:r>
    </w:p>
  </w:endnote>
  <w:endnote w:id="81">
    <w:p w14:paraId="1AA86723" w14:textId="0983F462" w:rsidR="00E52E1B" w:rsidRDefault="00E52E1B" w:rsidP="00344E9E">
      <w:pPr>
        <w:pStyle w:val="EndnoteText"/>
        <w:spacing w:line="480" w:lineRule="auto"/>
      </w:pPr>
      <w:r>
        <w:rPr>
          <w:vertAlign w:val="superscript"/>
        </w:rPr>
        <w:endnoteRef/>
      </w:r>
      <w:r>
        <w:t xml:space="preserve"> </w:t>
      </w:r>
      <w:r w:rsidRPr="00462596">
        <w:t xml:space="preserve">Muhammad Taqi Sipihr, </w:t>
      </w:r>
      <w:r>
        <w:rPr>
          <w:i/>
          <w:iCs/>
        </w:rPr>
        <w:t>Nasikh al-Tavari</w:t>
      </w:r>
      <w:r w:rsidRPr="00462596">
        <w:rPr>
          <w:i/>
          <w:iCs/>
        </w:rPr>
        <w:t>kh</w:t>
      </w:r>
      <w:r w:rsidRPr="00462596">
        <w:t>, ed. Muhammad Baqir Bihbudi, 2nd ed. (Tehran: Ki</w:t>
      </w:r>
      <w:r>
        <w:t>tabfurushi-yi Islamiyyih, 1965), 2:140–146.</w:t>
      </w:r>
    </w:p>
  </w:endnote>
  <w:endnote w:id="82">
    <w:p w14:paraId="49896DAD" w14:textId="7083FE6B" w:rsidR="00E52E1B" w:rsidRPr="00113660" w:rsidRDefault="00E52E1B" w:rsidP="00410728">
      <w:pPr>
        <w:pStyle w:val="EndnoteText"/>
        <w:spacing w:line="480" w:lineRule="auto"/>
      </w:pPr>
      <w:r>
        <w:rPr>
          <w:vertAlign w:val="superscript"/>
        </w:rPr>
        <w:endnoteRef/>
      </w:r>
      <w:r>
        <w:t xml:space="preserve"> </w:t>
      </w:r>
      <w:r>
        <w:t>For more see I</w:t>
      </w:r>
      <w:r>
        <w:rPr>
          <w:rFonts w:ascii="JaghbUni" w:hAnsi="JaghbUni"/>
        </w:rPr>
        <w:t>ʿ</w:t>
      </w:r>
      <w:r w:rsidRPr="00113660">
        <w:t xml:space="preserve">timad al-Saltanih, </w:t>
      </w:r>
      <w:r>
        <w:rPr>
          <w:i/>
        </w:rPr>
        <w:t>Sadr al-Tavari</w:t>
      </w:r>
      <w:r w:rsidRPr="00113660">
        <w:rPr>
          <w:i/>
        </w:rPr>
        <w:t>kh</w:t>
      </w:r>
      <w:r>
        <w:t>, 31–35 and 40–</w:t>
      </w:r>
      <w:r w:rsidRPr="00113660">
        <w:t>43.</w:t>
      </w:r>
    </w:p>
  </w:endnote>
  <w:endnote w:id="83">
    <w:p w14:paraId="38415606" w14:textId="77777777" w:rsidR="00E52E1B" w:rsidRDefault="00E52E1B" w:rsidP="00344E9E">
      <w:pPr>
        <w:pStyle w:val="EndnoteText"/>
        <w:spacing w:line="480" w:lineRule="auto"/>
      </w:pPr>
      <w:r>
        <w:rPr>
          <w:vertAlign w:val="superscript"/>
        </w:rPr>
        <w:endnoteRef/>
      </w:r>
      <w:r>
        <w:t xml:space="preserve"> For examples, see Ibid., 40 and 81.</w:t>
      </w:r>
    </w:p>
  </w:endnote>
  <w:endnote w:id="84">
    <w:p w14:paraId="3D8DE54B" w14:textId="33ACFA90" w:rsidR="00E52E1B" w:rsidRDefault="00E52E1B" w:rsidP="00344E9E">
      <w:pPr>
        <w:pStyle w:val="EndnoteText"/>
        <w:spacing w:line="480" w:lineRule="auto"/>
      </w:pPr>
      <w:r>
        <w:rPr>
          <w:vertAlign w:val="superscript"/>
        </w:rPr>
        <w:endnoteRef/>
      </w:r>
      <w:r>
        <w:t xml:space="preserve"> </w:t>
      </w:r>
      <w:r>
        <w:t xml:space="preserve">Khavari Shirazi, </w:t>
      </w:r>
      <w:r>
        <w:rPr>
          <w:i/>
        </w:rPr>
        <w:t>Tarikh-i Zu</w:t>
      </w:r>
      <w:r w:rsidR="000C6870">
        <w:rPr>
          <w:i/>
        </w:rPr>
        <w:t xml:space="preserve"> a</w:t>
      </w:r>
      <w:r>
        <w:rPr>
          <w:i/>
        </w:rPr>
        <w:t>l-Qarnayn</w:t>
      </w:r>
      <w:r>
        <w:t>, 1:574; I</w:t>
      </w:r>
      <w:r>
        <w:rPr>
          <w:rFonts w:ascii="JaghbUni" w:hAnsi="JaghbUni"/>
        </w:rPr>
        <w:t>ʿ</w:t>
      </w:r>
      <w:r>
        <w:t xml:space="preserve">timad al-Saltanih, </w:t>
      </w:r>
      <w:r>
        <w:rPr>
          <w:i/>
        </w:rPr>
        <w:t>Sadr al-Tavarikh</w:t>
      </w:r>
      <w:r>
        <w:t xml:space="preserve">, 136; Mustawfi, </w:t>
      </w:r>
      <w:r>
        <w:rPr>
          <w:i/>
        </w:rPr>
        <w:t>Sharh-i Zindigani-yi Man</w:t>
      </w:r>
      <w:r>
        <w:t xml:space="preserve">, 26; Shirazi, </w:t>
      </w:r>
      <w:r>
        <w:rPr>
          <w:i/>
        </w:rPr>
        <w:t>Hadiqat al-</w:t>
      </w:r>
      <w:r w:rsidRPr="006E0FCF">
        <w:rPr>
          <w:rFonts w:ascii="JaghbUni" w:hAnsi="JaghbUni"/>
          <w:i/>
          <w:iCs/>
        </w:rPr>
        <w:t>Shu</w:t>
      </w:r>
      <w:r>
        <w:rPr>
          <w:rFonts w:ascii="JaghbUni" w:hAnsi="JaghbUni"/>
          <w:i/>
          <w:iCs/>
        </w:rPr>
        <w:t>ʿ</w:t>
      </w:r>
      <w:r w:rsidRPr="006E0FCF">
        <w:rPr>
          <w:rFonts w:ascii="JaghbUni" w:hAnsi="JaghbUni"/>
          <w:i/>
          <w:iCs/>
        </w:rPr>
        <w:t>ar</w:t>
      </w:r>
      <w:r>
        <w:rPr>
          <w:rFonts w:ascii="JaghbUni" w:hAnsi="JaghbUni"/>
          <w:i/>
          <w:iCs/>
        </w:rPr>
        <w:t>a</w:t>
      </w:r>
      <w:r>
        <w:t xml:space="preserve">, 1497; Sulaymani, </w:t>
      </w:r>
      <w:r>
        <w:rPr>
          <w:i/>
        </w:rPr>
        <w:t>Alqab-i Rijal</w:t>
      </w:r>
      <w:r>
        <w:t>, 145.</w:t>
      </w:r>
    </w:p>
  </w:endnote>
  <w:endnote w:id="85">
    <w:p w14:paraId="07A2422B" w14:textId="04A7337A" w:rsidR="00E52E1B" w:rsidRPr="00113660" w:rsidRDefault="00E52E1B" w:rsidP="00344E9E">
      <w:pPr>
        <w:pStyle w:val="EndnoteText"/>
        <w:spacing w:line="480" w:lineRule="auto"/>
      </w:pPr>
      <w:r>
        <w:rPr>
          <w:vertAlign w:val="superscript"/>
        </w:rPr>
        <w:endnoteRef/>
      </w:r>
      <w:r>
        <w:rPr>
          <w:lang w:val="it-IT"/>
        </w:rPr>
        <w:t xml:space="preserve"> I</w:t>
      </w:r>
      <w:r>
        <w:rPr>
          <w:rFonts w:ascii="JaghbUni" w:hAnsi="JaghbUni"/>
        </w:rPr>
        <w:t>ʿ</w:t>
      </w:r>
      <w:r w:rsidRPr="00274CD7">
        <w:rPr>
          <w:lang w:val="it-IT"/>
        </w:rPr>
        <w:t xml:space="preserve">timad al-Saltanih, </w:t>
      </w:r>
      <w:r>
        <w:rPr>
          <w:i/>
          <w:lang w:val="it-IT"/>
        </w:rPr>
        <w:t>Sadr al-Tavari</w:t>
      </w:r>
      <w:r w:rsidRPr="00274CD7">
        <w:rPr>
          <w:i/>
          <w:lang w:val="it-IT"/>
        </w:rPr>
        <w:t>kh</w:t>
      </w:r>
      <w:r>
        <w:rPr>
          <w:lang w:val="it-IT"/>
        </w:rPr>
        <w:t>, 21–</w:t>
      </w:r>
      <w:r w:rsidRPr="00274CD7">
        <w:rPr>
          <w:lang w:val="it-IT"/>
        </w:rPr>
        <w:t xml:space="preserve">22; Khavari Shirazi, </w:t>
      </w:r>
      <w:r>
        <w:rPr>
          <w:i/>
          <w:lang w:val="it-IT"/>
        </w:rPr>
        <w:t>Tari</w:t>
      </w:r>
      <w:r w:rsidRPr="00274CD7">
        <w:rPr>
          <w:i/>
          <w:lang w:val="it-IT"/>
        </w:rPr>
        <w:t xml:space="preserve">kh-i </w:t>
      </w:r>
      <w:r>
        <w:rPr>
          <w:i/>
          <w:lang w:val="it-IT"/>
        </w:rPr>
        <w:t>Zu</w:t>
      </w:r>
      <w:r w:rsidR="000C6870">
        <w:rPr>
          <w:i/>
          <w:lang w:val="it-IT"/>
        </w:rPr>
        <w:t xml:space="preserve"> a</w:t>
      </w:r>
      <w:r w:rsidRPr="00274CD7">
        <w:rPr>
          <w:i/>
          <w:lang w:val="it-IT"/>
        </w:rPr>
        <w:t>l-Qarnayn</w:t>
      </w:r>
      <w:r w:rsidRPr="00274CD7">
        <w:rPr>
          <w:lang w:val="it-IT"/>
        </w:rPr>
        <w:t xml:space="preserve">, </w:t>
      </w:r>
      <w:r>
        <w:rPr>
          <w:lang w:val="it-IT"/>
        </w:rPr>
        <w:t>1</w:t>
      </w:r>
      <w:r>
        <w:t>:</w:t>
      </w:r>
      <w:r w:rsidRPr="00113660">
        <w:t>131.</w:t>
      </w:r>
    </w:p>
  </w:endnote>
  <w:endnote w:id="86">
    <w:p w14:paraId="76D12FE1" w14:textId="6C6B0AF3" w:rsidR="00E52E1B" w:rsidRDefault="00E52E1B" w:rsidP="00344E9E">
      <w:pPr>
        <w:pStyle w:val="EndnoteText"/>
        <w:spacing w:line="480" w:lineRule="auto"/>
      </w:pPr>
      <w:r>
        <w:rPr>
          <w:vertAlign w:val="superscript"/>
        </w:rPr>
        <w:endnoteRef/>
      </w:r>
      <w:r>
        <w:rPr>
          <w:lang w:val="it-IT"/>
        </w:rPr>
        <w:t xml:space="preserve"> I</w:t>
      </w:r>
      <w:r>
        <w:rPr>
          <w:rFonts w:ascii="JaghbUni" w:hAnsi="JaghbUni"/>
        </w:rPr>
        <w:t>ʿ</w:t>
      </w:r>
      <w:r w:rsidRPr="00274CD7">
        <w:rPr>
          <w:lang w:val="it-IT"/>
        </w:rPr>
        <w:t xml:space="preserve">tizad al-Saltanih, </w:t>
      </w:r>
      <w:r>
        <w:rPr>
          <w:i/>
          <w:lang w:val="it-IT"/>
        </w:rPr>
        <w:t>Iksir al-Tavari</w:t>
      </w:r>
      <w:r w:rsidRPr="00274CD7">
        <w:rPr>
          <w:i/>
          <w:lang w:val="it-IT"/>
        </w:rPr>
        <w:t>kh</w:t>
      </w:r>
      <w:r w:rsidRPr="00274CD7">
        <w:rPr>
          <w:lang w:val="it-IT"/>
        </w:rPr>
        <w:t xml:space="preserve">, 420 and 500. </w:t>
      </w:r>
      <w:r>
        <w:t xml:space="preserve">Mirza Agha Khan Nuri would later become </w:t>
      </w:r>
      <w:r>
        <w:rPr>
          <w:i/>
        </w:rPr>
        <w:t xml:space="preserve">ṣadr-i </w:t>
      </w:r>
      <w:r w:rsidRPr="00F7545F">
        <w:rPr>
          <w:rFonts w:ascii="JaghbUni" w:hAnsi="JaghbUni"/>
          <w:i/>
          <w:iCs/>
        </w:rPr>
        <w:t>a</w:t>
      </w:r>
      <w:r>
        <w:rPr>
          <w:rFonts w:ascii="JaghbUni" w:hAnsi="JaghbUni"/>
          <w:i/>
          <w:iCs/>
        </w:rPr>
        <w:t>ʿz</w:t>
      </w:r>
      <w:r w:rsidRPr="00F7545F">
        <w:rPr>
          <w:rFonts w:ascii="JaghbUni" w:hAnsi="JaghbUni"/>
          <w:i/>
          <w:iCs/>
        </w:rPr>
        <w:t>am</w:t>
      </w:r>
      <w:r>
        <w:t>, during the 1850s, under Nasir al-Din Shah. I</w:t>
      </w:r>
      <w:r>
        <w:rPr>
          <w:rFonts w:ascii="JaghbUni" w:hAnsi="JaghbUni"/>
        </w:rPr>
        <w:t>ʿ</w:t>
      </w:r>
      <w:r>
        <w:t xml:space="preserve">timad al-Saltanih, </w:t>
      </w:r>
      <w:r>
        <w:rPr>
          <w:i/>
        </w:rPr>
        <w:t>Sadr al-Tavarikh</w:t>
      </w:r>
      <w:r>
        <w:t>, 233–248.</w:t>
      </w:r>
    </w:p>
  </w:endnote>
  <w:endnote w:id="87">
    <w:p w14:paraId="05C54CEE" w14:textId="1A7A5C65" w:rsidR="00E52E1B" w:rsidRPr="00197C5F" w:rsidRDefault="00E52E1B" w:rsidP="00C37B0E">
      <w:pPr>
        <w:spacing w:line="480" w:lineRule="auto"/>
        <w:rPr>
          <w:rFonts w:ascii="Times New Roman" w:eastAsia="Times New Roman" w:hAnsi="Times New Roman" w:cs="Times New Roman"/>
          <w:color w:val="auto"/>
          <w:szCs w:val="24"/>
        </w:rPr>
      </w:pPr>
      <w:r>
        <w:rPr>
          <w:rStyle w:val="EndnoteReference"/>
        </w:rPr>
        <w:endnoteRef/>
      </w:r>
      <w:r w:rsidRPr="00197C5F">
        <w:t xml:space="preserve"> On the theme</w:t>
      </w:r>
      <w:r>
        <w:t>s</w:t>
      </w:r>
      <w:r w:rsidRPr="00197C5F">
        <w:t xml:space="preserve"> of encounter and violence in Mughal India, see </w:t>
      </w:r>
      <w:r w:rsidRPr="00197C5F">
        <w:rPr>
          <w:rFonts w:ascii="Times New Roman" w:eastAsia="Times New Roman" w:hAnsi="Times New Roman" w:cs="Times New Roman"/>
          <w:color w:val="auto"/>
          <w:szCs w:val="24"/>
        </w:rPr>
        <w:t xml:space="preserve">Sanjay Subrahmanyam, </w:t>
      </w:r>
      <w:r w:rsidRPr="00197C5F">
        <w:rPr>
          <w:rFonts w:ascii="Times New Roman" w:eastAsia="Times New Roman" w:hAnsi="Times New Roman" w:cs="Times New Roman"/>
          <w:i/>
          <w:iCs/>
          <w:color w:val="auto"/>
          <w:szCs w:val="24"/>
        </w:rPr>
        <w:t>Courtly Encounters: Translating Courtliness and Violence in Early Modern Eurasia</w:t>
      </w:r>
      <w:r>
        <w:rPr>
          <w:rFonts w:ascii="Times New Roman" w:eastAsia="Times New Roman" w:hAnsi="Times New Roman" w:cs="Times New Roman"/>
          <w:color w:val="auto"/>
          <w:szCs w:val="24"/>
        </w:rPr>
        <w:t xml:space="preserve"> (Cambridge, Mass.</w:t>
      </w:r>
      <w:r w:rsidRPr="00197C5F">
        <w:rPr>
          <w:rFonts w:ascii="Times New Roman" w:eastAsia="Times New Roman" w:hAnsi="Times New Roman" w:cs="Times New Roman"/>
          <w:color w:val="auto"/>
          <w:szCs w:val="24"/>
        </w:rPr>
        <w:t xml:space="preserve">: Harvard University </w:t>
      </w:r>
      <w:r w:rsidRPr="00197C5F">
        <w:rPr>
          <w:rFonts w:ascii="Times New Roman" w:eastAsia="Times New Roman" w:hAnsi="Times New Roman" w:cs="Times New Roman"/>
          <w:color w:val="auto"/>
          <w:szCs w:val="24"/>
        </w:rPr>
        <w:t>Press, 2012)</w:t>
      </w:r>
      <w:r>
        <w:rPr>
          <w:rFonts w:ascii="Times New Roman" w:eastAsia="Times New Roman" w:hAnsi="Times New Roman" w:cs="Times New Roman"/>
          <w:color w:val="auto"/>
          <w:szCs w:val="24"/>
        </w:rPr>
        <w:t xml:space="preserve">; </w:t>
      </w:r>
      <w:r w:rsidRPr="00197C5F">
        <w:rPr>
          <w:rFonts w:ascii="Times New Roman" w:eastAsia="Times New Roman" w:hAnsi="Times New Roman" w:cs="Times New Roman"/>
          <w:color w:val="auto"/>
          <w:szCs w:val="24"/>
        </w:rPr>
        <w:t xml:space="preserve">Audrey Truschke, </w:t>
      </w:r>
      <w:r w:rsidRPr="00197C5F">
        <w:rPr>
          <w:rFonts w:ascii="Times New Roman" w:eastAsia="Times New Roman" w:hAnsi="Times New Roman" w:cs="Times New Roman"/>
          <w:i/>
          <w:iCs/>
          <w:color w:val="auto"/>
          <w:szCs w:val="24"/>
        </w:rPr>
        <w:t>Culture of Encounters: Sanskrit at the Mughal Court</w:t>
      </w:r>
      <w:r w:rsidRPr="00197C5F">
        <w:rPr>
          <w:rFonts w:ascii="Times New Roman" w:eastAsia="Times New Roman" w:hAnsi="Times New Roman" w:cs="Times New Roman"/>
          <w:color w:val="auto"/>
          <w:szCs w:val="24"/>
        </w:rPr>
        <w:t xml:space="preserve"> (New York: Columbia University Press, 2016).</w:t>
      </w:r>
      <w:r>
        <w:rPr>
          <w:rFonts w:ascii="Times New Roman" w:eastAsia="Times New Roman" w:hAnsi="Times New Roman" w:cs="Times New Roman"/>
          <w:color w:val="auto"/>
          <w:szCs w:val="24"/>
        </w:rPr>
        <w:t xml:space="preserve"> On the role of violence in court culture, see </w:t>
      </w:r>
      <w:r w:rsidRPr="001F654D">
        <w:rPr>
          <w:rFonts w:ascii="Times New Roman" w:eastAsia="Times New Roman" w:hAnsi="Times New Roman" w:cs="Times New Roman"/>
          <w:color w:val="auto"/>
          <w:szCs w:val="24"/>
        </w:rPr>
        <w:t xml:space="preserve">Norbert Elias, </w:t>
      </w:r>
      <w:r w:rsidRPr="001F654D">
        <w:rPr>
          <w:rFonts w:ascii="Times New Roman" w:eastAsia="Times New Roman" w:hAnsi="Times New Roman" w:cs="Times New Roman"/>
          <w:i/>
          <w:iCs/>
          <w:color w:val="auto"/>
          <w:szCs w:val="24"/>
        </w:rPr>
        <w:t>The Court Society</w:t>
      </w:r>
      <w:r w:rsidRPr="001F654D">
        <w:rPr>
          <w:rFonts w:ascii="Times New Roman" w:eastAsia="Times New Roman" w:hAnsi="Times New Roman" w:cs="Times New Roman"/>
          <w:color w:val="auto"/>
          <w:szCs w:val="24"/>
        </w:rPr>
        <w:t>, trans. Edmund Jephcott, 1st American ed. (New York: Pantheon Books, 1983).</w:t>
      </w:r>
    </w:p>
  </w:endnote>
  <w:endnote w:id="88">
    <w:p w14:paraId="4B2AC5D1" w14:textId="65393D56" w:rsidR="00E52E1B" w:rsidRPr="00D44D25" w:rsidRDefault="00E52E1B" w:rsidP="00344E9E">
      <w:pPr>
        <w:pStyle w:val="EndnoteText"/>
        <w:spacing w:line="480" w:lineRule="auto"/>
      </w:pPr>
      <w:r>
        <w:rPr>
          <w:rStyle w:val="EndnoteReference"/>
        </w:rPr>
        <w:endnoteRef/>
      </w:r>
      <w:r>
        <w:t xml:space="preserve"> On this point, see Thomas M. Ricks, “</w:t>
      </w:r>
      <w:r w:rsidRPr="00D44D25">
        <w:t>Towards a Social and Economic History of Eighteenth-Century Iran</w:t>
      </w:r>
      <w:r>
        <w:t xml:space="preserve">,” </w:t>
      </w:r>
      <w:r>
        <w:rPr>
          <w:i/>
          <w:iCs/>
        </w:rPr>
        <w:t>Iranian Studies</w:t>
      </w:r>
      <w:r>
        <w:t xml:space="preserve"> 6, no. 2/3 (</w:t>
      </w:r>
      <w:r w:rsidRPr="00D44D25">
        <w:t>Spring</w:t>
      </w:r>
      <w:r>
        <w:t>–</w:t>
      </w:r>
      <w:r w:rsidRPr="00D44D25">
        <w:t>Summer, 1973</w:t>
      </w:r>
      <w:r>
        <w:t>): 110–126, 118.</w:t>
      </w:r>
    </w:p>
  </w:endnote>
  <w:endnote w:id="89">
    <w:p w14:paraId="2D6704C7" w14:textId="51744140" w:rsidR="00E52E1B" w:rsidRPr="00AB4AC5" w:rsidRDefault="00E52E1B" w:rsidP="002277A6">
      <w:pPr>
        <w:pStyle w:val="EndnoteText"/>
        <w:spacing w:line="480" w:lineRule="auto"/>
        <w:rPr>
          <w:lang w:val="it-IT"/>
        </w:rPr>
      </w:pPr>
      <w:r>
        <w:rPr>
          <w:vertAlign w:val="superscript"/>
        </w:rPr>
        <w:endnoteRef/>
      </w:r>
      <w:r>
        <w:rPr>
          <w:lang w:val="it-IT"/>
        </w:rPr>
        <w:t xml:space="preserve"> I</w:t>
      </w:r>
      <w:r>
        <w:rPr>
          <w:rFonts w:ascii="JaghbUni" w:hAnsi="JaghbUni"/>
        </w:rPr>
        <w:t>ʿ</w:t>
      </w:r>
      <w:r w:rsidRPr="00AB4AC5">
        <w:rPr>
          <w:lang w:val="it-IT"/>
        </w:rPr>
        <w:t xml:space="preserve">timad al-Saltanih, </w:t>
      </w:r>
      <w:r>
        <w:rPr>
          <w:i/>
          <w:lang w:val="it-IT"/>
        </w:rPr>
        <w:t>Sadr al-Tavari</w:t>
      </w:r>
      <w:r w:rsidRPr="00AB4AC5">
        <w:rPr>
          <w:i/>
          <w:lang w:val="it-IT"/>
        </w:rPr>
        <w:t>kh</w:t>
      </w:r>
      <w:r>
        <w:rPr>
          <w:lang w:val="it-IT"/>
        </w:rPr>
        <w:t>, 53–</w:t>
      </w:r>
      <w:r w:rsidRPr="00AB4AC5">
        <w:rPr>
          <w:lang w:val="it-IT"/>
        </w:rPr>
        <w:t>54.</w:t>
      </w:r>
    </w:p>
  </w:endnote>
  <w:endnote w:id="90">
    <w:p w14:paraId="7B3257DB" w14:textId="10AE2B94" w:rsidR="00E52E1B" w:rsidRPr="00F7016C" w:rsidRDefault="00E52E1B" w:rsidP="00C37B0E">
      <w:pPr>
        <w:pStyle w:val="EndnoteText"/>
        <w:spacing w:line="480" w:lineRule="auto"/>
        <w:rPr>
          <w:lang w:val="it-IT"/>
        </w:rPr>
      </w:pPr>
      <w:r>
        <w:rPr>
          <w:vertAlign w:val="superscript"/>
        </w:rPr>
        <w:endnoteRef/>
      </w:r>
      <w:r w:rsidRPr="00F7016C">
        <w:rPr>
          <w:lang w:val="it-IT"/>
        </w:rPr>
        <w:t xml:space="preserve"> </w:t>
      </w:r>
      <w:r>
        <w:rPr>
          <w:lang w:val="it-IT"/>
        </w:rPr>
        <w:t>Ibid.</w:t>
      </w:r>
      <w:r w:rsidRPr="00F7016C">
        <w:rPr>
          <w:lang w:val="it-IT"/>
        </w:rPr>
        <w:t>, 46.</w:t>
      </w:r>
    </w:p>
  </w:endnote>
  <w:endnote w:id="91">
    <w:p w14:paraId="556169C3" w14:textId="0B920606" w:rsidR="00E52E1B" w:rsidRPr="00456C0D" w:rsidRDefault="00E52E1B" w:rsidP="00BE3672">
      <w:pPr>
        <w:pStyle w:val="EndnoteText"/>
        <w:spacing w:line="480" w:lineRule="auto"/>
      </w:pPr>
      <w:r>
        <w:rPr>
          <w:vertAlign w:val="superscript"/>
        </w:rPr>
        <w:endnoteRef/>
      </w:r>
      <w:r>
        <w:t xml:space="preserve"> For an account of </w:t>
      </w:r>
      <w:r>
        <w:t xml:space="preserve">this campaign, see </w:t>
      </w:r>
      <w:r w:rsidRPr="00140164">
        <w:rPr>
          <w:rFonts w:ascii="JaghbUni" w:hAnsi="JaghbUni"/>
        </w:rPr>
        <w:t>Saru</w:t>
      </w:r>
      <w:r>
        <w:rPr>
          <w:rFonts w:ascii="JaghbUni" w:hAnsi="JaghbUni"/>
        </w:rPr>
        <w:t>ʾ</w:t>
      </w:r>
      <w:r w:rsidRPr="00140164">
        <w:rPr>
          <w:rFonts w:ascii="JaghbUni" w:hAnsi="JaghbUni"/>
        </w:rPr>
        <w:t>i</w:t>
      </w:r>
      <w:r w:rsidRPr="006A2FA1">
        <w:t xml:space="preserve">, </w:t>
      </w:r>
      <w:r>
        <w:rPr>
          <w:i/>
          <w:iCs/>
        </w:rPr>
        <w:t>Tari</w:t>
      </w:r>
      <w:r w:rsidRPr="006A2FA1">
        <w:rPr>
          <w:i/>
          <w:iCs/>
        </w:rPr>
        <w:t>kh-i Mu</w:t>
      </w:r>
      <w:r>
        <w:rPr>
          <w:i/>
          <w:iCs/>
        </w:rPr>
        <w:t>h</w:t>
      </w:r>
      <w:r w:rsidRPr="006A2FA1">
        <w:rPr>
          <w:i/>
          <w:iCs/>
        </w:rPr>
        <w:t>ammad</w:t>
      </w:r>
      <w:r>
        <w:rPr>
          <w:i/>
          <w:iCs/>
        </w:rPr>
        <w:t>i</w:t>
      </w:r>
      <w:r>
        <w:t xml:space="preserve">, 292–293; Khavari Shirazi, </w:t>
      </w:r>
      <w:r>
        <w:rPr>
          <w:i/>
        </w:rPr>
        <w:t>Tarikh-i Zu</w:t>
      </w:r>
      <w:r w:rsidR="000C6870">
        <w:rPr>
          <w:i/>
        </w:rPr>
        <w:t xml:space="preserve"> a</w:t>
      </w:r>
      <w:r>
        <w:rPr>
          <w:i/>
        </w:rPr>
        <w:t>l-Qarnayn</w:t>
      </w:r>
      <w:r>
        <w:t>, 1:45–</w:t>
      </w:r>
      <w:r w:rsidRPr="00456C0D">
        <w:t>50.</w:t>
      </w:r>
    </w:p>
  </w:endnote>
  <w:endnote w:id="92">
    <w:p w14:paraId="15234BC3" w14:textId="06442F3F" w:rsidR="00E52E1B" w:rsidRPr="00274CD7" w:rsidRDefault="00E52E1B" w:rsidP="00344E9E">
      <w:pPr>
        <w:pStyle w:val="EndnoteText"/>
        <w:spacing w:line="480" w:lineRule="auto"/>
        <w:rPr>
          <w:lang w:val="it-IT"/>
        </w:rPr>
      </w:pPr>
      <w:r>
        <w:rPr>
          <w:vertAlign w:val="superscript"/>
        </w:rPr>
        <w:endnoteRef/>
      </w:r>
      <w:r>
        <w:rPr>
          <w:lang w:val="it-IT"/>
        </w:rPr>
        <w:t xml:space="preserve"> I</w:t>
      </w:r>
      <w:r>
        <w:rPr>
          <w:rFonts w:ascii="JaghbUni" w:hAnsi="JaghbUni"/>
        </w:rPr>
        <w:t>ʿ</w:t>
      </w:r>
      <w:r w:rsidRPr="00274CD7">
        <w:rPr>
          <w:lang w:val="it-IT"/>
        </w:rPr>
        <w:t xml:space="preserve">timad al-Saltanih, </w:t>
      </w:r>
      <w:r>
        <w:rPr>
          <w:i/>
          <w:lang w:val="it-IT"/>
        </w:rPr>
        <w:t>Sadr al-Tavari</w:t>
      </w:r>
      <w:r w:rsidRPr="00274CD7">
        <w:rPr>
          <w:i/>
          <w:lang w:val="it-IT"/>
        </w:rPr>
        <w:t>kh</w:t>
      </w:r>
      <w:r>
        <w:rPr>
          <w:lang w:val="it-IT"/>
        </w:rPr>
        <w:t>, 46–</w:t>
      </w:r>
      <w:r w:rsidRPr="00274CD7">
        <w:rPr>
          <w:lang w:val="it-IT"/>
        </w:rPr>
        <w:t>47.</w:t>
      </w:r>
    </w:p>
  </w:endnote>
  <w:endnote w:id="93">
    <w:p w14:paraId="39F5A301" w14:textId="3FA27B31" w:rsidR="00E52E1B" w:rsidRPr="007E1A5F" w:rsidRDefault="00E52E1B" w:rsidP="00344E9E">
      <w:pPr>
        <w:pStyle w:val="EndnoteText"/>
        <w:spacing w:line="480" w:lineRule="auto"/>
        <w:rPr>
          <w:lang w:val="it-IT"/>
        </w:rPr>
      </w:pPr>
      <w:r>
        <w:rPr>
          <w:rStyle w:val="EndnoteReference"/>
        </w:rPr>
        <w:endnoteRef/>
      </w:r>
      <w:r w:rsidRPr="00274CD7">
        <w:rPr>
          <w:lang w:val="it-IT"/>
        </w:rPr>
        <w:t xml:space="preserve"> </w:t>
      </w:r>
      <w:r w:rsidRPr="00274CD7">
        <w:rPr>
          <w:lang w:val="it-IT"/>
        </w:rPr>
        <w:t xml:space="preserve">Muhammad Mahdi ibn Muhammad Riza Isfahani, </w:t>
      </w:r>
      <w:r w:rsidRPr="00274CD7">
        <w:rPr>
          <w:i/>
          <w:iCs/>
          <w:lang w:val="it-IT"/>
        </w:rPr>
        <w:t>Ni</w:t>
      </w:r>
      <w:r>
        <w:rPr>
          <w:i/>
          <w:iCs/>
          <w:lang w:val="it-IT"/>
        </w:rPr>
        <w:t xml:space="preserve">sf-i Jahan fi </w:t>
      </w:r>
      <w:r w:rsidRPr="004528E2">
        <w:rPr>
          <w:rFonts w:ascii="JaghbUni" w:hAnsi="JaghbUni"/>
          <w:i/>
          <w:iCs/>
          <w:lang w:val="it-IT"/>
        </w:rPr>
        <w:t>Ta</w:t>
      </w:r>
      <w:r>
        <w:rPr>
          <w:rFonts w:ascii="JaghbUni" w:hAnsi="JaghbUni"/>
          <w:i/>
          <w:iCs/>
          <w:lang w:val="it-IT"/>
        </w:rPr>
        <w:t>ʿri</w:t>
      </w:r>
      <w:r w:rsidRPr="004528E2">
        <w:rPr>
          <w:rFonts w:ascii="JaghbUni" w:hAnsi="JaghbUni"/>
          <w:i/>
          <w:iCs/>
          <w:lang w:val="it-IT"/>
        </w:rPr>
        <w:t>f</w:t>
      </w:r>
      <w:r w:rsidRPr="00274CD7">
        <w:rPr>
          <w:i/>
          <w:iCs/>
          <w:lang w:val="it-IT"/>
        </w:rPr>
        <w:t xml:space="preserve"> al-I</w:t>
      </w:r>
      <w:r>
        <w:rPr>
          <w:i/>
          <w:iCs/>
          <w:lang w:val="it-IT"/>
        </w:rPr>
        <w:t>sfaha</w:t>
      </w:r>
      <w:r w:rsidRPr="00274CD7">
        <w:rPr>
          <w:i/>
          <w:iCs/>
          <w:lang w:val="it-IT"/>
        </w:rPr>
        <w:t>n</w:t>
      </w:r>
      <w:r w:rsidRPr="00274CD7">
        <w:rPr>
          <w:lang w:val="it-IT"/>
        </w:rPr>
        <w:t xml:space="preserve">, ed. </w:t>
      </w:r>
      <w:r>
        <w:rPr>
          <w:lang w:val="it-IT"/>
        </w:rPr>
        <w:t>Manuchihr Sutudah (Isfahan: Ta</w:t>
      </w:r>
      <w:r w:rsidRPr="003B32CC">
        <w:rPr>
          <w:rFonts w:ascii="JaghbUni" w:hAnsi="JaghbUni"/>
          <w:lang w:val="it-IT"/>
        </w:rPr>
        <w:t>ʿ</w:t>
      </w:r>
      <w:r w:rsidRPr="007E1A5F">
        <w:rPr>
          <w:lang w:val="it-IT"/>
        </w:rPr>
        <w:t>yid, 1961), 71, 75, 110, 281.</w:t>
      </w:r>
    </w:p>
  </w:endnote>
  <w:endnote w:id="94">
    <w:p w14:paraId="11E7E9D4" w14:textId="11C5FD06" w:rsidR="00E52E1B" w:rsidRPr="007E1A5F" w:rsidRDefault="00E52E1B" w:rsidP="00344E9E">
      <w:pPr>
        <w:pStyle w:val="EndnoteText"/>
        <w:spacing w:line="480" w:lineRule="auto"/>
        <w:rPr>
          <w:lang w:val="it-IT"/>
        </w:rPr>
      </w:pPr>
      <w:r>
        <w:rPr>
          <w:rStyle w:val="EndnoteReference"/>
        </w:rPr>
        <w:endnoteRef/>
      </w:r>
      <w:r w:rsidR="00AE275B">
        <w:rPr>
          <w:lang w:val="it-IT"/>
        </w:rPr>
        <w:t xml:space="preserve"> Mirza Abu a</w:t>
      </w:r>
      <w:r>
        <w:rPr>
          <w:lang w:val="it-IT"/>
        </w:rPr>
        <w:t xml:space="preserve">l-Qasim </w:t>
      </w:r>
      <w:r w:rsidRPr="00B87C51">
        <w:rPr>
          <w:rFonts w:ascii="JaghbUni" w:hAnsi="JaghbUni"/>
          <w:lang w:val="it-IT"/>
        </w:rPr>
        <w:t>Qa</w:t>
      </w:r>
      <w:r>
        <w:rPr>
          <w:rFonts w:ascii="JaghbUni" w:hAnsi="JaghbUni"/>
          <w:lang w:val="it-IT"/>
        </w:rPr>
        <w:t>ʾ</w:t>
      </w:r>
      <w:r w:rsidRPr="00B87C51">
        <w:rPr>
          <w:rFonts w:ascii="JaghbUni" w:hAnsi="JaghbUni"/>
          <w:lang w:val="it-IT"/>
        </w:rPr>
        <w:t>im</w:t>
      </w:r>
      <w:r w:rsidRPr="007E1A5F">
        <w:rPr>
          <w:lang w:val="it-IT"/>
        </w:rPr>
        <w:t xml:space="preserve">-Maqam, </w:t>
      </w:r>
      <w:r w:rsidRPr="00B87C51">
        <w:rPr>
          <w:rFonts w:ascii="JaghbUni" w:hAnsi="JaghbUni"/>
          <w:i/>
          <w:iCs/>
          <w:lang w:val="it-IT"/>
        </w:rPr>
        <w:t>Munsha</w:t>
      </w:r>
      <w:r>
        <w:rPr>
          <w:rFonts w:ascii="JaghbUni" w:hAnsi="JaghbUni"/>
          <w:i/>
          <w:iCs/>
          <w:lang w:val="it-IT"/>
        </w:rPr>
        <w:t>ʾa</w:t>
      </w:r>
      <w:r w:rsidRPr="00B87C51">
        <w:rPr>
          <w:rFonts w:ascii="JaghbUni" w:hAnsi="JaghbUni"/>
          <w:i/>
          <w:iCs/>
          <w:lang w:val="it-IT"/>
        </w:rPr>
        <w:t>t</w:t>
      </w:r>
      <w:r>
        <w:rPr>
          <w:i/>
          <w:iCs/>
          <w:lang w:val="it-IT"/>
        </w:rPr>
        <w:t xml:space="preserve">-i </w:t>
      </w:r>
      <w:r w:rsidRPr="003B32CC">
        <w:rPr>
          <w:rFonts w:ascii="JaghbUni" w:hAnsi="JaghbUni"/>
          <w:i/>
          <w:iCs/>
          <w:lang w:val="it-IT"/>
        </w:rPr>
        <w:t>Qa</w:t>
      </w:r>
      <w:r>
        <w:rPr>
          <w:rFonts w:ascii="JaghbUni" w:hAnsi="JaghbUni"/>
          <w:i/>
          <w:iCs/>
          <w:lang w:val="it-IT"/>
        </w:rPr>
        <w:t>ʾ</w:t>
      </w:r>
      <w:r w:rsidRPr="003B32CC">
        <w:rPr>
          <w:rFonts w:ascii="JaghbUni" w:hAnsi="JaghbUni"/>
          <w:i/>
          <w:iCs/>
          <w:lang w:val="it-IT"/>
        </w:rPr>
        <w:t>im</w:t>
      </w:r>
      <w:r>
        <w:rPr>
          <w:i/>
          <w:iCs/>
          <w:lang w:val="it-IT"/>
        </w:rPr>
        <w:t>-Maqa</w:t>
      </w:r>
      <w:r w:rsidRPr="007E1A5F">
        <w:rPr>
          <w:i/>
          <w:iCs/>
          <w:lang w:val="it-IT"/>
        </w:rPr>
        <w:t>m</w:t>
      </w:r>
      <w:r>
        <w:rPr>
          <w:lang w:val="it-IT"/>
        </w:rPr>
        <w:t>, ed. Jahangir Qa</w:t>
      </w:r>
      <w:r>
        <w:rPr>
          <w:rFonts w:ascii="JaghbUni" w:hAnsi="JaghbUni"/>
          <w:lang w:val="it-IT"/>
        </w:rPr>
        <w:t>ʾ</w:t>
      </w:r>
      <w:r>
        <w:rPr>
          <w:lang w:val="it-IT"/>
        </w:rPr>
        <w:t>im-Maqami (Tehran: Kitabkhanih-yi Ibn Sina, 1958); Mirza Buzurg Qa</w:t>
      </w:r>
      <w:r>
        <w:rPr>
          <w:rFonts w:ascii="JaghbUni" w:hAnsi="JaghbUni"/>
          <w:lang w:val="it-IT"/>
        </w:rPr>
        <w:t>ʾ</w:t>
      </w:r>
      <w:r w:rsidRPr="007E1A5F">
        <w:rPr>
          <w:lang w:val="it-IT"/>
        </w:rPr>
        <w:t xml:space="preserve">im Maqam Farahani, </w:t>
      </w:r>
      <w:r>
        <w:rPr>
          <w:i/>
          <w:iCs/>
          <w:lang w:val="it-IT"/>
        </w:rPr>
        <w:t>Jiha</w:t>
      </w:r>
      <w:r w:rsidRPr="007E1A5F">
        <w:rPr>
          <w:i/>
          <w:iCs/>
          <w:lang w:val="it-IT"/>
        </w:rPr>
        <w:t>diyyih</w:t>
      </w:r>
      <w:r>
        <w:rPr>
          <w:lang w:val="it-IT"/>
        </w:rPr>
        <w:t>, ed. Jahangir Qa</w:t>
      </w:r>
      <w:r>
        <w:rPr>
          <w:rFonts w:ascii="JaghbUni" w:hAnsi="JaghbUni"/>
          <w:lang w:val="it-IT"/>
        </w:rPr>
        <w:t>ʾ</w:t>
      </w:r>
      <w:r w:rsidRPr="007E1A5F">
        <w:rPr>
          <w:lang w:val="it-IT"/>
        </w:rPr>
        <w:t>im-Maqami (Tehran: Shirkat-i Ufsit, 1</w:t>
      </w:r>
      <w:r w:rsidR="00AE275B">
        <w:rPr>
          <w:lang w:val="it-IT"/>
        </w:rPr>
        <w:t>974); Mirza Abu a</w:t>
      </w:r>
      <w:r>
        <w:rPr>
          <w:lang w:val="it-IT"/>
        </w:rPr>
        <w:t>l-Qasim Qa</w:t>
      </w:r>
      <w:r>
        <w:rPr>
          <w:rFonts w:ascii="JaghbUni" w:hAnsi="JaghbUni"/>
          <w:lang w:val="it-IT"/>
        </w:rPr>
        <w:t>ʾ</w:t>
      </w:r>
      <w:r w:rsidRPr="007E1A5F">
        <w:rPr>
          <w:lang w:val="it-IT"/>
        </w:rPr>
        <w:t xml:space="preserve">im-Maqam, </w:t>
      </w:r>
      <w:r>
        <w:rPr>
          <w:i/>
          <w:iCs/>
          <w:lang w:val="it-IT"/>
        </w:rPr>
        <w:t xml:space="preserve">Nama’ha-yi Parakandih-yi </w:t>
      </w:r>
      <w:r w:rsidRPr="003B32CC">
        <w:rPr>
          <w:rFonts w:ascii="JaghbUni" w:hAnsi="JaghbUni"/>
          <w:i/>
          <w:iCs/>
          <w:lang w:val="it-IT"/>
        </w:rPr>
        <w:t>Qa</w:t>
      </w:r>
      <w:r>
        <w:rPr>
          <w:rFonts w:ascii="JaghbUni" w:hAnsi="JaghbUni"/>
          <w:i/>
          <w:iCs/>
          <w:lang w:val="it-IT"/>
        </w:rPr>
        <w:t>ʾ</w:t>
      </w:r>
      <w:r w:rsidRPr="003B32CC">
        <w:rPr>
          <w:rFonts w:ascii="JaghbUni" w:hAnsi="JaghbUni"/>
          <w:i/>
          <w:iCs/>
          <w:lang w:val="it-IT"/>
        </w:rPr>
        <w:t>im</w:t>
      </w:r>
      <w:r>
        <w:rPr>
          <w:i/>
          <w:iCs/>
          <w:lang w:val="it-IT"/>
        </w:rPr>
        <w:t>-Maqam-i Faraha</w:t>
      </w:r>
      <w:r w:rsidRPr="007E1A5F">
        <w:rPr>
          <w:i/>
          <w:iCs/>
          <w:lang w:val="it-IT"/>
        </w:rPr>
        <w:t>n</w:t>
      </w:r>
      <w:r>
        <w:rPr>
          <w:i/>
          <w:iCs/>
          <w:lang w:val="it-IT"/>
        </w:rPr>
        <w:t>i</w:t>
      </w:r>
      <w:r>
        <w:rPr>
          <w:lang w:val="it-IT"/>
        </w:rPr>
        <w:t>, ed. Jahangir Qa</w:t>
      </w:r>
      <w:r>
        <w:rPr>
          <w:rFonts w:ascii="JaghbUni" w:hAnsi="JaghbUni"/>
          <w:lang w:val="it-IT"/>
        </w:rPr>
        <w:t>ʾ</w:t>
      </w:r>
      <w:r w:rsidRPr="007E1A5F">
        <w:rPr>
          <w:lang w:val="it-IT"/>
        </w:rPr>
        <w:t>i</w:t>
      </w:r>
      <w:r>
        <w:rPr>
          <w:lang w:val="it-IT"/>
        </w:rPr>
        <w:t>m-Maqami, 2 vols. (Tehran: Bunya</w:t>
      </w:r>
      <w:r w:rsidRPr="007E1A5F">
        <w:rPr>
          <w:lang w:val="it-IT"/>
        </w:rPr>
        <w:t>d-i Farhang-i Ir</w:t>
      </w:r>
      <w:r w:rsidR="00AE275B">
        <w:rPr>
          <w:lang w:val="it-IT"/>
        </w:rPr>
        <w:t>an, 1978); Mirza Abu a</w:t>
      </w:r>
      <w:r>
        <w:rPr>
          <w:lang w:val="it-IT"/>
        </w:rPr>
        <w:t>l-Qasim Qa</w:t>
      </w:r>
      <w:r>
        <w:rPr>
          <w:rFonts w:ascii="JaghbUni" w:hAnsi="JaghbUni"/>
          <w:lang w:val="it-IT"/>
        </w:rPr>
        <w:t>ʾ</w:t>
      </w:r>
      <w:r w:rsidRPr="007E1A5F">
        <w:rPr>
          <w:lang w:val="it-IT"/>
        </w:rPr>
        <w:t xml:space="preserve">im-Maqam, </w:t>
      </w:r>
      <w:r>
        <w:rPr>
          <w:i/>
          <w:iCs/>
          <w:lang w:val="it-IT"/>
        </w:rPr>
        <w:t>Nama’ha-yi Siyasi</w:t>
      </w:r>
      <w:r w:rsidRPr="007E1A5F">
        <w:rPr>
          <w:i/>
          <w:iCs/>
          <w:lang w:val="it-IT"/>
        </w:rPr>
        <w:t xml:space="preserve"> va T</w:t>
      </w:r>
      <w:r>
        <w:rPr>
          <w:i/>
          <w:iCs/>
          <w:lang w:val="it-IT"/>
        </w:rPr>
        <w:t>arikhi-i Sayyid al-Vuzara</w:t>
      </w:r>
      <w:r>
        <w:rPr>
          <w:rFonts w:ascii="JaghbUni" w:hAnsi="JaghbUni"/>
          <w:i/>
          <w:iCs/>
          <w:lang w:val="it-IT"/>
        </w:rPr>
        <w:t>ʾ</w:t>
      </w:r>
      <w:r>
        <w:rPr>
          <w:i/>
          <w:iCs/>
          <w:lang w:val="it-IT"/>
        </w:rPr>
        <w:t xml:space="preserve"> </w:t>
      </w:r>
      <w:r w:rsidRPr="003B32CC">
        <w:rPr>
          <w:rFonts w:ascii="JaghbUni" w:hAnsi="JaghbUni"/>
          <w:i/>
          <w:iCs/>
          <w:lang w:val="it-IT"/>
        </w:rPr>
        <w:t>Qa</w:t>
      </w:r>
      <w:r>
        <w:rPr>
          <w:rFonts w:ascii="JaghbUni" w:hAnsi="JaghbUni"/>
          <w:i/>
          <w:iCs/>
          <w:lang w:val="it-IT"/>
        </w:rPr>
        <w:t>ʾ</w:t>
      </w:r>
      <w:r w:rsidRPr="003B32CC">
        <w:rPr>
          <w:rFonts w:ascii="JaghbUni" w:hAnsi="JaghbUni"/>
          <w:i/>
          <w:iCs/>
          <w:lang w:val="it-IT"/>
        </w:rPr>
        <w:t>im</w:t>
      </w:r>
      <w:r>
        <w:rPr>
          <w:i/>
          <w:iCs/>
          <w:lang w:val="it-IT"/>
        </w:rPr>
        <w:t>-Maqa</w:t>
      </w:r>
      <w:r w:rsidRPr="007E1A5F">
        <w:rPr>
          <w:i/>
          <w:iCs/>
          <w:lang w:val="it-IT"/>
        </w:rPr>
        <w:t>m Fa</w:t>
      </w:r>
      <w:r>
        <w:rPr>
          <w:i/>
          <w:iCs/>
          <w:lang w:val="it-IT"/>
        </w:rPr>
        <w:t>raha</w:t>
      </w:r>
      <w:r w:rsidRPr="007E1A5F">
        <w:rPr>
          <w:i/>
          <w:iCs/>
          <w:lang w:val="it-IT"/>
        </w:rPr>
        <w:t>n</w:t>
      </w:r>
      <w:r>
        <w:rPr>
          <w:i/>
          <w:iCs/>
          <w:lang w:val="it-IT"/>
        </w:rPr>
        <w:t>i</w:t>
      </w:r>
      <w:r>
        <w:rPr>
          <w:lang w:val="it-IT"/>
        </w:rPr>
        <w:t>, ed. Jahangir Qa</w:t>
      </w:r>
      <w:r>
        <w:rPr>
          <w:rFonts w:ascii="JaghbUni" w:hAnsi="JaghbUni"/>
          <w:lang w:val="it-IT"/>
        </w:rPr>
        <w:t>ʾ</w:t>
      </w:r>
      <w:r>
        <w:rPr>
          <w:lang w:val="it-IT"/>
        </w:rPr>
        <w:t>im-Maqami (Tehran: Danishgah-i Milli</w:t>
      </w:r>
      <w:r w:rsidRPr="007E1A5F">
        <w:rPr>
          <w:lang w:val="it-IT"/>
        </w:rPr>
        <w:t>-i Iran, 1979).</w:t>
      </w:r>
    </w:p>
  </w:endnote>
  <w:endnote w:id="95">
    <w:p w14:paraId="759A7B57" w14:textId="7D03CD47" w:rsidR="00E52E1B" w:rsidRPr="005641E2" w:rsidRDefault="00E52E1B" w:rsidP="00344E9E">
      <w:pPr>
        <w:pStyle w:val="EndnoteText"/>
        <w:spacing w:line="480" w:lineRule="auto"/>
      </w:pPr>
      <w:r>
        <w:rPr>
          <w:vertAlign w:val="superscript"/>
        </w:rPr>
        <w:endnoteRef/>
      </w:r>
      <w:r>
        <w:rPr>
          <w:lang w:val="it-IT"/>
        </w:rPr>
        <w:t xml:space="preserve"> On this point, see </w:t>
      </w:r>
      <w:r>
        <w:rPr>
          <w:rFonts w:ascii="JaghbUni" w:hAnsi="JaghbUni"/>
        </w:rPr>
        <w:t>ʿ</w:t>
      </w:r>
      <w:r w:rsidRPr="007E1A5F">
        <w:rPr>
          <w:lang w:val="it-IT"/>
        </w:rPr>
        <w:t xml:space="preserve">Azud al-Dawlih, </w:t>
      </w:r>
      <w:r>
        <w:rPr>
          <w:i/>
          <w:lang w:val="it-IT"/>
        </w:rPr>
        <w:t xml:space="preserve">Tarikh-i </w:t>
      </w:r>
      <w:r>
        <w:rPr>
          <w:rFonts w:ascii="JaghbUni" w:hAnsi="JaghbUni"/>
          <w:i/>
          <w:iCs/>
          <w:lang w:val="it-IT"/>
        </w:rPr>
        <w:t>ʿ</w:t>
      </w:r>
      <w:r>
        <w:rPr>
          <w:i/>
          <w:lang w:val="it-IT"/>
        </w:rPr>
        <w:t>Az</w:t>
      </w:r>
      <w:r w:rsidRPr="007E1A5F">
        <w:rPr>
          <w:i/>
          <w:lang w:val="it-IT"/>
        </w:rPr>
        <w:t>ud</w:t>
      </w:r>
      <w:r>
        <w:rPr>
          <w:i/>
          <w:lang w:val="it-IT"/>
        </w:rPr>
        <w:t>i</w:t>
      </w:r>
      <w:r w:rsidRPr="007E1A5F">
        <w:rPr>
          <w:lang w:val="it-IT"/>
        </w:rPr>
        <w:t xml:space="preserve">, 150. For an introduction to his poetry, see Dunbuli Maftun, </w:t>
      </w:r>
      <w:r w:rsidRPr="007E1A5F">
        <w:rPr>
          <w:i/>
          <w:lang w:val="it-IT"/>
        </w:rPr>
        <w:t>Ta</w:t>
      </w:r>
      <w:r>
        <w:rPr>
          <w:i/>
          <w:lang w:val="it-IT"/>
        </w:rPr>
        <w:t>zkirih-yi Nigaristan-i Da</w:t>
      </w:r>
      <w:r w:rsidRPr="007E1A5F">
        <w:rPr>
          <w:i/>
          <w:lang w:val="it-IT"/>
        </w:rPr>
        <w:t>r</w:t>
      </w:r>
      <w:r>
        <w:rPr>
          <w:i/>
          <w:lang w:val="it-IT"/>
        </w:rPr>
        <w:t>a</w:t>
      </w:r>
      <w:r>
        <w:rPr>
          <w:lang w:val="it-IT"/>
        </w:rPr>
        <w:t>, 134–</w:t>
      </w:r>
      <w:r w:rsidRPr="007E1A5F">
        <w:rPr>
          <w:lang w:val="it-IT"/>
        </w:rPr>
        <w:t xml:space="preserve">138; Mahmud Mirza Qajar, </w:t>
      </w:r>
      <w:r>
        <w:rPr>
          <w:i/>
          <w:lang w:val="it-IT"/>
        </w:rPr>
        <w:t>Safi</w:t>
      </w:r>
      <w:r w:rsidRPr="007E1A5F">
        <w:rPr>
          <w:i/>
          <w:lang w:val="it-IT"/>
        </w:rPr>
        <w:t>nat al-Ma</w:t>
      </w:r>
      <w:r>
        <w:rPr>
          <w:i/>
          <w:lang w:val="it-IT"/>
        </w:rPr>
        <w:t>hmu</w:t>
      </w:r>
      <w:r w:rsidRPr="007E1A5F">
        <w:rPr>
          <w:i/>
          <w:lang w:val="it-IT"/>
        </w:rPr>
        <w:t>d</w:t>
      </w:r>
      <w:r>
        <w:rPr>
          <w:lang w:val="it-IT"/>
        </w:rPr>
        <w:t>, 49–</w:t>
      </w:r>
      <w:r w:rsidRPr="007E1A5F">
        <w:rPr>
          <w:lang w:val="it-IT"/>
        </w:rPr>
        <w:t xml:space="preserve">74. </w:t>
      </w:r>
      <w:r>
        <w:t>See also Brookshaw, “</w:t>
      </w:r>
      <w:r w:rsidRPr="005641E2">
        <w:t>Qajar Confection</w:t>
      </w:r>
      <w:r>
        <w:t>.”</w:t>
      </w:r>
    </w:p>
  </w:endnote>
  <w:endnote w:id="96">
    <w:p w14:paraId="0395184A" w14:textId="7212271D" w:rsidR="00E52E1B" w:rsidRDefault="00E52E1B" w:rsidP="00344E9E">
      <w:pPr>
        <w:pStyle w:val="EndnoteText"/>
        <w:spacing w:line="480" w:lineRule="auto"/>
      </w:pPr>
      <w:r>
        <w:rPr>
          <w:vertAlign w:val="superscript"/>
        </w:rPr>
        <w:endnoteRef/>
      </w:r>
      <w:r>
        <w:t xml:space="preserve"> For a discussion of these </w:t>
      </w:r>
      <w:r>
        <w:t xml:space="preserve">works, see Abbas Amanat, “‘Russian Intrusion into the Guarded Domain’: Reflections of a Qajar Statesman on European Expansion,” </w:t>
      </w:r>
      <w:r>
        <w:rPr>
          <w:i/>
        </w:rPr>
        <w:t>Journal of the American Oriental Society</w:t>
      </w:r>
      <w:r>
        <w:t xml:space="preserve"> 113, no. 1 (Jan.–Mar. 1993), 35–56.</w:t>
      </w:r>
    </w:p>
  </w:endnote>
  <w:endnote w:id="97">
    <w:p w14:paraId="6B83CB31" w14:textId="3E7AE7B4" w:rsidR="00E52E1B" w:rsidRPr="00E1385D" w:rsidRDefault="00E52E1B" w:rsidP="00FB373F">
      <w:pPr>
        <w:pStyle w:val="EndnoteText"/>
        <w:spacing w:line="480" w:lineRule="auto"/>
      </w:pPr>
      <w:r>
        <w:rPr>
          <w:rStyle w:val="EndnoteReference"/>
        </w:rPr>
        <w:endnoteRef/>
      </w:r>
      <w:r w:rsidRPr="00E1385D">
        <w:t xml:space="preserve"> </w:t>
      </w:r>
      <w:r>
        <w:t xml:space="preserve">On the Amin al-Dawlih’s land policies, see Walcher, </w:t>
      </w:r>
      <w:r>
        <w:rPr>
          <w:i/>
          <w:iCs/>
        </w:rPr>
        <w:t xml:space="preserve">In the Shadow of the </w:t>
      </w:r>
      <w:r w:rsidRPr="00FF1A1D">
        <w:rPr>
          <w:i/>
          <w:iCs/>
        </w:rPr>
        <w:t>King</w:t>
      </w:r>
      <w:r>
        <w:t xml:space="preserve">, 11–12. </w:t>
      </w:r>
      <w:r w:rsidRPr="00FF1A1D">
        <w:t>The</w:t>
      </w:r>
      <w:r>
        <w:t xml:space="preserve"> rise of Haji Mirza Aghasi, prime minister from 1835–1848, was especially ruinous for these families. See Abbas </w:t>
      </w:r>
      <w:r w:rsidRPr="00E1385D">
        <w:t>Amanat, “Āqāsī,” </w:t>
      </w:r>
      <w:r w:rsidRPr="00E1385D">
        <w:rPr>
          <w:i/>
          <w:iCs/>
        </w:rPr>
        <w:t>Encyclopaedia Iranica</w:t>
      </w:r>
      <w:r>
        <w:t>, II/2, pp. 183–</w:t>
      </w:r>
      <w:r w:rsidRPr="00E1385D">
        <w:t xml:space="preserve">188, available online at </w:t>
      </w:r>
      <w:hyperlink r:id="rId3" w:history="1">
        <w:r>
          <w:rPr>
            <w:rStyle w:val="Hyperlink"/>
          </w:rPr>
          <w:t>http://www.iranicaonline.org/articles/aqasff-ujuli-mnsz-adras-ivxni-ca</w:t>
        </w:r>
      </w:hyperlink>
      <w:r>
        <w:t xml:space="preserve"> (accessed on 10 January 2018). </w:t>
      </w:r>
    </w:p>
  </w:endnote>
  <w:endnote w:id="98">
    <w:p w14:paraId="027745C1" w14:textId="321CD59C" w:rsidR="00E52E1B" w:rsidRPr="00274CD7" w:rsidRDefault="00E52E1B" w:rsidP="00344E9E">
      <w:pPr>
        <w:pStyle w:val="EndnoteText"/>
        <w:spacing w:line="480" w:lineRule="auto"/>
        <w:rPr>
          <w:lang w:val="it-IT"/>
        </w:rPr>
      </w:pPr>
      <w:r>
        <w:rPr>
          <w:vertAlign w:val="superscript"/>
        </w:rPr>
        <w:endnoteRef/>
      </w:r>
      <w:r w:rsidRPr="00274CD7">
        <w:rPr>
          <w:lang w:val="it-IT"/>
        </w:rPr>
        <w:t xml:space="preserve"> </w:t>
      </w:r>
      <w:r>
        <w:rPr>
          <w:lang w:val="it-IT"/>
        </w:rPr>
        <w:t>See I</w:t>
      </w:r>
      <w:r>
        <w:rPr>
          <w:rFonts w:ascii="JaghbUni" w:hAnsi="JaghbUni"/>
        </w:rPr>
        <w:t>ʿ</w:t>
      </w:r>
      <w:r w:rsidRPr="00274CD7">
        <w:rPr>
          <w:lang w:val="it-IT"/>
        </w:rPr>
        <w:t xml:space="preserve">timad al-Saltanih, </w:t>
      </w:r>
      <w:r>
        <w:rPr>
          <w:i/>
          <w:lang w:val="it-IT"/>
        </w:rPr>
        <w:t>Sadr al-Tavari</w:t>
      </w:r>
      <w:r w:rsidRPr="00274CD7">
        <w:rPr>
          <w:i/>
          <w:lang w:val="it-IT"/>
        </w:rPr>
        <w:t>kh</w:t>
      </w:r>
      <w:r>
        <w:rPr>
          <w:lang w:val="it-IT"/>
        </w:rPr>
        <w:t>, 23–</w:t>
      </w:r>
      <w:r w:rsidRPr="00274CD7">
        <w:rPr>
          <w:lang w:val="it-IT"/>
        </w:rPr>
        <w:t>24. Also Amanat, “</w:t>
      </w:r>
      <w:r w:rsidRPr="00274CD7">
        <w:rPr>
          <w:color w:val="132430"/>
          <w:lang w:val="it-IT"/>
        </w:rPr>
        <w:t>Ebrāhīm Kalāntar Šīrāzī.”</w:t>
      </w:r>
    </w:p>
  </w:endnote>
  <w:endnote w:id="99">
    <w:p w14:paraId="34BBAC05" w14:textId="77777777" w:rsidR="00E52E1B" w:rsidRDefault="00E52E1B" w:rsidP="00344E9E">
      <w:pPr>
        <w:pStyle w:val="EndnoteText"/>
        <w:spacing w:line="480" w:lineRule="auto"/>
      </w:pPr>
      <w:r>
        <w:rPr>
          <w:vertAlign w:val="superscript"/>
        </w:rPr>
        <w:endnoteRef/>
      </w:r>
      <w:r>
        <w:t xml:space="preserve"> He was </w:t>
      </w:r>
      <w:r>
        <w:t>married to Khurshid Kulah Khanum Shams al-Dawlih, the daughter of the shah and Tavus Khanum.</w:t>
      </w:r>
    </w:p>
  </w:endnote>
  <w:endnote w:id="100">
    <w:p w14:paraId="1EC30A6C" w14:textId="1DD834C2" w:rsidR="00E52E1B" w:rsidRDefault="00E52E1B" w:rsidP="00344E9E">
      <w:pPr>
        <w:pStyle w:val="EndnoteText"/>
        <w:spacing w:line="480" w:lineRule="auto"/>
      </w:pPr>
      <w:r>
        <w:rPr>
          <w:vertAlign w:val="superscript"/>
        </w:rPr>
        <w:endnoteRef/>
      </w:r>
      <w:r>
        <w:t xml:space="preserve"> Sa</w:t>
      </w:r>
      <w:r>
        <w:rPr>
          <w:rFonts w:ascii="JaghbUni" w:hAnsi="JaghbUni"/>
        </w:rPr>
        <w:t>ʿ</w:t>
      </w:r>
      <w:r>
        <w:t xml:space="preserve">adat-Nuri, </w:t>
      </w:r>
      <w:r>
        <w:rPr>
          <w:i/>
        </w:rPr>
        <w:t>Rijal-i Dawrih-yi Qajar</w:t>
      </w:r>
      <w:r>
        <w:t xml:space="preserve">, 51; Sipihr, </w:t>
      </w:r>
      <w:r>
        <w:rPr>
          <w:i/>
        </w:rPr>
        <w:t>Nasikh al-Tavarikh</w:t>
      </w:r>
      <w:r>
        <w:t>, 1:20.</w:t>
      </w:r>
    </w:p>
  </w:endnote>
  <w:endnote w:id="101">
    <w:p w14:paraId="198533FC" w14:textId="03C11D78" w:rsidR="00E52E1B" w:rsidRPr="001E46DB" w:rsidRDefault="00E52E1B" w:rsidP="00344E9E">
      <w:pPr>
        <w:pStyle w:val="EndnoteText"/>
        <w:spacing w:line="480" w:lineRule="auto"/>
      </w:pPr>
      <w:r>
        <w:rPr>
          <w:rStyle w:val="EndnoteReference"/>
        </w:rPr>
        <w:endnoteRef/>
      </w:r>
      <w:r>
        <w:t xml:space="preserve"> For </w:t>
      </w:r>
      <w:r>
        <w:t>the rivalry between I</w:t>
      </w:r>
      <w:r>
        <w:rPr>
          <w:rFonts w:ascii="JaghbUni" w:hAnsi="JaghbUni"/>
        </w:rPr>
        <w:t>ʿ</w:t>
      </w:r>
      <w:r>
        <w:t>timad al-Dawlih and Mirza Shafi</w:t>
      </w:r>
      <w:r>
        <w:rPr>
          <w:rFonts w:ascii="JaghbUni" w:hAnsi="JaghbUni"/>
        </w:rPr>
        <w:t>ʿ</w:t>
      </w:r>
      <w:r>
        <w:t xml:space="preserve">, see </w:t>
      </w:r>
      <w:r>
        <w:rPr>
          <w:i/>
          <w:iCs/>
        </w:rPr>
        <w:t>Sadr al-Tavari</w:t>
      </w:r>
      <w:r w:rsidRPr="001E46DB">
        <w:rPr>
          <w:i/>
          <w:iCs/>
        </w:rPr>
        <w:t>kh</w:t>
      </w:r>
      <w:r>
        <w:t>, 23–24 and 46.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JaghbUni">
    <w:altName w:val="Calibri"/>
    <w:panose1 w:val="020B0604020202020204"/>
    <w:charset w:val="00"/>
    <w:family w:val="auto"/>
    <w:pitch w:val="variable"/>
    <w:sig w:usb0="A00000FF" w:usb1="00000000" w:usb2="00000000" w:usb3="00000000" w:csb0="00000019" w:csb1="00000000"/>
  </w:font>
  <w:font w:name="Helvetica">
    <w:panose1 w:val="00000000000000000000"/>
    <w:charset w:val="00"/>
    <w:family w:val="auto"/>
    <w:pitch w:val="variable"/>
    <w:sig w:usb0="E00002FF" w:usb1="5000785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8E81E1" w14:textId="77777777" w:rsidR="00E52E1B" w:rsidRDefault="00E52E1B" w:rsidP="00AC100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ADFB4C" w14:textId="77777777" w:rsidR="00E52E1B" w:rsidRDefault="00E52E1B" w:rsidP="00D00FF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196489" w14:textId="77777777" w:rsidR="00E52E1B" w:rsidRDefault="00E52E1B" w:rsidP="00AC100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33</w:t>
    </w:r>
    <w:r>
      <w:rPr>
        <w:rStyle w:val="PageNumber"/>
      </w:rPr>
      <w:fldChar w:fldCharType="end"/>
    </w:r>
  </w:p>
  <w:p w14:paraId="6948CA58" w14:textId="51D8B8E9" w:rsidR="00E52E1B" w:rsidRDefault="00E52E1B" w:rsidP="00D00FFE">
    <w:pP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8FB7DC" w14:textId="77777777" w:rsidR="00F56998" w:rsidRDefault="00F56998">
      <w:pPr>
        <w:spacing w:line="240" w:lineRule="auto"/>
      </w:pPr>
      <w:r>
        <w:separator/>
      </w:r>
    </w:p>
  </w:footnote>
  <w:footnote w:type="continuationSeparator" w:id="0">
    <w:p w14:paraId="2EFFCCE8" w14:textId="77777777" w:rsidR="00F56998" w:rsidRDefault="00F5699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086ABF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2B01460"/>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24669ED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FB8CE706"/>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FF8D9A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50E27772"/>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E13A317E"/>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FA22754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495CB58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AB08D1C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32AE938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FD76846"/>
    <w:multiLevelType w:val="multilevel"/>
    <w:tmpl w:val="10588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7F2FD0"/>
    <w:multiLevelType w:val="multilevel"/>
    <w:tmpl w:val="02724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9431D4"/>
    <w:multiLevelType w:val="hybridMultilevel"/>
    <w:tmpl w:val="50089B70"/>
    <w:lvl w:ilvl="0" w:tplc="6EB2FBF4">
      <w:start w:val="3"/>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8437AC"/>
    <w:multiLevelType w:val="multilevel"/>
    <w:tmpl w:val="17127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3D26BB3"/>
    <w:multiLevelType w:val="multilevel"/>
    <w:tmpl w:val="F8EE5C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D140B46"/>
    <w:multiLevelType w:val="multilevel"/>
    <w:tmpl w:val="416E9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8FA1AED"/>
    <w:multiLevelType w:val="multilevel"/>
    <w:tmpl w:val="788E7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8A5189F"/>
    <w:multiLevelType w:val="multilevel"/>
    <w:tmpl w:val="6494F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 w:numId="4">
    <w:abstractNumId w:val="3"/>
  </w:num>
  <w:num w:numId="5">
    <w:abstractNumId w:val="4"/>
  </w:num>
  <w:num w:numId="6">
    <w:abstractNumId w:val="9"/>
  </w:num>
  <w:num w:numId="7">
    <w:abstractNumId w:val="5"/>
  </w:num>
  <w:num w:numId="8">
    <w:abstractNumId w:val="6"/>
  </w:num>
  <w:num w:numId="9">
    <w:abstractNumId w:val="7"/>
  </w:num>
  <w:num w:numId="10">
    <w:abstractNumId w:val="8"/>
  </w:num>
  <w:num w:numId="11">
    <w:abstractNumId w:val="10"/>
  </w:num>
  <w:num w:numId="12">
    <w:abstractNumId w:val="13"/>
  </w:num>
  <w:num w:numId="13">
    <w:abstractNumId w:val="15"/>
  </w:num>
  <w:num w:numId="14">
    <w:abstractNumId w:val="14"/>
  </w:num>
  <w:num w:numId="15">
    <w:abstractNumId w:val="16"/>
  </w:num>
  <w:num w:numId="16">
    <w:abstractNumId w:val="18"/>
  </w:num>
  <w:num w:numId="17">
    <w:abstractNumId w:val="11"/>
  </w:num>
  <w:num w:numId="18">
    <w:abstractNumId w:val="17"/>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60D"/>
    <w:rsid w:val="00000622"/>
    <w:rsid w:val="0000147D"/>
    <w:rsid w:val="000019C1"/>
    <w:rsid w:val="00002128"/>
    <w:rsid w:val="00003910"/>
    <w:rsid w:val="000049AB"/>
    <w:rsid w:val="00006F12"/>
    <w:rsid w:val="00007901"/>
    <w:rsid w:val="00010748"/>
    <w:rsid w:val="00012747"/>
    <w:rsid w:val="00013A64"/>
    <w:rsid w:val="00014283"/>
    <w:rsid w:val="0001481F"/>
    <w:rsid w:val="0001709E"/>
    <w:rsid w:val="000170C4"/>
    <w:rsid w:val="00017FDC"/>
    <w:rsid w:val="00020102"/>
    <w:rsid w:val="00020902"/>
    <w:rsid w:val="00022BED"/>
    <w:rsid w:val="000230D8"/>
    <w:rsid w:val="00023366"/>
    <w:rsid w:val="00023731"/>
    <w:rsid w:val="000261E7"/>
    <w:rsid w:val="000263BA"/>
    <w:rsid w:val="00031530"/>
    <w:rsid w:val="000336E7"/>
    <w:rsid w:val="00034F7D"/>
    <w:rsid w:val="00041E87"/>
    <w:rsid w:val="00046E79"/>
    <w:rsid w:val="000479B6"/>
    <w:rsid w:val="000501AD"/>
    <w:rsid w:val="0005033A"/>
    <w:rsid w:val="000514D9"/>
    <w:rsid w:val="00054569"/>
    <w:rsid w:val="00055017"/>
    <w:rsid w:val="000575D9"/>
    <w:rsid w:val="00060A37"/>
    <w:rsid w:val="000629AD"/>
    <w:rsid w:val="000648CA"/>
    <w:rsid w:val="00065F89"/>
    <w:rsid w:val="00067CB5"/>
    <w:rsid w:val="00070EC1"/>
    <w:rsid w:val="0007429D"/>
    <w:rsid w:val="000747FF"/>
    <w:rsid w:val="00075696"/>
    <w:rsid w:val="000757BC"/>
    <w:rsid w:val="00076B27"/>
    <w:rsid w:val="00076CC2"/>
    <w:rsid w:val="00076E63"/>
    <w:rsid w:val="000816A8"/>
    <w:rsid w:val="00082AE2"/>
    <w:rsid w:val="00084021"/>
    <w:rsid w:val="000845ED"/>
    <w:rsid w:val="00091819"/>
    <w:rsid w:val="00092D40"/>
    <w:rsid w:val="00093924"/>
    <w:rsid w:val="00093BCF"/>
    <w:rsid w:val="00093FD1"/>
    <w:rsid w:val="000A23AE"/>
    <w:rsid w:val="000A3F76"/>
    <w:rsid w:val="000A5102"/>
    <w:rsid w:val="000B0D36"/>
    <w:rsid w:val="000B1526"/>
    <w:rsid w:val="000B684A"/>
    <w:rsid w:val="000B68D7"/>
    <w:rsid w:val="000B7CAB"/>
    <w:rsid w:val="000C0CDE"/>
    <w:rsid w:val="000C36CC"/>
    <w:rsid w:val="000C3B4A"/>
    <w:rsid w:val="000C4042"/>
    <w:rsid w:val="000C5F8E"/>
    <w:rsid w:val="000C6471"/>
    <w:rsid w:val="000C6870"/>
    <w:rsid w:val="000C7F36"/>
    <w:rsid w:val="000D0484"/>
    <w:rsid w:val="000D279C"/>
    <w:rsid w:val="000D4C54"/>
    <w:rsid w:val="000E11A3"/>
    <w:rsid w:val="000F3622"/>
    <w:rsid w:val="000F3A00"/>
    <w:rsid w:val="000F44DD"/>
    <w:rsid w:val="000F4893"/>
    <w:rsid w:val="000F619E"/>
    <w:rsid w:val="001052FF"/>
    <w:rsid w:val="00113660"/>
    <w:rsid w:val="0011494C"/>
    <w:rsid w:val="001165E2"/>
    <w:rsid w:val="00120164"/>
    <w:rsid w:val="00122086"/>
    <w:rsid w:val="00127241"/>
    <w:rsid w:val="00130422"/>
    <w:rsid w:val="00130F73"/>
    <w:rsid w:val="00131FD1"/>
    <w:rsid w:val="001324AC"/>
    <w:rsid w:val="001325A6"/>
    <w:rsid w:val="00133858"/>
    <w:rsid w:val="00133DB0"/>
    <w:rsid w:val="00134057"/>
    <w:rsid w:val="00134EA6"/>
    <w:rsid w:val="001356F1"/>
    <w:rsid w:val="0013766C"/>
    <w:rsid w:val="00140164"/>
    <w:rsid w:val="001401E2"/>
    <w:rsid w:val="001412AE"/>
    <w:rsid w:val="00150460"/>
    <w:rsid w:val="00152BB7"/>
    <w:rsid w:val="00152E86"/>
    <w:rsid w:val="0015334F"/>
    <w:rsid w:val="00153ABB"/>
    <w:rsid w:val="00154C93"/>
    <w:rsid w:val="00160FCD"/>
    <w:rsid w:val="00161157"/>
    <w:rsid w:val="00164402"/>
    <w:rsid w:val="00164D25"/>
    <w:rsid w:val="00165600"/>
    <w:rsid w:val="00170579"/>
    <w:rsid w:val="001705E5"/>
    <w:rsid w:val="001717C8"/>
    <w:rsid w:val="001721EF"/>
    <w:rsid w:val="00175BE4"/>
    <w:rsid w:val="00177DFC"/>
    <w:rsid w:val="0018741B"/>
    <w:rsid w:val="00187EDE"/>
    <w:rsid w:val="001907ED"/>
    <w:rsid w:val="00192510"/>
    <w:rsid w:val="00193167"/>
    <w:rsid w:val="0019458F"/>
    <w:rsid w:val="00195034"/>
    <w:rsid w:val="00195094"/>
    <w:rsid w:val="001956C7"/>
    <w:rsid w:val="00197C5F"/>
    <w:rsid w:val="00197DDB"/>
    <w:rsid w:val="001A0156"/>
    <w:rsid w:val="001A12B1"/>
    <w:rsid w:val="001A4ACE"/>
    <w:rsid w:val="001A5E90"/>
    <w:rsid w:val="001A7D5E"/>
    <w:rsid w:val="001B3835"/>
    <w:rsid w:val="001B6239"/>
    <w:rsid w:val="001B697B"/>
    <w:rsid w:val="001B756B"/>
    <w:rsid w:val="001C0C91"/>
    <w:rsid w:val="001C1CE2"/>
    <w:rsid w:val="001C262C"/>
    <w:rsid w:val="001C26D6"/>
    <w:rsid w:val="001C3AF3"/>
    <w:rsid w:val="001C576F"/>
    <w:rsid w:val="001C5D2A"/>
    <w:rsid w:val="001C722A"/>
    <w:rsid w:val="001D05CB"/>
    <w:rsid w:val="001D3B0E"/>
    <w:rsid w:val="001D50F4"/>
    <w:rsid w:val="001E3204"/>
    <w:rsid w:val="001E46DB"/>
    <w:rsid w:val="001E7EDF"/>
    <w:rsid w:val="001F3825"/>
    <w:rsid w:val="001F4AD7"/>
    <w:rsid w:val="001F5370"/>
    <w:rsid w:val="001F654D"/>
    <w:rsid w:val="0020023D"/>
    <w:rsid w:val="00200614"/>
    <w:rsid w:val="0020076C"/>
    <w:rsid w:val="00201FD3"/>
    <w:rsid w:val="0020358B"/>
    <w:rsid w:val="0020369C"/>
    <w:rsid w:val="00204E01"/>
    <w:rsid w:val="00205F04"/>
    <w:rsid w:val="00211E90"/>
    <w:rsid w:val="00212F75"/>
    <w:rsid w:val="00215CB1"/>
    <w:rsid w:val="00222893"/>
    <w:rsid w:val="00223909"/>
    <w:rsid w:val="00225EA8"/>
    <w:rsid w:val="00225F3C"/>
    <w:rsid w:val="002277A6"/>
    <w:rsid w:val="00230859"/>
    <w:rsid w:val="0023109F"/>
    <w:rsid w:val="00231DA9"/>
    <w:rsid w:val="0023772B"/>
    <w:rsid w:val="00237F63"/>
    <w:rsid w:val="00240626"/>
    <w:rsid w:val="002407BB"/>
    <w:rsid w:val="0024187B"/>
    <w:rsid w:val="00241F23"/>
    <w:rsid w:val="00246474"/>
    <w:rsid w:val="00253A86"/>
    <w:rsid w:val="00253AC0"/>
    <w:rsid w:val="00256B38"/>
    <w:rsid w:val="00257034"/>
    <w:rsid w:val="00261D16"/>
    <w:rsid w:val="00262AB6"/>
    <w:rsid w:val="00262E9B"/>
    <w:rsid w:val="00265FAA"/>
    <w:rsid w:val="00266145"/>
    <w:rsid w:val="0026792B"/>
    <w:rsid w:val="00274CD7"/>
    <w:rsid w:val="00275624"/>
    <w:rsid w:val="00281BEA"/>
    <w:rsid w:val="00282EB2"/>
    <w:rsid w:val="00283170"/>
    <w:rsid w:val="00291598"/>
    <w:rsid w:val="00292B19"/>
    <w:rsid w:val="00293761"/>
    <w:rsid w:val="00295CAA"/>
    <w:rsid w:val="002A01D0"/>
    <w:rsid w:val="002A13C2"/>
    <w:rsid w:val="002A3D95"/>
    <w:rsid w:val="002A4340"/>
    <w:rsid w:val="002A4694"/>
    <w:rsid w:val="002A632B"/>
    <w:rsid w:val="002A79E0"/>
    <w:rsid w:val="002B1ECD"/>
    <w:rsid w:val="002B27BD"/>
    <w:rsid w:val="002B2A59"/>
    <w:rsid w:val="002B3DB8"/>
    <w:rsid w:val="002B6B90"/>
    <w:rsid w:val="002B7980"/>
    <w:rsid w:val="002C0D41"/>
    <w:rsid w:val="002C2DA0"/>
    <w:rsid w:val="002C30E5"/>
    <w:rsid w:val="002C7D12"/>
    <w:rsid w:val="002D1099"/>
    <w:rsid w:val="002D2313"/>
    <w:rsid w:val="002D3C74"/>
    <w:rsid w:val="002E333D"/>
    <w:rsid w:val="002E66CD"/>
    <w:rsid w:val="002E6722"/>
    <w:rsid w:val="002E6DDB"/>
    <w:rsid w:val="002F08E8"/>
    <w:rsid w:val="002F5C16"/>
    <w:rsid w:val="002F6D71"/>
    <w:rsid w:val="002F7BBA"/>
    <w:rsid w:val="00305132"/>
    <w:rsid w:val="00305975"/>
    <w:rsid w:val="0030630B"/>
    <w:rsid w:val="00307097"/>
    <w:rsid w:val="00312411"/>
    <w:rsid w:val="00314215"/>
    <w:rsid w:val="003151F0"/>
    <w:rsid w:val="00315FFC"/>
    <w:rsid w:val="003167BE"/>
    <w:rsid w:val="0031681A"/>
    <w:rsid w:val="00316EAB"/>
    <w:rsid w:val="00321248"/>
    <w:rsid w:val="00324281"/>
    <w:rsid w:val="00324D16"/>
    <w:rsid w:val="00325083"/>
    <w:rsid w:val="003269BD"/>
    <w:rsid w:val="003273E5"/>
    <w:rsid w:val="003303A1"/>
    <w:rsid w:val="0034084F"/>
    <w:rsid w:val="003422C8"/>
    <w:rsid w:val="00344E9E"/>
    <w:rsid w:val="00351C9B"/>
    <w:rsid w:val="00352C02"/>
    <w:rsid w:val="00356FA9"/>
    <w:rsid w:val="003604E0"/>
    <w:rsid w:val="00362915"/>
    <w:rsid w:val="00362925"/>
    <w:rsid w:val="0036368F"/>
    <w:rsid w:val="00364377"/>
    <w:rsid w:val="00364AD5"/>
    <w:rsid w:val="00364E60"/>
    <w:rsid w:val="003650F9"/>
    <w:rsid w:val="00366865"/>
    <w:rsid w:val="00366A5C"/>
    <w:rsid w:val="0036774C"/>
    <w:rsid w:val="00367CA6"/>
    <w:rsid w:val="00367F7E"/>
    <w:rsid w:val="00370A97"/>
    <w:rsid w:val="00370EF6"/>
    <w:rsid w:val="00372607"/>
    <w:rsid w:val="00373ED7"/>
    <w:rsid w:val="00374722"/>
    <w:rsid w:val="0037504C"/>
    <w:rsid w:val="00376199"/>
    <w:rsid w:val="00382F14"/>
    <w:rsid w:val="00384514"/>
    <w:rsid w:val="00384F10"/>
    <w:rsid w:val="00385B66"/>
    <w:rsid w:val="0038751A"/>
    <w:rsid w:val="00390BFE"/>
    <w:rsid w:val="00390C70"/>
    <w:rsid w:val="00391182"/>
    <w:rsid w:val="00397C18"/>
    <w:rsid w:val="003A01CB"/>
    <w:rsid w:val="003A0F08"/>
    <w:rsid w:val="003A2A9D"/>
    <w:rsid w:val="003A5A58"/>
    <w:rsid w:val="003A5E70"/>
    <w:rsid w:val="003B0C7F"/>
    <w:rsid w:val="003B11A9"/>
    <w:rsid w:val="003B141C"/>
    <w:rsid w:val="003B2FBB"/>
    <w:rsid w:val="003B32CC"/>
    <w:rsid w:val="003B399B"/>
    <w:rsid w:val="003B4E13"/>
    <w:rsid w:val="003B57F6"/>
    <w:rsid w:val="003B7B7F"/>
    <w:rsid w:val="003C161A"/>
    <w:rsid w:val="003C2028"/>
    <w:rsid w:val="003C6F07"/>
    <w:rsid w:val="003D09D4"/>
    <w:rsid w:val="003D466A"/>
    <w:rsid w:val="003D5240"/>
    <w:rsid w:val="003D6F42"/>
    <w:rsid w:val="003E09DD"/>
    <w:rsid w:val="003E0D00"/>
    <w:rsid w:val="003E10C0"/>
    <w:rsid w:val="003E16B4"/>
    <w:rsid w:val="003E1FF1"/>
    <w:rsid w:val="003E2A2B"/>
    <w:rsid w:val="003E51B6"/>
    <w:rsid w:val="003E6110"/>
    <w:rsid w:val="003E69EF"/>
    <w:rsid w:val="003E7657"/>
    <w:rsid w:val="003F06FD"/>
    <w:rsid w:val="003F10FC"/>
    <w:rsid w:val="003F2CF0"/>
    <w:rsid w:val="003F6530"/>
    <w:rsid w:val="003F68B9"/>
    <w:rsid w:val="003F747A"/>
    <w:rsid w:val="004025D4"/>
    <w:rsid w:val="00406A47"/>
    <w:rsid w:val="00407F76"/>
    <w:rsid w:val="00410728"/>
    <w:rsid w:val="00410953"/>
    <w:rsid w:val="00413AE5"/>
    <w:rsid w:val="00413F0D"/>
    <w:rsid w:val="00414374"/>
    <w:rsid w:val="00415F9A"/>
    <w:rsid w:val="00416F50"/>
    <w:rsid w:val="00416FFE"/>
    <w:rsid w:val="00420BAC"/>
    <w:rsid w:val="00421263"/>
    <w:rsid w:val="004227D3"/>
    <w:rsid w:val="00432282"/>
    <w:rsid w:val="0043284B"/>
    <w:rsid w:val="00432C71"/>
    <w:rsid w:val="0043541A"/>
    <w:rsid w:val="00435B05"/>
    <w:rsid w:val="00436CD7"/>
    <w:rsid w:val="00437422"/>
    <w:rsid w:val="00440AB3"/>
    <w:rsid w:val="00441F8C"/>
    <w:rsid w:val="0044210B"/>
    <w:rsid w:val="0044460F"/>
    <w:rsid w:val="0044492A"/>
    <w:rsid w:val="0044500B"/>
    <w:rsid w:val="00446725"/>
    <w:rsid w:val="00446D01"/>
    <w:rsid w:val="004476D1"/>
    <w:rsid w:val="00450418"/>
    <w:rsid w:val="004528E2"/>
    <w:rsid w:val="0045293D"/>
    <w:rsid w:val="00452EB2"/>
    <w:rsid w:val="004543B9"/>
    <w:rsid w:val="004557D4"/>
    <w:rsid w:val="00456C0D"/>
    <w:rsid w:val="0045763B"/>
    <w:rsid w:val="004577FD"/>
    <w:rsid w:val="00460382"/>
    <w:rsid w:val="00462596"/>
    <w:rsid w:val="00464CA3"/>
    <w:rsid w:val="00465705"/>
    <w:rsid w:val="004659D6"/>
    <w:rsid w:val="00465C92"/>
    <w:rsid w:val="0046772F"/>
    <w:rsid w:val="00471035"/>
    <w:rsid w:val="0047152D"/>
    <w:rsid w:val="00481710"/>
    <w:rsid w:val="00482091"/>
    <w:rsid w:val="00482220"/>
    <w:rsid w:val="00483001"/>
    <w:rsid w:val="00484A8E"/>
    <w:rsid w:val="0048513F"/>
    <w:rsid w:val="00486574"/>
    <w:rsid w:val="004866C2"/>
    <w:rsid w:val="00487172"/>
    <w:rsid w:val="00492641"/>
    <w:rsid w:val="0049545A"/>
    <w:rsid w:val="0049578B"/>
    <w:rsid w:val="00497170"/>
    <w:rsid w:val="004A10F9"/>
    <w:rsid w:val="004A2B95"/>
    <w:rsid w:val="004B15BF"/>
    <w:rsid w:val="004B3199"/>
    <w:rsid w:val="004B35B3"/>
    <w:rsid w:val="004B35D0"/>
    <w:rsid w:val="004B7D6A"/>
    <w:rsid w:val="004C1510"/>
    <w:rsid w:val="004C15DD"/>
    <w:rsid w:val="004C1BFC"/>
    <w:rsid w:val="004C2536"/>
    <w:rsid w:val="004C41FF"/>
    <w:rsid w:val="004C5443"/>
    <w:rsid w:val="004C6325"/>
    <w:rsid w:val="004C6E06"/>
    <w:rsid w:val="004D00E8"/>
    <w:rsid w:val="004D146D"/>
    <w:rsid w:val="004E1689"/>
    <w:rsid w:val="004E1ABC"/>
    <w:rsid w:val="004E3FBD"/>
    <w:rsid w:val="004E6EE5"/>
    <w:rsid w:val="004F056F"/>
    <w:rsid w:val="004F0E52"/>
    <w:rsid w:val="004F11D8"/>
    <w:rsid w:val="004F4C71"/>
    <w:rsid w:val="004F6E72"/>
    <w:rsid w:val="00503CE7"/>
    <w:rsid w:val="005057DF"/>
    <w:rsid w:val="00507F62"/>
    <w:rsid w:val="00511B1E"/>
    <w:rsid w:val="005128F1"/>
    <w:rsid w:val="00513232"/>
    <w:rsid w:val="00514102"/>
    <w:rsid w:val="00516721"/>
    <w:rsid w:val="0051762B"/>
    <w:rsid w:val="0052133F"/>
    <w:rsid w:val="00521EB7"/>
    <w:rsid w:val="00525C77"/>
    <w:rsid w:val="00530C85"/>
    <w:rsid w:val="00531D39"/>
    <w:rsid w:val="00531F44"/>
    <w:rsid w:val="005335F0"/>
    <w:rsid w:val="00533FF4"/>
    <w:rsid w:val="00534C3A"/>
    <w:rsid w:val="00534F85"/>
    <w:rsid w:val="00536ED3"/>
    <w:rsid w:val="005371AA"/>
    <w:rsid w:val="00537DFC"/>
    <w:rsid w:val="00541FF2"/>
    <w:rsid w:val="0054213F"/>
    <w:rsid w:val="005439EC"/>
    <w:rsid w:val="005443B6"/>
    <w:rsid w:val="0054458D"/>
    <w:rsid w:val="00546142"/>
    <w:rsid w:val="005475F5"/>
    <w:rsid w:val="00550168"/>
    <w:rsid w:val="005518D6"/>
    <w:rsid w:val="00553883"/>
    <w:rsid w:val="00554609"/>
    <w:rsid w:val="00554F79"/>
    <w:rsid w:val="0055554C"/>
    <w:rsid w:val="00555DA2"/>
    <w:rsid w:val="00556917"/>
    <w:rsid w:val="00556FBE"/>
    <w:rsid w:val="00560469"/>
    <w:rsid w:val="00560945"/>
    <w:rsid w:val="005641E2"/>
    <w:rsid w:val="0056602E"/>
    <w:rsid w:val="00566254"/>
    <w:rsid w:val="00566E34"/>
    <w:rsid w:val="00567169"/>
    <w:rsid w:val="00567862"/>
    <w:rsid w:val="00573C56"/>
    <w:rsid w:val="00574409"/>
    <w:rsid w:val="00574B50"/>
    <w:rsid w:val="00574C35"/>
    <w:rsid w:val="00575387"/>
    <w:rsid w:val="005802EE"/>
    <w:rsid w:val="00583159"/>
    <w:rsid w:val="00583D21"/>
    <w:rsid w:val="00586457"/>
    <w:rsid w:val="00586F6A"/>
    <w:rsid w:val="005879B2"/>
    <w:rsid w:val="005902FF"/>
    <w:rsid w:val="00591306"/>
    <w:rsid w:val="0059300C"/>
    <w:rsid w:val="00593295"/>
    <w:rsid w:val="005942C2"/>
    <w:rsid w:val="005949E6"/>
    <w:rsid w:val="005A0543"/>
    <w:rsid w:val="005A3BE1"/>
    <w:rsid w:val="005A3C93"/>
    <w:rsid w:val="005A43A6"/>
    <w:rsid w:val="005A5B7C"/>
    <w:rsid w:val="005A7921"/>
    <w:rsid w:val="005B1D33"/>
    <w:rsid w:val="005B545D"/>
    <w:rsid w:val="005B63D3"/>
    <w:rsid w:val="005C0927"/>
    <w:rsid w:val="005C127A"/>
    <w:rsid w:val="005C2838"/>
    <w:rsid w:val="005C576B"/>
    <w:rsid w:val="005C5B13"/>
    <w:rsid w:val="005C6CFA"/>
    <w:rsid w:val="005C732F"/>
    <w:rsid w:val="005D1870"/>
    <w:rsid w:val="005D205B"/>
    <w:rsid w:val="005D2AAF"/>
    <w:rsid w:val="005D2D55"/>
    <w:rsid w:val="005D4792"/>
    <w:rsid w:val="005D5136"/>
    <w:rsid w:val="005D5569"/>
    <w:rsid w:val="005D5CC4"/>
    <w:rsid w:val="005E1E67"/>
    <w:rsid w:val="005E23BA"/>
    <w:rsid w:val="005E621A"/>
    <w:rsid w:val="005E7120"/>
    <w:rsid w:val="005F000E"/>
    <w:rsid w:val="005F14CC"/>
    <w:rsid w:val="005F29B0"/>
    <w:rsid w:val="005F29EA"/>
    <w:rsid w:val="005F3B5B"/>
    <w:rsid w:val="005F40FD"/>
    <w:rsid w:val="005F4539"/>
    <w:rsid w:val="005F5C51"/>
    <w:rsid w:val="005F6AE8"/>
    <w:rsid w:val="00600C6D"/>
    <w:rsid w:val="0060130B"/>
    <w:rsid w:val="00601F6D"/>
    <w:rsid w:val="00602907"/>
    <w:rsid w:val="00604FF1"/>
    <w:rsid w:val="00606DE7"/>
    <w:rsid w:val="00607AAF"/>
    <w:rsid w:val="00607B99"/>
    <w:rsid w:val="00613028"/>
    <w:rsid w:val="006135F7"/>
    <w:rsid w:val="00614A5B"/>
    <w:rsid w:val="00614AB2"/>
    <w:rsid w:val="00617080"/>
    <w:rsid w:val="0062060D"/>
    <w:rsid w:val="00620E2D"/>
    <w:rsid w:val="00621415"/>
    <w:rsid w:val="0062335F"/>
    <w:rsid w:val="00626070"/>
    <w:rsid w:val="00630017"/>
    <w:rsid w:val="006302D8"/>
    <w:rsid w:val="006302E0"/>
    <w:rsid w:val="00630688"/>
    <w:rsid w:val="00632840"/>
    <w:rsid w:val="0063306A"/>
    <w:rsid w:val="006351C9"/>
    <w:rsid w:val="0064531C"/>
    <w:rsid w:val="0065049D"/>
    <w:rsid w:val="00650E37"/>
    <w:rsid w:val="00653B30"/>
    <w:rsid w:val="00653CE0"/>
    <w:rsid w:val="00653DA2"/>
    <w:rsid w:val="00653ED4"/>
    <w:rsid w:val="006549CF"/>
    <w:rsid w:val="0065770B"/>
    <w:rsid w:val="00657F55"/>
    <w:rsid w:val="00662C11"/>
    <w:rsid w:val="00667B4E"/>
    <w:rsid w:val="00670A0B"/>
    <w:rsid w:val="00674016"/>
    <w:rsid w:val="006749E8"/>
    <w:rsid w:val="00675478"/>
    <w:rsid w:val="006767BC"/>
    <w:rsid w:val="006770D7"/>
    <w:rsid w:val="00677E4E"/>
    <w:rsid w:val="006803D6"/>
    <w:rsid w:val="006812A1"/>
    <w:rsid w:val="006859B9"/>
    <w:rsid w:val="0068692D"/>
    <w:rsid w:val="00690190"/>
    <w:rsid w:val="006914A9"/>
    <w:rsid w:val="006915B8"/>
    <w:rsid w:val="00695B85"/>
    <w:rsid w:val="00696D89"/>
    <w:rsid w:val="006973DE"/>
    <w:rsid w:val="006A0560"/>
    <w:rsid w:val="006A0E7D"/>
    <w:rsid w:val="006A1A3B"/>
    <w:rsid w:val="006A2FA1"/>
    <w:rsid w:val="006A3A9A"/>
    <w:rsid w:val="006B11E9"/>
    <w:rsid w:val="006B2524"/>
    <w:rsid w:val="006B26BA"/>
    <w:rsid w:val="006B470C"/>
    <w:rsid w:val="006B69A0"/>
    <w:rsid w:val="006C03EC"/>
    <w:rsid w:val="006C0883"/>
    <w:rsid w:val="006C2673"/>
    <w:rsid w:val="006C309C"/>
    <w:rsid w:val="006C314D"/>
    <w:rsid w:val="006C44C1"/>
    <w:rsid w:val="006C5E53"/>
    <w:rsid w:val="006C6534"/>
    <w:rsid w:val="006D0BE5"/>
    <w:rsid w:val="006D1806"/>
    <w:rsid w:val="006D1D73"/>
    <w:rsid w:val="006D3E46"/>
    <w:rsid w:val="006D3F73"/>
    <w:rsid w:val="006D5202"/>
    <w:rsid w:val="006D56F5"/>
    <w:rsid w:val="006E0FCF"/>
    <w:rsid w:val="006E1CA4"/>
    <w:rsid w:val="006E37D8"/>
    <w:rsid w:val="006E704F"/>
    <w:rsid w:val="006E7E16"/>
    <w:rsid w:val="006F01CF"/>
    <w:rsid w:val="006F096B"/>
    <w:rsid w:val="006F3E55"/>
    <w:rsid w:val="006F4160"/>
    <w:rsid w:val="006F72D1"/>
    <w:rsid w:val="006F7E48"/>
    <w:rsid w:val="00702478"/>
    <w:rsid w:val="007038C2"/>
    <w:rsid w:val="00705284"/>
    <w:rsid w:val="00710097"/>
    <w:rsid w:val="0071339B"/>
    <w:rsid w:val="00713487"/>
    <w:rsid w:val="007143CD"/>
    <w:rsid w:val="00716D4B"/>
    <w:rsid w:val="00716DA4"/>
    <w:rsid w:val="00721BDB"/>
    <w:rsid w:val="00723A52"/>
    <w:rsid w:val="0073109C"/>
    <w:rsid w:val="007320CD"/>
    <w:rsid w:val="0073435F"/>
    <w:rsid w:val="00734BDC"/>
    <w:rsid w:val="00745F5E"/>
    <w:rsid w:val="00750850"/>
    <w:rsid w:val="00753539"/>
    <w:rsid w:val="007601CE"/>
    <w:rsid w:val="007619A6"/>
    <w:rsid w:val="00762C7E"/>
    <w:rsid w:val="00766188"/>
    <w:rsid w:val="00766E18"/>
    <w:rsid w:val="00766E6D"/>
    <w:rsid w:val="007712B6"/>
    <w:rsid w:val="007715DD"/>
    <w:rsid w:val="007726BD"/>
    <w:rsid w:val="007740A0"/>
    <w:rsid w:val="00775A9E"/>
    <w:rsid w:val="00775AB5"/>
    <w:rsid w:val="00775CFC"/>
    <w:rsid w:val="00777AE8"/>
    <w:rsid w:val="00780F88"/>
    <w:rsid w:val="00784774"/>
    <w:rsid w:val="00787443"/>
    <w:rsid w:val="00790429"/>
    <w:rsid w:val="00790BBB"/>
    <w:rsid w:val="00791457"/>
    <w:rsid w:val="00793D58"/>
    <w:rsid w:val="00793F22"/>
    <w:rsid w:val="00797764"/>
    <w:rsid w:val="007A07B7"/>
    <w:rsid w:val="007A2847"/>
    <w:rsid w:val="007A354E"/>
    <w:rsid w:val="007A511E"/>
    <w:rsid w:val="007A6628"/>
    <w:rsid w:val="007B0CA4"/>
    <w:rsid w:val="007B11FD"/>
    <w:rsid w:val="007B1964"/>
    <w:rsid w:val="007B1AA1"/>
    <w:rsid w:val="007B1F92"/>
    <w:rsid w:val="007B52B8"/>
    <w:rsid w:val="007C0B0B"/>
    <w:rsid w:val="007C0CD7"/>
    <w:rsid w:val="007C0E07"/>
    <w:rsid w:val="007C1E18"/>
    <w:rsid w:val="007C1F96"/>
    <w:rsid w:val="007C227F"/>
    <w:rsid w:val="007C3EAD"/>
    <w:rsid w:val="007C4488"/>
    <w:rsid w:val="007C5C08"/>
    <w:rsid w:val="007C5E50"/>
    <w:rsid w:val="007C5FD1"/>
    <w:rsid w:val="007C6287"/>
    <w:rsid w:val="007D079E"/>
    <w:rsid w:val="007D1513"/>
    <w:rsid w:val="007D63BD"/>
    <w:rsid w:val="007E04FD"/>
    <w:rsid w:val="007E064F"/>
    <w:rsid w:val="007E1A5F"/>
    <w:rsid w:val="007E263D"/>
    <w:rsid w:val="007E2F64"/>
    <w:rsid w:val="007E5890"/>
    <w:rsid w:val="007E5EFE"/>
    <w:rsid w:val="007E7B35"/>
    <w:rsid w:val="007F25F5"/>
    <w:rsid w:val="007F2EA6"/>
    <w:rsid w:val="007F3D4C"/>
    <w:rsid w:val="007F5D46"/>
    <w:rsid w:val="007F6794"/>
    <w:rsid w:val="007F6B1F"/>
    <w:rsid w:val="00800FCF"/>
    <w:rsid w:val="00802893"/>
    <w:rsid w:val="00806E0D"/>
    <w:rsid w:val="0080705F"/>
    <w:rsid w:val="008117C5"/>
    <w:rsid w:val="00812093"/>
    <w:rsid w:val="008121FB"/>
    <w:rsid w:val="00812C70"/>
    <w:rsid w:val="00813F71"/>
    <w:rsid w:val="00814FAF"/>
    <w:rsid w:val="00817887"/>
    <w:rsid w:val="0082023E"/>
    <w:rsid w:val="008219FC"/>
    <w:rsid w:val="00823E37"/>
    <w:rsid w:val="008241F1"/>
    <w:rsid w:val="00824CFA"/>
    <w:rsid w:val="0082587B"/>
    <w:rsid w:val="00826F21"/>
    <w:rsid w:val="00827DBD"/>
    <w:rsid w:val="0083120F"/>
    <w:rsid w:val="00832F7D"/>
    <w:rsid w:val="00836475"/>
    <w:rsid w:val="00845D71"/>
    <w:rsid w:val="00845E0C"/>
    <w:rsid w:val="00846193"/>
    <w:rsid w:val="008462E2"/>
    <w:rsid w:val="0084632A"/>
    <w:rsid w:val="0084700C"/>
    <w:rsid w:val="00851681"/>
    <w:rsid w:val="00852198"/>
    <w:rsid w:val="008528FF"/>
    <w:rsid w:val="00855A6C"/>
    <w:rsid w:val="00855C04"/>
    <w:rsid w:val="00856862"/>
    <w:rsid w:val="0085738F"/>
    <w:rsid w:val="00860781"/>
    <w:rsid w:val="00864AB1"/>
    <w:rsid w:val="008656A6"/>
    <w:rsid w:val="00871081"/>
    <w:rsid w:val="008712B7"/>
    <w:rsid w:val="00873248"/>
    <w:rsid w:val="008746D8"/>
    <w:rsid w:val="0087561F"/>
    <w:rsid w:val="008771EB"/>
    <w:rsid w:val="00880C98"/>
    <w:rsid w:val="00880E9E"/>
    <w:rsid w:val="0088144A"/>
    <w:rsid w:val="00881931"/>
    <w:rsid w:val="008837DA"/>
    <w:rsid w:val="00883E23"/>
    <w:rsid w:val="0088527F"/>
    <w:rsid w:val="00885FC7"/>
    <w:rsid w:val="00891925"/>
    <w:rsid w:val="00891CBC"/>
    <w:rsid w:val="00892ABA"/>
    <w:rsid w:val="00893A0B"/>
    <w:rsid w:val="008A0F1D"/>
    <w:rsid w:val="008A2114"/>
    <w:rsid w:val="008A2966"/>
    <w:rsid w:val="008A3710"/>
    <w:rsid w:val="008A4FC2"/>
    <w:rsid w:val="008A76FB"/>
    <w:rsid w:val="008A7DCA"/>
    <w:rsid w:val="008B12C4"/>
    <w:rsid w:val="008B2D60"/>
    <w:rsid w:val="008B3411"/>
    <w:rsid w:val="008B5D70"/>
    <w:rsid w:val="008B70F2"/>
    <w:rsid w:val="008B7CD4"/>
    <w:rsid w:val="008C1E3D"/>
    <w:rsid w:val="008C2C44"/>
    <w:rsid w:val="008C4183"/>
    <w:rsid w:val="008C4E20"/>
    <w:rsid w:val="008C539F"/>
    <w:rsid w:val="008C6CBF"/>
    <w:rsid w:val="008C6ED2"/>
    <w:rsid w:val="008D3FD7"/>
    <w:rsid w:val="008D6AD8"/>
    <w:rsid w:val="008D6B97"/>
    <w:rsid w:val="008D6EF5"/>
    <w:rsid w:val="008D7AF1"/>
    <w:rsid w:val="008E34AD"/>
    <w:rsid w:val="008E3C32"/>
    <w:rsid w:val="008E4D2F"/>
    <w:rsid w:val="008F5C9F"/>
    <w:rsid w:val="008F7405"/>
    <w:rsid w:val="008F7F47"/>
    <w:rsid w:val="00900B33"/>
    <w:rsid w:val="0090238E"/>
    <w:rsid w:val="00902BCD"/>
    <w:rsid w:val="009041F1"/>
    <w:rsid w:val="0091029B"/>
    <w:rsid w:val="00912B48"/>
    <w:rsid w:val="0091683D"/>
    <w:rsid w:val="0091698F"/>
    <w:rsid w:val="00917FEB"/>
    <w:rsid w:val="00924123"/>
    <w:rsid w:val="00934298"/>
    <w:rsid w:val="00934F72"/>
    <w:rsid w:val="00935F61"/>
    <w:rsid w:val="009369D9"/>
    <w:rsid w:val="00937235"/>
    <w:rsid w:val="00937AE4"/>
    <w:rsid w:val="00941394"/>
    <w:rsid w:val="00942934"/>
    <w:rsid w:val="00944224"/>
    <w:rsid w:val="00945261"/>
    <w:rsid w:val="009521AD"/>
    <w:rsid w:val="00954B26"/>
    <w:rsid w:val="00955BD3"/>
    <w:rsid w:val="00956180"/>
    <w:rsid w:val="00956771"/>
    <w:rsid w:val="009573BF"/>
    <w:rsid w:val="00957982"/>
    <w:rsid w:val="00962EFD"/>
    <w:rsid w:val="00964F3F"/>
    <w:rsid w:val="00966A6F"/>
    <w:rsid w:val="00970D21"/>
    <w:rsid w:val="00971FC4"/>
    <w:rsid w:val="009758E2"/>
    <w:rsid w:val="00975E9F"/>
    <w:rsid w:val="0097652F"/>
    <w:rsid w:val="00977838"/>
    <w:rsid w:val="00982D7D"/>
    <w:rsid w:val="00983E75"/>
    <w:rsid w:val="00986781"/>
    <w:rsid w:val="00986B36"/>
    <w:rsid w:val="00987C06"/>
    <w:rsid w:val="009915BD"/>
    <w:rsid w:val="0099258D"/>
    <w:rsid w:val="00995A9D"/>
    <w:rsid w:val="00997605"/>
    <w:rsid w:val="009A0E48"/>
    <w:rsid w:val="009A2EE1"/>
    <w:rsid w:val="009A3035"/>
    <w:rsid w:val="009A337E"/>
    <w:rsid w:val="009A55A7"/>
    <w:rsid w:val="009A6CED"/>
    <w:rsid w:val="009A78D5"/>
    <w:rsid w:val="009A7D95"/>
    <w:rsid w:val="009B4AB8"/>
    <w:rsid w:val="009B4E81"/>
    <w:rsid w:val="009C3688"/>
    <w:rsid w:val="009C441A"/>
    <w:rsid w:val="009C500B"/>
    <w:rsid w:val="009C541B"/>
    <w:rsid w:val="009C5F26"/>
    <w:rsid w:val="009C6BC6"/>
    <w:rsid w:val="009D28F7"/>
    <w:rsid w:val="009D3BDA"/>
    <w:rsid w:val="009D7126"/>
    <w:rsid w:val="009D719D"/>
    <w:rsid w:val="009D7AB4"/>
    <w:rsid w:val="009E02EA"/>
    <w:rsid w:val="009E0596"/>
    <w:rsid w:val="009E16DC"/>
    <w:rsid w:val="009E2190"/>
    <w:rsid w:val="009E706A"/>
    <w:rsid w:val="009E7B88"/>
    <w:rsid w:val="009F161B"/>
    <w:rsid w:val="009F57FC"/>
    <w:rsid w:val="009F6D1A"/>
    <w:rsid w:val="00A00B4A"/>
    <w:rsid w:val="00A00E74"/>
    <w:rsid w:val="00A00FE5"/>
    <w:rsid w:val="00A03245"/>
    <w:rsid w:val="00A03500"/>
    <w:rsid w:val="00A03F1E"/>
    <w:rsid w:val="00A04638"/>
    <w:rsid w:val="00A078E6"/>
    <w:rsid w:val="00A07C5A"/>
    <w:rsid w:val="00A12FA0"/>
    <w:rsid w:val="00A15E60"/>
    <w:rsid w:val="00A208EF"/>
    <w:rsid w:val="00A21D67"/>
    <w:rsid w:val="00A23BCB"/>
    <w:rsid w:val="00A2550C"/>
    <w:rsid w:val="00A3069C"/>
    <w:rsid w:val="00A341E0"/>
    <w:rsid w:val="00A343BE"/>
    <w:rsid w:val="00A37284"/>
    <w:rsid w:val="00A43C68"/>
    <w:rsid w:val="00A449B4"/>
    <w:rsid w:val="00A46BCF"/>
    <w:rsid w:val="00A47239"/>
    <w:rsid w:val="00A502F4"/>
    <w:rsid w:val="00A54234"/>
    <w:rsid w:val="00A5428F"/>
    <w:rsid w:val="00A57C0A"/>
    <w:rsid w:val="00A6035A"/>
    <w:rsid w:val="00A6120F"/>
    <w:rsid w:val="00A6158A"/>
    <w:rsid w:val="00A62276"/>
    <w:rsid w:val="00A6473B"/>
    <w:rsid w:val="00A66B50"/>
    <w:rsid w:val="00A7080C"/>
    <w:rsid w:val="00A7132E"/>
    <w:rsid w:val="00A7248E"/>
    <w:rsid w:val="00A72800"/>
    <w:rsid w:val="00A825ED"/>
    <w:rsid w:val="00A847E3"/>
    <w:rsid w:val="00A849ED"/>
    <w:rsid w:val="00A93164"/>
    <w:rsid w:val="00A943B9"/>
    <w:rsid w:val="00A94ACC"/>
    <w:rsid w:val="00A94E93"/>
    <w:rsid w:val="00AA1DF2"/>
    <w:rsid w:val="00AA6083"/>
    <w:rsid w:val="00AA681F"/>
    <w:rsid w:val="00AA742A"/>
    <w:rsid w:val="00AB10F8"/>
    <w:rsid w:val="00AB31FE"/>
    <w:rsid w:val="00AB3FFB"/>
    <w:rsid w:val="00AB48AE"/>
    <w:rsid w:val="00AB4AC5"/>
    <w:rsid w:val="00AC100A"/>
    <w:rsid w:val="00AC3D73"/>
    <w:rsid w:val="00AC5555"/>
    <w:rsid w:val="00AC75B9"/>
    <w:rsid w:val="00AD11A5"/>
    <w:rsid w:val="00AD2317"/>
    <w:rsid w:val="00AD5427"/>
    <w:rsid w:val="00AD6BC2"/>
    <w:rsid w:val="00AD6C4F"/>
    <w:rsid w:val="00AE1777"/>
    <w:rsid w:val="00AE2564"/>
    <w:rsid w:val="00AE275B"/>
    <w:rsid w:val="00AE2F44"/>
    <w:rsid w:val="00AE3FCA"/>
    <w:rsid w:val="00AE4981"/>
    <w:rsid w:val="00AE4AFE"/>
    <w:rsid w:val="00AF25EF"/>
    <w:rsid w:val="00AF37BB"/>
    <w:rsid w:val="00AF45FC"/>
    <w:rsid w:val="00AF5963"/>
    <w:rsid w:val="00AF6177"/>
    <w:rsid w:val="00AF7A52"/>
    <w:rsid w:val="00B00B3D"/>
    <w:rsid w:val="00B0284D"/>
    <w:rsid w:val="00B02C69"/>
    <w:rsid w:val="00B043D3"/>
    <w:rsid w:val="00B047B1"/>
    <w:rsid w:val="00B109C7"/>
    <w:rsid w:val="00B11017"/>
    <w:rsid w:val="00B12A2B"/>
    <w:rsid w:val="00B1653E"/>
    <w:rsid w:val="00B16E30"/>
    <w:rsid w:val="00B21978"/>
    <w:rsid w:val="00B25EF7"/>
    <w:rsid w:val="00B2602B"/>
    <w:rsid w:val="00B26501"/>
    <w:rsid w:val="00B315D3"/>
    <w:rsid w:val="00B33514"/>
    <w:rsid w:val="00B345D0"/>
    <w:rsid w:val="00B349AD"/>
    <w:rsid w:val="00B34D5A"/>
    <w:rsid w:val="00B36143"/>
    <w:rsid w:val="00B37729"/>
    <w:rsid w:val="00B403D0"/>
    <w:rsid w:val="00B41F52"/>
    <w:rsid w:val="00B4443F"/>
    <w:rsid w:val="00B45EE3"/>
    <w:rsid w:val="00B471FF"/>
    <w:rsid w:val="00B478F4"/>
    <w:rsid w:val="00B5094A"/>
    <w:rsid w:val="00B51238"/>
    <w:rsid w:val="00B5397E"/>
    <w:rsid w:val="00B5399D"/>
    <w:rsid w:val="00B5493D"/>
    <w:rsid w:val="00B55FC0"/>
    <w:rsid w:val="00B60172"/>
    <w:rsid w:val="00B62598"/>
    <w:rsid w:val="00B628DC"/>
    <w:rsid w:val="00B62E96"/>
    <w:rsid w:val="00B71F22"/>
    <w:rsid w:val="00B7394B"/>
    <w:rsid w:val="00B7460D"/>
    <w:rsid w:val="00B74809"/>
    <w:rsid w:val="00B82458"/>
    <w:rsid w:val="00B83B64"/>
    <w:rsid w:val="00B83DCB"/>
    <w:rsid w:val="00B83FC9"/>
    <w:rsid w:val="00B8430B"/>
    <w:rsid w:val="00B86342"/>
    <w:rsid w:val="00B871EE"/>
    <w:rsid w:val="00B87C51"/>
    <w:rsid w:val="00B9341A"/>
    <w:rsid w:val="00B936BC"/>
    <w:rsid w:val="00B94582"/>
    <w:rsid w:val="00B9588A"/>
    <w:rsid w:val="00B97712"/>
    <w:rsid w:val="00B97C64"/>
    <w:rsid w:val="00BA309F"/>
    <w:rsid w:val="00BA5E5E"/>
    <w:rsid w:val="00BB2368"/>
    <w:rsid w:val="00BB45A1"/>
    <w:rsid w:val="00BB5138"/>
    <w:rsid w:val="00BB6E72"/>
    <w:rsid w:val="00BC0392"/>
    <w:rsid w:val="00BC0C03"/>
    <w:rsid w:val="00BC1508"/>
    <w:rsid w:val="00BC16A4"/>
    <w:rsid w:val="00BC17B7"/>
    <w:rsid w:val="00BC3F8D"/>
    <w:rsid w:val="00BC5116"/>
    <w:rsid w:val="00BD08C0"/>
    <w:rsid w:val="00BD099C"/>
    <w:rsid w:val="00BD2EB2"/>
    <w:rsid w:val="00BD3D46"/>
    <w:rsid w:val="00BD3E16"/>
    <w:rsid w:val="00BE04D0"/>
    <w:rsid w:val="00BE0B7E"/>
    <w:rsid w:val="00BE3672"/>
    <w:rsid w:val="00BE3D1B"/>
    <w:rsid w:val="00BE404E"/>
    <w:rsid w:val="00BE72DE"/>
    <w:rsid w:val="00BF0AF2"/>
    <w:rsid w:val="00BF3D11"/>
    <w:rsid w:val="00BF51C8"/>
    <w:rsid w:val="00BF5221"/>
    <w:rsid w:val="00BF6F79"/>
    <w:rsid w:val="00C0084C"/>
    <w:rsid w:val="00C049BE"/>
    <w:rsid w:val="00C05182"/>
    <w:rsid w:val="00C06F19"/>
    <w:rsid w:val="00C07A63"/>
    <w:rsid w:val="00C117F6"/>
    <w:rsid w:val="00C139A1"/>
    <w:rsid w:val="00C14313"/>
    <w:rsid w:val="00C15D59"/>
    <w:rsid w:val="00C17DA2"/>
    <w:rsid w:val="00C206AD"/>
    <w:rsid w:val="00C22EEB"/>
    <w:rsid w:val="00C23F24"/>
    <w:rsid w:val="00C24964"/>
    <w:rsid w:val="00C2500F"/>
    <w:rsid w:val="00C2545A"/>
    <w:rsid w:val="00C2580E"/>
    <w:rsid w:val="00C25DC5"/>
    <w:rsid w:val="00C3019B"/>
    <w:rsid w:val="00C33553"/>
    <w:rsid w:val="00C33767"/>
    <w:rsid w:val="00C33F86"/>
    <w:rsid w:val="00C34C4D"/>
    <w:rsid w:val="00C36E4E"/>
    <w:rsid w:val="00C375AA"/>
    <w:rsid w:val="00C376A4"/>
    <w:rsid w:val="00C37B0E"/>
    <w:rsid w:val="00C40832"/>
    <w:rsid w:val="00C42649"/>
    <w:rsid w:val="00C44A04"/>
    <w:rsid w:val="00C454AB"/>
    <w:rsid w:val="00C50137"/>
    <w:rsid w:val="00C50D9D"/>
    <w:rsid w:val="00C513C5"/>
    <w:rsid w:val="00C51EBC"/>
    <w:rsid w:val="00C53486"/>
    <w:rsid w:val="00C547D1"/>
    <w:rsid w:val="00C56C81"/>
    <w:rsid w:val="00C576DA"/>
    <w:rsid w:val="00C5770B"/>
    <w:rsid w:val="00C578A2"/>
    <w:rsid w:val="00C6248D"/>
    <w:rsid w:val="00C65CAB"/>
    <w:rsid w:val="00C65DD7"/>
    <w:rsid w:val="00C65EE2"/>
    <w:rsid w:val="00C70540"/>
    <w:rsid w:val="00C72E33"/>
    <w:rsid w:val="00C7306A"/>
    <w:rsid w:val="00C733DE"/>
    <w:rsid w:val="00C738E2"/>
    <w:rsid w:val="00C743DF"/>
    <w:rsid w:val="00C77A61"/>
    <w:rsid w:val="00C8210A"/>
    <w:rsid w:val="00C82521"/>
    <w:rsid w:val="00C84E9D"/>
    <w:rsid w:val="00C84EDE"/>
    <w:rsid w:val="00C856E5"/>
    <w:rsid w:val="00C9378C"/>
    <w:rsid w:val="00C9471C"/>
    <w:rsid w:val="00C96F57"/>
    <w:rsid w:val="00CA069C"/>
    <w:rsid w:val="00CA3003"/>
    <w:rsid w:val="00CA397F"/>
    <w:rsid w:val="00CA546E"/>
    <w:rsid w:val="00CA5AA2"/>
    <w:rsid w:val="00CA6CBC"/>
    <w:rsid w:val="00CB21FA"/>
    <w:rsid w:val="00CB2200"/>
    <w:rsid w:val="00CB28AD"/>
    <w:rsid w:val="00CB2C50"/>
    <w:rsid w:val="00CB44EB"/>
    <w:rsid w:val="00CC0230"/>
    <w:rsid w:val="00CC02A4"/>
    <w:rsid w:val="00CC2AFC"/>
    <w:rsid w:val="00CC372B"/>
    <w:rsid w:val="00CC55F7"/>
    <w:rsid w:val="00CC71A5"/>
    <w:rsid w:val="00CC72C1"/>
    <w:rsid w:val="00CD202D"/>
    <w:rsid w:val="00CD20C9"/>
    <w:rsid w:val="00CD3667"/>
    <w:rsid w:val="00CD6C5E"/>
    <w:rsid w:val="00CE0F1C"/>
    <w:rsid w:val="00CE1409"/>
    <w:rsid w:val="00CE18C5"/>
    <w:rsid w:val="00CE3601"/>
    <w:rsid w:val="00CE3F30"/>
    <w:rsid w:val="00CE4CD0"/>
    <w:rsid w:val="00CE4F8B"/>
    <w:rsid w:val="00CE535F"/>
    <w:rsid w:val="00CE6E9C"/>
    <w:rsid w:val="00CF011F"/>
    <w:rsid w:val="00CF13BB"/>
    <w:rsid w:val="00CF64FC"/>
    <w:rsid w:val="00CF6A7F"/>
    <w:rsid w:val="00D00FFE"/>
    <w:rsid w:val="00D017F4"/>
    <w:rsid w:val="00D02A86"/>
    <w:rsid w:val="00D05BB4"/>
    <w:rsid w:val="00D07509"/>
    <w:rsid w:val="00D075DF"/>
    <w:rsid w:val="00D12B4C"/>
    <w:rsid w:val="00D14209"/>
    <w:rsid w:val="00D16D7B"/>
    <w:rsid w:val="00D21EDE"/>
    <w:rsid w:val="00D2287F"/>
    <w:rsid w:val="00D230CD"/>
    <w:rsid w:val="00D23371"/>
    <w:rsid w:val="00D23AE1"/>
    <w:rsid w:val="00D23D18"/>
    <w:rsid w:val="00D23FC8"/>
    <w:rsid w:val="00D24FCF"/>
    <w:rsid w:val="00D310CA"/>
    <w:rsid w:val="00D31316"/>
    <w:rsid w:val="00D31A66"/>
    <w:rsid w:val="00D33F1B"/>
    <w:rsid w:val="00D37B45"/>
    <w:rsid w:val="00D40686"/>
    <w:rsid w:val="00D427BA"/>
    <w:rsid w:val="00D44D25"/>
    <w:rsid w:val="00D4501F"/>
    <w:rsid w:val="00D46519"/>
    <w:rsid w:val="00D46728"/>
    <w:rsid w:val="00D47AAF"/>
    <w:rsid w:val="00D50ED4"/>
    <w:rsid w:val="00D51E63"/>
    <w:rsid w:val="00D53216"/>
    <w:rsid w:val="00D53C79"/>
    <w:rsid w:val="00D61BA4"/>
    <w:rsid w:val="00D64AC1"/>
    <w:rsid w:val="00D64DF6"/>
    <w:rsid w:val="00D656C9"/>
    <w:rsid w:val="00D65794"/>
    <w:rsid w:val="00D666E4"/>
    <w:rsid w:val="00D70EA4"/>
    <w:rsid w:val="00D71943"/>
    <w:rsid w:val="00D726CE"/>
    <w:rsid w:val="00D727CD"/>
    <w:rsid w:val="00D729A9"/>
    <w:rsid w:val="00D73BE7"/>
    <w:rsid w:val="00D807BD"/>
    <w:rsid w:val="00D8089B"/>
    <w:rsid w:val="00D808B4"/>
    <w:rsid w:val="00D8137E"/>
    <w:rsid w:val="00D81AAB"/>
    <w:rsid w:val="00D82269"/>
    <w:rsid w:val="00D83320"/>
    <w:rsid w:val="00D84F94"/>
    <w:rsid w:val="00D85499"/>
    <w:rsid w:val="00D87841"/>
    <w:rsid w:val="00D916FB"/>
    <w:rsid w:val="00D92125"/>
    <w:rsid w:val="00D9224B"/>
    <w:rsid w:val="00D9395E"/>
    <w:rsid w:val="00D94876"/>
    <w:rsid w:val="00DA01EC"/>
    <w:rsid w:val="00DA0FE2"/>
    <w:rsid w:val="00DA2C7B"/>
    <w:rsid w:val="00DA4C2B"/>
    <w:rsid w:val="00DA4E29"/>
    <w:rsid w:val="00DA5CD4"/>
    <w:rsid w:val="00DA6069"/>
    <w:rsid w:val="00DA6653"/>
    <w:rsid w:val="00DB01AB"/>
    <w:rsid w:val="00DB09A8"/>
    <w:rsid w:val="00DB0AEE"/>
    <w:rsid w:val="00DB1189"/>
    <w:rsid w:val="00DB31CD"/>
    <w:rsid w:val="00DB3C2D"/>
    <w:rsid w:val="00DB7E43"/>
    <w:rsid w:val="00DC1225"/>
    <w:rsid w:val="00DC1A5B"/>
    <w:rsid w:val="00DC27EB"/>
    <w:rsid w:val="00DC2AE4"/>
    <w:rsid w:val="00DC5709"/>
    <w:rsid w:val="00DD056E"/>
    <w:rsid w:val="00DD1643"/>
    <w:rsid w:val="00DD2F82"/>
    <w:rsid w:val="00DD33DD"/>
    <w:rsid w:val="00DD669E"/>
    <w:rsid w:val="00DE42B3"/>
    <w:rsid w:val="00DE5689"/>
    <w:rsid w:val="00DE623F"/>
    <w:rsid w:val="00DF423C"/>
    <w:rsid w:val="00E00B57"/>
    <w:rsid w:val="00E01D33"/>
    <w:rsid w:val="00E05128"/>
    <w:rsid w:val="00E070AA"/>
    <w:rsid w:val="00E07905"/>
    <w:rsid w:val="00E11283"/>
    <w:rsid w:val="00E1385D"/>
    <w:rsid w:val="00E1620B"/>
    <w:rsid w:val="00E16FE7"/>
    <w:rsid w:val="00E1718D"/>
    <w:rsid w:val="00E17DA8"/>
    <w:rsid w:val="00E17EB6"/>
    <w:rsid w:val="00E20488"/>
    <w:rsid w:val="00E2066B"/>
    <w:rsid w:val="00E23236"/>
    <w:rsid w:val="00E30D88"/>
    <w:rsid w:val="00E32692"/>
    <w:rsid w:val="00E33EB2"/>
    <w:rsid w:val="00E346B2"/>
    <w:rsid w:val="00E36D8C"/>
    <w:rsid w:val="00E425B4"/>
    <w:rsid w:val="00E461A2"/>
    <w:rsid w:val="00E47E58"/>
    <w:rsid w:val="00E51051"/>
    <w:rsid w:val="00E517A3"/>
    <w:rsid w:val="00E52E1B"/>
    <w:rsid w:val="00E55A76"/>
    <w:rsid w:val="00E55A8B"/>
    <w:rsid w:val="00E56777"/>
    <w:rsid w:val="00E573A3"/>
    <w:rsid w:val="00E5773E"/>
    <w:rsid w:val="00E6017D"/>
    <w:rsid w:val="00E60B1F"/>
    <w:rsid w:val="00E6265D"/>
    <w:rsid w:val="00E630D2"/>
    <w:rsid w:val="00E640A6"/>
    <w:rsid w:val="00E661B3"/>
    <w:rsid w:val="00E66EC3"/>
    <w:rsid w:val="00E71806"/>
    <w:rsid w:val="00E72F4E"/>
    <w:rsid w:val="00E73AC7"/>
    <w:rsid w:val="00E7613C"/>
    <w:rsid w:val="00E761FF"/>
    <w:rsid w:val="00E7676A"/>
    <w:rsid w:val="00E76DC3"/>
    <w:rsid w:val="00E77594"/>
    <w:rsid w:val="00E80ECF"/>
    <w:rsid w:val="00E8245A"/>
    <w:rsid w:val="00E83707"/>
    <w:rsid w:val="00E84A50"/>
    <w:rsid w:val="00E84D5A"/>
    <w:rsid w:val="00E87779"/>
    <w:rsid w:val="00E902BE"/>
    <w:rsid w:val="00E91C77"/>
    <w:rsid w:val="00E93E4D"/>
    <w:rsid w:val="00E94598"/>
    <w:rsid w:val="00EA6978"/>
    <w:rsid w:val="00EB156A"/>
    <w:rsid w:val="00EB303A"/>
    <w:rsid w:val="00EB3923"/>
    <w:rsid w:val="00EB5C7D"/>
    <w:rsid w:val="00EC3879"/>
    <w:rsid w:val="00EC5AA7"/>
    <w:rsid w:val="00EC5B1C"/>
    <w:rsid w:val="00EC7511"/>
    <w:rsid w:val="00EC78AB"/>
    <w:rsid w:val="00EC7BE2"/>
    <w:rsid w:val="00ED278C"/>
    <w:rsid w:val="00ED2844"/>
    <w:rsid w:val="00ED3D7C"/>
    <w:rsid w:val="00ED48BF"/>
    <w:rsid w:val="00ED4F08"/>
    <w:rsid w:val="00ED5A67"/>
    <w:rsid w:val="00EE0CEE"/>
    <w:rsid w:val="00EE3C65"/>
    <w:rsid w:val="00EE509C"/>
    <w:rsid w:val="00EF13E8"/>
    <w:rsid w:val="00EF5C1D"/>
    <w:rsid w:val="00EF64E9"/>
    <w:rsid w:val="00EF6ED3"/>
    <w:rsid w:val="00F00BF5"/>
    <w:rsid w:val="00F048CB"/>
    <w:rsid w:val="00F1174B"/>
    <w:rsid w:val="00F11FBF"/>
    <w:rsid w:val="00F12CE9"/>
    <w:rsid w:val="00F13A68"/>
    <w:rsid w:val="00F13FC9"/>
    <w:rsid w:val="00F141BE"/>
    <w:rsid w:val="00F225B2"/>
    <w:rsid w:val="00F25CF3"/>
    <w:rsid w:val="00F25F3C"/>
    <w:rsid w:val="00F26120"/>
    <w:rsid w:val="00F2764D"/>
    <w:rsid w:val="00F32CA6"/>
    <w:rsid w:val="00F338F7"/>
    <w:rsid w:val="00F3516D"/>
    <w:rsid w:val="00F35488"/>
    <w:rsid w:val="00F3574D"/>
    <w:rsid w:val="00F411F5"/>
    <w:rsid w:val="00F47661"/>
    <w:rsid w:val="00F516AF"/>
    <w:rsid w:val="00F533B4"/>
    <w:rsid w:val="00F5385F"/>
    <w:rsid w:val="00F53D27"/>
    <w:rsid w:val="00F546FC"/>
    <w:rsid w:val="00F55BDF"/>
    <w:rsid w:val="00F56998"/>
    <w:rsid w:val="00F56E77"/>
    <w:rsid w:val="00F64961"/>
    <w:rsid w:val="00F66053"/>
    <w:rsid w:val="00F679D8"/>
    <w:rsid w:val="00F67EEC"/>
    <w:rsid w:val="00F7016C"/>
    <w:rsid w:val="00F701E1"/>
    <w:rsid w:val="00F70E1A"/>
    <w:rsid w:val="00F7165C"/>
    <w:rsid w:val="00F738B3"/>
    <w:rsid w:val="00F7545F"/>
    <w:rsid w:val="00F7670D"/>
    <w:rsid w:val="00F7698F"/>
    <w:rsid w:val="00F83D42"/>
    <w:rsid w:val="00F83F5E"/>
    <w:rsid w:val="00F840B9"/>
    <w:rsid w:val="00F84323"/>
    <w:rsid w:val="00F84FE6"/>
    <w:rsid w:val="00F85E73"/>
    <w:rsid w:val="00F85F5D"/>
    <w:rsid w:val="00F8776A"/>
    <w:rsid w:val="00F87AF4"/>
    <w:rsid w:val="00F91851"/>
    <w:rsid w:val="00F9352C"/>
    <w:rsid w:val="00F95631"/>
    <w:rsid w:val="00F95950"/>
    <w:rsid w:val="00F968F4"/>
    <w:rsid w:val="00F9694C"/>
    <w:rsid w:val="00F97B08"/>
    <w:rsid w:val="00FA006D"/>
    <w:rsid w:val="00FA0DFA"/>
    <w:rsid w:val="00FA1616"/>
    <w:rsid w:val="00FA1BC6"/>
    <w:rsid w:val="00FA2EBE"/>
    <w:rsid w:val="00FA520C"/>
    <w:rsid w:val="00FA5EEB"/>
    <w:rsid w:val="00FA68E0"/>
    <w:rsid w:val="00FA7520"/>
    <w:rsid w:val="00FA793F"/>
    <w:rsid w:val="00FB061E"/>
    <w:rsid w:val="00FB1600"/>
    <w:rsid w:val="00FB3002"/>
    <w:rsid w:val="00FB373F"/>
    <w:rsid w:val="00FB4E26"/>
    <w:rsid w:val="00FB5DC0"/>
    <w:rsid w:val="00FB642F"/>
    <w:rsid w:val="00FB67F1"/>
    <w:rsid w:val="00FB7A9D"/>
    <w:rsid w:val="00FC070C"/>
    <w:rsid w:val="00FC0D7E"/>
    <w:rsid w:val="00FC5F0D"/>
    <w:rsid w:val="00FC75DD"/>
    <w:rsid w:val="00FD0B96"/>
    <w:rsid w:val="00FD2972"/>
    <w:rsid w:val="00FD5672"/>
    <w:rsid w:val="00FD6549"/>
    <w:rsid w:val="00FD662F"/>
    <w:rsid w:val="00FD6D1B"/>
    <w:rsid w:val="00FD70F9"/>
    <w:rsid w:val="00FE0E16"/>
    <w:rsid w:val="00FE1915"/>
    <w:rsid w:val="00FE1D45"/>
    <w:rsid w:val="00FE310C"/>
    <w:rsid w:val="00FE31BB"/>
    <w:rsid w:val="00FE3433"/>
    <w:rsid w:val="00FE3834"/>
    <w:rsid w:val="00FE4017"/>
    <w:rsid w:val="00FE4DC5"/>
    <w:rsid w:val="00FE7D04"/>
    <w:rsid w:val="00FF0622"/>
    <w:rsid w:val="00FF1A1D"/>
    <w:rsid w:val="00FF1B41"/>
    <w:rsid w:val="00FF42E8"/>
    <w:rsid w:val="00FF4341"/>
    <w:rsid w:val="00FF4FF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47F4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en-US" w:eastAsia="zh-CN"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0019C1"/>
    <w:rPr>
      <w:rFonts w:asciiTheme="majorBidi" w:hAnsiTheme="majorBidi"/>
      <w:sz w:val="24"/>
    </w:rPr>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Cs w:val="24"/>
    </w:rPr>
  </w:style>
  <w:style w:type="paragraph" w:styleId="Heading5">
    <w:name w:val="heading 5"/>
    <w:basedOn w:val="Normal"/>
    <w:next w:val="Normal"/>
    <w:pPr>
      <w:keepNext/>
      <w:keepLines/>
      <w:spacing w:before="240" w:after="80"/>
      <w:contextualSpacing/>
      <w:outlineLvl w:val="4"/>
    </w:pPr>
    <w:rPr>
      <w:color w:val="666666"/>
      <w:sz w:val="22"/>
    </w:rPr>
  </w:style>
  <w:style w:type="paragraph" w:styleId="Heading6">
    <w:name w:val="heading 6"/>
    <w:basedOn w:val="Normal"/>
    <w:next w:val="Normal"/>
    <w:pPr>
      <w:keepNext/>
      <w:keepLines/>
      <w:spacing w:before="240" w:after="80"/>
      <w:contextualSpacing/>
      <w:outlineLvl w:val="5"/>
    </w:pPr>
    <w:rPr>
      <w:i/>
      <w:color w:val="666666"/>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rFonts w:ascii="Arial" w:hAnsi="Arial"/>
      <w:color w:val="666666"/>
      <w:sz w:val="30"/>
      <w:szCs w:val="30"/>
    </w:rPr>
  </w:style>
  <w:style w:type="table" w:customStyle="1" w:styleId="a">
    <w:basedOn w:val="TableNormal"/>
    <w:tblPr>
      <w:tblStyleRowBandSize w:val="1"/>
      <w:tblStyleColBandSize w:val="1"/>
    </w:tblPr>
  </w:style>
  <w:style w:type="paragraph" w:styleId="FootnoteText">
    <w:name w:val="footnote text"/>
    <w:basedOn w:val="Normal"/>
    <w:link w:val="FootnoteTextChar"/>
    <w:uiPriority w:val="99"/>
    <w:unhideWhenUsed/>
    <w:rsid w:val="000019C1"/>
    <w:pPr>
      <w:spacing w:after="240" w:line="240" w:lineRule="auto"/>
    </w:pPr>
    <w:rPr>
      <w:sz w:val="20"/>
      <w:szCs w:val="24"/>
    </w:rPr>
  </w:style>
  <w:style w:type="character" w:customStyle="1" w:styleId="FootnoteTextChar">
    <w:name w:val="Footnote Text Char"/>
    <w:basedOn w:val="DefaultParagraphFont"/>
    <w:link w:val="FootnoteText"/>
    <w:uiPriority w:val="99"/>
    <w:rsid w:val="000019C1"/>
    <w:rPr>
      <w:rFonts w:asciiTheme="majorBidi" w:hAnsiTheme="majorBidi"/>
      <w:sz w:val="20"/>
      <w:szCs w:val="24"/>
    </w:rPr>
  </w:style>
  <w:style w:type="character" w:styleId="Hyperlink">
    <w:name w:val="Hyperlink"/>
    <w:basedOn w:val="DefaultParagraphFont"/>
    <w:uiPriority w:val="99"/>
    <w:unhideWhenUsed/>
    <w:rsid w:val="00766E18"/>
    <w:rPr>
      <w:color w:val="0563C1" w:themeColor="hyperlink"/>
      <w:u w:val="single"/>
    </w:rPr>
  </w:style>
  <w:style w:type="character" w:styleId="FootnoteReference">
    <w:name w:val="footnote reference"/>
    <w:basedOn w:val="DefaultParagraphFont"/>
    <w:uiPriority w:val="99"/>
    <w:unhideWhenUsed/>
    <w:rsid w:val="00D44D25"/>
    <w:rPr>
      <w:vertAlign w:val="superscript"/>
    </w:rPr>
  </w:style>
  <w:style w:type="paragraph" w:styleId="ListParagraph">
    <w:name w:val="List Paragraph"/>
    <w:basedOn w:val="Normal"/>
    <w:uiPriority w:val="34"/>
    <w:qFormat/>
    <w:rsid w:val="00C07A63"/>
    <w:pPr>
      <w:ind w:left="720"/>
      <w:contextualSpacing/>
    </w:pPr>
  </w:style>
  <w:style w:type="character" w:styleId="CommentReference">
    <w:name w:val="annotation reference"/>
    <w:basedOn w:val="DefaultParagraphFont"/>
    <w:uiPriority w:val="99"/>
    <w:semiHidden/>
    <w:unhideWhenUsed/>
    <w:rsid w:val="009D28F7"/>
    <w:rPr>
      <w:sz w:val="16"/>
      <w:szCs w:val="16"/>
    </w:rPr>
  </w:style>
  <w:style w:type="paragraph" w:styleId="CommentText">
    <w:name w:val="annotation text"/>
    <w:basedOn w:val="Normal"/>
    <w:link w:val="CommentTextChar"/>
    <w:uiPriority w:val="99"/>
    <w:semiHidden/>
    <w:unhideWhenUsed/>
    <w:rsid w:val="009D28F7"/>
    <w:pPr>
      <w:spacing w:line="240" w:lineRule="auto"/>
    </w:pPr>
    <w:rPr>
      <w:sz w:val="20"/>
      <w:szCs w:val="20"/>
    </w:rPr>
  </w:style>
  <w:style w:type="character" w:customStyle="1" w:styleId="CommentTextChar">
    <w:name w:val="Comment Text Char"/>
    <w:basedOn w:val="DefaultParagraphFont"/>
    <w:link w:val="CommentText"/>
    <w:uiPriority w:val="99"/>
    <w:semiHidden/>
    <w:rsid w:val="009D28F7"/>
    <w:rPr>
      <w:rFonts w:asciiTheme="majorBidi" w:hAnsiTheme="majorBidi"/>
      <w:sz w:val="20"/>
      <w:szCs w:val="20"/>
    </w:rPr>
  </w:style>
  <w:style w:type="paragraph" w:styleId="CommentSubject">
    <w:name w:val="annotation subject"/>
    <w:basedOn w:val="CommentText"/>
    <w:next w:val="CommentText"/>
    <w:link w:val="CommentSubjectChar"/>
    <w:uiPriority w:val="99"/>
    <w:semiHidden/>
    <w:unhideWhenUsed/>
    <w:rsid w:val="009D28F7"/>
    <w:rPr>
      <w:b/>
      <w:bCs/>
    </w:rPr>
  </w:style>
  <w:style w:type="character" w:customStyle="1" w:styleId="CommentSubjectChar">
    <w:name w:val="Comment Subject Char"/>
    <w:basedOn w:val="CommentTextChar"/>
    <w:link w:val="CommentSubject"/>
    <w:uiPriority w:val="99"/>
    <w:semiHidden/>
    <w:rsid w:val="009D28F7"/>
    <w:rPr>
      <w:rFonts w:asciiTheme="majorBidi" w:hAnsiTheme="majorBidi"/>
      <w:b/>
      <w:bCs/>
      <w:sz w:val="20"/>
      <w:szCs w:val="20"/>
    </w:rPr>
  </w:style>
  <w:style w:type="paragraph" w:styleId="BalloonText">
    <w:name w:val="Balloon Text"/>
    <w:basedOn w:val="Normal"/>
    <w:link w:val="BalloonTextChar"/>
    <w:uiPriority w:val="99"/>
    <w:semiHidden/>
    <w:unhideWhenUsed/>
    <w:rsid w:val="009D28F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28F7"/>
    <w:rPr>
      <w:rFonts w:ascii="Tahoma" w:hAnsi="Tahoma" w:cs="Tahoma"/>
      <w:sz w:val="16"/>
      <w:szCs w:val="16"/>
    </w:rPr>
  </w:style>
  <w:style w:type="character" w:styleId="FollowedHyperlink">
    <w:name w:val="FollowedHyperlink"/>
    <w:basedOn w:val="DefaultParagraphFont"/>
    <w:uiPriority w:val="99"/>
    <w:semiHidden/>
    <w:unhideWhenUsed/>
    <w:rsid w:val="00262AB6"/>
    <w:rPr>
      <w:color w:val="954F72" w:themeColor="followedHyperlink"/>
      <w:u w:val="single"/>
    </w:rPr>
  </w:style>
  <w:style w:type="paragraph" w:styleId="Header">
    <w:name w:val="header"/>
    <w:basedOn w:val="Normal"/>
    <w:link w:val="HeaderChar"/>
    <w:uiPriority w:val="99"/>
    <w:unhideWhenUsed/>
    <w:rsid w:val="009C500B"/>
    <w:pPr>
      <w:tabs>
        <w:tab w:val="center" w:pos="4680"/>
        <w:tab w:val="right" w:pos="9360"/>
      </w:tabs>
      <w:spacing w:line="240" w:lineRule="auto"/>
    </w:pPr>
  </w:style>
  <w:style w:type="character" w:customStyle="1" w:styleId="HeaderChar">
    <w:name w:val="Header Char"/>
    <w:basedOn w:val="DefaultParagraphFont"/>
    <w:link w:val="Header"/>
    <w:uiPriority w:val="99"/>
    <w:rsid w:val="009C500B"/>
    <w:rPr>
      <w:rFonts w:asciiTheme="majorBidi" w:hAnsiTheme="majorBidi"/>
      <w:sz w:val="24"/>
    </w:rPr>
  </w:style>
  <w:style w:type="paragraph" w:styleId="Footer">
    <w:name w:val="footer"/>
    <w:basedOn w:val="Normal"/>
    <w:link w:val="FooterChar"/>
    <w:uiPriority w:val="99"/>
    <w:unhideWhenUsed/>
    <w:rsid w:val="009C500B"/>
    <w:pPr>
      <w:tabs>
        <w:tab w:val="center" w:pos="4680"/>
        <w:tab w:val="right" w:pos="9360"/>
      </w:tabs>
      <w:spacing w:line="240" w:lineRule="auto"/>
    </w:pPr>
  </w:style>
  <w:style w:type="character" w:customStyle="1" w:styleId="FooterChar">
    <w:name w:val="Footer Char"/>
    <w:basedOn w:val="DefaultParagraphFont"/>
    <w:link w:val="Footer"/>
    <w:uiPriority w:val="99"/>
    <w:rsid w:val="009C500B"/>
    <w:rPr>
      <w:rFonts w:asciiTheme="majorBidi" w:hAnsiTheme="majorBidi"/>
      <w:sz w:val="24"/>
    </w:rPr>
  </w:style>
  <w:style w:type="paragraph" w:styleId="EndnoteText">
    <w:name w:val="endnote text"/>
    <w:basedOn w:val="Normal"/>
    <w:link w:val="EndnoteTextChar"/>
    <w:uiPriority w:val="99"/>
    <w:unhideWhenUsed/>
    <w:rsid w:val="00FC0D7E"/>
    <w:pPr>
      <w:spacing w:line="240" w:lineRule="auto"/>
    </w:pPr>
    <w:rPr>
      <w:szCs w:val="24"/>
    </w:rPr>
  </w:style>
  <w:style w:type="character" w:customStyle="1" w:styleId="EndnoteTextChar">
    <w:name w:val="Endnote Text Char"/>
    <w:basedOn w:val="DefaultParagraphFont"/>
    <w:link w:val="EndnoteText"/>
    <w:uiPriority w:val="99"/>
    <w:rsid w:val="00FC0D7E"/>
    <w:rPr>
      <w:rFonts w:asciiTheme="majorBidi" w:hAnsiTheme="majorBidi"/>
      <w:sz w:val="24"/>
      <w:szCs w:val="24"/>
    </w:rPr>
  </w:style>
  <w:style w:type="character" w:styleId="EndnoteReference">
    <w:name w:val="endnote reference"/>
    <w:basedOn w:val="DefaultParagraphFont"/>
    <w:uiPriority w:val="99"/>
    <w:unhideWhenUsed/>
    <w:rsid w:val="00FC0D7E"/>
    <w:rPr>
      <w:vertAlign w:val="superscript"/>
    </w:rPr>
  </w:style>
  <w:style w:type="paragraph" w:styleId="DocumentMap">
    <w:name w:val="Document Map"/>
    <w:basedOn w:val="Normal"/>
    <w:link w:val="DocumentMapChar"/>
    <w:uiPriority w:val="99"/>
    <w:semiHidden/>
    <w:unhideWhenUsed/>
    <w:rsid w:val="0071339B"/>
    <w:pPr>
      <w:spacing w:line="240" w:lineRule="auto"/>
    </w:pPr>
    <w:rPr>
      <w:rFonts w:ascii="Times New Roman" w:hAnsi="Times New Roman" w:cs="Times New Roman"/>
      <w:szCs w:val="24"/>
    </w:rPr>
  </w:style>
  <w:style w:type="character" w:customStyle="1" w:styleId="DocumentMapChar">
    <w:name w:val="Document Map Char"/>
    <w:basedOn w:val="DefaultParagraphFont"/>
    <w:link w:val="DocumentMap"/>
    <w:uiPriority w:val="99"/>
    <w:semiHidden/>
    <w:rsid w:val="0071339B"/>
    <w:rPr>
      <w:rFonts w:ascii="Times New Roman" w:hAnsi="Times New Roman" w:cs="Times New Roman"/>
      <w:sz w:val="24"/>
      <w:szCs w:val="24"/>
    </w:rPr>
  </w:style>
  <w:style w:type="paragraph" w:styleId="NormalWeb">
    <w:name w:val="Normal (Web)"/>
    <w:basedOn w:val="Normal"/>
    <w:uiPriority w:val="99"/>
    <w:semiHidden/>
    <w:unhideWhenUsed/>
    <w:rsid w:val="00AC3D73"/>
    <w:rPr>
      <w:rFonts w:ascii="Times New Roman" w:hAnsi="Times New Roman" w:cs="Times New Roman"/>
      <w:szCs w:val="24"/>
    </w:rPr>
  </w:style>
  <w:style w:type="character" w:customStyle="1" w:styleId="UnresolvedMention1">
    <w:name w:val="Unresolved Mention1"/>
    <w:basedOn w:val="DefaultParagraphFont"/>
    <w:uiPriority w:val="99"/>
    <w:rsid w:val="00823E37"/>
    <w:rPr>
      <w:color w:val="605E5C"/>
      <w:shd w:val="clear" w:color="auto" w:fill="E1DFDD"/>
    </w:rPr>
  </w:style>
  <w:style w:type="character" w:styleId="PageNumber">
    <w:name w:val="page number"/>
    <w:basedOn w:val="DefaultParagraphFont"/>
    <w:uiPriority w:val="99"/>
    <w:semiHidden/>
    <w:unhideWhenUsed/>
    <w:rsid w:val="00D00FFE"/>
  </w:style>
  <w:style w:type="paragraph" w:styleId="Revision">
    <w:name w:val="Revision"/>
    <w:hidden/>
    <w:uiPriority w:val="99"/>
    <w:semiHidden/>
    <w:rsid w:val="00B51238"/>
    <w:pPr>
      <w:spacing w:line="240" w:lineRule="auto"/>
    </w:pPr>
    <w:rPr>
      <w:rFonts w:asciiTheme="majorBidi" w:hAnsiTheme="majorBid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4708">
      <w:bodyDiv w:val="1"/>
      <w:marLeft w:val="0"/>
      <w:marRight w:val="0"/>
      <w:marTop w:val="0"/>
      <w:marBottom w:val="0"/>
      <w:divBdr>
        <w:top w:val="none" w:sz="0" w:space="0" w:color="auto"/>
        <w:left w:val="none" w:sz="0" w:space="0" w:color="auto"/>
        <w:bottom w:val="none" w:sz="0" w:space="0" w:color="auto"/>
        <w:right w:val="none" w:sz="0" w:space="0" w:color="auto"/>
      </w:divBdr>
    </w:div>
    <w:div w:id="48262045">
      <w:bodyDiv w:val="1"/>
      <w:marLeft w:val="0"/>
      <w:marRight w:val="0"/>
      <w:marTop w:val="0"/>
      <w:marBottom w:val="0"/>
      <w:divBdr>
        <w:top w:val="none" w:sz="0" w:space="0" w:color="auto"/>
        <w:left w:val="none" w:sz="0" w:space="0" w:color="auto"/>
        <w:bottom w:val="none" w:sz="0" w:space="0" w:color="auto"/>
        <w:right w:val="none" w:sz="0" w:space="0" w:color="auto"/>
      </w:divBdr>
    </w:div>
    <w:div w:id="48848171">
      <w:bodyDiv w:val="1"/>
      <w:marLeft w:val="0"/>
      <w:marRight w:val="0"/>
      <w:marTop w:val="0"/>
      <w:marBottom w:val="0"/>
      <w:divBdr>
        <w:top w:val="none" w:sz="0" w:space="0" w:color="auto"/>
        <w:left w:val="none" w:sz="0" w:space="0" w:color="auto"/>
        <w:bottom w:val="none" w:sz="0" w:space="0" w:color="auto"/>
        <w:right w:val="none" w:sz="0" w:space="0" w:color="auto"/>
      </w:divBdr>
    </w:div>
    <w:div w:id="72506166">
      <w:bodyDiv w:val="1"/>
      <w:marLeft w:val="0"/>
      <w:marRight w:val="0"/>
      <w:marTop w:val="0"/>
      <w:marBottom w:val="0"/>
      <w:divBdr>
        <w:top w:val="none" w:sz="0" w:space="0" w:color="auto"/>
        <w:left w:val="none" w:sz="0" w:space="0" w:color="auto"/>
        <w:bottom w:val="none" w:sz="0" w:space="0" w:color="auto"/>
        <w:right w:val="none" w:sz="0" w:space="0" w:color="auto"/>
      </w:divBdr>
    </w:div>
    <w:div w:id="100807622">
      <w:bodyDiv w:val="1"/>
      <w:marLeft w:val="0"/>
      <w:marRight w:val="0"/>
      <w:marTop w:val="0"/>
      <w:marBottom w:val="0"/>
      <w:divBdr>
        <w:top w:val="none" w:sz="0" w:space="0" w:color="auto"/>
        <w:left w:val="none" w:sz="0" w:space="0" w:color="auto"/>
        <w:bottom w:val="none" w:sz="0" w:space="0" w:color="auto"/>
        <w:right w:val="none" w:sz="0" w:space="0" w:color="auto"/>
      </w:divBdr>
    </w:div>
    <w:div w:id="195585057">
      <w:bodyDiv w:val="1"/>
      <w:marLeft w:val="0"/>
      <w:marRight w:val="0"/>
      <w:marTop w:val="0"/>
      <w:marBottom w:val="0"/>
      <w:divBdr>
        <w:top w:val="none" w:sz="0" w:space="0" w:color="auto"/>
        <w:left w:val="none" w:sz="0" w:space="0" w:color="auto"/>
        <w:bottom w:val="none" w:sz="0" w:space="0" w:color="auto"/>
        <w:right w:val="none" w:sz="0" w:space="0" w:color="auto"/>
      </w:divBdr>
    </w:div>
    <w:div w:id="225191187">
      <w:bodyDiv w:val="1"/>
      <w:marLeft w:val="0"/>
      <w:marRight w:val="0"/>
      <w:marTop w:val="0"/>
      <w:marBottom w:val="0"/>
      <w:divBdr>
        <w:top w:val="none" w:sz="0" w:space="0" w:color="auto"/>
        <w:left w:val="none" w:sz="0" w:space="0" w:color="auto"/>
        <w:bottom w:val="none" w:sz="0" w:space="0" w:color="auto"/>
        <w:right w:val="none" w:sz="0" w:space="0" w:color="auto"/>
      </w:divBdr>
    </w:div>
    <w:div w:id="269438706">
      <w:bodyDiv w:val="1"/>
      <w:marLeft w:val="0"/>
      <w:marRight w:val="0"/>
      <w:marTop w:val="0"/>
      <w:marBottom w:val="0"/>
      <w:divBdr>
        <w:top w:val="none" w:sz="0" w:space="0" w:color="auto"/>
        <w:left w:val="none" w:sz="0" w:space="0" w:color="auto"/>
        <w:bottom w:val="none" w:sz="0" w:space="0" w:color="auto"/>
        <w:right w:val="none" w:sz="0" w:space="0" w:color="auto"/>
      </w:divBdr>
    </w:div>
    <w:div w:id="277949417">
      <w:bodyDiv w:val="1"/>
      <w:marLeft w:val="0"/>
      <w:marRight w:val="0"/>
      <w:marTop w:val="0"/>
      <w:marBottom w:val="0"/>
      <w:divBdr>
        <w:top w:val="none" w:sz="0" w:space="0" w:color="auto"/>
        <w:left w:val="none" w:sz="0" w:space="0" w:color="auto"/>
        <w:bottom w:val="none" w:sz="0" w:space="0" w:color="auto"/>
        <w:right w:val="none" w:sz="0" w:space="0" w:color="auto"/>
      </w:divBdr>
    </w:div>
    <w:div w:id="298607520">
      <w:bodyDiv w:val="1"/>
      <w:marLeft w:val="0"/>
      <w:marRight w:val="0"/>
      <w:marTop w:val="0"/>
      <w:marBottom w:val="0"/>
      <w:divBdr>
        <w:top w:val="none" w:sz="0" w:space="0" w:color="auto"/>
        <w:left w:val="none" w:sz="0" w:space="0" w:color="auto"/>
        <w:bottom w:val="none" w:sz="0" w:space="0" w:color="auto"/>
        <w:right w:val="none" w:sz="0" w:space="0" w:color="auto"/>
      </w:divBdr>
    </w:div>
    <w:div w:id="303194954">
      <w:bodyDiv w:val="1"/>
      <w:marLeft w:val="0"/>
      <w:marRight w:val="0"/>
      <w:marTop w:val="0"/>
      <w:marBottom w:val="0"/>
      <w:divBdr>
        <w:top w:val="none" w:sz="0" w:space="0" w:color="auto"/>
        <w:left w:val="none" w:sz="0" w:space="0" w:color="auto"/>
        <w:bottom w:val="none" w:sz="0" w:space="0" w:color="auto"/>
        <w:right w:val="none" w:sz="0" w:space="0" w:color="auto"/>
      </w:divBdr>
    </w:div>
    <w:div w:id="399329533">
      <w:bodyDiv w:val="1"/>
      <w:marLeft w:val="0"/>
      <w:marRight w:val="0"/>
      <w:marTop w:val="0"/>
      <w:marBottom w:val="0"/>
      <w:divBdr>
        <w:top w:val="none" w:sz="0" w:space="0" w:color="auto"/>
        <w:left w:val="none" w:sz="0" w:space="0" w:color="auto"/>
        <w:bottom w:val="none" w:sz="0" w:space="0" w:color="auto"/>
        <w:right w:val="none" w:sz="0" w:space="0" w:color="auto"/>
      </w:divBdr>
    </w:div>
    <w:div w:id="479806523">
      <w:bodyDiv w:val="1"/>
      <w:marLeft w:val="0"/>
      <w:marRight w:val="0"/>
      <w:marTop w:val="0"/>
      <w:marBottom w:val="0"/>
      <w:divBdr>
        <w:top w:val="none" w:sz="0" w:space="0" w:color="auto"/>
        <w:left w:val="none" w:sz="0" w:space="0" w:color="auto"/>
        <w:bottom w:val="none" w:sz="0" w:space="0" w:color="auto"/>
        <w:right w:val="none" w:sz="0" w:space="0" w:color="auto"/>
      </w:divBdr>
    </w:div>
    <w:div w:id="503209690">
      <w:bodyDiv w:val="1"/>
      <w:marLeft w:val="0"/>
      <w:marRight w:val="0"/>
      <w:marTop w:val="0"/>
      <w:marBottom w:val="0"/>
      <w:divBdr>
        <w:top w:val="none" w:sz="0" w:space="0" w:color="auto"/>
        <w:left w:val="none" w:sz="0" w:space="0" w:color="auto"/>
        <w:bottom w:val="none" w:sz="0" w:space="0" w:color="auto"/>
        <w:right w:val="none" w:sz="0" w:space="0" w:color="auto"/>
      </w:divBdr>
    </w:div>
    <w:div w:id="514731666">
      <w:bodyDiv w:val="1"/>
      <w:marLeft w:val="0"/>
      <w:marRight w:val="0"/>
      <w:marTop w:val="0"/>
      <w:marBottom w:val="0"/>
      <w:divBdr>
        <w:top w:val="none" w:sz="0" w:space="0" w:color="auto"/>
        <w:left w:val="none" w:sz="0" w:space="0" w:color="auto"/>
        <w:bottom w:val="none" w:sz="0" w:space="0" w:color="auto"/>
        <w:right w:val="none" w:sz="0" w:space="0" w:color="auto"/>
      </w:divBdr>
    </w:div>
    <w:div w:id="584345323">
      <w:bodyDiv w:val="1"/>
      <w:marLeft w:val="0"/>
      <w:marRight w:val="0"/>
      <w:marTop w:val="0"/>
      <w:marBottom w:val="0"/>
      <w:divBdr>
        <w:top w:val="none" w:sz="0" w:space="0" w:color="auto"/>
        <w:left w:val="none" w:sz="0" w:space="0" w:color="auto"/>
        <w:bottom w:val="none" w:sz="0" w:space="0" w:color="auto"/>
        <w:right w:val="none" w:sz="0" w:space="0" w:color="auto"/>
      </w:divBdr>
    </w:div>
    <w:div w:id="629554946">
      <w:bodyDiv w:val="1"/>
      <w:marLeft w:val="0"/>
      <w:marRight w:val="0"/>
      <w:marTop w:val="0"/>
      <w:marBottom w:val="0"/>
      <w:divBdr>
        <w:top w:val="none" w:sz="0" w:space="0" w:color="auto"/>
        <w:left w:val="none" w:sz="0" w:space="0" w:color="auto"/>
        <w:bottom w:val="none" w:sz="0" w:space="0" w:color="auto"/>
        <w:right w:val="none" w:sz="0" w:space="0" w:color="auto"/>
      </w:divBdr>
    </w:div>
    <w:div w:id="629748093">
      <w:bodyDiv w:val="1"/>
      <w:marLeft w:val="0"/>
      <w:marRight w:val="0"/>
      <w:marTop w:val="0"/>
      <w:marBottom w:val="0"/>
      <w:divBdr>
        <w:top w:val="none" w:sz="0" w:space="0" w:color="auto"/>
        <w:left w:val="none" w:sz="0" w:space="0" w:color="auto"/>
        <w:bottom w:val="none" w:sz="0" w:space="0" w:color="auto"/>
        <w:right w:val="none" w:sz="0" w:space="0" w:color="auto"/>
      </w:divBdr>
    </w:div>
    <w:div w:id="630866680">
      <w:bodyDiv w:val="1"/>
      <w:marLeft w:val="0"/>
      <w:marRight w:val="0"/>
      <w:marTop w:val="0"/>
      <w:marBottom w:val="0"/>
      <w:divBdr>
        <w:top w:val="none" w:sz="0" w:space="0" w:color="auto"/>
        <w:left w:val="none" w:sz="0" w:space="0" w:color="auto"/>
        <w:bottom w:val="none" w:sz="0" w:space="0" w:color="auto"/>
        <w:right w:val="none" w:sz="0" w:space="0" w:color="auto"/>
      </w:divBdr>
    </w:div>
    <w:div w:id="676005737">
      <w:bodyDiv w:val="1"/>
      <w:marLeft w:val="0"/>
      <w:marRight w:val="0"/>
      <w:marTop w:val="0"/>
      <w:marBottom w:val="0"/>
      <w:divBdr>
        <w:top w:val="none" w:sz="0" w:space="0" w:color="auto"/>
        <w:left w:val="none" w:sz="0" w:space="0" w:color="auto"/>
        <w:bottom w:val="none" w:sz="0" w:space="0" w:color="auto"/>
        <w:right w:val="none" w:sz="0" w:space="0" w:color="auto"/>
      </w:divBdr>
    </w:div>
    <w:div w:id="714938123">
      <w:bodyDiv w:val="1"/>
      <w:marLeft w:val="0"/>
      <w:marRight w:val="0"/>
      <w:marTop w:val="0"/>
      <w:marBottom w:val="0"/>
      <w:divBdr>
        <w:top w:val="none" w:sz="0" w:space="0" w:color="auto"/>
        <w:left w:val="none" w:sz="0" w:space="0" w:color="auto"/>
        <w:bottom w:val="none" w:sz="0" w:space="0" w:color="auto"/>
        <w:right w:val="none" w:sz="0" w:space="0" w:color="auto"/>
      </w:divBdr>
    </w:div>
    <w:div w:id="779687202">
      <w:bodyDiv w:val="1"/>
      <w:marLeft w:val="0"/>
      <w:marRight w:val="0"/>
      <w:marTop w:val="0"/>
      <w:marBottom w:val="0"/>
      <w:divBdr>
        <w:top w:val="none" w:sz="0" w:space="0" w:color="auto"/>
        <w:left w:val="none" w:sz="0" w:space="0" w:color="auto"/>
        <w:bottom w:val="none" w:sz="0" w:space="0" w:color="auto"/>
        <w:right w:val="none" w:sz="0" w:space="0" w:color="auto"/>
      </w:divBdr>
      <w:divsChild>
        <w:div w:id="524177398">
          <w:marLeft w:val="0"/>
          <w:marRight w:val="0"/>
          <w:marTop w:val="0"/>
          <w:marBottom w:val="0"/>
          <w:divBdr>
            <w:top w:val="none" w:sz="0" w:space="0" w:color="auto"/>
            <w:left w:val="none" w:sz="0" w:space="0" w:color="auto"/>
            <w:bottom w:val="none" w:sz="0" w:space="0" w:color="auto"/>
            <w:right w:val="none" w:sz="0" w:space="0" w:color="auto"/>
          </w:divBdr>
          <w:divsChild>
            <w:div w:id="727801823">
              <w:marLeft w:val="0"/>
              <w:marRight w:val="0"/>
              <w:marTop w:val="0"/>
              <w:marBottom w:val="0"/>
              <w:divBdr>
                <w:top w:val="none" w:sz="0" w:space="0" w:color="auto"/>
                <w:left w:val="none" w:sz="0" w:space="0" w:color="auto"/>
                <w:bottom w:val="none" w:sz="0" w:space="0" w:color="auto"/>
                <w:right w:val="none" w:sz="0" w:space="0" w:color="auto"/>
              </w:divBdr>
            </w:div>
            <w:div w:id="81024711">
              <w:marLeft w:val="0"/>
              <w:marRight w:val="0"/>
              <w:marTop w:val="0"/>
              <w:marBottom w:val="0"/>
              <w:divBdr>
                <w:top w:val="none" w:sz="0" w:space="0" w:color="auto"/>
                <w:left w:val="none" w:sz="0" w:space="0" w:color="auto"/>
                <w:bottom w:val="none" w:sz="0" w:space="0" w:color="auto"/>
                <w:right w:val="none" w:sz="0" w:space="0" w:color="auto"/>
              </w:divBdr>
            </w:div>
            <w:div w:id="70772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237879">
      <w:bodyDiv w:val="1"/>
      <w:marLeft w:val="0"/>
      <w:marRight w:val="0"/>
      <w:marTop w:val="0"/>
      <w:marBottom w:val="0"/>
      <w:divBdr>
        <w:top w:val="none" w:sz="0" w:space="0" w:color="auto"/>
        <w:left w:val="none" w:sz="0" w:space="0" w:color="auto"/>
        <w:bottom w:val="none" w:sz="0" w:space="0" w:color="auto"/>
        <w:right w:val="none" w:sz="0" w:space="0" w:color="auto"/>
      </w:divBdr>
    </w:div>
    <w:div w:id="879170372">
      <w:bodyDiv w:val="1"/>
      <w:marLeft w:val="0"/>
      <w:marRight w:val="0"/>
      <w:marTop w:val="0"/>
      <w:marBottom w:val="0"/>
      <w:divBdr>
        <w:top w:val="none" w:sz="0" w:space="0" w:color="auto"/>
        <w:left w:val="none" w:sz="0" w:space="0" w:color="auto"/>
        <w:bottom w:val="none" w:sz="0" w:space="0" w:color="auto"/>
        <w:right w:val="none" w:sz="0" w:space="0" w:color="auto"/>
      </w:divBdr>
    </w:div>
    <w:div w:id="906304301">
      <w:bodyDiv w:val="1"/>
      <w:marLeft w:val="0"/>
      <w:marRight w:val="0"/>
      <w:marTop w:val="0"/>
      <w:marBottom w:val="0"/>
      <w:divBdr>
        <w:top w:val="none" w:sz="0" w:space="0" w:color="auto"/>
        <w:left w:val="none" w:sz="0" w:space="0" w:color="auto"/>
        <w:bottom w:val="none" w:sz="0" w:space="0" w:color="auto"/>
        <w:right w:val="none" w:sz="0" w:space="0" w:color="auto"/>
      </w:divBdr>
    </w:div>
    <w:div w:id="927689108">
      <w:bodyDiv w:val="1"/>
      <w:marLeft w:val="0"/>
      <w:marRight w:val="0"/>
      <w:marTop w:val="0"/>
      <w:marBottom w:val="0"/>
      <w:divBdr>
        <w:top w:val="none" w:sz="0" w:space="0" w:color="auto"/>
        <w:left w:val="none" w:sz="0" w:space="0" w:color="auto"/>
        <w:bottom w:val="none" w:sz="0" w:space="0" w:color="auto"/>
        <w:right w:val="none" w:sz="0" w:space="0" w:color="auto"/>
      </w:divBdr>
    </w:div>
    <w:div w:id="927737330">
      <w:bodyDiv w:val="1"/>
      <w:marLeft w:val="0"/>
      <w:marRight w:val="0"/>
      <w:marTop w:val="0"/>
      <w:marBottom w:val="0"/>
      <w:divBdr>
        <w:top w:val="none" w:sz="0" w:space="0" w:color="auto"/>
        <w:left w:val="none" w:sz="0" w:space="0" w:color="auto"/>
        <w:bottom w:val="none" w:sz="0" w:space="0" w:color="auto"/>
        <w:right w:val="none" w:sz="0" w:space="0" w:color="auto"/>
      </w:divBdr>
    </w:div>
    <w:div w:id="941767732">
      <w:bodyDiv w:val="1"/>
      <w:marLeft w:val="0"/>
      <w:marRight w:val="0"/>
      <w:marTop w:val="0"/>
      <w:marBottom w:val="0"/>
      <w:divBdr>
        <w:top w:val="none" w:sz="0" w:space="0" w:color="auto"/>
        <w:left w:val="none" w:sz="0" w:space="0" w:color="auto"/>
        <w:bottom w:val="none" w:sz="0" w:space="0" w:color="auto"/>
        <w:right w:val="none" w:sz="0" w:space="0" w:color="auto"/>
      </w:divBdr>
    </w:div>
    <w:div w:id="1050346083">
      <w:bodyDiv w:val="1"/>
      <w:marLeft w:val="0"/>
      <w:marRight w:val="0"/>
      <w:marTop w:val="0"/>
      <w:marBottom w:val="0"/>
      <w:divBdr>
        <w:top w:val="none" w:sz="0" w:space="0" w:color="auto"/>
        <w:left w:val="none" w:sz="0" w:space="0" w:color="auto"/>
        <w:bottom w:val="none" w:sz="0" w:space="0" w:color="auto"/>
        <w:right w:val="none" w:sz="0" w:space="0" w:color="auto"/>
      </w:divBdr>
    </w:div>
    <w:div w:id="1148326910">
      <w:bodyDiv w:val="1"/>
      <w:marLeft w:val="0"/>
      <w:marRight w:val="0"/>
      <w:marTop w:val="0"/>
      <w:marBottom w:val="0"/>
      <w:divBdr>
        <w:top w:val="none" w:sz="0" w:space="0" w:color="auto"/>
        <w:left w:val="none" w:sz="0" w:space="0" w:color="auto"/>
        <w:bottom w:val="none" w:sz="0" w:space="0" w:color="auto"/>
        <w:right w:val="none" w:sz="0" w:space="0" w:color="auto"/>
      </w:divBdr>
      <w:divsChild>
        <w:div w:id="1680236823">
          <w:marLeft w:val="0"/>
          <w:marRight w:val="0"/>
          <w:marTop w:val="0"/>
          <w:marBottom w:val="0"/>
          <w:divBdr>
            <w:top w:val="none" w:sz="0" w:space="0" w:color="auto"/>
            <w:left w:val="none" w:sz="0" w:space="0" w:color="auto"/>
            <w:bottom w:val="none" w:sz="0" w:space="0" w:color="auto"/>
            <w:right w:val="none" w:sz="0" w:space="0" w:color="auto"/>
          </w:divBdr>
          <w:divsChild>
            <w:div w:id="187396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107368">
      <w:bodyDiv w:val="1"/>
      <w:marLeft w:val="0"/>
      <w:marRight w:val="0"/>
      <w:marTop w:val="0"/>
      <w:marBottom w:val="0"/>
      <w:divBdr>
        <w:top w:val="none" w:sz="0" w:space="0" w:color="auto"/>
        <w:left w:val="none" w:sz="0" w:space="0" w:color="auto"/>
        <w:bottom w:val="none" w:sz="0" w:space="0" w:color="auto"/>
        <w:right w:val="none" w:sz="0" w:space="0" w:color="auto"/>
      </w:divBdr>
    </w:div>
    <w:div w:id="1212230690">
      <w:bodyDiv w:val="1"/>
      <w:marLeft w:val="0"/>
      <w:marRight w:val="0"/>
      <w:marTop w:val="0"/>
      <w:marBottom w:val="0"/>
      <w:divBdr>
        <w:top w:val="none" w:sz="0" w:space="0" w:color="auto"/>
        <w:left w:val="none" w:sz="0" w:space="0" w:color="auto"/>
        <w:bottom w:val="none" w:sz="0" w:space="0" w:color="auto"/>
        <w:right w:val="none" w:sz="0" w:space="0" w:color="auto"/>
      </w:divBdr>
      <w:divsChild>
        <w:div w:id="1663003334">
          <w:marLeft w:val="0"/>
          <w:marRight w:val="0"/>
          <w:marTop w:val="0"/>
          <w:marBottom w:val="0"/>
          <w:divBdr>
            <w:top w:val="none" w:sz="0" w:space="0" w:color="auto"/>
            <w:left w:val="none" w:sz="0" w:space="0" w:color="auto"/>
            <w:bottom w:val="none" w:sz="0" w:space="0" w:color="auto"/>
            <w:right w:val="none" w:sz="0" w:space="0" w:color="auto"/>
          </w:divBdr>
          <w:divsChild>
            <w:div w:id="937786315">
              <w:marLeft w:val="0"/>
              <w:marRight w:val="0"/>
              <w:marTop w:val="0"/>
              <w:marBottom w:val="0"/>
              <w:divBdr>
                <w:top w:val="none" w:sz="0" w:space="0" w:color="auto"/>
                <w:left w:val="none" w:sz="0" w:space="0" w:color="auto"/>
                <w:bottom w:val="none" w:sz="0" w:space="0" w:color="auto"/>
                <w:right w:val="none" w:sz="0" w:space="0" w:color="auto"/>
              </w:divBdr>
            </w:div>
            <w:div w:id="1080179847">
              <w:marLeft w:val="0"/>
              <w:marRight w:val="0"/>
              <w:marTop w:val="0"/>
              <w:marBottom w:val="0"/>
              <w:divBdr>
                <w:top w:val="none" w:sz="0" w:space="0" w:color="auto"/>
                <w:left w:val="none" w:sz="0" w:space="0" w:color="auto"/>
                <w:bottom w:val="none" w:sz="0" w:space="0" w:color="auto"/>
                <w:right w:val="none" w:sz="0" w:space="0" w:color="auto"/>
              </w:divBdr>
            </w:div>
            <w:div w:id="36086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341701">
      <w:bodyDiv w:val="1"/>
      <w:marLeft w:val="0"/>
      <w:marRight w:val="0"/>
      <w:marTop w:val="0"/>
      <w:marBottom w:val="0"/>
      <w:divBdr>
        <w:top w:val="none" w:sz="0" w:space="0" w:color="auto"/>
        <w:left w:val="none" w:sz="0" w:space="0" w:color="auto"/>
        <w:bottom w:val="none" w:sz="0" w:space="0" w:color="auto"/>
        <w:right w:val="none" w:sz="0" w:space="0" w:color="auto"/>
      </w:divBdr>
    </w:div>
    <w:div w:id="1218200744">
      <w:bodyDiv w:val="1"/>
      <w:marLeft w:val="0"/>
      <w:marRight w:val="0"/>
      <w:marTop w:val="0"/>
      <w:marBottom w:val="0"/>
      <w:divBdr>
        <w:top w:val="none" w:sz="0" w:space="0" w:color="auto"/>
        <w:left w:val="none" w:sz="0" w:space="0" w:color="auto"/>
        <w:bottom w:val="none" w:sz="0" w:space="0" w:color="auto"/>
        <w:right w:val="none" w:sz="0" w:space="0" w:color="auto"/>
      </w:divBdr>
    </w:div>
    <w:div w:id="1271812630">
      <w:bodyDiv w:val="1"/>
      <w:marLeft w:val="0"/>
      <w:marRight w:val="0"/>
      <w:marTop w:val="0"/>
      <w:marBottom w:val="0"/>
      <w:divBdr>
        <w:top w:val="none" w:sz="0" w:space="0" w:color="auto"/>
        <w:left w:val="none" w:sz="0" w:space="0" w:color="auto"/>
        <w:bottom w:val="none" w:sz="0" w:space="0" w:color="auto"/>
        <w:right w:val="none" w:sz="0" w:space="0" w:color="auto"/>
      </w:divBdr>
    </w:div>
    <w:div w:id="1287925570">
      <w:bodyDiv w:val="1"/>
      <w:marLeft w:val="0"/>
      <w:marRight w:val="0"/>
      <w:marTop w:val="0"/>
      <w:marBottom w:val="0"/>
      <w:divBdr>
        <w:top w:val="none" w:sz="0" w:space="0" w:color="auto"/>
        <w:left w:val="none" w:sz="0" w:space="0" w:color="auto"/>
        <w:bottom w:val="none" w:sz="0" w:space="0" w:color="auto"/>
        <w:right w:val="none" w:sz="0" w:space="0" w:color="auto"/>
      </w:divBdr>
    </w:div>
    <w:div w:id="1291470656">
      <w:bodyDiv w:val="1"/>
      <w:marLeft w:val="0"/>
      <w:marRight w:val="0"/>
      <w:marTop w:val="0"/>
      <w:marBottom w:val="0"/>
      <w:divBdr>
        <w:top w:val="none" w:sz="0" w:space="0" w:color="auto"/>
        <w:left w:val="none" w:sz="0" w:space="0" w:color="auto"/>
        <w:bottom w:val="none" w:sz="0" w:space="0" w:color="auto"/>
        <w:right w:val="none" w:sz="0" w:space="0" w:color="auto"/>
      </w:divBdr>
    </w:div>
    <w:div w:id="1358189760">
      <w:bodyDiv w:val="1"/>
      <w:marLeft w:val="0"/>
      <w:marRight w:val="0"/>
      <w:marTop w:val="0"/>
      <w:marBottom w:val="0"/>
      <w:divBdr>
        <w:top w:val="none" w:sz="0" w:space="0" w:color="auto"/>
        <w:left w:val="none" w:sz="0" w:space="0" w:color="auto"/>
        <w:bottom w:val="none" w:sz="0" w:space="0" w:color="auto"/>
        <w:right w:val="none" w:sz="0" w:space="0" w:color="auto"/>
      </w:divBdr>
    </w:div>
    <w:div w:id="1361517199">
      <w:bodyDiv w:val="1"/>
      <w:marLeft w:val="0"/>
      <w:marRight w:val="0"/>
      <w:marTop w:val="0"/>
      <w:marBottom w:val="0"/>
      <w:divBdr>
        <w:top w:val="none" w:sz="0" w:space="0" w:color="auto"/>
        <w:left w:val="none" w:sz="0" w:space="0" w:color="auto"/>
        <w:bottom w:val="none" w:sz="0" w:space="0" w:color="auto"/>
        <w:right w:val="none" w:sz="0" w:space="0" w:color="auto"/>
      </w:divBdr>
    </w:div>
    <w:div w:id="1554845984">
      <w:bodyDiv w:val="1"/>
      <w:marLeft w:val="0"/>
      <w:marRight w:val="0"/>
      <w:marTop w:val="0"/>
      <w:marBottom w:val="0"/>
      <w:divBdr>
        <w:top w:val="none" w:sz="0" w:space="0" w:color="auto"/>
        <w:left w:val="none" w:sz="0" w:space="0" w:color="auto"/>
        <w:bottom w:val="none" w:sz="0" w:space="0" w:color="auto"/>
        <w:right w:val="none" w:sz="0" w:space="0" w:color="auto"/>
      </w:divBdr>
    </w:div>
    <w:div w:id="1620602738">
      <w:bodyDiv w:val="1"/>
      <w:marLeft w:val="0"/>
      <w:marRight w:val="0"/>
      <w:marTop w:val="0"/>
      <w:marBottom w:val="0"/>
      <w:divBdr>
        <w:top w:val="none" w:sz="0" w:space="0" w:color="auto"/>
        <w:left w:val="none" w:sz="0" w:space="0" w:color="auto"/>
        <w:bottom w:val="none" w:sz="0" w:space="0" w:color="auto"/>
        <w:right w:val="none" w:sz="0" w:space="0" w:color="auto"/>
      </w:divBdr>
    </w:div>
    <w:div w:id="1727950996">
      <w:bodyDiv w:val="1"/>
      <w:marLeft w:val="0"/>
      <w:marRight w:val="0"/>
      <w:marTop w:val="0"/>
      <w:marBottom w:val="0"/>
      <w:divBdr>
        <w:top w:val="none" w:sz="0" w:space="0" w:color="auto"/>
        <w:left w:val="none" w:sz="0" w:space="0" w:color="auto"/>
        <w:bottom w:val="none" w:sz="0" w:space="0" w:color="auto"/>
        <w:right w:val="none" w:sz="0" w:space="0" w:color="auto"/>
      </w:divBdr>
    </w:div>
    <w:div w:id="1732924954">
      <w:bodyDiv w:val="1"/>
      <w:marLeft w:val="0"/>
      <w:marRight w:val="0"/>
      <w:marTop w:val="0"/>
      <w:marBottom w:val="0"/>
      <w:divBdr>
        <w:top w:val="none" w:sz="0" w:space="0" w:color="auto"/>
        <w:left w:val="none" w:sz="0" w:space="0" w:color="auto"/>
        <w:bottom w:val="none" w:sz="0" w:space="0" w:color="auto"/>
        <w:right w:val="none" w:sz="0" w:space="0" w:color="auto"/>
      </w:divBdr>
    </w:div>
    <w:div w:id="1735542212">
      <w:bodyDiv w:val="1"/>
      <w:marLeft w:val="0"/>
      <w:marRight w:val="0"/>
      <w:marTop w:val="0"/>
      <w:marBottom w:val="0"/>
      <w:divBdr>
        <w:top w:val="none" w:sz="0" w:space="0" w:color="auto"/>
        <w:left w:val="none" w:sz="0" w:space="0" w:color="auto"/>
        <w:bottom w:val="none" w:sz="0" w:space="0" w:color="auto"/>
        <w:right w:val="none" w:sz="0" w:space="0" w:color="auto"/>
      </w:divBdr>
    </w:div>
    <w:div w:id="1809473087">
      <w:bodyDiv w:val="1"/>
      <w:marLeft w:val="0"/>
      <w:marRight w:val="0"/>
      <w:marTop w:val="0"/>
      <w:marBottom w:val="0"/>
      <w:divBdr>
        <w:top w:val="none" w:sz="0" w:space="0" w:color="auto"/>
        <w:left w:val="none" w:sz="0" w:space="0" w:color="auto"/>
        <w:bottom w:val="none" w:sz="0" w:space="0" w:color="auto"/>
        <w:right w:val="none" w:sz="0" w:space="0" w:color="auto"/>
      </w:divBdr>
    </w:div>
    <w:div w:id="1833444814">
      <w:bodyDiv w:val="1"/>
      <w:marLeft w:val="0"/>
      <w:marRight w:val="0"/>
      <w:marTop w:val="0"/>
      <w:marBottom w:val="0"/>
      <w:divBdr>
        <w:top w:val="none" w:sz="0" w:space="0" w:color="auto"/>
        <w:left w:val="none" w:sz="0" w:space="0" w:color="auto"/>
        <w:bottom w:val="none" w:sz="0" w:space="0" w:color="auto"/>
        <w:right w:val="none" w:sz="0" w:space="0" w:color="auto"/>
      </w:divBdr>
    </w:div>
    <w:div w:id="1854956015">
      <w:bodyDiv w:val="1"/>
      <w:marLeft w:val="0"/>
      <w:marRight w:val="0"/>
      <w:marTop w:val="0"/>
      <w:marBottom w:val="0"/>
      <w:divBdr>
        <w:top w:val="none" w:sz="0" w:space="0" w:color="auto"/>
        <w:left w:val="none" w:sz="0" w:space="0" w:color="auto"/>
        <w:bottom w:val="none" w:sz="0" w:space="0" w:color="auto"/>
        <w:right w:val="none" w:sz="0" w:space="0" w:color="auto"/>
      </w:divBdr>
    </w:div>
    <w:div w:id="1863202295">
      <w:bodyDiv w:val="1"/>
      <w:marLeft w:val="0"/>
      <w:marRight w:val="0"/>
      <w:marTop w:val="0"/>
      <w:marBottom w:val="0"/>
      <w:divBdr>
        <w:top w:val="none" w:sz="0" w:space="0" w:color="auto"/>
        <w:left w:val="none" w:sz="0" w:space="0" w:color="auto"/>
        <w:bottom w:val="none" w:sz="0" w:space="0" w:color="auto"/>
        <w:right w:val="none" w:sz="0" w:space="0" w:color="auto"/>
      </w:divBdr>
    </w:div>
    <w:div w:id="1874030963">
      <w:bodyDiv w:val="1"/>
      <w:marLeft w:val="0"/>
      <w:marRight w:val="0"/>
      <w:marTop w:val="0"/>
      <w:marBottom w:val="0"/>
      <w:divBdr>
        <w:top w:val="none" w:sz="0" w:space="0" w:color="auto"/>
        <w:left w:val="none" w:sz="0" w:space="0" w:color="auto"/>
        <w:bottom w:val="none" w:sz="0" w:space="0" w:color="auto"/>
        <w:right w:val="none" w:sz="0" w:space="0" w:color="auto"/>
      </w:divBdr>
    </w:div>
    <w:div w:id="1876119046">
      <w:bodyDiv w:val="1"/>
      <w:marLeft w:val="0"/>
      <w:marRight w:val="0"/>
      <w:marTop w:val="0"/>
      <w:marBottom w:val="0"/>
      <w:divBdr>
        <w:top w:val="none" w:sz="0" w:space="0" w:color="auto"/>
        <w:left w:val="none" w:sz="0" w:space="0" w:color="auto"/>
        <w:bottom w:val="none" w:sz="0" w:space="0" w:color="auto"/>
        <w:right w:val="none" w:sz="0" w:space="0" w:color="auto"/>
      </w:divBdr>
    </w:div>
    <w:div w:id="1884056264">
      <w:bodyDiv w:val="1"/>
      <w:marLeft w:val="0"/>
      <w:marRight w:val="0"/>
      <w:marTop w:val="0"/>
      <w:marBottom w:val="0"/>
      <w:divBdr>
        <w:top w:val="none" w:sz="0" w:space="0" w:color="auto"/>
        <w:left w:val="none" w:sz="0" w:space="0" w:color="auto"/>
        <w:bottom w:val="none" w:sz="0" w:space="0" w:color="auto"/>
        <w:right w:val="none" w:sz="0" w:space="0" w:color="auto"/>
      </w:divBdr>
    </w:div>
    <w:div w:id="1920023581">
      <w:bodyDiv w:val="1"/>
      <w:marLeft w:val="0"/>
      <w:marRight w:val="0"/>
      <w:marTop w:val="0"/>
      <w:marBottom w:val="0"/>
      <w:divBdr>
        <w:top w:val="none" w:sz="0" w:space="0" w:color="auto"/>
        <w:left w:val="none" w:sz="0" w:space="0" w:color="auto"/>
        <w:bottom w:val="none" w:sz="0" w:space="0" w:color="auto"/>
        <w:right w:val="none" w:sz="0" w:space="0" w:color="auto"/>
      </w:divBdr>
    </w:div>
    <w:div w:id="1961717409">
      <w:bodyDiv w:val="1"/>
      <w:marLeft w:val="0"/>
      <w:marRight w:val="0"/>
      <w:marTop w:val="0"/>
      <w:marBottom w:val="0"/>
      <w:divBdr>
        <w:top w:val="none" w:sz="0" w:space="0" w:color="auto"/>
        <w:left w:val="none" w:sz="0" w:space="0" w:color="auto"/>
        <w:bottom w:val="none" w:sz="0" w:space="0" w:color="auto"/>
        <w:right w:val="none" w:sz="0" w:space="0" w:color="auto"/>
      </w:divBdr>
    </w:div>
    <w:div w:id="1965307446">
      <w:bodyDiv w:val="1"/>
      <w:marLeft w:val="0"/>
      <w:marRight w:val="0"/>
      <w:marTop w:val="0"/>
      <w:marBottom w:val="0"/>
      <w:divBdr>
        <w:top w:val="none" w:sz="0" w:space="0" w:color="auto"/>
        <w:left w:val="none" w:sz="0" w:space="0" w:color="auto"/>
        <w:bottom w:val="none" w:sz="0" w:space="0" w:color="auto"/>
        <w:right w:val="none" w:sz="0" w:space="0" w:color="auto"/>
      </w:divBdr>
    </w:div>
    <w:div w:id="1972897646">
      <w:bodyDiv w:val="1"/>
      <w:marLeft w:val="0"/>
      <w:marRight w:val="0"/>
      <w:marTop w:val="0"/>
      <w:marBottom w:val="0"/>
      <w:divBdr>
        <w:top w:val="none" w:sz="0" w:space="0" w:color="auto"/>
        <w:left w:val="none" w:sz="0" w:space="0" w:color="auto"/>
        <w:bottom w:val="none" w:sz="0" w:space="0" w:color="auto"/>
        <w:right w:val="none" w:sz="0" w:space="0" w:color="auto"/>
      </w:divBdr>
    </w:div>
    <w:div w:id="1973630116">
      <w:bodyDiv w:val="1"/>
      <w:marLeft w:val="0"/>
      <w:marRight w:val="0"/>
      <w:marTop w:val="0"/>
      <w:marBottom w:val="0"/>
      <w:divBdr>
        <w:top w:val="none" w:sz="0" w:space="0" w:color="auto"/>
        <w:left w:val="none" w:sz="0" w:space="0" w:color="auto"/>
        <w:bottom w:val="none" w:sz="0" w:space="0" w:color="auto"/>
        <w:right w:val="none" w:sz="0" w:space="0" w:color="auto"/>
      </w:divBdr>
    </w:div>
    <w:div w:id="1988584429">
      <w:bodyDiv w:val="1"/>
      <w:marLeft w:val="0"/>
      <w:marRight w:val="0"/>
      <w:marTop w:val="0"/>
      <w:marBottom w:val="0"/>
      <w:divBdr>
        <w:top w:val="none" w:sz="0" w:space="0" w:color="auto"/>
        <w:left w:val="none" w:sz="0" w:space="0" w:color="auto"/>
        <w:bottom w:val="none" w:sz="0" w:space="0" w:color="auto"/>
        <w:right w:val="none" w:sz="0" w:space="0" w:color="auto"/>
      </w:divBdr>
    </w:div>
    <w:div w:id="1991518530">
      <w:bodyDiv w:val="1"/>
      <w:marLeft w:val="0"/>
      <w:marRight w:val="0"/>
      <w:marTop w:val="0"/>
      <w:marBottom w:val="0"/>
      <w:divBdr>
        <w:top w:val="none" w:sz="0" w:space="0" w:color="auto"/>
        <w:left w:val="none" w:sz="0" w:space="0" w:color="auto"/>
        <w:bottom w:val="none" w:sz="0" w:space="0" w:color="auto"/>
        <w:right w:val="none" w:sz="0" w:space="0" w:color="auto"/>
      </w:divBdr>
    </w:div>
    <w:div w:id="2008170277">
      <w:bodyDiv w:val="1"/>
      <w:marLeft w:val="0"/>
      <w:marRight w:val="0"/>
      <w:marTop w:val="0"/>
      <w:marBottom w:val="0"/>
      <w:divBdr>
        <w:top w:val="none" w:sz="0" w:space="0" w:color="auto"/>
        <w:left w:val="none" w:sz="0" w:space="0" w:color="auto"/>
        <w:bottom w:val="none" w:sz="0" w:space="0" w:color="auto"/>
        <w:right w:val="none" w:sz="0" w:space="0" w:color="auto"/>
      </w:divBdr>
    </w:div>
    <w:div w:id="2054428928">
      <w:bodyDiv w:val="1"/>
      <w:marLeft w:val="0"/>
      <w:marRight w:val="0"/>
      <w:marTop w:val="0"/>
      <w:marBottom w:val="0"/>
      <w:divBdr>
        <w:top w:val="none" w:sz="0" w:space="0" w:color="auto"/>
        <w:left w:val="none" w:sz="0" w:space="0" w:color="auto"/>
        <w:bottom w:val="none" w:sz="0" w:space="0" w:color="auto"/>
        <w:right w:val="none" w:sz="0" w:space="0" w:color="auto"/>
      </w:divBdr>
      <w:divsChild>
        <w:div w:id="253324442">
          <w:marLeft w:val="0"/>
          <w:marRight w:val="0"/>
          <w:marTop w:val="0"/>
          <w:marBottom w:val="0"/>
          <w:divBdr>
            <w:top w:val="none" w:sz="0" w:space="0" w:color="auto"/>
            <w:left w:val="none" w:sz="0" w:space="0" w:color="auto"/>
            <w:bottom w:val="none" w:sz="0" w:space="0" w:color="auto"/>
            <w:right w:val="none" w:sz="0" w:space="0" w:color="auto"/>
          </w:divBdr>
          <w:divsChild>
            <w:div w:id="198404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056535">
      <w:bodyDiv w:val="1"/>
      <w:marLeft w:val="0"/>
      <w:marRight w:val="0"/>
      <w:marTop w:val="0"/>
      <w:marBottom w:val="0"/>
      <w:divBdr>
        <w:top w:val="none" w:sz="0" w:space="0" w:color="auto"/>
        <w:left w:val="none" w:sz="0" w:space="0" w:color="auto"/>
        <w:bottom w:val="none" w:sz="0" w:space="0" w:color="auto"/>
        <w:right w:val="none" w:sz="0" w:space="0" w:color="auto"/>
      </w:divBdr>
    </w:div>
    <w:div w:id="2123648708">
      <w:bodyDiv w:val="1"/>
      <w:marLeft w:val="0"/>
      <w:marRight w:val="0"/>
      <w:marTop w:val="0"/>
      <w:marBottom w:val="0"/>
      <w:divBdr>
        <w:top w:val="none" w:sz="0" w:space="0" w:color="auto"/>
        <w:left w:val="none" w:sz="0" w:space="0" w:color="auto"/>
        <w:bottom w:val="none" w:sz="0" w:space="0" w:color="auto"/>
        <w:right w:val="none" w:sz="0" w:space="0" w:color="auto"/>
      </w:divBdr>
    </w:div>
    <w:div w:id="21471659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www.iranicaonline.org/articles/aqasff-ujuli-mnsz-adras-ivxni-ca" TargetMode="External"/><Relationship Id="rId2" Type="http://schemas.openxmlformats.org/officeDocument/2006/relationships/hyperlink" Target="http://www.iranicaonline.org/articles/divan" TargetMode="External"/><Relationship Id="rId1" Type="http://schemas.openxmlformats.org/officeDocument/2006/relationships/hyperlink" Target="http://www.iranicaonline.org/articles/ebrahim-kalantar-siraz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806A9F-2D1A-1F44-8101-A8630C6D1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45</Pages>
  <Words>7211</Words>
  <Characters>41109</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Assef Ashraf</dc:creator>
  <cp:lastModifiedBy>Assef Ashraf</cp:lastModifiedBy>
  <cp:revision>209</cp:revision>
  <cp:lastPrinted>2018-08-24T05:57:00Z</cp:lastPrinted>
  <dcterms:created xsi:type="dcterms:W3CDTF">2018-08-24T00:40:00Z</dcterms:created>
  <dcterms:modified xsi:type="dcterms:W3CDTF">2018-08-30T15:49:00Z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zotero-version="4.0.29.19"&gt;&lt;session id="BUBxTPU6"/&gt;&lt;style id="http://www.zotero.org/styles/chicago-fullnote-bibliography" locale="en-US" hasBibliography="1" bibliographyStyleHasBeenSet="0"/&gt;&lt;prefs&gt;&lt;pref name="fieldType" value="Field</vt:lpwstr>
  </property>
  <property fmtid="{D5CDD505-2E9C-101B-9397-08002B2CF9AE}" pid="3" name="ZOTERO_PREF_2">
    <vt:lpwstr>"/&gt;&lt;pref name="storeReferences" value="true"/&gt;&lt;pref name="automaticJournalAbbreviations" value=""/&gt;&lt;pref name="noteType" value="1"/&gt;&lt;/prefs&gt;&lt;/data&gt;</vt:lpwstr>
  </property>
</Properties>
</file>