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E307AE" w14:textId="77777777" w:rsidR="00A961F7" w:rsidRDefault="00A961F7" w:rsidP="001255BA">
      <w:pPr>
        <w:ind w:firstLine="0"/>
        <w:rPr>
          <w:b/>
        </w:rPr>
      </w:pPr>
    </w:p>
    <w:p w14:paraId="27E307AF" w14:textId="77777777" w:rsidR="00A961F7" w:rsidRDefault="00A961F7" w:rsidP="001255BA">
      <w:pPr>
        <w:ind w:firstLine="0"/>
        <w:rPr>
          <w:b/>
        </w:rPr>
      </w:pPr>
    </w:p>
    <w:p w14:paraId="41296E49" w14:textId="7241B535" w:rsidR="00A961F7" w:rsidRPr="00EB6E34" w:rsidRDefault="00A24B87" w:rsidP="00E63CF6">
      <w:pPr>
        <w:pStyle w:val="Heading1"/>
        <w:rPr>
          <w:b w:val="0"/>
          <w:sz w:val="32"/>
        </w:rPr>
      </w:pPr>
      <w:bookmarkStart w:id="0" w:name="_sdnkzpcno69" w:colFirst="0" w:colLast="0"/>
      <w:bookmarkEnd w:id="0"/>
      <w:r w:rsidRPr="00EB6E34">
        <w:rPr>
          <w:sz w:val="32"/>
        </w:rPr>
        <w:t xml:space="preserve">Association of </w:t>
      </w:r>
      <w:r w:rsidR="00922F0A" w:rsidRPr="00EB6E34">
        <w:rPr>
          <w:sz w:val="32"/>
        </w:rPr>
        <w:t>I</w:t>
      </w:r>
      <w:r w:rsidRPr="00EB6E34">
        <w:rPr>
          <w:sz w:val="32"/>
        </w:rPr>
        <w:t xml:space="preserve">nflammation with </w:t>
      </w:r>
      <w:r w:rsidR="00922F0A" w:rsidRPr="00EB6E34">
        <w:rPr>
          <w:sz w:val="32"/>
        </w:rPr>
        <w:t>D</w:t>
      </w:r>
      <w:r w:rsidRPr="00EB6E34">
        <w:rPr>
          <w:sz w:val="32"/>
        </w:rPr>
        <w:t xml:space="preserve">epression and </w:t>
      </w:r>
      <w:r w:rsidR="00922F0A" w:rsidRPr="00EB6E34">
        <w:rPr>
          <w:sz w:val="32"/>
        </w:rPr>
        <w:t>A</w:t>
      </w:r>
      <w:r w:rsidRPr="00EB6E34">
        <w:rPr>
          <w:sz w:val="32"/>
        </w:rPr>
        <w:t xml:space="preserve">nxiety: </w:t>
      </w:r>
      <w:r w:rsidR="00922F0A" w:rsidRPr="00EB6E34">
        <w:rPr>
          <w:sz w:val="32"/>
        </w:rPr>
        <w:t>E</w:t>
      </w:r>
      <w:r w:rsidRPr="00EB6E34">
        <w:rPr>
          <w:sz w:val="32"/>
        </w:rPr>
        <w:t xml:space="preserve">vidence for </w:t>
      </w:r>
      <w:r w:rsidR="00922F0A" w:rsidRPr="00EB6E34">
        <w:rPr>
          <w:sz w:val="32"/>
        </w:rPr>
        <w:t>S</w:t>
      </w:r>
      <w:r w:rsidRPr="00EB6E34">
        <w:rPr>
          <w:sz w:val="32"/>
        </w:rPr>
        <w:t>ymptom-</w:t>
      </w:r>
      <w:r w:rsidR="00BE28AF" w:rsidRPr="00EB6E34">
        <w:rPr>
          <w:sz w:val="32"/>
        </w:rPr>
        <w:t>S</w:t>
      </w:r>
      <w:r w:rsidRPr="00EB6E34">
        <w:rPr>
          <w:sz w:val="32"/>
        </w:rPr>
        <w:t xml:space="preserve">pecificity and </w:t>
      </w:r>
      <w:r w:rsidR="00922F0A" w:rsidRPr="00EB6E34">
        <w:rPr>
          <w:sz w:val="32"/>
        </w:rPr>
        <w:t>P</w:t>
      </w:r>
      <w:r w:rsidRPr="00EB6E34">
        <w:rPr>
          <w:sz w:val="32"/>
        </w:rPr>
        <w:t xml:space="preserve">otential </w:t>
      </w:r>
      <w:r w:rsidR="00922F0A" w:rsidRPr="00EB6E34">
        <w:rPr>
          <w:sz w:val="32"/>
        </w:rPr>
        <w:t>C</w:t>
      </w:r>
      <w:r w:rsidRPr="00EB6E34">
        <w:rPr>
          <w:sz w:val="32"/>
        </w:rPr>
        <w:t xml:space="preserve">ausality from UK Biobank and NESDA </w:t>
      </w:r>
      <w:r w:rsidR="00922F0A" w:rsidRPr="00EB6E34">
        <w:rPr>
          <w:sz w:val="32"/>
        </w:rPr>
        <w:t>C</w:t>
      </w:r>
      <w:r w:rsidRPr="00EB6E34">
        <w:rPr>
          <w:sz w:val="32"/>
        </w:rPr>
        <w:t>ohorts</w:t>
      </w:r>
    </w:p>
    <w:p w14:paraId="4BA3A4AA" w14:textId="77777777" w:rsidR="00E642C9" w:rsidRPr="00EB6E34" w:rsidRDefault="00E642C9" w:rsidP="00E63CF6">
      <w:pPr>
        <w:ind w:firstLine="0"/>
      </w:pPr>
    </w:p>
    <w:p w14:paraId="21FAFD8B" w14:textId="77777777" w:rsidR="00E642C9" w:rsidRPr="00E642C9" w:rsidRDefault="00E642C9" w:rsidP="00E63CF6">
      <w:pPr>
        <w:spacing w:after="0" w:line="276" w:lineRule="auto"/>
        <w:ind w:firstLine="0"/>
        <w:rPr>
          <w:b/>
          <w:lang w:val="en-GB"/>
        </w:rPr>
      </w:pPr>
    </w:p>
    <w:p w14:paraId="34DD7971" w14:textId="6808EE98" w:rsidR="00E642C9" w:rsidRPr="002C7E75" w:rsidRDefault="002C7E75" w:rsidP="00E63CF6">
      <w:pPr>
        <w:spacing w:after="0" w:line="276" w:lineRule="auto"/>
        <w:ind w:firstLine="0"/>
        <w:rPr>
          <w:vertAlign w:val="superscript"/>
          <w:lang w:val="en-GB"/>
        </w:rPr>
      </w:pPr>
      <w:r w:rsidRPr="002C7E75">
        <w:rPr>
          <w:lang w:val="en-GB"/>
        </w:rPr>
        <w:t>Yuri Milaneschi</w:t>
      </w:r>
      <w:r w:rsidR="0035439D" w:rsidRPr="0035439D">
        <w:rPr>
          <w:vertAlign w:val="superscript"/>
          <w:lang w:val="en-GB"/>
        </w:rPr>
        <w:t>1,*</w:t>
      </w:r>
      <w:r w:rsidRPr="002C7E75">
        <w:rPr>
          <w:lang w:val="en-GB"/>
        </w:rPr>
        <w:t xml:space="preserve">, </w:t>
      </w:r>
      <w:r w:rsidR="00E642C9" w:rsidRPr="002C7E75">
        <w:rPr>
          <w:lang w:val="en-GB"/>
        </w:rPr>
        <w:t>Nils Kappelmann</w:t>
      </w:r>
      <w:r w:rsidR="00E642C9" w:rsidRPr="002C7E75">
        <w:rPr>
          <w:vertAlign w:val="superscript"/>
          <w:lang w:val="en-GB"/>
        </w:rPr>
        <w:t>2,3</w:t>
      </w:r>
      <w:r w:rsidR="0035439D">
        <w:rPr>
          <w:vertAlign w:val="superscript"/>
          <w:lang w:val="en-GB"/>
        </w:rPr>
        <w:t>,</w:t>
      </w:r>
      <w:r w:rsidR="00E642C9" w:rsidRPr="002C7E75">
        <w:rPr>
          <w:vertAlign w:val="superscript"/>
          <w:lang w:val="en-GB"/>
        </w:rPr>
        <w:t>*</w:t>
      </w:r>
      <w:r w:rsidR="00E642C9" w:rsidRPr="002C7E75">
        <w:rPr>
          <w:lang w:val="en-GB"/>
        </w:rPr>
        <w:t xml:space="preserve">, </w:t>
      </w:r>
      <w:r w:rsidR="00E63CF6" w:rsidRPr="002C7E75">
        <w:rPr>
          <w:lang w:val="en-GB"/>
        </w:rPr>
        <w:t>Zheng Ye</w:t>
      </w:r>
      <w:r w:rsidR="007D6D02">
        <w:rPr>
          <w:vertAlign w:val="superscript"/>
          <w:lang w:val="en-GB"/>
        </w:rPr>
        <w:t>4</w:t>
      </w:r>
      <w:r w:rsidR="00E63CF6" w:rsidRPr="002C7E75">
        <w:rPr>
          <w:lang w:val="en-GB"/>
        </w:rPr>
        <w:t xml:space="preserve">, </w:t>
      </w:r>
      <w:proofErr w:type="spellStart"/>
      <w:r w:rsidRPr="002C7E75">
        <w:rPr>
          <w:lang w:val="en-GB"/>
        </w:rPr>
        <w:t>Femke</w:t>
      </w:r>
      <w:proofErr w:type="spellEnd"/>
      <w:r w:rsidRPr="002C7E75">
        <w:rPr>
          <w:lang w:val="en-GB"/>
        </w:rPr>
        <w:t xml:space="preserve"> Lamers</w:t>
      </w:r>
      <w:r w:rsidR="00D40648" w:rsidRPr="00D40648">
        <w:rPr>
          <w:vertAlign w:val="superscript"/>
          <w:lang w:val="en-GB"/>
        </w:rPr>
        <w:t>1</w:t>
      </w:r>
      <w:r w:rsidRPr="002C7E75">
        <w:rPr>
          <w:lang w:val="en-GB"/>
        </w:rPr>
        <w:t>, Sylvain Moser</w:t>
      </w:r>
      <w:r w:rsidRPr="002C7E75">
        <w:rPr>
          <w:vertAlign w:val="superscript"/>
          <w:lang w:val="en-GB"/>
        </w:rPr>
        <w:t>2,3</w:t>
      </w:r>
      <w:r w:rsidRPr="002C7E75">
        <w:rPr>
          <w:lang w:val="en-GB"/>
        </w:rPr>
        <w:t xml:space="preserve">, </w:t>
      </w:r>
      <w:r w:rsidR="00E642C9" w:rsidRPr="002C7E75">
        <w:rPr>
          <w:lang w:val="en-GB"/>
        </w:rPr>
        <w:t>Peter B. Jones</w:t>
      </w:r>
      <w:r w:rsidR="00E642C9" w:rsidRPr="002C7E75">
        <w:rPr>
          <w:vertAlign w:val="superscript"/>
          <w:lang w:val="en-GB"/>
        </w:rPr>
        <w:t>4</w:t>
      </w:r>
      <w:r w:rsidR="007269C9">
        <w:rPr>
          <w:vertAlign w:val="superscript"/>
          <w:lang w:val="en-GB"/>
        </w:rPr>
        <w:t>,5</w:t>
      </w:r>
      <w:r w:rsidR="00E642C9" w:rsidRPr="002C7E75">
        <w:rPr>
          <w:lang w:val="en-GB"/>
        </w:rPr>
        <w:t>, Ste</w:t>
      </w:r>
      <w:r w:rsidR="006E4BBB">
        <w:rPr>
          <w:lang w:val="en-GB"/>
        </w:rPr>
        <w:t>ph</w:t>
      </w:r>
      <w:r w:rsidR="00E642C9" w:rsidRPr="002C7E75">
        <w:rPr>
          <w:lang w:val="en-GB"/>
        </w:rPr>
        <w:t>en Burgess</w:t>
      </w:r>
      <w:r w:rsidR="00966A3F">
        <w:rPr>
          <w:vertAlign w:val="superscript"/>
          <w:lang w:val="en-GB"/>
        </w:rPr>
        <w:t>6</w:t>
      </w:r>
      <w:r w:rsidR="00E642C9" w:rsidRPr="002C7E75">
        <w:rPr>
          <w:vertAlign w:val="superscript"/>
          <w:lang w:val="en-GB"/>
        </w:rPr>
        <w:t>,</w:t>
      </w:r>
      <w:r w:rsidR="00966A3F">
        <w:rPr>
          <w:vertAlign w:val="superscript"/>
          <w:lang w:val="en-GB"/>
        </w:rPr>
        <w:t>7</w:t>
      </w:r>
      <w:r w:rsidR="00E642C9" w:rsidRPr="002C7E75">
        <w:rPr>
          <w:lang w:val="en-GB"/>
        </w:rPr>
        <w:t xml:space="preserve">, </w:t>
      </w:r>
      <w:r w:rsidRPr="002C7E75">
        <w:rPr>
          <w:lang w:val="en-GB"/>
        </w:rPr>
        <w:t xml:space="preserve">Brenda </w:t>
      </w:r>
      <w:r w:rsidR="001D0478">
        <w:rPr>
          <w:lang w:val="en-GB"/>
        </w:rPr>
        <w:t xml:space="preserve">W. J. H. </w:t>
      </w:r>
      <w:r w:rsidRPr="002C7E75">
        <w:rPr>
          <w:lang w:val="en-GB"/>
        </w:rPr>
        <w:t>Penninx</w:t>
      </w:r>
      <w:r w:rsidRPr="002C7E75">
        <w:rPr>
          <w:vertAlign w:val="superscript"/>
          <w:lang w:val="en-GB"/>
        </w:rPr>
        <w:t>1,</w:t>
      </w:r>
      <w:r w:rsidRPr="002C7E75">
        <w:rPr>
          <w:rFonts w:cs="Times New Roman"/>
          <w:vertAlign w:val="superscript"/>
          <w:lang w:val="en-GB"/>
        </w:rPr>
        <w:t>†</w:t>
      </w:r>
      <w:r w:rsidRPr="002C7E75">
        <w:rPr>
          <w:lang w:val="en-GB"/>
        </w:rPr>
        <w:t xml:space="preserve">, </w:t>
      </w:r>
      <w:r w:rsidR="00E642C9" w:rsidRPr="002C7E75">
        <w:rPr>
          <w:lang w:val="en-GB"/>
        </w:rPr>
        <w:t>&amp; Golam M. Khandaker</w:t>
      </w:r>
      <w:r w:rsidR="00966A3F">
        <w:rPr>
          <w:vertAlign w:val="superscript"/>
          <w:lang w:val="en-GB"/>
        </w:rPr>
        <w:t>4</w:t>
      </w:r>
      <w:r w:rsidR="00E642C9" w:rsidRPr="002C7E75">
        <w:rPr>
          <w:vertAlign w:val="superscript"/>
          <w:lang w:val="en-GB"/>
        </w:rPr>
        <w:t>,</w:t>
      </w:r>
      <w:r w:rsidR="00966A3F">
        <w:rPr>
          <w:vertAlign w:val="superscript"/>
          <w:lang w:val="en-GB"/>
        </w:rPr>
        <w:t>5</w:t>
      </w:r>
      <w:r w:rsidR="00E642C9" w:rsidRPr="002C7E75">
        <w:rPr>
          <w:vertAlign w:val="superscript"/>
          <w:lang w:val="en-GB"/>
        </w:rPr>
        <w:t>,</w:t>
      </w:r>
      <w:r w:rsidR="00966A3F">
        <w:rPr>
          <w:vertAlign w:val="superscript"/>
          <w:lang w:val="en-GB"/>
        </w:rPr>
        <w:t>8,9</w:t>
      </w:r>
      <w:r w:rsidRPr="002C7E75">
        <w:rPr>
          <w:vertAlign w:val="superscript"/>
          <w:lang w:val="en-GB"/>
        </w:rPr>
        <w:t>,</w:t>
      </w:r>
      <w:r w:rsidRPr="002C7E75">
        <w:rPr>
          <w:rFonts w:cs="Times New Roman"/>
          <w:vertAlign w:val="superscript"/>
          <w:lang w:val="en-GB"/>
        </w:rPr>
        <w:t>†</w:t>
      </w:r>
    </w:p>
    <w:p w14:paraId="63E8DC99" w14:textId="27E72D1D" w:rsidR="002C7E75" w:rsidRDefault="002C7E75" w:rsidP="00E63CF6">
      <w:pPr>
        <w:spacing w:after="0" w:line="276" w:lineRule="auto"/>
        <w:ind w:firstLine="0"/>
        <w:rPr>
          <w:lang w:val="en-GB"/>
        </w:rPr>
      </w:pPr>
    </w:p>
    <w:p w14:paraId="6ABA7C50" w14:textId="7D0B56A9" w:rsidR="00D40648" w:rsidRPr="002C7E75" w:rsidRDefault="00D40648" w:rsidP="00E63CF6">
      <w:pPr>
        <w:spacing w:after="0" w:line="276" w:lineRule="auto"/>
        <w:ind w:firstLine="0"/>
        <w:rPr>
          <w:lang w:val="en-GB"/>
        </w:rPr>
      </w:pPr>
      <w:r w:rsidRPr="00D40648">
        <w:rPr>
          <w:vertAlign w:val="superscript"/>
          <w:lang w:val="en-GB"/>
        </w:rPr>
        <w:t>1</w:t>
      </w:r>
      <w:r w:rsidRPr="00D40648">
        <w:rPr>
          <w:lang w:val="en-GB"/>
        </w:rPr>
        <w:t xml:space="preserve">Department of Psychiatry, Amsterdam Public Health and Amsterdam Neuroscience, </w:t>
      </w:r>
      <w:r w:rsidR="00FD5690" w:rsidRPr="00D40648">
        <w:rPr>
          <w:lang w:val="en-GB"/>
        </w:rPr>
        <w:t>Amsterdam UMC</w:t>
      </w:r>
      <w:r w:rsidR="00FD5690">
        <w:rPr>
          <w:lang w:val="en-GB"/>
        </w:rPr>
        <w:t>/</w:t>
      </w:r>
      <w:proofErr w:type="spellStart"/>
      <w:r w:rsidRPr="00D40648">
        <w:rPr>
          <w:lang w:val="en-GB"/>
        </w:rPr>
        <w:t>Vrije</w:t>
      </w:r>
      <w:proofErr w:type="spellEnd"/>
      <w:r w:rsidRPr="00D40648">
        <w:rPr>
          <w:lang w:val="en-GB"/>
        </w:rPr>
        <w:t xml:space="preserve"> </w:t>
      </w:r>
      <w:proofErr w:type="spellStart"/>
      <w:r w:rsidRPr="00D40648">
        <w:rPr>
          <w:lang w:val="en-GB"/>
        </w:rPr>
        <w:t>Universiteit</w:t>
      </w:r>
      <w:proofErr w:type="spellEnd"/>
      <w:r w:rsidRPr="00D40648">
        <w:rPr>
          <w:lang w:val="en-GB"/>
        </w:rPr>
        <w:t>, Amsterdam, The Netherlands</w:t>
      </w:r>
    </w:p>
    <w:p w14:paraId="27F5D306" w14:textId="5D1EFFE5" w:rsidR="00E642C9" w:rsidRPr="00E642C9" w:rsidRDefault="002C7E75" w:rsidP="002C7E75">
      <w:pPr>
        <w:spacing w:line="240" w:lineRule="auto"/>
        <w:ind w:firstLine="0"/>
        <w:rPr>
          <w:lang w:val="en-GB"/>
        </w:rPr>
      </w:pPr>
      <w:r>
        <w:rPr>
          <w:vertAlign w:val="superscript"/>
          <w:lang w:val="en-GB"/>
        </w:rPr>
        <w:t>2</w:t>
      </w:r>
      <w:r w:rsidR="00E642C9" w:rsidRPr="00E642C9">
        <w:rPr>
          <w:lang w:val="en-GB"/>
        </w:rPr>
        <w:t>Department of Research in Translational Psychiatry, Max-Planck-Institute of Psychiatry, Munich, Germany</w:t>
      </w:r>
    </w:p>
    <w:p w14:paraId="1CAD5F61" w14:textId="3F7F216C" w:rsidR="00E642C9" w:rsidRDefault="00E642C9" w:rsidP="002C7E75">
      <w:pPr>
        <w:spacing w:line="240" w:lineRule="auto"/>
        <w:ind w:firstLine="0"/>
        <w:rPr>
          <w:lang w:val="en-GB"/>
        </w:rPr>
      </w:pPr>
      <w:r w:rsidRPr="00E642C9">
        <w:rPr>
          <w:vertAlign w:val="superscript"/>
          <w:lang w:val="en-GB"/>
        </w:rPr>
        <w:t>3</w:t>
      </w:r>
      <w:r w:rsidRPr="00E642C9">
        <w:rPr>
          <w:lang w:val="en-GB"/>
        </w:rPr>
        <w:t>International Max Planck Research School for Translational Psychiatry (IMPRS-TP), Munich, Germany</w:t>
      </w:r>
    </w:p>
    <w:p w14:paraId="0B321510" w14:textId="166A36B8" w:rsidR="002C7E75" w:rsidRPr="00E642C9" w:rsidRDefault="002C7E75" w:rsidP="002C7E75">
      <w:pPr>
        <w:spacing w:line="240" w:lineRule="auto"/>
        <w:ind w:firstLine="0"/>
        <w:rPr>
          <w:lang w:val="en-GB"/>
        </w:rPr>
      </w:pPr>
      <w:r>
        <w:rPr>
          <w:vertAlign w:val="superscript"/>
          <w:lang w:val="en-GB"/>
        </w:rPr>
        <w:t>4</w:t>
      </w:r>
      <w:r w:rsidRPr="00E642C9">
        <w:rPr>
          <w:lang w:val="en-GB"/>
        </w:rPr>
        <w:t xml:space="preserve">Department of Psychiatry, University of Cambridge, Cambridge, </w:t>
      </w:r>
      <w:r w:rsidR="00D35FBF">
        <w:rPr>
          <w:lang w:val="en-GB"/>
        </w:rPr>
        <w:t>England</w:t>
      </w:r>
    </w:p>
    <w:p w14:paraId="4230C9AE" w14:textId="03C1E66C" w:rsidR="00E642C9" w:rsidRPr="00E642C9" w:rsidRDefault="007269C9" w:rsidP="002C7E75">
      <w:pPr>
        <w:spacing w:line="240" w:lineRule="auto"/>
        <w:ind w:firstLine="0"/>
        <w:rPr>
          <w:lang w:val="en-GB"/>
        </w:rPr>
      </w:pPr>
      <w:r>
        <w:rPr>
          <w:vertAlign w:val="superscript"/>
          <w:lang w:val="en-GB"/>
        </w:rPr>
        <w:t>5</w:t>
      </w:r>
      <w:r w:rsidR="00E642C9" w:rsidRPr="00E642C9">
        <w:rPr>
          <w:lang w:val="en-GB"/>
        </w:rPr>
        <w:t xml:space="preserve">Cambridgeshire and Peterborough NHS Foundation Trust, Cambridge, </w:t>
      </w:r>
      <w:r w:rsidR="00D35FBF">
        <w:rPr>
          <w:lang w:val="en-GB"/>
        </w:rPr>
        <w:t>England</w:t>
      </w:r>
    </w:p>
    <w:p w14:paraId="64B5EFF3" w14:textId="40B16BD7" w:rsidR="00E642C9" w:rsidRPr="00E642C9" w:rsidRDefault="00966A3F" w:rsidP="002C7E75">
      <w:pPr>
        <w:spacing w:line="240" w:lineRule="auto"/>
        <w:ind w:firstLine="0"/>
        <w:rPr>
          <w:lang w:val="en-GB"/>
        </w:rPr>
      </w:pPr>
      <w:r>
        <w:rPr>
          <w:vertAlign w:val="superscript"/>
          <w:lang w:val="en-GB"/>
        </w:rPr>
        <w:t>6</w:t>
      </w:r>
      <w:r w:rsidR="00E642C9" w:rsidRPr="00E642C9">
        <w:rPr>
          <w:lang w:val="en-GB"/>
        </w:rPr>
        <w:t xml:space="preserve">MRC Biostatistics Unit, University of Cambridge, Cambridge, </w:t>
      </w:r>
      <w:r w:rsidR="00D35FBF">
        <w:rPr>
          <w:lang w:val="en-GB"/>
        </w:rPr>
        <w:t>England</w:t>
      </w:r>
    </w:p>
    <w:p w14:paraId="32C33204" w14:textId="7182F031" w:rsidR="00E642C9" w:rsidRPr="00E642C9" w:rsidRDefault="00966A3F" w:rsidP="002C7E75">
      <w:pPr>
        <w:spacing w:line="240" w:lineRule="auto"/>
        <w:ind w:firstLine="0"/>
        <w:rPr>
          <w:lang w:val="en-GB"/>
        </w:rPr>
      </w:pPr>
      <w:r>
        <w:rPr>
          <w:vertAlign w:val="superscript"/>
          <w:lang w:val="en-GB"/>
        </w:rPr>
        <w:t>7</w:t>
      </w:r>
      <w:r w:rsidR="00E642C9" w:rsidRPr="00E642C9">
        <w:rPr>
          <w:lang w:val="en-GB"/>
        </w:rPr>
        <w:t xml:space="preserve">Cardiovascular Epidemiology Unit, Department of Public Health and Primary Care, University of Cambridge, Cambridge, </w:t>
      </w:r>
      <w:r w:rsidR="00D35FBF">
        <w:rPr>
          <w:lang w:val="en-GB"/>
        </w:rPr>
        <w:t>England</w:t>
      </w:r>
    </w:p>
    <w:p w14:paraId="05629D25" w14:textId="474586E1" w:rsidR="00E642C9" w:rsidRPr="00E642C9" w:rsidRDefault="00966A3F" w:rsidP="002C7E75">
      <w:pPr>
        <w:spacing w:line="240" w:lineRule="auto"/>
        <w:ind w:firstLine="0"/>
        <w:rPr>
          <w:lang w:val="en-GB"/>
        </w:rPr>
      </w:pPr>
      <w:r>
        <w:rPr>
          <w:vertAlign w:val="superscript"/>
          <w:lang w:val="en-GB"/>
        </w:rPr>
        <w:t>8</w:t>
      </w:r>
      <w:r w:rsidR="00E642C9" w:rsidRPr="00E642C9">
        <w:rPr>
          <w:lang w:val="en-GB"/>
        </w:rPr>
        <w:t xml:space="preserve">MRC Integrative Epidemiology Unit, Population Health Sciences, Bristol Medical School, University of Bristol, Bristol, </w:t>
      </w:r>
      <w:r w:rsidR="00D35FBF">
        <w:rPr>
          <w:lang w:val="en-GB"/>
        </w:rPr>
        <w:t>England</w:t>
      </w:r>
    </w:p>
    <w:p w14:paraId="3333582D" w14:textId="515441F9" w:rsidR="00E642C9" w:rsidRPr="00E642C9" w:rsidRDefault="00966A3F" w:rsidP="002C7E75">
      <w:pPr>
        <w:spacing w:line="240" w:lineRule="auto"/>
        <w:ind w:firstLine="0"/>
        <w:rPr>
          <w:lang w:val="en-GB"/>
        </w:rPr>
      </w:pPr>
      <w:r>
        <w:rPr>
          <w:vertAlign w:val="superscript"/>
          <w:lang w:val="en-GB"/>
        </w:rPr>
        <w:t>9</w:t>
      </w:r>
      <w:r w:rsidR="00E642C9" w:rsidRPr="00E642C9">
        <w:rPr>
          <w:lang w:val="en-GB"/>
        </w:rPr>
        <w:t xml:space="preserve">Centre for Academic Mental Health, Population Health Sciences, Bristol Medical School, University of Bristol, Bristol, </w:t>
      </w:r>
      <w:r w:rsidR="00D35FBF">
        <w:rPr>
          <w:lang w:val="en-GB"/>
        </w:rPr>
        <w:t>England</w:t>
      </w:r>
    </w:p>
    <w:p w14:paraId="7CBE3730" w14:textId="5E9F3D87" w:rsidR="00E642C9" w:rsidRDefault="00E642C9" w:rsidP="00E63CF6">
      <w:pPr>
        <w:spacing w:line="276" w:lineRule="auto"/>
        <w:ind w:firstLine="0"/>
        <w:rPr>
          <w:lang w:val="en-GB"/>
        </w:rPr>
      </w:pPr>
      <w:r w:rsidRPr="00E642C9">
        <w:rPr>
          <w:vertAlign w:val="superscript"/>
          <w:lang w:val="en-GB"/>
        </w:rPr>
        <w:t>*</w:t>
      </w:r>
      <w:r w:rsidRPr="00E642C9">
        <w:rPr>
          <w:lang w:val="en-GB"/>
        </w:rPr>
        <w:t>Joint first authors</w:t>
      </w:r>
    </w:p>
    <w:p w14:paraId="1E08454D" w14:textId="35A8C1AA" w:rsidR="002C7E75" w:rsidRPr="00E642C9" w:rsidRDefault="002C7E75" w:rsidP="00E63CF6">
      <w:pPr>
        <w:spacing w:line="276" w:lineRule="auto"/>
        <w:ind w:firstLine="0"/>
        <w:rPr>
          <w:lang w:val="en-GB"/>
        </w:rPr>
      </w:pPr>
      <w:r w:rsidRPr="002C7E75">
        <w:rPr>
          <w:rFonts w:cs="Times New Roman"/>
          <w:vertAlign w:val="superscript"/>
          <w:lang w:val="en-GB"/>
        </w:rPr>
        <w:t>†</w:t>
      </w:r>
      <w:r>
        <w:rPr>
          <w:lang w:val="en-GB"/>
        </w:rPr>
        <w:t>Joint senior authors</w:t>
      </w:r>
    </w:p>
    <w:p w14:paraId="247F646B" w14:textId="77777777" w:rsidR="00E271FE" w:rsidRDefault="00E271FE" w:rsidP="00E271FE">
      <w:pPr>
        <w:spacing w:after="0" w:line="276" w:lineRule="auto"/>
        <w:ind w:firstLine="0"/>
        <w:rPr>
          <w:lang w:val="en-GB"/>
        </w:rPr>
      </w:pPr>
    </w:p>
    <w:p w14:paraId="285821A1" w14:textId="279544DC" w:rsidR="00E642C9" w:rsidRPr="00E642C9" w:rsidRDefault="00E271FE" w:rsidP="00E271FE">
      <w:pPr>
        <w:spacing w:after="0" w:line="276" w:lineRule="auto"/>
        <w:ind w:firstLine="0"/>
        <w:rPr>
          <w:lang w:val="en-GB"/>
        </w:rPr>
      </w:pPr>
      <w:r w:rsidRPr="00E271FE">
        <w:rPr>
          <w:b/>
          <w:lang w:val="en-GB"/>
        </w:rPr>
        <w:t>Corresponding author</w:t>
      </w:r>
      <w:r>
        <w:rPr>
          <w:lang w:val="en-GB"/>
        </w:rPr>
        <w:t>:</w:t>
      </w:r>
    </w:p>
    <w:p w14:paraId="7BF9A2E4" w14:textId="503B02FA" w:rsidR="00E271FE" w:rsidRDefault="00B003AE" w:rsidP="001D06FA">
      <w:pPr>
        <w:spacing w:after="0" w:line="276" w:lineRule="auto"/>
        <w:ind w:firstLine="0"/>
        <w:rPr>
          <w:lang w:val="en-GB"/>
        </w:rPr>
      </w:pPr>
      <w:r w:rsidRPr="00B003AE">
        <w:rPr>
          <w:lang w:val="en-US"/>
        </w:rPr>
        <w:t xml:space="preserve">Yuri Milaneschi, Department of Psychiatry, Amsterdam UMC, </w:t>
      </w:r>
      <w:proofErr w:type="spellStart"/>
      <w:r w:rsidRPr="00B003AE">
        <w:rPr>
          <w:lang w:val="en-US"/>
        </w:rPr>
        <w:t>Vrije</w:t>
      </w:r>
      <w:proofErr w:type="spellEnd"/>
      <w:r w:rsidRPr="00B003AE">
        <w:rPr>
          <w:lang w:val="en-US"/>
        </w:rPr>
        <w:t xml:space="preserve"> </w:t>
      </w:r>
      <w:proofErr w:type="spellStart"/>
      <w:r w:rsidRPr="00B003AE">
        <w:rPr>
          <w:lang w:val="en-US"/>
        </w:rPr>
        <w:t>Universiteit</w:t>
      </w:r>
      <w:proofErr w:type="spellEnd"/>
      <w:r w:rsidRPr="00B003AE">
        <w:rPr>
          <w:lang w:val="en-US"/>
        </w:rPr>
        <w:t xml:space="preserve">/GGZ </w:t>
      </w:r>
      <w:proofErr w:type="spellStart"/>
      <w:r w:rsidRPr="00B003AE">
        <w:rPr>
          <w:lang w:val="en-US"/>
        </w:rPr>
        <w:t>inGeest</w:t>
      </w:r>
      <w:proofErr w:type="spellEnd"/>
      <w:r w:rsidRPr="00B003AE">
        <w:rPr>
          <w:lang w:val="en-US"/>
        </w:rPr>
        <w:t xml:space="preserve">, Amsterdam, the Netherland, </w:t>
      </w:r>
      <w:proofErr w:type="spellStart"/>
      <w:r w:rsidRPr="00B003AE">
        <w:rPr>
          <w:lang w:val="en-US"/>
        </w:rPr>
        <w:t>Oldenaller</w:t>
      </w:r>
      <w:proofErr w:type="spellEnd"/>
      <w:r w:rsidRPr="00B003AE">
        <w:rPr>
          <w:lang w:val="en-US"/>
        </w:rPr>
        <w:t xml:space="preserve"> 1, 1081 HL Amsterdam, The Netherlands. </w:t>
      </w:r>
      <w:r w:rsidR="00EC35F7" w:rsidRPr="0098616E">
        <w:rPr>
          <w:szCs w:val="24"/>
          <w:lang w:val="en-US"/>
        </w:rPr>
        <w:t>Phone: (+)31-(0</w:t>
      </w:r>
      <w:r w:rsidR="00EC35F7" w:rsidRPr="006B1250">
        <w:rPr>
          <w:szCs w:val="24"/>
          <w:lang w:val="en-US"/>
        </w:rPr>
        <w:t>)20-78846</w:t>
      </w:r>
      <w:r w:rsidR="00EC35F7">
        <w:rPr>
          <w:szCs w:val="24"/>
          <w:lang w:val="en-US"/>
        </w:rPr>
        <w:t xml:space="preserve">82; </w:t>
      </w:r>
      <w:r w:rsidR="00E271FE">
        <w:rPr>
          <w:lang w:val="en-GB"/>
        </w:rPr>
        <w:t xml:space="preserve">Email: </w:t>
      </w:r>
      <w:r w:rsidR="00E271FE" w:rsidRPr="00E271FE">
        <w:rPr>
          <w:lang w:val="en-GB"/>
        </w:rPr>
        <w:t>y.milaneschi@ggzingeest.nl</w:t>
      </w:r>
    </w:p>
    <w:p w14:paraId="0A4C1D7D" w14:textId="25140D18" w:rsidR="001D06FA" w:rsidRDefault="001D06FA" w:rsidP="001D06FA">
      <w:pPr>
        <w:spacing w:after="0" w:line="276" w:lineRule="auto"/>
        <w:ind w:firstLine="0"/>
        <w:rPr>
          <w:lang w:val="en-GB"/>
        </w:rPr>
      </w:pPr>
    </w:p>
    <w:p w14:paraId="0D470C8A" w14:textId="7D004DFE" w:rsidR="001D06FA" w:rsidRDefault="001D06FA" w:rsidP="001D06FA">
      <w:pPr>
        <w:spacing w:after="0" w:line="276" w:lineRule="auto"/>
        <w:ind w:firstLine="0"/>
        <w:rPr>
          <w:lang w:val="en-GB"/>
        </w:rPr>
      </w:pPr>
      <w:r w:rsidRPr="001D06FA">
        <w:rPr>
          <w:b/>
          <w:lang w:val="en-GB"/>
        </w:rPr>
        <w:t>Word count</w:t>
      </w:r>
      <w:r>
        <w:rPr>
          <w:lang w:val="en-GB"/>
        </w:rPr>
        <w:t>:</w:t>
      </w:r>
    </w:p>
    <w:p w14:paraId="537C97F0" w14:textId="4E47DEE8" w:rsidR="00A62C1D" w:rsidRPr="00EB6E34" w:rsidRDefault="001D06FA" w:rsidP="00413BDC">
      <w:pPr>
        <w:spacing w:line="240" w:lineRule="auto"/>
        <w:ind w:firstLine="0"/>
        <w:rPr>
          <w:rFonts w:eastAsia="Times New Roman" w:cs="Times New Roman"/>
          <w:szCs w:val="24"/>
          <w:highlight w:val="white"/>
          <w:lang w:val="en-GB"/>
        </w:rPr>
      </w:pPr>
      <w:r>
        <w:rPr>
          <w:lang w:val="en-GB"/>
        </w:rPr>
        <w:t xml:space="preserve">Manuscript: </w:t>
      </w:r>
      <w:r w:rsidR="00897ED9">
        <w:rPr>
          <w:lang w:val="en-GB"/>
        </w:rPr>
        <w:t xml:space="preserve">3261 </w:t>
      </w:r>
      <w:r w:rsidR="00413BDC">
        <w:rPr>
          <w:lang w:val="en-GB"/>
        </w:rPr>
        <w:t>(limit: 3</w:t>
      </w:r>
      <w:r w:rsidR="00E02058">
        <w:rPr>
          <w:lang w:val="en-GB"/>
        </w:rPr>
        <w:t>500</w:t>
      </w:r>
      <w:r w:rsidR="00413BDC">
        <w:rPr>
          <w:lang w:val="en-GB"/>
        </w:rPr>
        <w:t xml:space="preserve"> words)</w:t>
      </w:r>
    </w:p>
    <w:p w14:paraId="45191E40" w14:textId="4FA41D69" w:rsidR="001D06FA" w:rsidRPr="00EB6E34" w:rsidRDefault="001D06FA" w:rsidP="00A62C1D">
      <w:pPr>
        <w:spacing w:line="240" w:lineRule="auto"/>
        <w:ind w:firstLine="0"/>
        <w:rPr>
          <w:rFonts w:eastAsia="Times New Roman" w:cs="Times New Roman"/>
          <w:szCs w:val="24"/>
          <w:lang w:val="en-GB"/>
        </w:rPr>
      </w:pPr>
      <w:r>
        <w:rPr>
          <w:lang w:val="en-GB"/>
        </w:rPr>
        <w:t xml:space="preserve">Abstract: </w:t>
      </w:r>
      <w:r w:rsidR="00F12E54">
        <w:rPr>
          <w:rFonts w:eastAsia="Times New Roman" w:cs="Times New Roman"/>
          <w:szCs w:val="24"/>
          <w:lang w:val="en-GB"/>
        </w:rPr>
        <w:t>249</w:t>
      </w:r>
      <w:r w:rsidR="00F12E54" w:rsidRPr="00EB6E34">
        <w:rPr>
          <w:rFonts w:eastAsia="Times New Roman" w:cs="Times New Roman"/>
          <w:szCs w:val="24"/>
          <w:lang w:val="en-GB"/>
        </w:rPr>
        <w:t xml:space="preserve"> </w:t>
      </w:r>
      <w:r w:rsidR="00413BDC" w:rsidRPr="00EB6E34">
        <w:rPr>
          <w:rFonts w:eastAsia="Times New Roman" w:cs="Times New Roman"/>
          <w:szCs w:val="24"/>
          <w:lang w:val="en-GB"/>
        </w:rPr>
        <w:t xml:space="preserve">(limit: </w:t>
      </w:r>
      <w:r w:rsidR="00421758">
        <w:rPr>
          <w:rFonts w:eastAsia="Times New Roman" w:cs="Times New Roman"/>
          <w:szCs w:val="24"/>
          <w:lang w:val="en-GB"/>
        </w:rPr>
        <w:t>250</w:t>
      </w:r>
      <w:r w:rsidR="00413BDC" w:rsidRPr="00EB6E34">
        <w:rPr>
          <w:rFonts w:eastAsia="Times New Roman" w:cs="Times New Roman"/>
          <w:szCs w:val="24"/>
          <w:lang w:val="en-GB"/>
        </w:rPr>
        <w:t xml:space="preserve"> words)</w:t>
      </w:r>
    </w:p>
    <w:p w14:paraId="27E307B0" w14:textId="6D78BAD0" w:rsidR="00E642C9" w:rsidRPr="00EB6E34" w:rsidRDefault="00E642C9" w:rsidP="00E642C9">
      <w:pPr>
        <w:rPr>
          <w:lang w:val="en-GB"/>
        </w:rPr>
        <w:sectPr w:rsidR="00E642C9" w:rsidRPr="00EB6E34">
          <w:footerReference w:type="even" r:id="rId7"/>
          <w:footerReference w:type="default" r:id="rId8"/>
          <w:pgSz w:w="11909" w:h="16834"/>
          <w:pgMar w:top="1440" w:right="1440" w:bottom="1440" w:left="1440" w:header="720" w:footer="720" w:gutter="0"/>
          <w:pgNumType w:start="1"/>
          <w:cols w:space="720"/>
        </w:sectPr>
      </w:pPr>
    </w:p>
    <w:p w14:paraId="27E307B1" w14:textId="387CBB69" w:rsidR="00A961F7" w:rsidRPr="004E356B" w:rsidRDefault="00A24B87" w:rsidP="006C47DF">
      <w:pPr>
        <w:pStyle w:val="Heading1"/>
      </w:pPr>
      <w:bookmarkStart w:id="1" w:name="_x0y1wyignopc" w:colFirst="0" w:colLast="0"/>
      <w:bookmarkEnd w:id="1"/>
      <w:r w:rsidRPr="004E356B">
        <w:lastRenderedPageBreak/>
        <w:t>A</w:t>
      </w:r>
      <w:r w:rsidR="00023559" w:rsidRPr="004E356B">
        <w:t>BSTRACT</w:t>
      </w:r>
    </w:p>
    <w:p w14:paraId="11BCEB80" w14:textId="02C722C4" w:rsidR="00413BDC" w:rsidRPr="004E356B" w:rsidRDefault="00297675" w:rsidP="006941DE">
      <w:pPr>
        <w:ind w:firstLine="0"/>
        <w:rPr>
          <w:rFonts w:eastAsia="Times New Roman" w:cs="Times New Roman"/>
          <w:szCs w:val="24"/>
          <w:lang w:val="en-GB"/>
        </w:rPr>
        <w:sectPr w:rsidR="00413BDC" w:rsidRPr="004E356B">
          <w:pgSz w:w="11909" w:h="16834"/>
          <w:pgMar w:top="1440" w:right="1440" w:bottom="1440" w:left="1440" w:header="720" w:footer="720" w:gutter="0"/>
          <w:cols w:space="720"/>
        </w:sectPr>
      </w:pPr>
      <w:r w:rsidRPr="004E356B">
        <w:rPr>
          <w:rFonts w:eastAsia="Times New Roman" w:cs="Times New Roman"/>
          <w:szCs w:val="24"/>
          <w:lang w:val="en-GB"/>
        </w:rPr>
        <w:t>We examined</w:t>
      </w:r>
      <w:r w:rsidR="00A24B87" w:rsidRPr="004E356B">
        <w:rPr>
          <w:rFonts w:eastAsia="Times New Roman" w:cs="Times New Roman"/>
          <w:szCs w:val="24"/>
          <w:lang w:val="en-GB"/>
        </w:rPr>
        <w:t xml:space="preserve"> whether inflammat</w:t>
      </w:r>
      <w:r w:rsidR="00F77F36" w:rsidRPr="004E356B">
        <w:rPr>
          <w:rFonts w:eastAsia="Times New Roman" w:cs="Times New Roman"/>
          <w:szCs w:val="24"/>
          <w:lang w:val="en-GB"/>
        </w:rPr>
        <w:t xml:space="preserve">ion is </w:t>
      </w:r>
      <w:r w:rsidR="00A24B87" w:rsidRPr="004E356B">
        <w:rPr>
          <w:rFonts w:eastAsia="Times New Roman" w:cs="Times New Roman"/>
          <w:szCs w:val="24"/>
          <w:lang w:val="en-GB"/>
        </w:rPr>
        <w:t xml:space="preserve">uniformly </w:t>
      </w:r>
      <w:r w:rsidR="00F77F36" w:rsidRPr="004E356B">
        <w:rPr>
          <w:rFonts w:eastAsia="Times New Roman" w:cs="Times New Roman"/>
          <w:szCs w:val="24"/>
          <w:lang w:val="en-GB"/>
        </w:rPr>
        <w:t xml:space="preserve">associated with all </w:t>
      </w:r>
      <w:r w:rsidR="00275706" w:rsidRPr="004E356B">
        <w:rPr>
          <w:rFonts w:eastAsia="Times New Roman" w:cs="Times New Roman"/>
          <w:szCs w:val="24"/>
          <w:lang w:val="en-GB"/>
        </w:rPr>
        <w:t>depressive</w:t>
      </w:r>
      <w:r w:rsidR="00F77F36" w:rsidRPr="004E356B">
        <w:rPr>
          <w:rFonts w:eastAsia="Times New Roman" w:cs="Times New Roman"/>
          <w:szCs w:val="24"/>
          <w:lang w:val="en-GB"/>
        </w:rPr>
        <w:t xml:space="preserve"> and anxiety symptoms, and whether these associat</w:t>
      </w:r>
      <w:r w:rsidR="007D3FF9" w:rsidRPr="004E356B">
        <w:rPr>
          <w:rFonts w:eastAsia="Times New Roman" w:cs="Times New Roman"/>
          <w:szCs w:val="24"/>
          <w:lang w:val="en-GB"/>
        </w:rPr>
        <w:t>i</w:t>
      </w:r>
      <w:r w:rsidR="00F77F36" w:rsidRPr="004E356B">
        <w:rPr>
          <w:rFonts w:eastAsia="Times New Roman" w:cs="Times New Roman"/>
          <w:szCs w:val="24"/>
          <w:lang w:val="en-GB"/>
        </w:rPr>
        <w:t xml:space="preserve">ons are </w:t>
      </w:r>
      <w:r w:rsidRPr="004E356B">
        <w:rPr>
          <w:rFonts w:eastAsia="Times New Roman" w:cs="Times New Roman"/>
          <w:szCs w:val="24"/>
          <w:lang w:val="en-GB"/>
        </w:rPr>
        <w:t>potentially</w:t>
      </w:r>
      <w:r w:rsidR="00F77F36" w:rsidRPr="004E356B">
        <w:rPr>
          <w:rFonts w:eastAsia="Times New Roman" w:cs="Times New Roman"/>
          <w:szCs w:val="24"/>
          <w:lang w:val="en-GB"/>
        </w:rPr>
        <w:t xml:space="preserve"> causal</w:t>
      </w:r>
      <w:r w:rsidR="00A24B87" w:rsidRPr="004E356B">
        <w:rPr>
          <w:rFonts w:eastAsia="Times New Roman" w:cs="Times New Roman"/>
          <w:szCs w:val="24"/>
          <w:lang w:val="en-GB"/>
        </w:rPr>
        <w:t xml:space="preserve">. </w:t>
      </w:r>
      <w:r w:rsidR="004D22DC" w:rsidRPr="004E356B">
        <w:rPr>
          <w:rFonts w:eastAsia="Times New Roman" w:cs="Times New Roman"/>
          <w:szCs w:val="24"/>
          <w:lang w:val="en-GB"/>
        </w:rPr>
        <w:t xml:space="preserve">Data was </w:t>
      </w:r>
      <w:r w:rsidR="00A24B87" w:rsidRPr="004E356B">
        <w:rPr>
          <w:rFonts w:eastAsia="Times New Roman" w:cs="Times New Roman"/>
          <w:szCs w:val="24"/>
          <w:lang w:val="en-GB"/>
        </w:rPr>
        <w:t xml:space="preserve">from </w:t>
      </w:r>
      <w:r w:rsidR="004D22DC" w:rsidRPr="004E356B">
        <w:rPr>
          <w:rFonts w:eastAsia="Times New Roman" w:cs="Times New Roman"/>
          <w:szCs w:val="24"/>
          <w:lang w:val="en-GB"/>
        </w:rPr>
        <w:t xml:space="preserve">147,478 individuals from the </w:t>
      </w:r>
      <w:r w:rsidR="00A24B87" w:rsidRPr="004E356B">
        <w:rPr>
          <w:rFonts w:eastAsia="Times New Roman" w:cs="Times New Roman"/>
          <w:szCs w:val="24"/>
          <w:lang w:val="en-GB"/>
        </w:rPr>
        <w:t>UK Biobank</w:t>
      </w:r>
      <w:r w:rsidR="004D22DC" w:rsidRPr="004E356B">
        <w:rPr>
          <w:rFonts w:eastAsia="Times New Roman" w:cs="Times New Roman"/>
          <w:szCs w:val="24"/>
          <w:lang w:val="en-GB"/>
        </w:rPr>
        <w:t xml:space="preserve"> </w:t>
      </w:r>
      <w:r w:rsidR="009C2716" w:rsidRPr="004E356B">
        <w:rPr>
          <w:rFonts w:eastAsia="Times New Roman" w:cs="Times New Roman"/>
          <w:szCs w:val="24"/>
          <w:lang w:val="en-GB"/>
        </w:rPr>
        <w:t>(UKB)</w:t>
      </w:r>
      <w:r w:rsidR="004D22DC" w:rsidRPr="004E356B">
        <w:rPr>
          <w:rFonts w:eastAsia="Times New Roman" w:cs="Times New Roman"/>
          <w:szCs w:val="24"/>
          <w:lang w:val="en-GB"/>
        </w:rPr>
        <w:t xml:space="preserve"> </w:t>
      </w:r>
      <w:r w:rsidR="00A24B87" w:rsidRPr="004E356B">
        <w:rPr>
          <w:rFonts w:eastAsia="Times New Roman" w:cs="Times New Roman"/>
          <w:szCs w:val="24"/>
          <w:lang w:val="en-GB"/>
        </w:rPr>
        <w:t xml:space="preserve">and </w:t>
      </w:r>
      <w:r w:rsidR="004D22DC" w:rsidRPr="004E356B">
        <w:rPr>
          <w:rFonts w:eastAsia="Times New Roman" w:cs="Times New Roman"/>
          <w:szCs w:val="24"/>
          <w:highlight w:val="white"/>
          <w:lang w:val="en-GB"/>
        </w:rPr>
        <w:t xml:space="preserve">2,905 from </w:t>
      </w:r>
      <w:r w:rsidR="00A24B87" w:rsidRPr="004E356B">
        <w:rPr>
          <w:rFonts w:eastAsia="Times New Roman" w:cs="Times New Roman"/>
          <w:szCs w:val="24"/>
          <w:highlight w:val="white"/>
          <w:lang w:val="en-GB"/>
        </w:rPr>
        <w:t>the Netherlands Study of Depression and Anxiety (NESDA)</w:t>
      </w:r>
      <w:r w:rsidR="00DB60A5" w:rsidRPr="004E356B">
        <w:rPr>
          <w:rFonts w:eastAsia="Times New Roman" w:cs="Times New Roman"/>
          <w:szCs w:val="24"/>
          <w:highlight w:val="white"/>
          <w:lang w:val="en-GB"/>
        </w:rPr>
        <w:t>.</w:t>
      </w:r>
      <w:r w:rsidR="00B82DDC" w:rsidRPr="004E356B">
        <w:rPr>
          <w:rFonts w:eastAsia="Times New Roman" w:cs="Times New Roman"/>
          <w:szCs w:val="24"/>
          <w:highlight w:val="white"/>
          <w:lang w:val="en-GB"/>
        </w:rPr>
        <w:t xml:space="preserve"> </w:t>
      </w:r>
      <w:r w:rsidR="00A24B87" w:rsidRPr="004E356B">
        <w:rPr>
          <w:rFonts w:eastAsia="Times New Roman" w:cs="Times New Roman"/>
          <w:szCs w:val="24"/>
          <w:highlight w:val="white"/>
          <w:lang w:val="en-GB"/>
        </w:rPr>
        <w:t xml:space="preserve">Circulating C-reactive protein (CRP) </w:t>
      </w:r>
      <w:r w:rsidR="00430EA7" w:rsidRPr="004E356B">
        <w:rPr>
          <w:rFonts w:eastAsia="Times New Roman" w:cs="Times New Roman"/>
          <w:szCs w:val="24"/>
          <w:highlight w:val="white"/>
          <w:lang w:val="en-GB"/>
        </w:rPr>
        <w:t>was</w:t>
      </w:r>
      <w:r w:rsidR="004D22DC" w:rsidRPr="004E356B">
        <w:rPr>
          <w:rFonts w:eastAsia="Times New Roman" w:cs="Times New Roman"/>
          <w:szCs w:val="24"/>
          <w:highlight w:val="white"/>
          <w:lang w:val="en-GB"/>
        </w:rPr>
        <w:t xml:space="preserve"> measured in </w:t>
      </w:r>
      <w:r w:rsidR="00DB60A5" w:rsidRPr="004E356B">
        <w:rPr>
          <w:rFonts w:eastAsia="Times New Roman" w:cs="Times New Roman"/>
          <w:szCs w:val="24"/>
          <w:highlight w:val="white"/>
          <w:lang w:val="en-GB"/>
        </w:rPr>
        <w:t>both cohorts</w:t>
      </w:r>
      <w:r w:rsidR="00A24B87" w:rsidRPr="004E356B">
        <w:rPr>
          <w:rFonts w:eastAsia="Times New Roman" w:cs="Times New Roman"/>
          <w:szCs w:val="24"/>
          <w:highlight w:val="white"/>
          <w:lang w:val="en-GB"/>
        </w:rPr>
        <w:t xml:space="preserve"> and </w:t>
      </w:r>
      <w:r w:rsidR="00F51546" w:rsidRPr="004E356B">
        <w:rPr>
          <w:rFonts w:eastAsia="Times New Roman" w:cs="Times New Roman"/>
          <w:szCs w:val="24"/>
          <w:lang w:val="en-GB"/>
        </w:rPr>
        <w:t>i</w:t>
      </w:r>
      <w:r w:rsidR="00A24B87" w:rsidRPr="004E356B">
        <w:rPr>
          <w:rFonts w:eastAsia="Times New Roman" w:cs="Times New Roman"/>
          <w:szCs w:val="24"/>
          <w:lang w:val="en-GB"/>
        </w:rPr>
        <w:t xml:space="preserve">nterleukin-6 (IL-6) in NESDA. Genetic instruments for these proteins </w:t>
      </w:r>
      <w:r w:rsidR="00CA7614" w:rsidRPr="004E356B">
        <w:rPr>
          <w:rFonts w:eastAsia="Times New Roman" w:cs="Times New Roman"/>
          <w:szCs w:val="24"/>
          <w:lang w:val="en-GB"/>
        </w:rPr>
        <w:t xml:space="preserve">were </w:t>
      </w:r>
      <w:r w:rsidR="00CD6AE7" w:rsidRPr="004E356B">
        <w:rPr>
          <w:rFonts w:eastAsia="Times New Roman" w:cs="Times New Roman"/>
          <w:szCs w:val="24"/>
          <w:lang w:val="en-GB"/>
        </w:rPr>
        <w:t>obtained</w:t>
      </w:r>
      <w:r w:rsidR="00A24B87" w:rsidRPr="004E356B">
        <w:rPr>
          <w:rFonts w:eastAsia="Times New Roman" w:cs="Times New Roman"/>
          <w:szCs w:val="24"/>
          <w:lang w:val="en-GB"/>
        </w:rPr>
        <w:t xml:space="preserve"> from published GWAS</w:t>
      </w:r>
      <w:r w:rsidR="00FB1424" w:rsidRPr="004E356B">
        <w:rPr>
          <w:rFonts w:eastAsia="Times New Roman" w:cs="Times New Roman"/>
          <w:szCs w:val="24"/>
          <w:lang w:val="en-GB"/>
        </w:rPr>
        <w:t xml:space="preserve"> and UKB</w:t>
      </w:r>
      <w:r w:rsidR="00A24B87" w:rsidRPr="004E356B">
        <w:rPr>
          <w:rFonts w:eastAsia="Times New Roman" w:cs="Times New Roman"/>
          <w:szCs w:val="24"/>
          <w:lang w:val="en-GB"/>
        </w:rPr>
        <w:t xml:space="preserve">. </w:t>
      </w:r>
      <w:r w:rsidR="00F7233B" w:rsidRPr="004E356B">
        <w:rPr>
          <w:rFonts w:eastAsia="Times New Roman" w:cs="Times New Roman"/>
          <w:szCs w:val="24"/>
          <w:highlight w:val="white"/>
          <w:lang w:val="en-GB"/>
        </w:rPr>
        <w:t>D</w:t>
      </w:r>
      <w:r w:rsidR="00A24B87" w:rsidRPr="004E356B">
        <w:rPr>
          <w:rFonts w:eastAsia="Times New Roman" w:cs="Times New Roman"/>
          <w:szCs w:val="24"/>
          <w:highlight w:val="white"/>
          <w:lang w:val="en-GB"/>
        </w:rPr>
        <w:t xml:space="preserve">epressive </w:t>
      </w:r>
      <w:r w:rsidR="00A24B87" w:rsidRPr="004E356B">
        <w:rPr>
          <w:rFonts w:eastAsia="Times New Roman" w:cs="Times New Roman"/>
          <w:szCs w:val="24"/>
          <w:lang w:val="en-GB"/>
        </w:rPr>
        <w:t>and anxiety symptoms</w:t>
      </w:r>
      <w:r w:rsidR="004D22DC" w:rsidRPr="004E356B">
        <w:rPr>
          <w:rFonts w:eastAsia="Times New Roman" w:cs="Times New Roman"/>
          <w:szCs w:val="24"/>
          <w:lang w:val="en-GB"/>
        </w:rPr>
        <w:t xml:space="preserve"> were</w:t>
      </w:r>
      <w:r w:rsidR="00A24B87" w:rsidRPr="004E356B">
        <w:rPr>
          <w:rFonts w:eastAsia="Times New Roman" w:cs="Times New Roman"/>
          <w:szCs w:val="24"/>
          <w:lang w:val="en-GB"/>
        </w:rPr>
        <w:t xml:space="preserve"> a</w:t>
      </w:r>
      <w:r w:rsidR="00A24B87" w:rsidRPr="004E356B">
        <w:rPr>
          <w:rFonts w:eastAsia="Times New Roman" w:cs="Times New Roman"/>
          <w:szCs w:val="24"/>
          <w:highlight w:val="white"/>
          <w:lang w:val="en-GB"/>
        </w:rPr>
        <w:t xml:space="preserve">ssessed with self-report questionnaires. In NESDA, </w:t>
      </w:r>
      <w:proofErr w:type="spellStart"/>
      <w:r w:rsidR="00A24B87" w:rsidRPr="004E356B">
        <w:rPr>
          <w:rFonts w:eastAsia="Times New Roman" w:cs="Times New Roman"/>
          <w:szCs w:val="24"/>
          <w:highlight w:val="white"/>
          <w:lang w:val="en-GB"/>
        </w:rPr>
        <w:t>neurovegetative</w:t>
      </w:r>
      <w:proofErr w:type="spellEnd"/>
      <w:r w:rsidR="00A24B87" w:rsidRPr="004E356B">
        <w:rPr>
          <w:rFonts w:eastAsia="Times New Roman" w:cs="Times New Roman"/>
          <w:szCs w:val="24"/>
          <w:highlight w:val="white"/>
          <w:lang w:val="en-GB"/>
        </w:rPr>
        <w:t xml:space="preserve"> </w:t>
      </w:r>
      <w:r w:rsidR="00A24B87" w:rsidRPr="004E356B">
        <w:rPr>
          <w:rFonts w:eastAsia="Times New Roman" w:cs="Times New Roman"/>
          <w:szCs w:val="24"/>
          <w:lang w:val="en-GB"/>
        </w:rPr>
        <w:t xml:space="preserve">(appetite, sleep, psychomotor) </w:t>
      </w:r>
      <w:r w:rsidR="00A24B87" w:rsidRPr="004E356B">
        <w:rPr>
          <w:rFonts w:eastAsia="Times New Roman" w:cs="Times New Roman"/>
          <w:szCs w:val="24"/>
          <w:highlight w:val="white"/>
          <w:lang w:val="en-GB"/>
        </w:rPr>
        <w:t xml:space="preserve">symptoms </w:t>
      </w:r>
      <w:r w:rsidR="00A24B87" w:rsidRPr="004E356B">
        <w:rPr>
          <w:rFonts w:eastAsia="Times New Roman" w:cs="Times New Roman"/>
          <w:szCs w:val="24"/>
          <w:lang w:val="en-GB"/>
        </w:rPr>
        <w:t xml:space="preserve">were disaggregated </w:t>
      </w:r>
      <w:r w:rsidR="00A24B87" w:rsidRPr="004E356B">
        <w:rPr>
          <w:rFonts w:eastAsia="Times New Roman" w:cs="Times New Roman"/>
          <w:szCs w:val="24"/>
          <w:highlight w:val="white"/>
          <w:lang w:val="en-GB"/>
        </w:rPr>
        <w:t xml:space="preserve">as </w:t>
      </w:r>
      <w:r w:rsidR="00A24B87" w:rsidRPr="004E356B">
        <w:rPr>
          <w:rFonts w:eastAsia="Times New Roman" w:cs="Times New Roman"/>
          <w:szCs w:val="24"/>
          <w:lang w:val="en-GB"/>
        </w:rPr>
        <w:t xml:space="preserve">increased vs. decreased. </w:t>
      </w:r>
      <w:r w:rsidR="004D22DC" w:rsidRPr="004E356B">
        <w:rPr>
          <w:rFonts w:eastAsia="Times New Roman" w:cs="Times New Roman"/>
          <w:szCs w:val="24"/>
          <w:lang w:val="en-GB"/>
        </w:rPr>
        <w:t>In joint analyses</w:t>
      </w:r>
      <w:r w:rsidR="00A24B87" w:rsidRPr="004E356B">
        <w:rPr>
          <w:rFonts w:eastAsia="Times New Roman" w:cs="Times New Roman"/>
          <w:szCs w:val="24"/>
          <w:highlight w:val="white"/>
          <w:lang w:val="en-GB"/>
        </w:rPr>
        <w:t xml:space="preserve">, </w:t>
      </w:r>
      <w:r w:rsidR="00640F0B" w:rsidRPr="004E356B">
        <w:rPr>
          <w:rFonts w:eastAsia="Times New Roman" w:cs="Times New Roman"/>
          <w:szCs w:val="24"/>
          <w:lang w:val="en-GB"/>
        </w:rPr>
        <w:t xml:space="preserve">higher </w:t>
      </w:r>
      <w:r w:rsidR="00A24B87" w:rsidRPr="004E356B">
        <w:rPr>
          <w:rFonts w:eastAsia="Times New Roman" w:cs="Times New Roman"/>
          <w:szCs w:val="24"/>
          <w:lang w:val="en-GB"/>
        </w:rPr>
        <w:t xml:space="preserve">CRP </w:t>
      </w:r>
      <w:r w:rsidR="00430EA7" w:rsidRPr="004E356B">
        <w:rPr>
          <w:rFonts w:eastAsia="Times New Roman" w:cs="Times New Roman"/>
          <w:szCs w:val="24"/>
          <w:lang w:val="en-GB"/>
        </w:rPr>
        <w:t>was</w:t>
      </w:r>
      <w:r w:rsidR="007549C8" w:rsidRPr="004E356B">
        <w:rPr>
          <w:rFonts w:eastAsia="Times New Roman" w:cs="Times New Roman"/>
          <w:szCs w:val="24"/>
          <w:lang w:val="en-GB"/>
        </w:rPr>
        <w:t xml:space="preserve"> </w:t>
      </w:r>
      <w:r w:rsidR="00A24B87" w:rsidRPr="004E356B">
        <w:rPr>
          <w:rFonts w:eastAsia="Times New Roman" w:cs="Times New Roman"/>
          <w:szCs w:val="24"/>
          <w:lang w:val="en-GB"/>
        </w:rPr>
        <w:t>associat</w:t>
      </w:r>
      <w:r w:rsidR="007549C8" w:rsidRPr="004E356B">
        <w:rPr>
          <w:rFonts w:eastAsia="Times New Roman" w:cs="Times New Roman"/>
          <w:szCs w:val="24"/>
          <w:lang w:val="en-GB"/>
        </w:rPr>
        <w:t>ed</w:t>
      </w:r>
      <w:r w:rsidR="00A24B87" w:rsidRPr="004E356B">
        <w:rPr>
          <w:rFonts w:eastAsia="Times New Roman" w:cs="Times New Roman"/>
          <w:szCs w:val="24"/>
          <w:lang w:val="en-GB"/>
        </w:rPr>
        <w:t xml:space="preserve"> with depressive symptoms of </w:t>
      </w:r>
      <w:r w:rsidR="00F51546" w:rsidRPr="004E356B">
        <w:rPr>
          <w:rFonts w:eastAsia="Times New Roman" w:cs="Times New Roman"/>
          <w:szCs w:val="24"/>
          <w:lang w:val="en-GB"/>
        </w:rPr>
        <w:t>depressed</w:t>
      </w:r>
      <w:r w:rsidR="00A24B87" w:rsidRPr="004E356B">
        <w:rPr>
          <w:rFonts w:eastAsia="Times New Roman" w:cs="Times New Roman"/>
          <w:szCs w:val="24"/>
          <w:lang w:val="en-GB"/>
        </w:rPr>
        <w:t xml:space="preserve"> mood </w:t>
      </w:r>
      <w:r w:rsidR="00A24B87" w:rsidRPr="004E356B">
        <w:rPr>
          <w:rFonts w:eastAsia="Times New Roman" w:cs="Times New Roman"/>
          <w:szCs w:val="24"/>
          <w:highlight w:val="white"/>
          <w:lang w:val="en-GB"/>
        </w:rPr>
        <w:t>(OR=1.06, 95%CI=1.05-1.08)</w:t>
      </w:r>
      <w:r w:rsidR="004178A4" w:rsidRPr="004E356B">
        <w:rPr>
          <w:rFonts w:eastAsia="Times New Roman" w:cs="Times New Roman"/>
          <w:szCs w:val="24"/>
          <w:highlight w:val="white"/>
          <w:lang w:val="en-GB"/>
        </w:rPr>
        <w:t>,</w:t>
      </w:r>
      <w:r w:rsidR="00A24B87" w:rsidRPr="004E356B">
        <w:rPr>
          <w:rFonts w:eastAsia="Times New Roman" w:cs="Times New Roman"/>
          <w:szCs w:val="24"/>
          <w:highlight w:val="white"/>
          <w:lang w:val="en-GB"/>
        </w:rPr>
        <w:t xml:space="preserve"> </w:t>
      </w:r>
      <w:r w:rsidR="00A24B87" w:rsidRPr="004E356B">
        <w:rPr>
          <w:rFonts w:eastAsia="Times New Roman" w:cs="Times New Roman"/>
          <w:szCs w:val="24"/>
          <w:lang w:val="en-GB"/>
        </w:rPr>
        <w:t xml:space="preserve">altered appetite </w:t>
      </w:r>
      <w:r w:rsidR="00A24B87" w:rsidRPr="004E356B">
        <w:rPr>
          <w:rFonts w:eastAsia="Times New Roman" w:cs="Times New Roman"/>
          <w:szCs w:val="24"/>
          <w:highlight w:val="white"/>
          <w:lang w:val="en-GB"/>
        </w:rPr>
        <w:t>(OR=1.25, 95%CI=1.23-1.28),</w:t>
      </w:r>
      <w:r w:rsidR="00A24B87" w:rsidRPr="004E356B">
        <w:rPr>
          <w:rFonts w:eastAsia="Times New Roman" w:cs="Times New Roman"/>
          <w:szCs w:val="24"/>
          <w:lang w:val="en-GB"/>
        </w:rPr>
        <w:t xml:space="preserve"> sleep </w:t>
      </w:r>
      <w:r w:rsidR="000629BD" w:rsidRPr="004E356B">
        <w:rPr>
          <w:rFonts w:eastAsia="Times New Roman" w:cs="Times New Roman"/>
          <w:szCs w:val="24"/>
          <w:lang w:val="en-GB"/>
        </w:rPr>
        <w:t xml:space="preserve">problems </w:t>
      </w:r>
      <w:r w:rsidR="00A24B87" w:rsidRPr="004E356B">
        <w:rPr>
          <w:rFonts w:eastAsia="Times New Roman" w:cs="Times New Roman"/>
          <w:szCs w:val="24"/>
          <w:highlight w:val="white"/>
          <w:lang w:val="en-GB"/>
        </w:rPr>
        <w:t>(OR=1.05, 95%CI=1.04-1.06), and fatigue (OR=1.12, 95%CI=1.11-1.14), and with anxiety symptoms of irritability (OR=1.06, 95%CI=1.05-1.08) and worry</w:t>
      </w:r>
      <w:r w:rsidR="0077341C" w:rsidRPr="004E356B">
        <w:rPr>
          <w:rFonts w:eastAsia="Times New Roman" w:cs="Times New Roman"/>
          <w:szCs w:val="24"/>
          <w:highlight w:val="white"/>
          <w:lang w:val="en-GB"/>
        </w:rPr>
        <w:t>ing control</w:t>
      </w:r>
      <w:r w:rsidR="00A24B87" w:rsidRPr="004E356B">
        <w:rPr>
          <w:rFonts w:eastAsia="Times New Roman" w:cs="Times New Roman"/>
          <w:szCs w:val="24"/>
          <w:highlight w:val="white"/>
          <w:lang w:val="en-GB"/>
        </w:rPr>
        <w:t xml:space="preserve"> (OR=1.03, 95%CI=1.02-1.04)</w:t>
      </w:r>
      <w:r w:rsidR="00E45929" w:rsidRPr="004E356B">
        <w:rPr>
          <w:rFonts w:eastAsia="Times New Roman" w:cs="Times New Roman"/>
          <w:szCs w:val="24"/>
          <w:highlight w:val="white"/>
          <w:lang w:val="en-GB"/>
        </w:rPr>
        <w:t>.</w:t>
      </w:r>
      <w:r w:rsidR="00A24B87" w:rsidRPr="004E356B">
        <w:rPr>
          <w:rFonts w:eastAsia="Times New Roman" w:cs="Times New Roman"/>
          <w:szCs w:val="24"/>
          <w:highlight w:val="white"/>
          <w:lang w:val="en-GB"/>
        </w:rPr>
        <w:t xml:space="preserve"> </w:t>
      </w:r>
      <w:r w:rsidR="003F79F8" w:rsidRPr="004E356B">
        <w:rPr>
          <w:rFonts w:eastAsia="Times New Roman" w:cs="Times New Roman"/>
          <w:szCs w:val="24"/>
          <w:highlight w:val="white"/>
          <w:lang w:val="en-GB"/>
        </w:rPr>
        <w:t xml:space="preserve">In </w:t>
      </w:r>
      <w:r w:rsidR="009B3A1F" w:rsidRPr="004E356B">
        <w:rPr>
          <w:rFonts w:eastAsia="Times New Roman" w:cs="Times New Roman"/>
          <w:szCs w:val="24"/>
          <w:highlight w:val="white"/>
          <w:lang w:val="en-GB"/>
        </w:rPr>
        <w:t xml:space="preserve"> NESDA</w:t>
      </w:r>
      <w:r w:rsidR="003F79F8" w:rsidRPr="004E356B">
        <w:rPr>
          <w:rFonts w:eastAsia="Times New Roman" w:cs="Times New Roman"/>
          <w:szCs w:val="24"/>
          <w:highlight w:val="white"/>
          <w:lang w:val="en-GB"/>
        </w:rPr>
        <w:t>,</w:t>
      </w:r>
      <w:r w:rsidR="009B3A1F" w:rsidRPr="004E356B">
        <w:rPr>
          <w:rFonts w:eastAsia="Times New Roman" w:cs="Times New Roman"/>
          <w:szCs w:val="24"/>
          <w:highlight w:val="white"/>
          <w:lang w:val="en-GB"/>
        </w:rPr>
        <w:t xml:space="preserve"> </w:t>
      </w:r>
      <w:r w:rsidR="00640F0B" w:rsidRPr="004E356B">
        <w:rPr>
          <w:rFonts w:eastAsia="Times New Roman" w:cs="Times New Roman"/>
          <w:szCs w:val="24"/>
          <w:highlight w:val="white"/>
          <w:lang w:val="en-GB"/>
        </w:rPr>
        <w:t xml:space="preserve">higher IL-6 </w:t>
      </w:r>
      <w:r w:rsidR="003F79F8" w:rsidRPr="004E356B">
        <w:rPr>
          <w:rFonts w:eastAsia="Times New Roman" w:cs="Times New Roman"/>
          <w:szCs w:val="24"/>
          <w:highlight w:val="white"/>
          <w:lang w:val="en-GB"/>
        </w:rPr>
        <w:t xml:space="preserve">was additionally associated </w:t>
      </w:r>
      <w:r w:rsidR="009B3A1F" w:rsidRPr="004E356B">
        <w:rPr>
          <w:rFonts w:eastAsia="Times New Roman" w:cs="Times New Roman"/>
          <w:szCs w:val="24"/>
          <w:highlight w:val="white"/>
          <w:lang w:val="en-GB"/>
        </w:rPr>
        <w:t xml:space="preserve">with anhedonia </w:t>
      </w:r>
      <w:r w:rsidR="009B3A1F" w:rsidRPr="004E356B">
        <w:rPr>
          <w:rFonts w:eastAsia="Times New Roman" w:cs="Times New Roman"/>
          <w:szCs w:val="24"/>
          <w:lang w:val="en-GB"/>
        </w:rPr>
        <w:t>(</w:t>
      </w:r>
      <w:r w:rsidR="009B3A1F" w:rsidRPr="004E356B">
        <w:rPr>
          <w:rFonts w:eastAsia="Times New Roman" w:cs="Times New Roman"/>
          <w:szCs w:val="24"/>
          <w:highlight w:val="white"/>
          <w:lang w:val="en-GB"/>
        </w:rPr>
        <w:t>OR=1.30, 95%CI=1.12-1.52)</w:t>
      </w:r>
      <w:r w:rsidR="00A24B87" w:rsidRPr="004E356B">
        <w:rPr>
          <w:rFonts w:eastAsia="Times New Roman" w:cs="Times New Roman"/>
          <w:szCs w:val="24"/>
          <w:highlight w:val="white"/>
          <w:lang w:val="en-GB"/>
        </w:rPr>
        <w:t>.</w:t>
      </w:r>
      <w:r w:rsidR="001838BF" w:rsidRPr="004E356B">
        <w:rPr>
          <w:rFonts w:eastAsia="Times New Roman" w:cs="Times New Roman"/>
          <w:szCs w:val="24"/>
          <w:highlight w:val="white"/>
          <w:lang w:val="en-GB"/>
        </w:rPr>
        <w:t xml:space="preserve"> </w:t>
      </w:r>
      <w:r w:rsidR="003F79F8" w:rsidRPr="004E356B">
        <w:rPr>
          <w:rFonts w:eastAsia="Times New Roman" w:cs="Times New Roman"/>
          <w:szCs w:val="24"/>
          <w:highlight w:val="white"/>
          <w:lang w:val="en-GB"/>
        </w:rPr>
        <w:t>Higher levels of b</w:t>
      </w:r>
      <w:r w:rsidR="00484ACD" w:rsidRPr="004E356B">
        <w:rPr>
          <w:rFonts w:eastAsia="Times New Roman" w:cs="Times New Roman"/>
          <w:szCs w:val="24"/>
          <w:highlight w:val="white"/>
          <w:lang w:val="en-GB"/>
        </w:rPr>
        <w:t xml:space="preserve">oth </w:t>
      </w:r>
      <w:r w:rsidR="001838BF" w:rsidRPr="004E356B">
        <w:rPr>
          <w:rFonts w:eastAsia="Times New Roman" w:cs="Times New Roman"/>
          <w:szCs w:val="24"/>
          <w:highlight w:val="white"/>
          <w:lang w:val="en-GB"/>
        </w:rPr>
        <w:t xml:space="preserve">CRP </w:t>
      </w:r>
      <w:r w:rsidR="00A00392" w:rsidRPr="004E356B">
        <w:rPr>
          <w:rFonts w:eastAsia="Times New Roman" w:cs="Times New Roman"/>
          <w:color w:val="000000"/>
          <w:szCs w:val="24"/>
          <w:lang w:val="en-US" w:eastAsia="en-US"/>
        </w:rPr>
        <w:t>(</w:t>
      </w:r>
      <w:r w:rsidR="00A00392" w:rsidRPr="004E356B">
        <w:rPr>
          <w:rFonts w:eastAsia="Times New Roman" w:cs="Times New Roman"/>
          <w:color w:val="000000"/>
          <w:szCs w:val="24"/>
          <w:shd w:val="clear" w:color="auto" w:fill="FFFFFF"/>
          <w:lang w:val="en-US" w:eastAsia="en-US"/>
        </w:rPr>
        <w:t xml:space="preserve">OR=1.27, 95%CI=1.13-1.43) </w:t>
      </w:r>
      <w:r w:rsidR="001838BF" w:rsidRPr="004E356B">
        <w:rPr>
          <w:rFonts w:eastAsia="Times New Roman" w:cs="Times New Roman"/>
          <w:szCs w:val="24"/>
          <w:highlight w:val="white"/>
          <w:lang w:val="en-GB"/>
        </w:rPr>
        <w:t xml:space="preserve">and IL-6 </w:t>
      </w:r>
      <w:r w:rsidR="00A00392" w:rsidRPr="004E356B">
        <w:rPr>
          <w:rFonts w:eastAsia="Times New Roman" w:cs="Times New Roman"/>
          <w:szCs w:val="24"/>
          <w:highlight w:val="white"/>
          <w:lang w:val="en-GB"/>
        </w:rPr>
        <w:t>(</w:t>
      </w:r>
      <w:r w:rsidR="00A00392" w:rsidRPr="004E356B">
        <w:rPr>
          <w:rFonts w:eastAsia="Times New Roman" w:cs="Times New Roman"/>
          <w:color w:val="000000"/>
          <w:szCs w:val="24"/>
          <w:shd w:val="clear" w:color="auto" w:fill="FFFFFF"/>
          <w:lang w:val="en-US" w:eastAsia="en-US"/>
        </w:rPr>
        <w:t>OR=1.26, 95%CI=1.07-1.49</w:t>
      </w:r>
      <w:r w:rsidR="00A00392" w:rsidRPr="004E356B">
        <w:rPr>
          <w:rFonts w:eastAsia="Times New Roman" w:cs="Times New Roman"/>
          <w:color w:val="000000"/>
          <w:szCs w:val="24"/>
          <w:lang w:val="en-US" w:eastAsia="en-US"/>
        </w:rPr>
        <w:t xml:space="preserve">) </w:t>
      </w:r>
      <w:r w:rsidR="001838BF" w:rsidRPr="004E356B">
        <w:rPr>
          <w:rFonts w:eastAsia="Times New Roman" w:cs="Times New Roman"/>
          <w:szCs w:val="24"/>
          <w:highlight w:val="white"/>
          <w:lang w:val="en-GB"/>
        </w:rPr>
        <w:t xml:space="preserve">were </w:t>
      </w:r>
      <w:r w:rsidR="00B83974" w:rsidRPr="004E356B">
        <w:rPr>
          <w:rFonts w:eastAsia="Times New Roman" w:cs="Times New Roman"/>
          <w:szCs w:val="24"/>
          <w:highlight w:val="white"/>
          <w:lang w:val="en-GB"/>
        </w:rPr>
        <w:t>associat</w:t>
      </w:r>
      <w:r w:rsidR="001838BF" w:rsidRPr="004E356B">
        <w:rPr>
          <w:rFonts w:eastAsia="Times New Roman" w:cs="Times New Roman"/>
          <w:szCs w:val="24"/>
          <w:highlight w:val="white"/>
          <w:lang w:val="en-GB"/>
        </w:rPr>
        <w:t>ed</w:t>
      </w:r>
      <w:r w:rsidR="00B83974" w:rsidRPr="004E356B">
        <w:rPr>
          <w:rFonts w:eastAsia="Times New Roman" w:cs="Times New Roman"/>
          <w:szCs w:val="24"/>
          <w:highlight w:val="white"/>
          <w:lang w:val="en-GB"/>
        </w:rPr>
        <w:t xml:space="preserve"> with increased sleep</w:t>
      </w:r>
      <w:r w:rsidR="00DE32B3" w:rsidRPr="004E356B">
        <w:rPr>
          <w:rFonts w:eastAsia="Times New Roman" w:cs="Times New Roman"/>
          <w:color w:val="000000"/>
          <w:szCs w:val="24"/>
          <w:shd w:val="clear" w:color="auto" w:fill="FFFFFF"/>
          <w:lang w:val="en-US" w:eastAsia="en-US"/>
        </w:rPr>
        <w:t xml:space="preserve">. </w:t>
      </w:r>
      <w:r w:rsidR="00640F0B" w:rsidRPr="004E356B">
        <w:rPr>
          <w:rFonts w:eastAsia="Times New Roman" w:cs="Times New Roman"/>
          <w:color w:val="000000"/>
          <w:szCs w:val="24"/>
          <w:shd w:val="clear" w:color="auto" w:fill="FFFFFF"/>
          <w:lang w:val="en-US" w:eastAsia="en-US"/>
        </w:rPr>
        <w:t xml:space="preserve">Higher </w:t>
      </w:r>
      <w:r w:rsidR="00A24B87" w:rsidRPr="004E356B">
        <w:rPr>
          <w:rFonts w:eastAsia="Times New Roman" w:cs="Times New Roman"/>
          <w:szCs w:val="24"/>
          <w:lang w:val="en-GB"/>
        </w:rPr>
        <w:t>CRP was associated with increase</w:t>
      </w:r>
      <w:r w:rsidR="001838BF" w:rsidRPr="004E356B">
        <w:rPr>
          <w:rFonts w:eastAsia="Times New Roman" w:cs="Times New Roman"/>
          <w:szCs w:val="24"/>
          <w:lang w:val="en-GB"/>
        </w:rPr>
        <w:t>d</w:t>
      </w:r>
      <w:r w:rsidR="00A24B87" w:rsidRPr="004E356B">
        <w:rPr>
          <w:rFonts w:eastAsia="Times New Roman" w:cs="Times New Roman"/>
          <w:szCs w:val="24"/>
          <w:lang w:val="en-GB"/>
        </w:rPr>
        <w:t xml:space="preserve"> </w:t>
      </w:r>
      <w:r w:rsidR="00C549EB" w:rsidRPr="004E356B">
        <w:rPr>
          <w:rFonts w:eastAsia="Times New Roman" w:cs="Times New Roman"/>
          <w:szCs w:val="24"/>
          <w:lang w:val="en-GB"/>
        </w:rPr>
        <w:t xml:space="preserve">appetite </w:t>
      </w:r>
      <w:r w:rsidR="00A24B87" w:rsidRPr="004E356B">
        <w:rPr>
          <w:rFonts w:eastAsia="Times New Roman" w:cs="Times New Roman"/>
          <w:szCs w:val="24"/>
          <w:highlight w:val="white"/>
          <w:lang w:val="en-GB"/>
        </w:rPr>
        <w:t>(OR=1.2</w:t>
      </w:r>
      <w:r w:rsidR="00636461" w:rsidRPr="004E356B">
        <w:rPr>
          <w:rFonts w:eastAsia="Times New Roman" w:cs="Times New Roman"/>
          <w:szCs w:val="24"/>
          <w:highlight w:val="white"/>
          <w:lang w:val="en-GB"/>
        </w:rPr>
        <w:t>1</w:t>
      </w:r>
      <w:r w:rsidR="00A24B87" w:rsidRPr="004E356B">
        <w:rPr>
          <w:rFonts w:eastAsia="Times New Roman" w:cs="Times New Roman"/>
          <w:szCs w:val="24"/>
          <w:highlight w:val="white"/>
          <w:lang w:val="en-GB"/>
        </w:rPr>
        <w:t>, 95%CI=1.</w:t>
      </w:r>
      <w:r w:rsidR="00636461" w:rsidRPr="004E356B">
        <w:rPr>
          <w:rFonts w:eastAsia="Times New Roman" w:cs="Times New Roman"/>
          <w:szCs w:val="24"/>
          <w:highlight w:val="white"/>
          <w:lang w:val="en-GB"/>
        </w:rPr>
        <w:t>08</w:t>
      </w:r>
      <w:r w:rsidR="00A24B87" w:rsidRPr="004E356B">
        <w:rPr>
          <w:rFonts w:eastAsia="Times New Roman" w:cs="Times New Roman"/>
          <w:szCs w:val="24"/>
          <w:highlight w:val="white"/>
          <w:lang w:val="en-GB"/>
        </w:rPr>
        <w:t>-1.3</w:t>
      </w:r>
      <w:r w:rsidR="00636461" w:rsidRPr="004E356B">
        <w:rPr>
          <w:rFonts w:eastAsia="Times New Roman" w:cs="Times New Roman"/>
          <w:szCs w:val="24"/>
          <w:highlight w:val="white"/>
          <w:lang w:val="en-GB"/>
        </w:rPr>
        <w:t>5</w:t>
      </w:r>
      <w:r w:rsidR="00A24B87" w:rsidRPr="004E356B">
        <w:rPr>
          <w:rFonts w:eastAsia="Times New Roman" w:cs="Times New Roman"/>
          <w:szCs w:val="24"/>
          <w:highlight w:val="white"/>
          <w:lang w:val="en-GB"/>
        </w:rPr>
        <w:t>)</w:t>
      </w:r>
      <w:r w:rsidR="00CD1DB8" w:rsidRPr="004E356B">
        <w:rPr>
          <w:rFonts w:eastAsia="Times New Roman" w:cs="Times New Roman"/>
          <w:szCs w:val="24"/>
          <w:highlight w:val="white"/>
          <w:lang w:val="en-GB"/>
        </w:rPr>
        <w:t xml:space="preserve"> </w:t>
      </w:r>
      <w:r w:rsidR="00484ACD" w:rsidRPr="004E356B">
        <w:rPr>
          <w:rFonts w:eastAsia="Times New Roman" w:cs="Times New Roman"/>
          <w:szCs w:val="24"/>
          <w:highlight w:val="white"/>
          <w:lang w:val="en-GB"/>
        </w:rPr>
        <w:t>while</w:t>
      </w:r>
      <w:r w:rsidR="00C549EB" w:rsidRPr="004E356B">
        <w:rPr>
          <w:rFonts w:eastAsia="Times New Roman" w:cs="Times New Roman"/>
          <w:szCs w:val="24"/>
          <w:highlight w:val="white"/>
          <w:lang w:val="en-GB"/>
        </w:rPr>
        <w:t xml:space="preserve"> </w:t>
      </w:r>
      <w:r w:rsidR="00640F0B" w:rsidRPr="004E356B">
        <w:rPr>
          <w:rFonts w:eastAsia="Times New Roman" w:cs="Times New Roman"/>
          <w:szCs w:val="24"/>
          <w:highlight w:val="white"/>
          <w:lang w:val="en-GB"/>
        </w:rPr>
        <w:t xml:space="preserve">higher </w:t>
      </w:r>
      <w:r w:rsidR="00A24B87" w:rsidRPr="004E356B">
        <w:rPr>
          <w:rFonts w:eastAsia="Times New Roman" w:cs="Times New Roman"/>
          <w:szCs w:val="24"/>
          <w:lang w:val="en-GB"/>
        </w:rPr>
        <w:t>IL-6 with decrease</w:t>
      </w:r>
      <w:r w:rsidR="001838BF" w:rsidRPr="004E356B">
        <w:rPr>
          <w:rFonts w:eastAsia="Times New Roman" w:cs="Times New Roman"/>
          <w:szCs w:val="24"/>
          <w:lang w:val="en-GB"/>
        </w:rPr>
        <w:t>d appetite</w:t>
      </w:r>
      <w:r w:rsidR="00A24B87" w:rsidRPr="004E356B">
        <w:rPr>
          <w:rFonts w:eastAsia="Times New Roman" w:cs="Times New Roman"/>
          <w:szCs w:val="24"/>
          <w:lang w:val="en-GB"/>
        </w:rPr>
        <w:t xml:space="preserve"> </w:t>
      </w:r>
      <w:r w:rsidR="00A24B87" w:rsidRPr="004E356B">
        <w:rPr>
          <w:rFonts w:eastAsia="Times New Roman" w:cs="Times New Roman"/>
          <w:szCs w:val="24"/>
          <w:highlight w:val="white"/>
          <w:lang w:val="en-GB"/>
        </w:rPr>
        <w:t xml:space="preserve">(OR=1.45, 95%CI=1.18-1.79). </w:t>
      </w:r>
      <w:r w:rsidR="00751410" w:rsidRPr="004E356B">
        <w:rPr>
          <w:rFonts w:eastAsia="Times New Roman" w:cs="Times New Roman"/>
          <w:szCs w:val="24"/>
          <w:lang w:val="en-GB"/>
        </w:rPr>
        <w:t xml:space="preserve">In </w:t>
      </w:r>
      <w:r w:rsidR="00A24B87" w:rsidRPr="004E356B">
        <w:rPr>
          <w:rFonts w:eastAsia="Times New Roman" w:cs="Times New Roman"/>
          <w:szCs w:val="24"/>
          <w:lang w:val="en-GB"/>
        </w:rPr>
        <w:t>Mendelian Randomization analyses</w:t>
      </w:r>
      <w:r w:rsidR="00751410" w:rsidRPr="004E356B">
        <w:rPr>
          <w:rFonts w:eastAsia="Times New Roman" w:cs="Times New Roman"/>
          <w:szCs w:val="24"/>
          <w:lang w:val="en-GB"/>
        </w:rPr>
        <w:t xml:space="preserve">, </w:t>
      </w:r>
      <w:r w:rsidR="00EF6ABC" w:rsidRPr="004E356B">
        <w:rPr>
          <w:rFonts w:eastAsia="Times New Roman" w:cs="Times New Roman"/>
          <w:szCs w:val="24"/>
          <w:lang w:val="en-GB"/>
        </w:rPr>
        <w:t xml:space="preserve">genetically-predicted higher IL-6 activity was associated with </w:t>
      </w:r>
      <w:r w:rsidR="00484ACD" w:rsidRPr="004E356B">
        <w:rPr>
          <w:rFonts w:eastAsia="Times New Roman" w:cs="Times New Roman"/>
          <w:szCs w:val="24"/>
          <w:lang w:val="en-GB"/>
        </w:rPr>
        <w:t xml:space="preserve">increased risk of fatigue (estimate=0.25, SE=0.08) and sleep problems (estimate=0.19, SE=0.07). </w:t>
      </w:r>
      <w:r w:rsidR="00050C6E" w:rsidRPr="004E356B">
        <w:rPr>
          <w:rFonts w:eastAsia="Times New Roman" w:cs="Times New Roman"/>
          <w:szCs w:val="24"/>
          <w:lang w:val="en-GB"/>
        </w:rPr>
        <w:t>I</w:t>
      </w:r>
      <w:r w:rsidR="00A24B87" w:rsidRPr="004E356B">
        <w:rPr>
          <w:rFonts w:eastAsia="Times New Roman" w:cs="Times New Roman"/>
          <w:szCs w:val="24"/>
          <w:lang w:val="en-GB"/>
        </w:rPr>
        <w:t xml:space="preserve">nflammation </w:t>
      </w:r>
      <w:r w:rsidR="00421758" w:rsidRPr="004E356B">
        <w:rPr>
          <w:rFonts w:eastAsia="Times New Roman" w:cs="Times New Roman"/>
          <w:szCs w:val="24"/>
          <w:lang w:val="en-GB"/>
        </w:rPr>
        <w:t>was</w:t>
      </w:r>
      <w:r w:rsidR="0035657F" w:rsidRPr="004E356B">
        <w:rPr>
          <w:rFonts w:eastAsia="Times New Roman" w:cs="Times New Roman"/>
          <w:szCs w:val="24"/>
          <w:lang w:val="en-GB"/>
        </w:rPr>
        <w:t xml:space="preserve"> associated with </w:t>
      </w:r>
      <w:r w:rsidR="00C549EB" w:rsidRPr="004E356B">
        <w:rPr>
          <w:rFonts w:eastAsia="Times New Roman" w:cs="Times New Roman"/>
          <w:szCs w:val="24"/>
          <w:lang w:val="en-GB"/>
        </w:rPr>
        <w:t xml:space="preserve">core depressive symptoms of low mood and anhedonia and </w:t>
      </w:r>
      <w:r w:rsidR="0035657F" w:rsidRPr="004E356B">
        <w:rPr>
          <w:rFonts w:eastAsia="Times New Roman" w:cs="Times New Roman"/>
          <w:szCs w:val="24"/>
          <w:lang w:val="en-GB"/>
        </w:rPr>
        <w:t>somatic/</w:t>
      </w:r>
      <w:proofErr w:type="spellStart"/>
      <w:r w:rsidR="0035657F" w:rsidRPr="004E356B">
        <w:rPr>
          <w:rFonts w:eastAsia="Times New Roman" w:cs="Times New Roman"/>
          <w:szCs w:val="24"/>
          <w:lang w:val="en-GB"/>
        </w:rPr>
        <w:t>neurovegetative</w:t>
      </w:r>
      <w:proofErr w:type="spellEnd"/>
      <w:r w:rsidR="0035657F" w:rsidRPr="004E356B">
        <w:rPr>
          <w:rFonts w:eastAsia="Times New Roman" w:cs="Times New Roman"/>
          <w:szCs w:val="24"/>
          <w:lang w:val="en-GB"/>
        </w:rPr>
        <w:t xml:space="preserve"> symptoms of </w:t>
      </w:r>
      <w:r w:rsidR="00A24B87" w:rsidRPr="004E356B">
        <w:rPr>
          <w:rFonts w:eastAsia="Times New Roman" w:cs="Times New Roman"/>
          <w:szCs w:val="24"/>
          <w:lang w:val="en-GB"/>
        </w:rPr>
        <w:t>fatigue, altered sleep</w:t>
      </w:r>
      <w:r w:rsidR="00C549EB" w:rsidRPr="004E356B">
        <w:rPr>
          <w:rFonts w:eastAsia="Times New Roman" w:cs="Times New Roman"/>
          <w:szCs w:val="24"/>
          <w:lang w:val="en-GB"/>
        </w:rPr>
        <w:t xml:space="preserve"> and</w:t>
      </w:r>
      <w:r w:rsidR="00A24B87" w:rsidRPr="004E356B">
        <w:rPr>
          <w:rFonts w:eastAsia="Times New Roman" w:cs="Times New Roman"/>
          <w:szCs w:val="24"/>
          <w:lang w:val="en-GB"/>
        </w:rPr>
        <w:t xml:space="preserve"> appetite</w:t>
      </w:r>
      <w:r w:rsidR="00433DAF" w:rsidRPr="004E356B">
        <w:rPr>
          <w:rFonts w:eastAsia="Times New Roman" w:cs="Times New Roman"/>
          <w:szCs w:val="24"/>
          <w:lang w:val="en-GB"/>
        </w:rPr>
        <w:t xml:space="preserve"> changes</w:t>
      </w:r>
      <w:r w:rsidR="00C549EB" w:rsidRPr="004E356B">
        <w:rPr>
          <w:rFonts w:eastAsia="Times New Roman" w:cs="Times New Roman"/>
          <w:szCs w:val="24"/>
          <w:lang w:val="en-GB"/>
        </w:rPr>
        <w:t>.</w:t>
      </w:r>
      <w:r w:rsidR="0035657F" w:rsidRPr="004E356B">
        <w:rPr>
          <w:rFonts w:eastAsia="Times New Roman" w:cs="Times New Roman"/>
          <w:szCs w:val="24"/>
          <w:lang w:val="en-GB"/>
        </w:rPr>
        <w:t xml:space="preserve"> </w:t>
      </w:r>
      <w:r w:rsidR="000D2D2B" w:rsidRPr="004E356B">
        <w:rPr>
          <w:rFonts w:eastAsia="Times New Roman" w:cs="Times New Roman"/>
          <w:szCs w:val="24"/>
        </w:rPr>
        <w:t xml:space="preserve">Less consistent associations were found for anxiety. </w:t>
      </w:r>
      <w:r w:rsidR="006A38A9" w:rsidRPr="004E356B">
        <w:rPr>
          <w:rFonts w:eastAsia="Times New Roman" w:cs="Times New Roman"/>
          <w:szCs w:val="24"/>
          <w:lang w:val="en-GB"/>
        </w:rPr>
        <w:t xml:space="preserve">The </w:t>
      </w:r>
      <w:r w:rsidR="003B1546" w:rsidRPr="004E356B">
        <w:rPr>
          <w:rFonts w:eastAsia="Times New Roman" w:cs="Times New Roman"/>
          <w:szCs w:val="24"/>
          <w:lang w:val="en-GB"/>
        </w:rPr>
        <w:t>IL-6</w:t>
      </w:r>
      <w:r w:rsidR="0067578D" w:rsidRPr="004E356B">
        <w:rPr>
          <w:rFonts w:eastAsia="Times New Roman" w:cs="Times New Roman"/>
          <w:szCs w:val="24"/>
          <w:lang w:val="en-GB"/>
        </w:rPr>
        <w:t>/IL-6R</w:t>
      </w:r>
      <w:r w:rsidR="000D2D2B" w:rsidRPr="004E356B">
        <w:rPr>
          <w:rFonts w:eastAsia="Times New Roman" w:cs="Times New Roman"/>
          <w:szCs w:val="24"/>
          <w:lang w:val="en-GB"/>
        </w:rPr>
        <w:t xml:space="preserve"> </w:t>
      </w:r>
      <w:r w:rsidR="003B1546" w:rsidRPr="004E356B">
        <w:rPr>
          <w:rFonts w:eastAsia="Times New Roman" w:cs="Times New Roman"/>
          <w:szCs w:val="24"/>
          <w:lang w:val="en-GB"/>
        </w:rPr>
        <w:t xml:space="preserve">pathway could be causally linked to depression. </w:t>
      </w:r>
      <w:r w:rsidR="00E24ACF" w:rsidRPr="004E356B">
        <w:rPr>
          <w:rFonts w:eastAsia="Times New Roman" w:cs="Times New Roman"/>
          <w:szCs w:val="24"/>
          <w:lang w:val="en-GB"/>
        </w:rPr>
        <w:t>Experimental studies are required to further evaluate causality, mechanisms, and usefulness of immunotherap</w:t>
      </w:r>
      <w:r w:rsidR="007D3FF9" w:rsidRPr="004E356B">
        <w:rPr>
          <w:rFonts w:eastAsia="Times New Roman" w:cs="Times New Roman"/>
          <w:szCs w:val="24"/>
          <w:lang w:val="en-GB"/>
        </w:rPr>
        <w:t>i</w:t>
      </w:r>
      <w:r w:rsidR="00E24ACF" w:rsidRPr="004E356B">
        <w:rPr>
          <w:rFonts w:eastAsia="Times New Roman" w:cs="Times New Roman"/>
          <w:szCs w:val="24"/>
          <w:lang w:val="en-GB"/>
        </w:rPr>
        <w:t xml:space="preserve">es for </w:t>
      </w:r>
      <w:r w:rsidR="00203F42" w:rsidRPr="004E356B">
        <w:rPr>
          <w:rFonts w:eastAsia="Times New Roman" w:cs="Times New Roman"/>
          <w:szCs w:val="24"/>
          <w:lang w:val="en-GB"/>
        </w:rPr>
        <w:t>depress</w:t>
      </w:r>
      <w:r w:rsidR="00C410CE" w:rsidRPr="004E356B">
        <w:rPr>
          <w:rFonts w:eastAsia="Times New Roman" w:cs="Times New Roman"/>
          <w:szCs w:val="24"/>
          <w:lang w:val="en-GB"/>
        </w:rPr>
        <w:t>ive symptoms</w:t>
      </w:r>
      <w:r w:rsidR="00A00392" w:rsidRPr="004E356B">
        <w:rPr>
          <w:rFonts w:eastAsia="Times New Roman" w:cs="Times New Roman"/>
          <w:szCs w:val="24"/>
          <w:lang w:val="en-GB"/>
        </w:rPr>
        <w:t>.</w:t>
      </w:r>
      <w:bookmarkStart w:id="2" w:name="_e6y7srcrslr8" w:colFirst="0" w:colLast="0"/>
      <w:bookmarkEnd w:id="2"/>
      <w:r w:rsidR="006941DE" w:rsidRPr="004E356B">
        <w:rPr>
          <w:rFonts w:eastAsia="Times New Roman" w:cs="Times New Roman"/>
          <w:szCs w:val="24"/>
          <w:lang w:val="en-GB"/>
        </w:rPr>
        <w:t xml:space="preserve"> </w:t>
      </w:r>
    </w:p>
    <w:p w14:paraId="27E307BC" w14:textId="7B875460" w:rsidR="00A961F7" w:rsidRPr="00571EA4" w:rsidRDefault="00A24B87" w:rsidP="00EF79B6">
      <w:pPr>
        <w:pStyle w:val="Heading1"/>
        <w:rPr>
          <w:lang w:val="en-GB"/>
        </w:rPr>
      </w:pPr>
      <w:r w:rsidRPr="00571EA4">
        <w:rPr>
          <w:lang w:val="en-GB"/>
        </w:rPr>
        <w:lastRenderedPageBreak/>
        <w:t>INTRODUCTION</w:t>
      </w:r>
    </w:p>
    <w:p w14:paraId="5BDEA1A7" w14:textId="15581EC3" w:rsidR="00F41E6D" w:rsidRPr="00571EA4" w:rsidRDefault="00A24B87">
      <w:pPr>
        <w:rPr>
          <w:rFonts w:eastAsia="Times New Roman" w:cs="Times New Roman"/>
          <w:szCs w:val="24"/>
          <w:lang w:val="en-GB"/>
        </w:rPr>
      </w:pPr>
      <w:r w:rsidRPr="00571EA4">
        <w:rPr>
          <w:rFonts w:eastAsia="Times New Roman" w:cs="Times New Roman"/>
          <w:szCs w:val="24"/>
          <w:lang w:val="en-GB"/>
        </w:rPr>
        <w:t xml:space="preserve">A role for inflammatory dysregulation in depression has been </w:t>
      </w:r>
      <w:r w:rsidR="00C81B18" w:rsidRPr="00571EA4">
        <w:rPr>
          <w:rFonts w:eastAsia="Times New Roman" w:cs="Times New Roman"/>
          <w:szCs w:val="24"/>
          <w:lang w:val="en-GB"/>
        </w:rPr>
        <w:t>suggested</w:t>
      </w:r>
      <w:r w:rsidRPr="00571EA4">
        <w:rPr>
          <w:rFonts w:eastAsia="Times New Roman" w:cs="Times New Roman"/>
          <w:szCs w:val="24"/>
          <w:lang w:val="en-GB"/>
        </w:rPr>
        <w:t xml:space="preserve"> by a large body of evidence</w:t>
      </w:r>
      <w:r w:rsidR="005D3209" w:rsidRPr="00571EA4">
        <w:rPr>
          <w:rFonts w:eastAsia="Times New Roman" w:cs="Times New Roman"/>
          <w:szCs w:val="24"/>
          <w:lang w:val="en-GB"/>
        </w:rPr>
        <w:t>.</w:t>
      </w:r>
      <w:r w:rsidRPr="00571EA4">
        <w:rPr>
          <w:rFonts w:eastAsia="Times New Roman" w:cs="Times New Roman"/>
          <w:szCs w:val="24"/>
          <w:lang w:val="en-GB"/>
        </w:rPr>
        <w:t xml:space="preserve"> </w:t>
      </w:r>
      <w:r w:rsidR="005D3209" w:rsidRPr="00571EA4">
        <w:rPr>
          <w:rFonts w:eastAsia="Times New Roman" w:cs="Times New Roman"/>
          <w:szCs w:val="24"/>
          <w:lang w:val="en-GB"/>
        </w:rPr>
        <w:t>C</w:t>
      </w:r>
      <w:r w:rsidRPr="00571EA4">
        <w:rPr>
          <w:rFonts w:eastAsia="Times New Roman" w:cs="Times New Roman"/>
          <w:szCs w:val="24"/>
          <w:lang w:val="en-GB"/>
        </w:rPr>
        <w:t xml:space="preserve">linical studies </w:t>
      </w:r>
      <w:r w:rsidR="005D3209" w:rsidRPr="00571EA4">
        <w:rPr>
          <w:rFonts w:eastAsia="Times New Roman" w:cs="Times New Roman"/>
          <w:szCs w:val="24"/>
          <w:lang w:val="en-GB"/>
        </w:rPr>
        <w:t xml:space="preserve">have shown that a quarter of patients </w:t>
      </w:r>
      <w:r w:rsidR="002D215B" w:rsidRPr="00571EA4">
        <w:rPr>
          <w:rFonts w:eastAsia="Times New Roman" w:cs="Times New Roman"/>
          <w:szCs w:val="24"/>
          <w:lang w:val="en-GB"/>
        </w:rPr>
        <w:t xml:space="preserve">with hepatitis C </w:t>
      </w:r>
      <w:r w:rsidR="005D3209" w:rsidRPr="00571EA4">
        <w:rPr>
          <w:rFonts w:eastAsia="Times New Roman" w:cs="Times New Roman"/>
          <w:szCs w:val="24"/>
          <w:lang w:val="en-GB"/>
        </w:rPr>
        <w:t>develop a depressive episode following pro-inflammatory interferon treatment</w:t>
      </w:r>
      <w:r w:rsidR="00AF5060" w:rsidRPr="00571EA4">
        <w:rPr>
          <w:rFonts w:eastAsia="Times New Roman" w:cs="Times New Roman"/>
          <w:szCs w:val="24"/>
          <w:lang w:val="en-GB"/>
        </w:rPr>
        <w:t xml:space="preserve"> </w:t>
      </w:r>
      <w:r w:rsidR="0092176F" w:rsidRPr="00571EA4">
        <w:rPr>
          <w:rFonts w:eastAsia="Times New Roman" w:cs="Times New Roman"/>
          <w:szCs w:val="24"/>
        </w:rPr>
        <w:fldChar w:fldCharType="begin" w:fldLock="1"/>
      </w:r>
      <w:r w:rsidR="00D613B9" w:rsidRPr="00571EA4">
        <w:rPr>
          <w:rFonts w:eastAsia="Times New Roman" w:cs="Times New Roman"/>
          <w:szCs w:val="24"/>
        </w:rPr>
        <w:instrText>ADDIN CSL_CITATION {"citationItems":[{"id":"ITEM-1","itemData":{"ISBN":"1555-2101 (Electronic) 0160-6689 (Linking)","PMID":"22967776","author":[{"dropping-particle":"","family":"Udina","given":"M","non-dropping-particle":"","parse-names":false,"suffix":""},{"dropping-particle":"","family":"Castellvi","given":"P","non-dropping-particle":"","parse-names":false,"suffix":""},{"dropping-particle":"","family":"Moreno-Espana","given":"J","non-dropping-particle":"","parse-names":false,"suffix":""},{"dropping-particle":"","family":"Navines","given":"R","non-dropping-particle":"","parse-names":false,"suffix":""},{"dropping-particle":"","family":"Valdes","given":"M","non-dropping-particle":"","parse-names":false,"suffix":""},{"dropping-particle":"","family":"Forns","given":"X","non-dropping-particle":"","parse-names":false,"suffix":""},{"dropping-particle":"","family":"Langohr","given":"K","non-dropping-particle":"","parse-names":false,"suffix":""},{"dropping-particle":"","family":"Sola","given":"R","non-dropping-particle":"","parse-names":false,"suffix":""},{"dropping-particle":"","family":"Vieta","given":"E","non-dropping-particle":"","parse-names":false,"suffix":""},{"dropping-particle":"","family":"Martin-Santos","given":"R","non-dropping-particle":"","parse-names":false,"suffix":""}],"container-title":"Journal of Clinical Psychiatry","edition":"2012/09/13","id":"ITEM-1","issue":"8","issued":{"date-parts":[["2012"]]},"language":"eng","page":"1128-1138","title":"Interferon-induced depression in chronic hepatitis C: a systematic review and meta-analysis","type":"article-journal","volume":"73"},"uris":["http://www.mendeley.com/documents/?uuid=43e9452c-4362-4a50-8420-b595795d4ff8","http://www.mendeley.com/documents/?uuid=e7bf7777-7c6a-48d3-829d-7547c934372d"]}],"mendeley":{"formattedCitation":"[1]","plainTextFormattedCitation":"[1]","previouslyFormattedCitation":"[1]"},"properties":{"noteIndex":0},"schema":"https://github.com/citation-style-language/schema/raw/master/csl-citation.json"}</w:instrText>
      </w:r>
      <w:r w:rsidR="0092176F" w:rsidRPr="00571EA4">
        <w:rPr>
          <w:rFonts w:eastAsia="Times New Roman" w:cs="Times New Roman"/>
          <w:szCs w:val="24"/>
        </w:rPr>
        <w:fldChar w:fldCharType="separate"/>
      </w:r>
      <w:r w:rsidR="00AF5060" w:rsidRPr="00571EA4">
        <w:rPr>
          <w:rFonts w:eastAsia="Times New Roman" w:cs="Times New Roman"/>
          <w:noProof/>
          <w:szCs w:val="24"/>
          <w:lang w:val="en-GB"/>
        </w:rPr>
        <w:t>[1]</w:t>
      </w:r>
      <w:r w:rsidR="0092176F" w:rsidRPr="00571EA4">
        <w:rPr>
          <w:rFonts w:eastAsia="Times New Roman" w:cs="Times New Roman"/>
          <w:szCs w:val="24"/>
        </w:rPr>
        <w:fldChar w:fldCharType="end"/>
      </w:r>
      <w:r w:rsidR="00AF5060" w:rsidRPr="00571EA4">
        <w:rPr>
          <w:rFonts w:eastAsia="Times New Roman" w:cs="Times New Roman"/>
          <w:szCs w:val="24"/>
        </w:rPr>
        <w:t>.</w:t>
      </w:r>
      <w:r w:rsidRPr="00571EA4">
        <w:rPr>
          <w:rFonts w:eastAsia="Times New Roman" w:cs="Times New Roman"/>
          <w:szCs w:val="24"/>
          <w:lang w:val="en-GB"/>
        </w:rPr>
        <w:t xml:space="preserve"> </w:t>
      </w:r>
      <w:r w:rsidR="005D3209" w:rsidRPr="00571EA4">
        <w:rPr>
          <w:rFonts w:eastAsia="Times New Roman" w:cs="Times New Roman"/>
          <w:szCs w:val="24"/>
          <w:lang w:val="en-GB"/>
        </w:rPr>
        <w:t>L</w:t>
      </w:r>
      <w:r w:rsidRPr="00571EA4">
        <w:rPr>
          <w:rFonts w:eastAsia="Times New Roman" w:cs="Times New Roman"/>
          <w:szCs w:val="24"/>
          <w:lang w:val="en-GB"/>
        </w:rPr>
        <w:t>arge meta-analyses report cross-sectional and longitudinal associations between inflammatory markers - such as C-Reactive Protein (CRP) and Interleukin 6 (IL-6) - and depression</w:t>
      </w:r>
      <w:r w:rsidR="00AF5060" w:rsidRPr="00571EA4">
        <w:rPr>
          <w:rFonts w:eastAsia="Times New Roman" w:cs="Times New Roman"/>
          <w:szCs w:val="24"/>
          <w:lang w:val="en-GB"/>
        </w:rPr>
        <w:t xml:space="preserve"> </w:t>
      </w:r>
      <w:r w:rsidR="00EB6E34" w:rsidRPr="00571EA4">
        <w:rPr>
          <w:rFonts w:eastAsia="Times New Roman" w:cs="Times New Roman"/>
          <w:szCs w:val="24"/>
        </w:rPr>
        <w:fldChar w:fldCharType="begin" w:fldLock="1"/>
      </w:r>
      <w:r w:rsidR="00D613B9" w:rsidRPr="00571EA4">
        <w:rPr>
          <w:rFonts w:eastAsia="Times New Roman" w:cs="Times New Roman"/>
          <w:szCs w:val="24"/>
          <w:lang w:val="en-GB"/>
        </w:rPr>
        <w:instrText>ADDIN CSL_CITATION {"citationItems":[{"id":"ITEM-1","itemData":{"DOI":"10.1016/j.biopsych.2009.09.033","ISBN":"0006-3223","abstract":"Background Major depression occurs in 4.4% to 20% of the general population. Studies suggest that major depression is accompanied by immune dysregulation and activation of the inflammatory response system (IRS). Our objective was to quantitatively summarize the data on concentrations of specific cytokines in patients diagnosed with a major depressive episode and controls. Methods We performed a meta-analysis of studies measuring cytokine concentration in patients with major depression, with a database search of the English literature (to August 2009) and a manual search of references. Results Twenty-four studies involving unstimulated measurements of cytokines in patients meeting DSM criteria for major depression were included in the meta-analysis; 13 for tumor necrosis factor (TNF)-α, 9 for interleukin (IL)-1β, 16 for IL-6, 5 for IL-4, 5 for IL-2, 4 for IL-8, 6 for IL-10, and 4 for interferon (IFN)-γ. There were significantly higher concentrations of TNF-α (p &amp;lt; .00001), weighted mean difference (WMD) (95% confidence interval) 3.97 pg/mL (2.24 to 5.71), in depressed subjects compared with control subjects (438 depressed/350 nondepressed). Also, IL-6 concentrations were significantly higher (p &amp;lt; .00001) in depressed subjects compared with control subjects (492 depressed/400 nondepressed) with an overall WMD of 1.78 pg/mL (1.23 to 2.33). There were no significant differences among depressed and nondepressed subjects for the other cytokines studied. Conclusions This meta-analysis reports significantly higher concentrations of the proinflammatory cytokines TNF-α and IL-6 in depressed subjects compared with control subjects. While both positive and negative results have been reported in individual studies, this meta-analytic result strengthens evidence that depression is accompanied by activation of the IRS.","author":[{"dropping-particle":"","family":"Dowlati","given":"Yekta","non-dropping-particle":"","parse-names":false,"suffix":""},{"dropping-particle":"","family":"Herrmann","given":"Nathan","non-dropping-particle":"","parse-names":false,"suffix":""},{"dropping-particle":"","family":"Swardfager","given":"Walter","non-dropping-particle":"","parse-names":false,"suffix":""},{"dropping-particle":"","family":"Liu","given":"Helena","non-dropping-particle":"","parse-names":false,"suffix":""},{"dropping-particle":"","family":"Sham","given":"Lauren","non-dropping-particle":"","parse-names":false,"suffix":""},{"dropping-particle":"","family":"Reim","given":"Elyse K","non-dropping-particle":"","parse-names":false,"suffix":""},{"dropping-particle":"","family":"Lanctôt","given":"Krista L","non-dropping-particle":"","parse-names":false,"suffix":""}],"container-title":"Biological Psychiatry","id":"ITEM-1","issue":"5","issued":{"date-parts":[["2010"]]},"page":"446-457","title":"A Meta-Analysis of Cytokines in Major Depression","type":"article-journal","volume":"67"},"uris":["http://www.mendeley.com/documents/?uuid=dadc89dd-1f80-417e-b672-c299ee0c5162","http://www.mendeley.com/documents/?uuid=e1748641-9299-453e-98e3-66d454d939cb"]},{"id":"ITEM-2","itemData":{"DOI":"10.1097/PSY.0b013e3181907c1b","ISBN":"1534-7796 (Electronic) 0033-3174 (Linking)","PMID":"19188531","author":[{"dropping-particle":"","family":"Howren","given":"M B","non-dropping-particle":"","parse-names":false,"suffix":""},{"dropping-particle":"","family":"Lamkin","given":"D M","non-dropping-particle":"","parse-names":false,"suffix":""},{"dropping-particle":"","family":"Suls","given":"J","non-dropping-particle":"","parse-names":false,"suffix":""}],"container-title":"Psychosomatic Medicine","edition":"2009/02/04","id":"ITEM-2","issue":"2","issued":{"date-parts":[["2009"]]},"language":"eng","page":"171-186","title":"Associations of depression with C-reactive protein, IL-1, and IL-6: a meta-analysis","type":"article-journal","volume":"71"},"uris":["http://www.mendeley.com/documents/?uuid=eda02ade-180f-49df-9ee1-7220efb2dd5d","http://www.mendeley.com/documents/?uuid=4825f84b-6539-4863-ac04-f89310b98d78"]},{"id":"ITEM-3","itemData":{"DOI":"10.1038/mp.2016.3","ISBN":"1359-4184","ISSN":"1476-5578","PMID":"26903267","abstract":"Schizophrenia, bipolar disorder and major depressive disorder (MDD) have all been associated with aberrant blood cytokine levels; however, neither the pattern of cytokine alterations nor the impact of clinical status have been compared across disorders. We performed a meta-analysis of blood cytokines in acutely and chronically ill patients with these major psychiatric disorders. Articles were identified by searching the PubMed, PsycInfo and Web of Science, and the reference lists of these studies. Sixty-eight studies met the inclusion criteria (40 schizophrenia, 10 bipolar disorder and 18 MDD) for acutely ill patients. Forty-six studies met the inclusion criteria (18 schizophrenia, 16 bipolar disorder and 12 MDD) for chronically ill patients. Levels of two cytokines (interleukin-6 (IL-6), tumor necrosis factor-α (TNF-α)), one soluble cytokine receptor (sIL-2R), and one cytokine receptor antagonist (IL-1RA) were significantly increased in acutely ill patients with schizophrenia, bipolar mania and MDD compared with controls (P&lt;0.01). Following treatment of the acute illness, IL-6 levels significantly decreased in both schizophrenia and MDD (P&lt;0.01); sIL-2R levels increased in schizophrenia; and IL-1RA levels in bipolar mania decreased. In chronically ill patients, the levels of IL-6 were significantly increased in schizophrenia, euthymic (but not depressed) bipolar disorder and MDD compared with controls (P&lt;0.01). The levels of IL-1β and sIL-2R were significantly increased in both chronic schizophrenia and euthymic bipolar disorder. Overall, there were similarities in the pattern of cytokine alterations in schizophrenia, bipolar disorder and MDD during acute and chronic phases of illness, raising the possibility of common underlying pathways for immune dysfunction. Effects of treatment on cytokines were more robust for schizophrenia and MDD, but were more frequently studied than for acute mania. These findings have important implications for our understanding of the pathophysiology and treatment of major psychiatric disorders.Molecular Psychiatry advance online publication, 23 February 2016; doi:10.1038/mp.2016.3.","author":[{"dropping-particle":"","family":"Goldsmith","given":"D R","non-dropping-particle":"","parse-names":false,"suffix":""},{"dropping-particle":"","family":"Rapaport","given":"M H","non-dropping-particle":"","parse-names":false,"suffix":""},{"dropping-particle":"","family":"Miller","given":"B J","non-dropping-particle":"","parse-names":false,"suffix":""}],"container-title":"Molecular Psychiatry","id":"ITEM-3","issue":"April 2015","issued":{"date-parts":[["2016"]]},"page":"1-14","publisher":"Nature Publishing Group","title":"A meta-analysis of blood cytokine network alterations in psychiatric patients: comparisons between schizophrenia, bipolar disorder and depression.","type":"article-journal","volume":"21"},"uris":["http://www.mendeley.com/documents/?uuid=3a1f2a88-4544-4d67-844f-1872f2307cc1"]},{"id":"ITEM-4","itemData":{"DOI":"10.1016/j.bbi.2015.06.001","ISBN":"0889-1591","abstract":"Cumulative meta-analyses are used to evaluate the extent to which further studies are needed to confirm or refute a hypothesis. We used this approach to assess observational evidence on systemic inflammation in individuals with major depressive disorder. We identified 58 studies of four common inflammatory markers in a literature search of PubMed, Embase and PsychInfo databases in May 2014. Pooled data from the earliest eight studies already showed an association between interleukin-6 concentrations and major depression; 23 more recent studies confirmed this finding (d = 0.54, p &amp;lt; 0.0001). A significant association between C-reactive protein levels and major depression was noted after 14 studies and this did not change after addition of six more studies (d = 0.47, p &amp;lt; 0.0001). For these two inflammatory markers, there was moderate heterogeneity in study-specific estimates, subgroup differences were small, and publication bias appeared to be an unlikely explanation for the findings. Sensitivity analyses including only high-quality studies and subjects free of antidepressant medication further verified the associations. While there was a link between tumour necrosis factor-α levels and major depression (d = 0.40, p = 0.002), the cumulative effect remained uncertain due to the extensive heterogeneity in study-specific estimates and inconsistencies between subgroups. No evidence was found for the association between interleukin-1β levels and major depression (d = −0.05, p = 0.86). In conclusion, this cumulative meta-analysis confirmed higher mean levels of interleukin-6 and C-reactive protein in patients with major depression compared to non-depressed controls. No consistent association between tumour necrosis factor-α, interleukin-1β and major depression was observed. Future studies should clarify the specific immune mechanisms involved as well as continue testing anti-inflammatory therapies in patients suffering from major depression.","author":[{"dropping-particle":"","family":"Haapakoski","given":"Rita","non-dropping-particle":"","parse-names":false,"suffix":""},{"dropping-particle":"","family":"Mathieu","given":"Julia","non-dropping-particle":"","parse-names":false,"suffix":""},{"dropping-particle":"","family":"Ebmeier","given":"Klaus P","non-dropping-particle":"","parse-names":false,"suffix":""},{"dropping-particle":"","family":"Alenius","given":"Harri","non-dropping-particle":"","parse-names":false,"suffix":""},{"dropping-particle":"","family":"Kivimäki","given":"Mika","non-dropping-particle":"","parse-names":false,"suffix":""}],"container-title":"Brain, Behavior, and Immunity","id":"ITEM-4","issued":{"date-parts":[["2015"]]},"page":"206-215","title":"Cumulative meta-analysis of interleukins 6 and 1β, tumour necrosis factor α and C-reactive protein in patients with major depressive disorder","type":"article-journal","volume":"49"},"uris":["http://www.mendeley.com/documents/?uuid=82e3ac25-3fca-4db9-9168-2f910b65c26e","http://www.mendeley.com/documents/?uuid=f0659e3a-a3d2-472a-8550-a8ef2476d1fd"]},{"id":"ITEM-5","itemData":{"DOI":"10.1111/acps.12698","ISSN":"16000447","PMID":"28122130","abstract":"OBJECTIVE To conduct a systematic review and meta-analysis of studies that measured cytokine and chemokine levels in individuals with major depressive disorder (MDD) compared to healthy controls (HCs). METHOD The PubMed/MEDLINE, EMBASE, and PsycINFO databases were searched up until May 30, 2016. Effect sizes were estimated with random-effects models. RESULT Eighty-two studies comprising 3212 participants with MDD and 2798 HCs met inclusion criteria. Peripheral levels of interleukin-6 (IL-6), tumor necrosis factor (TNF)-alpha, IL-10, the soluble IL-2 receptor, C-C chemokine ligand 2, IL-13, IL-18, IL-12, the IL-1 receptor antagonist, and the soluble TNF receptor 2 were elevated in patients with MDD compared to HCs, whereas interferon-gamma levels were lower in MDD (Hedge's g = -0.477, P = 0.043). Levels of IL-1β, IL-2, IL-4, IL-8, the soluble IL-6 receptor (sIL-6R), IL-5, CCL-3, IL-17, and transforming growth factor-beta 1 were not significantly altered in individuals with MDD compared to HCs. Heterogeneity was large (I(2) : 51.6-97.7%), and sources of heterogeneity were explored (e.g., age, smoking status, and body mass index). CONCLUSION Our results further characterize a cytokine/chemokine profile associated with MDD. Future studies are warranted to further elucidate sources of heterogeneity, as well as biosignature cytokines secreted by other immune cells.","author":[{"dropping-particle":"","family":"Köhler","given":"C. A.","non-dropping-particle":"","parse-names":false,"suffix":""},{"dropping-particle":"","family":"Freitas","given":"T. H.","non-dropping-particle":"","parse-names":false,"suffix":""},{"dropping-particle":"","family":"Maes","given":"M.","non-dropping-particle":"","parse-names":false,"suffix":""},{"dropping-particle":"","family":"Andrade","given":"N. Q.","non-dropping-particle":"de","parse-names":false,"suffix":""},{"dropping-particle":"","family":"Liu","given":"C. S.","non-dropping-particle":"","parse-names":false,"suffix":""},{"dropping-particle":"","family":"Fernandes","given":"B. S.","non-dropping-particle":"","parse-names":false,"suffix":""},{"dropping-particle":"","family":"Stubbs","given":"B.","non-dropping-particle":"","parse-names":false,"suffix":""},{"dropping-particle":"","family":"Solmi","given":"M.","non-dropping-particle":"","parse-names":false,"suffix":""},{"dropping-particle":"","family":"Veronese","given":"N.","non-dropping-particle":"","parse-names":false,"suffix":""},{"dropping-particle":"","family":"Herrmann","given":"N.","non-dropping-particle":"","parse-names":false,"suffix":""},{"dropping-particle":"","family":"Raison","given":"C. L.","non-dropping-particle":"","parse-names":false,"suffix":""},{"dropping-particle":"","family":"Miller","given":"B. J.","non-dropping-particle":"","parse-names":false,"suffix":""},{"dropping-particle":"","family":"Lanctôt","given":"K. L.","non-dropping-particle":"","parse-names":false,"suffix":""},{"dropping-particle":"","family":"Carvalho","given":"A. F.","non-dropping-particle":"","parse-names":false,"suffix":""}],"container-title":"Acta Psychiatrica Scandinavica","id":"ITEM-5","issue":"5","issued":{"date-parts":[["2017"]]},"page":"373-387","title":"Peripheral cytokine and chemokine alterations in depression: a meta-analysis of 82 studies","type":"article-journal","volume":"135"},"uris":["http://www.mendeley.com/documents/?uuid=d5a081e4-ba91-4b54-b83e-8229683d7d62"]},{"id":"ITEM-6","itemData":{"DOI":"10.1016/j.biopsych.2020.02.1146","ISSN":"00063223","author":[{"dropping-particle":"Mac","family":"Giollabhui","given":"Naoise","non-dropping-particle":"","parse-names":false,"suffix":""},{"dropping-particle":"","family":"Ng","given":"Tommy","non-dropping-particle":"","parse-names":false,"suffix":""},{"dropping-particle":"","family":"Ellman","given":"Lauren M.","non-dropping-particle":"","parse-names":false,"suffix":""},{"dropping-particle":"","family":"Alloy","given":"Lauren B.","non-dropping-particle":"","parse-names":false,"suffix":""}],"container-title":"Biological Psychiatry","id":"ITEM-6","issue":"9","issued":{"date-parts":[["2020"]]},"page":"S450","publisher":"Springer US","title":"The Longitudinal Associations of Inflammatory Biomarkers and Depression Revisited: Systematic Review, Meta-Analysis and Meta-Regression","type":"article-journal","volume":"87"},"uris":["http://www.mendeley.com/documents/?uuid=a87d3f87-09c6-4a82-ad15-430090a10691"]}],"mendeley":{"formattedCitation":"[2–7]","plainTextFormattedCitation":"[2–7]","previouslyFormattedCitation":"[2–7]"},"properties":{"noteIndex":0},"schema":"https://github.com/citation-style-language/schema/raw/master/csl-citation.json"}</w:instrText>
      </w:r>
      <w:r w:rsidR="00EB6E34" w:rsidRPr="00571EA4">
        <w:rPr>
          <w:rFonts w:eastAsia="Times New Roman" w:cs="Times New Roman"/>
          <w:szCs w:val="24"/>
        </w:rPr>
        <w:fldChar w:fldCharType="separate"/>
      </w:r>
      <w:r w:rsidR="00AF5060" w:rsidRPr="00571EA4">
        <w:rPr>
          <w:rFonts w:eastAsia="Times New Roman" w:cs="Times New Roman"/>
          <w:noProof/>
          <w:szCs w:val="24"/>
          <w:lang w:val="en-GB"/>
        </w:rPr>
        <w:t>[2–7]</w:t>
      </w:r>
      <w:r w:rsidR="00EB6E34" w:rsidRPr="00571EA4">
        <w:rPr>
          <w:rFonts w:eastAsia="Times New Roman" w:cs="Times New Roman"/>
          <w:szCs w:val="24"/>
        </w:rPr>
        <w:fldChar w:fldCharType="end"/>
      </w:r>
      <w:r w:rsidR="00AF5060" w:rsidRPr="00571EA4">
        <w:rPr>
          <w:rFonts w:eastAsia="Times New Roman" w:cs="Times New Roman"/>
          <w:szCs w:val="24"/>
        </w:rPr>
        <w:t>.</w:t>
      </w:r>
      <w:r w:rsidR="00E503C2" w:rsidRPr="00571EA4">
        <w:rPr>
          <w:rFonts w:eastAsia="Times New Roman" w:cs="Times New Roman"/>
          <w:szCs w:val="24"/>
          <w:lang w:val="en-GB"/>
        </w:rPr>
        <w:t xml:space="preserve"> Indeed, inflammation is present in about a quarter of depressed patients as evidenced by elevated CRP levels</w:t>
      </w:r>
      <w:r w:rsidR="00AF5060" w:rsidRPr="00571EA4">
        <w:rPr>
          <w:rFonts w:eastAsia="Times New Roman" w:cs="Times New Roman"/>
          <w:szCs w:val="24"/>
          <w:lang w:val="en-GB"/>
        </w:rPr>
        <w:t xml:space="preserve"> </w:t>
      </w:r>
      <w:r w:rsidR="00E503C2" w:rsidRPr="00571EA4">
        <w:rPr>
          <w:rFonts w:eastAsia="Times New Roman" w:cs="Times New Roman"/>
          <w:szCs w:val="24"/>
          <w:lang w:val="en-GB"/>
        </w:rPr>
        <w:fldChar w:fldCharType="begin" w:fldLock="1"/>
      </w:r>
      <w:r w:rsidR="00D613B9" w:rsidRPr="00571EA4">
        <w:rPr>
          <w:rFonts w:eastAsia="Times New Roman" w:cs="Times New Roman"/>
          <w:szCs w:val="24"/>
          <w:lang w:val="en-GB"/>
        </w:rPr>
        <w:instrText>ADDIN CSL_CITATION {"citationItems":[{"id":"ITEM-1","itemData":{"DOI":"10.1017/S0033291719001454","ISSN":"14698978","abstract":"Background Peripheral low-grade inflammation in depression is increasingly seen as a therapeutic target. We aimed to establish the prevalence of low-grade inflammation in depression, using different C-reactive protein (CRP) levels, through a systematic literature review and meta-Analysis.Methods We searched the PubMed database from its inception to July 2018, and selected studies that assessed depression using a validated tool/scale, and allowed the calculation of the proportion of patients with low-grade inflammation (CRP &gt;3 mg/L) or elevated CRP (&gt;1 mg/L).Results After quality assessment, 37 studies comprising 13 541 depressed patients and 155 728 controls were included. Based on the meta-Analysis of 30 studies, the prevalence of low-grade inflammation (CRP &gt;3 mg/L) in depression was 27% (95% CI 21-34%); this prevalence was not associated with sample source (inpatient, outpatient or population-based), antidepressant treatment, participant age, BMI or ethnicity. Based on the meta-Analysis of 17 studies of depression and matched healthy controls, the odds ratio for low-grade inflammation in depression was 1.46 (95% CI 1.22-1.75). The prevalence of elevated CRP (&gt;1 mg/L) in depression was 58% (95% CI 47-69%), and the meta-Analytic odds ratio for elevated CRP in depression compared with controls was 1.47 (95% CI 1.18-1.82).Conclusions About a quarter of patients with depression show evidence of low-grade inflammation, and over half of patients show mildly elevated CRP levels. There are significant differences in the prevalence of low-grade inflammation between patients and matched healthy controls. These findings suggest that inflammation could be relevant to a large number of patients with depression.","author":[{"dropping-particle":"","family":"Osimo","given":"Emanuele Felice","non-dropping-particle":"","parse-names":false,"suffix":""},{"dropping-particle":"","family":"Baxter","given":"Luke James","non-dropping-particle":"","parse-names":false,"suffix":""},{"dropping-particle":"","family":"Lewis","given":"Glyn","non-dropping-particle":"","parse-names":false,"suffix":""},{"dropping-particle":"","family":"Jones","given":"Peter B.","non-dropping-particle":"","parse-names":false,"suffix":""},{"dropping-particle":"","family":"Khandaker","given":"Golam M.","non-dropping-particle":"","parse-names":false,"suffix":""}],"container-title":"Psychological Medicine","id":"ITEM-1","issue":"12","issued":{"date-parts":[["2019"]]},"page":"1958-1970","title":"Prevalence of low-grade inflammation in depression: A systematic review and meta-Analysis of CRP levels","type":"article-journal","volume":"49"},"uris":["http://www.mendeley.com/documents/?uuid=ef3806e1-1b6f-42d6-ada5-326ef6b754a0"]}],"mendeley":{"formattedCitation":"[8]","plainTextFormattedCitation":"[8]","previouslyFormattedCitation":"[8]"},"properties":{"noteIndex":0},"schema":"https://github.com/citation-style-language/schema/raw/master/csl-citation.json"}</w:instrText>
      </w:r>
      <w:r w:rsidR="00E503C2" w:rsidRPr="00571EA4">
        <w:rPr>
          <w:rFonts w:eastAsia="Times New Roman" w:cs="Times New Roman"/>
          <w:szCs w:val="24"/>
          <w:lang w:val="en-GB"/>
        </w:rPr>
        <w:fldChar w:fldCharType="separate"/>
      </w:r>
      <w:r w:rsidR="00AF5060" w:rsidRPr="00571EA4">
        <w:rPr>
          <w:rFonts w:eastAsia="Times New Roman" w:cs="Times New Roman"/>
          <w:noProof/>
          <w:szCs w:val="24"/>
          <w:lang w:val="en-GB"/>
        </w:rPr>
        <w:t>[8]</w:t>
      </w:r>
      <w:r w:rsidR="00E503C2" w:rsidRPr="00571EA4">
        <w:rPr>
          <w:rFonts w:eastAsia="Times New Roman" w:cs="Times New Roman"/>
          <w:szCs w:val="24"/>
          <w:lang w:val="en-GB"/>
        </w:rPr>
        <w:fldChar w:fldCharType="end"/>
      </w:r>
      <w:r w:rsidR="00AF5060" w:rsidRPr="00571EA4">
        <w:rPr>
          <w:rFonts w:eastAsia="Times New Roman" w:cs="Times New Roman"/>
          <w:szCs w:val="24"/>
          <w:lang w:val="en-GB"/>
        </w:rPr>
        <w:t>.</w:t>
      </w:r>
      <w:r w:rsidR="00E503C2" w:rsidRPr="00571EA4">
        <w:rPr>
          <w:rFonts w:eastAsia="Times New Roman" w:cs="Times New Roman"/>
          <w:szCs w:val="24"/>
          <w:lang w:val="en-GB"/>
        </w:rPr>
        <w:t xml:space="preserve"> </w:t>
      </w:r>
      <w:r w:rsidR="00AC5DDE" w:rsidRPr="00571EA4">
        <w:rPr>
          <w:rFonts w:eastAsia="Times New Roman" w:cs="Times New Roman"/>
          <w:szCs w:val="24"/>
          <w:lang w:val="en-GB"/>
        </w:rPr>
        <w:t>However, there are key outstanding questions regarding symptom specificity and potential causality of association</w:t>
      </w:r>
      <w:r w:rsidR="00892A1C" w:rsidRPr="00571EA4">
        <w:rPr>
          <w:rFonts w:eastAsia="Times New Roman" w:cs="Times New Roman"/>
          <w:szCs w:val="24"/>
          <w:lang w:val="en-GB"/>
        </w:rPr>
        <w:t>.</w:t>
      </w:r>
    </w:p>
    <w:p w14:paraId="5EE6D84B" w14:textId="4DDBDD51" w:rsidR="00F41E6D" w:rsidRPr="00571EA4" w:rsidRDefault="00F41E6D">
      <w:pPr>
        <w:rPr>
          <w:lang w:val="en-GB"/>
        </w:rPr>
      </w:pPr>
      <w:r w:rsidRPr="00571EA4">
        <w:rPr>
          <w:lang w:val="en-GB"/>
        </w:rPr>
        <w:t xml:space="preserve">Previous studies have mainly used composite measures of depression, but it is a phenotypically heterogenous syndrome. </w:t>
      </w:r>
      <w:r w:rsidR="00217BA9" w:rsidRPr="00571EA4">
        <w:rPr>
          <w:lang w:val="en-GB"/>
        </w:rPr>
        <w:t>Depression is also highly comorbid with anxiety, but studies of inflammation and anxiety symptoms are scarce</w:t>
      </w:r>
      <w:r w:rsidR="00AF5060" w:rsidRPr="00571EA4">
        <w:rPr>
          <w:lang w:val="en-GB"/>
        </w:rPr>
        <w:t xml:space="preserve"> </w:t>
      </w:r>
      <w:r w:rsidR="00217BA9" w:rsidRPr="00571EA4">
        <w:rPr>
          <w:rFonts w:eastAsia="Times New Roman" w:cs="Times New Roman"/>
          <w:szCs w:val="24"/>
        </w:rPr>
        <w:fldChar w:fldCharType="begin" w:fldLock="1"/>
      </w:r>
      <w:r w:rsidR="00D613B9" w:rsidRPr="00571EA4">
        <w:rPr>
          <w:rFonts w:eastAsia="Times New Roman" w:cs="Times New Roman"/>
          <w:szCs w:val="24"/>
          <w:lang w:val="en-GB"/>
        </w:rPr>
        <w:instrText>ADDIN CSL_CITATION {"citationItems":[{"id":"ITEM-1","itemData":{"DOI":"10.1136/bmjopen-2018-027925","ISSN":"2044-6055","PMID":"31326932","abstract":"Objective Inflammation has been implicated in the aetiology of mental illness. We conducted the first systematic review and meta-analysis of the association between peripheral markers of inflammation and generalised anxiety disorder (GAD). Design Systematic review and meta-analysis of studies measuring peripheral cytokine levels in people with GAD compared with controls. Data sources MEDLINE (1950-), EMBASE (1947-), PsycINFO (1872-) and Web of Science (1945-) databases up until January 2018. Eligibility criteria Primary, quantitative research studies of people with a diagnosis of GAD assessed using a standardised clinical interview that measured peripheral inflammatory markers. Data extraction and synthesis Two independent reviewers extracted data and assessed study quality. Meta-analysis using a random-effects model was conducted for individual cytokines where data from three or more studies were available. Results 14 of 1718 identified studies met the inclusion criteria, comprising 1188 patients with GAD and 10 623 controls. In total 16 cytokines were evaluated. Significantly raised levels of C reactive protein (CRP), interferon-γand tumour necrosis factor-α were reported in patients with GAD compared with controls in two or more studies. Ten further proinflammatory cytokines were reported to be significantly raised in GAD in at least one study. However, 5 of 14 studies found no difference in the levels of at least one cytokine. Only CRP studies reported sufficient data for meta-analysis. CRP was significantly higher in people with GAD compared with controls, with a small effect size (Cohen's d=0.38, 0.06-0.69), comparable with that reported in schizophrenia. However, heterogeneity was high (I 2 =75%), in keeping with meta-analyses of inflammation in other psychiatric conditions and reflecting differences in participant medication use, comorbid depression and cytokine sampling methodology. Conclusion There is preliminary evidence to suggest an inflammatory response in GAD, but it remains unclear whether inflammatory cytokines play a role in the aetiology. GAD remains a poorly studied area of neuroinflammation compared with other mental disorders, and further longitudinal studies are required.","author":[{"dropping-particle":"","family":"Costello","given":"Harry","non-dropping-particle":"","parse-names":false,"suffix":""},{"dropping-particle":"","family":"Gould","given":"Rebecca L.","non-dropping-particle":"","parse-names":false,"suffix":""},{"dropping-particle":"","family":"Abrol","given":"Esha","non-dropping-particle":"","parse-names":false,"suffix":""},{"dropping-particle":"","family":"Howard","given":"Robert","non-dropping-particle":"","parse-names":false,"suffix":""}],"container-title":"BMJ Open","id":"ITEM-1","issue":"7","issued":{"date-parts":[["2019","7"]]},"page":"e027925","title":"Systematic review and meta-analysis of the association between peripheral inflammatory cytokines and generalised anxiety disorder","type":"article-journal","volume":"9"},"uris":["http://www.mendeley.com/documents/?uuid=c9e85906-8d71-44ce-98f4-ed003b13582a","http://www.mendeley.com/documents/?uuid=ebd07454-32d7-40e9-b18b-e8dbfcbf3f14"]}],"mendeley":{"formattedCitation":"[9]","plainTextFormattedCitation":"[9]","previouslyFormattedCitation":"[9]"},"properties":{"noteIndex":0},"schema":"https://github.com/citation-style-language/schema/raw/master/csl-citation.json"}</w:instrText>
      </w:r>
      <w:r w:rsidR="00217BA9" w:rsidRPr="00571EA4">
        <w:rPr>
          <w:rFonts w:eastAsia="Times New Roman" w:cs="Times New Roman"/>
          <w:szCs w:val="24"/>
        </w:rPr>
        <w:fldChar w:fldCharType="separate"/>
      </w:r>
      <w:r w:rsidR="00AF5060" w:rsidRPr="00571EA4">
        <w:rPr>
          <w:rFonts w:eastAsia="Times New Roman" w:cs="Times New Roman"/>
          <w:noProof/>
          <w:szCs w:val="24"/>
          <w:lang w:val="en-GB"/>
        </w:rPr>
        <w:t>[9]</w:t>
      </w:r>
      <w:r w:rsidR="00217BA9" w:rsidRPr="00571EA4">
        <w:rPr>
          <w:rFonts w:eastAsia="Times New Roman" w:cs="Times New Roman"/>
          <w:szCs w:val="24"/>
        </w:rPr>
        <w:fldChar w:fldCharType="end"/>
      </w:r>
      <w:r w:rsidR="00AF5060" w:rsidRPr="00571EA4">
        <w:rPr>
          <w:rFonts w:eastAsia="Times New Roman" w:cs="Times New Roman"/>
          <w:szCs w:val="24"/>
        </w:rPr>
        <w:t>.</w:t>
      </w:r>
      <w:r w:rsidR="00217BA9" w:rsidRPr="00571EA4">
        <w:rPr>
          <w:rFonts w:eastAsia="Times New Roman" w:cs="Times New Roman"/>
          <w:szCs w:val="24"/>
        </w:rPr>
        <w:t xml:space="preserve"> </w:t>
      </w:r>
      <w:r w:rsidRPr="00571EA4">
        <w:rPr>
          <w:lang w:val="en-GB"/>
        </w:rPr>
        <w:t xml:space="preserve">It is possible that inflammation is relevant for some but not all affective symptoms. </w:t>
      </w:r>
      <w:r w:rsidR="002A78FD" w:rsidRPr="00571EA4">
        <w:rPr>
          <w:rFonts w:eastAsia="Times New Roman" w:cs="Times New Roman"/>
          <w:szCs w:val="24"/>
          <w:lang w:val="en-GB"/>
        </w:rPr>
        <w:t>Higher</w:t>
      </w:r>
      <w:r w:rsidR="00255E15" w:rsidRPr="00571EA4">
        <w:rPr>
          <w:rFonts w:eastAsia="Times New Roman" w:cs="Times New Roman"/>
          <w:szCs w:val="24"/>
          <w:lang w:val="en-GB"/>
        </w:rPr>
        <w:t xml:space="preserve"> </w:t>
      </w:r>
      <w:r w:rsidR="002A78FD" w:rsidRPr="00571EA4">
        <w:rPr>
          <w:rFonts w:eastAsia="Times New Roman" w:cs="Times New Roman"/>
          <w:szCs w:val="24"/>
          <w:lang w:val="en-GB"/>
        </w:rPr>
        <w:t xml:space="preserve">inflammatory marker </w:t>
      </w:r>
      <w:r w:rsidR="00255E15" w:rsidRPr="00571EA4">
        <w:rPr>
          <w:rFonts w:eastAsia="Times New Roman" w:cs="Times New Roman"/>
          <w:szCs w:val="24"/>
          <w:lang w:val="en-GB"/>
        </w:rPr>
        <w:t xml:space="preserve">levels </w:t>
      </w:r>
      <w:r w:rsidR="002A78FD" w:rsidRPr="00571EA4">
        <w:rPr>
          <w:rFonts w:eastAsia="Times New Roman" w:cs="Times New Roman"/>
          <w:szCs w:val="24"/>
          <w:lang w:val="en-GB"/>
        </w:rPr>
        <w:t xml:space="preserve">have been </w:t>
      </w:r>
      <w:r w:rsidR="00255E15" w:rsidRPr="00571EA4">
        <w:rPr>
          <w:rFonts w:eastAsia="Times New Roman" w:cs="Times New Roman"/>
          <w:szCs w:val="24"/>
          <w:lang w:val="en-GB"/>
        </w:rPr>
        <w:t xml:space="preserve">reported </w:t>
      </w:r>
      <w:r w:rsidR="002A78FD" w:rsidRPr="00571EA4">
        <w:rPr>
          <w:rFonts w:eastAsia="Times New Roman" w:cs="Times New Roman"/>
          <w:szCs w:val="24"/>
          <w:lang w:val="en-GB"/>
        </w:rPr>
        <w:t xml:space="preserve">to be </w:t>
      </w:r>
      <w:r w:rsidR="00D619FB" w:rsidRPr="00571EA4">
        <w:rPr>
          <w:rFonts w:eastAsia="Times New Roman" w:cs="Times New Roman"/>
          <w:szCs w:val="24"/>
          <w:lang w:val="en-GB"/>
        </w:rPr>
        <w:t xml:space="preserve">mainly </w:t>
      </w:r>
      <w:r w:rsidR="00255E15" w:rsidRPr="00571EA4">
        <w:rPr>
          <w:rFonts w:eastAsia="Times New Roman" w:cs="Times New Roman"/>
          <w:szCs w:val="24"/>
          <w:lang w:val="en-GB"/>
        </w:rPr>
        <w:t xml:space="preserve">associated with </w:t>
      </w:r>
      <w:r w:rsidR="002A78FD" w:rsidRPr="00571EA4">
        <w:rPr>
          <w:rFonts w:eastAsia="Times New Roman" w:cs="Times New Roman"/>
          <w:szCs w:val="24"/>
          <w:lang w:val="en-GB"/>
        </w:rPr>
        <w:t xml:space="preserve">anhedonia and </w:t>
      </w:r>
      <w:proofErr w:type="spellStart"/>
      <w:r w:rsidR="002A78FD" w:rsidRPr="00571EA4">
        <w:rPr>
          <w:rFonts w:eastAsia="Times New Roman" w:cs="Times New Roman"/>
          <w:szCs w:val="24"/>
          <w:lang w:val="en-GB"/>
        </w:rPr>
        <w:t>neurovegetative</w:t>
      </w:r>
      <w:proofErr w:type="spellEnd"/>
      <w:r w:rsidR="002A78FD" w:rsidRPr="00571EA4">
        <w:rPr>
          <w:rFonts w:eastAsia="Times New Roman" w:cs="Times New Roman"/>
          <w:szCs w:val="24"/>
          <w:lang w:val="en-GB"/>
        </w:rPr>
        <w:t xml:space="preserve"> symptoms such as </w:t>
      </w:r>
      <w:r w:rsidR="00FE1957" w:rsidRPr="00571EA4">
        <w:rPr>
          <w:rFonts w:eastAsia="Times New Roman" w:cs="Times New Roman"/>
          <w:szCs w:val="24"/>
          <w:lang w:val="en-GB"/>
        </w:rPr>
        <w:t xml:space="preserve">fatigue, </w:t>
      </w:r>
      <w:r w:rsidR="002A78FD" w:rsidRPr="00571EA4">
        <w:rPr>
          <w:rFonts w:eastAsia="Times New Roman" w:cs="Times New Roman"/>
          <w:szCs w:val="24"/>
          <w:lang w:val="en-GB"/>
        </w:rPr>
        <w:t>appetite and sleep alterations</w:t>
      </w:r>
      <w:r w:rsidR="00AF5060" w:rsidRPr="00571EA4">
        <w:rPr>
          <w:rFonts w:eastAsia="Times New Roman" w:cs="Times New Roman"/>
          <w:szCs w:val="24"/>
          <w:lang w:val="en-GB"/>
        </w:rPr>
        <w:t xml:space="preserve"> </w:t>
      </w:r>
      <w:r w:rsidR="002A78FD" w:rsidRPr="00571EA4">
        <w:rPr>
          <w:rFonts w:eastAsia="Times New Roman" w:cs="Times New Roman"/>
          <w:szCs w:val="24"/>
          <w:highlight w:val="white"/>
        </w:rPr>
        <w:fldChar w:fldCharType="begin" w:fldLock="1"/>
      </w:r>
      <w:r w:rsidR="002F5C4F">
        <w:rPr>
          <w:rFonts w:eastAsia="Times New Roman" w:cs="Times New Roman"/>
          <w:szCs w:val="24"/>
          <w:highlight w:val="white"/>
          <w:lang w:val="en-GB"/>
        </w:rPr>
        <w:instrText>ADDIN CSL_CITATION {"citationItems":[{"id":"ITEM-1","itemData":{"DOI":"10.1001/jamapsychiatry.2015.1977","ISBN":"2168-622X","abstract":"Elevated levels of inflammatory markers, such as C-reactive protein, are well-documented in people with depression.1,2 Raison and Miller3 suggested that this association may, in fact, be symptom-specific. Higher levels of inflammation are particularly likely to underlie depression symptoms that characterize sickness behavior, including fatigue, reduced appetite, withdrawal, and inhibited motivation. From an evolutionary perspective, such symptoms have the beneficial effect of preserving energy resources for use in fighting infection and promoting healing processes.4,5 Here, we tested the hypothesis that the association between C-reactive protein and depression is symptom-specific.","author":[{"dropping-particle":"","family":"Jokela","given":"M","non-dropping-particle":"","parse-names":false,"suffix":""},{"dropping-particle":"","family":"Virtanen","given":"M","non-dropping-particle":"","parse-names":false,"suffix":""},{"dropping-particle":"","family":"Batty","given":"G","non-dropping-particle":"","parse-names":false,"suffix":""},{"dropping-particle":"","family":"Kivimäki","given":"M","non-dropping-particle":"","parse-names":false,"suffix":""}],"container-title":"JAMA Psychiatry","id":"ITEM-1","issue":"1","issued":{"date-parts":[["2016"]]},"page":"87-88","title":"Inflammation and specific symptoms of depression","type":"article-journal","volume":"73"},"uris":["http://www.mendeley.com/documents/?uuid=0ffe7f1d-9eb2-4360-b668-1305198ac317","http://www.mendeley.com/documents/?uuid=0a95e6fc-5535-440d-a6e9-c49ab8a61bcd"]},{"id":"ITEM-2","itemData":{"ISSN":"1469-8978","PMID":"28889804","author":[{"dropping-particle":"","family":"Lamers","given":"Femke","non-dropping-particle":"","parse-names":false,"suffix":""},{"dropping-particle":"","family":"Milaneschi","given":"Yuri","non-dropping-particle":"","parse-names":false,"suffix":""},{"dropping-particle":"","family":"Jonge","given":"Peter","non-dropping-particle":"de","parse-names":false,"suffix":""},{"dropping-particle":"","family":"Giltay","given":"Erik J.","non-dropping-particle":"","parse-names":false,"suffix":""},{"dropping-particle":"","family":"Penninx","given":"Brenda W.J.H.","non-dropping-particle":"","parse-names":false,"suffix":""}],"container-title":"Psychological Medicine","id":"ITEM-2","issue":"7","issued":{"date-parts":[["2018"]]},"page":"1102-1110","title":"Metabolic and inflammatory markers: associations with individual depressive symptoms","type":"article-journal","volume":"48"},"uris":["http://www.mendeley.com/documents/?uuid=a17d3d1f-c135-4f40-8d28-9c50f0718508"]},{"id":"ITEM-3","itemData":{"DOI":"10.1017/S0033291719002770","ISSN":"0033-2917","abstract":"Background: Studies investigating the link between Major Depressive Disorder (MDD) and inflammation have yielded inconsistent results. This may be due to two factors. First, studies differed regarding the specific inflammatory markers studied and covariates accounted for. Second, specific depression symptoms may be differentially related to inflammation, and traditional analyses of symptom total scores or diagnostic status may obfuscate such associations. Here we test these two possibilities. Methods: In increasing levels of complexity, we estimated six regularized partial correlation networks in 2321 participants of the Netherlands Study of Depression and Anxiety study to explore the shared variance among depression modeled via sum-score, 9 DSM-5 symptoms, or 28 individual symptoms; inflammatory markers C-reactive protein (CRP), interleukin 6 (IL-6) and tumor necrosis factor α (TNF- α); excluding and including the covariates sex, age, body mass index (BMI), exercise, smoking, alcohol, and chronic diseases Results: After covariate adjustment, the depression sum-score was associated with IL-6; all markers were related to sex; and CRP and IL-6 were associated with BMI. When modeling the 9 DSM-5 symptoms and CRP as replication of Jokela et al. (2016), CRP was associated with trouble sleeping, energy level, BMI, and sex. In a final adjusted model with all 28 individual symptoms, depression and inflammation were unrelated; CRP was associated with BMI and sex; IL-6 with BMI and age; and TNF- α with chronic diseases. Conclusions: Differential relations between markers, symptoms, and covariates emerged. Links between depression and inflammation were largely to completely attenuated after covariate adjustment.","author":[{"dropping-particle":"","family":"Fried","given":"Eiko I","non-dropping-particle":"","parse-names":false,"suffix":""},{"dropping-particle":"","family":"Stockert","given":"S.","non-dropping-particle":"von","parse-names":false,"suffix":""},{"dropping-particle":"","family":"Haslbeck","given":"Jonas M B","non-dropping-particle":"","parse-names":false,"suffix":""},{"dropping-particle":"","family":"Lamers","given":"Femke","non-dropping-particle":"","parse-names":false,"suffix":""},{"dropping-particle":"","family":"Schoevers","given":"Robert A","non-dropping-particle":"","parse-names":false,"suffix":""},{"dropping-particle":"","family":"Penninx","given":"Brenda W J H","non-dropping-particle":"","parse-names":false,"suffix":""}],"container-title":"Psychological Medicine","id":"ITEM-3","issued":{"date-parts":[["2019","10"]]},"page":"1-9","title":"Using network analysis to examine links between individual depressive symptoms, inflammatory markers, and covariates","type":"article-journal"},"uris":["http://www.mendeley.com/documents/?uuid=0db42247-bb51-4321-8b3e-9f559e1c7696","http://www.mendeley.com/documents/?uuid=135d20e1-b188-45cb-be7c-dd7471d2ce52"]},{"id":"ITEM-4","itemData":{"DOI":"10.1038/s41380-018-0093-6","ISSN":"1359-4184","abstract":"There exists little human neuroscience research to explain why some individuals lose their appetite when they become depressed, while others eat more. Answering this question may reveal much about the various pathophysiologies underlying depression. The present study combined neuroimaging, salivary cortisol, and blood markers of inflammation and metabolism collected prior to scanning. We compared the relationships between peripheral endocrine, metabolic, and immune signaling and brain activity to food cues between depressed participants experiencing increased (N = 23) or decreased (N = 31) appetite and weight in their current depressive episode and healthy control participants (N = 42). The two depression subgroups were unmedicated and did not differ in depression severity, anxiety, anhedonia, or body mass index. Depressed participants experiencing decreased appetite had higher cortisol levels than subjects in the other two groups, and their cortisol values correlated inversely with the ventral striatal response to food cues. In contrast, depressed participants experiencing increased appetite exhibited marked immunometabolic dysregulation, with higher insulin, insulin resistance, leptin, CRP, IL-1RA, and IL-6, and lower ghrelin than subjects in other groups, and the magnitude of their insulin resistance correlated positively with the insula response to food cues. These findings provide novel evidence linking aberrations in homeostatic signaling pathways within depression subtypes to the activity of neural systems that respond to food cues and select when, what, and how much to eat. In conjunction with prior work, the present findings strongly support the existence of pathophysiologically distinct depression subtypes for which the direction of appetite change may be an easily measured behavioral marker.","author":[{"dropping-particle":"","family":"Simmons","given":"W. Kyle","non-dropping-particle":"","parse-names":false,"suffix":""},{"dropping-particle":"","family":"Burrows","given":"Kaiping","non-dropping-particle":"","parse-names":false,"suffix":""},{"dropping-particle":"","family":"Avery","given":"Jason A.","non-dropping-particle":"","parse-names":false,"suffix":""},{"dropping-particle":"","family":"Kerr","given":"Kara L.","non-dropping-particle":"","parse-names":false,"suffix":""},{"dropping-particle":"","family":"Taylor","given":"Ashlee","non-dropping-particle":"","parse-names":false,"suffix":""},{"dropping-particle":"","family":"Bodurka","given":"Jerzy","non-dropping-particle":"","parse-names":false,"suffix":""},{"dropping-particle":"","family":"Potter","given":"William","non-dropping-particle":"","parse-names":false,"suffix":""},{"dropping-particle":"","family":"Teague","given":"T. Kent","non-dropping-particle":"","parse-names":false,"suffix":""},{"dropping-particle":"","family":"Drevets","given":"Wayne C.","non-dropping-particle":"","parse-names":false,"suffix":""}],"container-title":"Molecular Psychiatry","id":"ITEM-4","issue":"7","issued":{"date-parts":[["2020"]]},"page":"1457-1468","publisher":"Springer US","title":"Appetite changes reveal depression subgroups with distinct endocrine, metabolic, and immune states","type":"article-journal","volume":"25"},"uris":["http://www.mendeley.com/documents/?uuid=163d021f-cd80-4203-90b7-539445db0881"]},{"id":"ITEM-5","itemData":{"ISSN":"08891591","author":[{"dropping-particle":"","family":"Moriarity","given":"Daniel P","non-dropping-particle":"","parse-names":false,"suffix":""},{"dropping-particle":"","family":"Horn","given":"Sarah R","non-dropping-particle":"","parse-names":false,"suffix":""},{"dropping-particle":"","family":"Kautz","given":"Marin M","non-dropping-particle":"","parse-names":false,"suffix":""},{"dropping-particle":"","family":"Haslbeck","given":"Jonas M.B.","non-dropping-particle":"","parse-names":false,"suffix":""},{"dropping-particle":"","family":"Alloy","given":"Lauren B","non-dropping-particle":"","parse-names":false,"suffix":""}],"container-title":"Brain, Behavior, and Immunity","id":"ITEM-5","issued":{"date-parts":[["2021","10"]]},"page":"393-403","title":"How handling extreme C-reactive protein (CRP) values and regularization influences CRP and depression criteria associations in network analyses","type":"article-journal","volume":"91"},"uris":["http://www.mendeley.com/documents/?uuid=d293e1d1-9ad6-4d80-8bef-2f5498fa6c38","http://www.mendeley.com/documents/?uuid=961c3985-abad-4951-99b6-9e5c9e893c01"]},{"id":"ITEM-6","itemData":{"DOI":"10.1017/S0033291720002342","ISSN":"0033-2917","abstract":"Background: Depression is a highly prevalent and heterogenous disorder. This study aims to determine whether depression with atypical features shows different heritability and different degree of overlap with polygenic risk for psychiatric and immuno-metabolic traits than other depression subgroups. Methods: Data included 30,069 European ancestry individuals from the UK Biobank who met criteria for lifetime major depression. Participants reporting both weight gain and hypersomnia were classified as ↑WS depression (N = 1,854) and the others as non-↑WS depression (N = 28,215). Cases with non-↑WS depression were further classified as ↓WS depression (i.e. weight loss and insomnia; N = 10,142). Polygenic risk scores (PRS) for 22 traits were generated using genome-wide summary statistics (Bonferroni corrected p=2.1x10-4). Single nucleotide polymorphism (SNP)-based heritability of depression subgroups was estimated. Results: ↑WS depression had a higher polygenic risk for BMI (OR=1.20, [1.15-1.26], p=2.37e-14) and C-reactive protein (OR=1.11, [1.06-1.17], p=8.86e-06) vs. non-↑WS depression and ↓WS depression. Leptin PRS was close to the significance threshold (p=2.99e-04), but the effect disappeared when considering GWAS summary statistics of leptin adjusted for BMI. PRS for daily alcohol use was inversely associated with ↑WS depression (OR=0.88, [0.83-0.93], p=1.04e-05) vs. non-↑WS depression. SNP-based heritability was not significantly different between ↑WS depression and ↓WS depression (14.3% and 12.2%, respectively). Conclusions: ↑WS depression shows evidence of distinct genetic predisposition to immune-metabolic traits and alcohol consumption. These genetic signals suggest that biological targets including immune-cardiometabolic pathways may be relevant to therapies in individuals with ↑WS depression. ### Competing Interest Statement Cathryn Lewis is a member of the Scientific Advisory Board of Myriad Neurosciences. Matthew Hotopf is principal investigator of RADAR-CNS (funded by European Commission, Janssen, Biogen, UCB, MSD and Lundbeck). ### Funding Statement This research was supported by the UK Medical Research Council (MR/N015746 and MR/S0151132). This paper represents independent research part-funded by the National Institute for Health Research (NIHR) Biomedical Research Centre at South London and Maudsley NHS Foundation Trust and King's College London. The views expressed are those of the author(s) and not necessarily those of the NHS, the NIHR o…","author":[{"dropping-particle":"","family":"Badini","given":"Isabella","non-dropping-particle":"","parse-names":false,"suffix":""},{"dropping-particle":"","family":"Coleman","given":"Jonathan RI","non-dropping-particle":"","parse-names":false,"suffix":""},{"dropping-particle":"","family":"Hagenaars","given":"Saskia P.","non-dropping-particle":"","parse-names":false,"suffix":""},{"dropping-particle":"","family":"Hotopf","given":"Matthew","non-dropping-particle":"","parse-names":false,"suffix":""},{"dropping-particle":"","family":"Breen","given":"Gerome","non-dropping-particle":"","parse-names":false,"suffix":""},{"dropping-particle":"","family":"Lewis","given":"Cathryn M.","non-dropping-particle":"","parse-names":false,"suffix":""},{"dropping-particle":"","family":"Fabbri","given":"Chiara","non-dropping-particle":"","parse-names":false,"suffix":""}],"container-title":"Psychological Medicine","id":"ITEM-6","issued":{"date-parts":[["2020","7"]]},"page":"1-11","title":"Depression with atypical neurovegetative symptoms shares genetic predisposition with immuno-metabolic traits and alcohol consumption","type":"article-journal"},"uris":["http://www.mendeley.com/documents/?uuid=322533f0-30ec-4772-9585-b97b952cf45e","http://www.mendeley.com/documents/?uuid=463f388a-204d-485c-ba85-ed005b100e6d"]},{"id":"ITEM-7","itemData":{"DOI":"10.1016/j.bbi.2017.02.020","ISSN":"10902139","abstract":"Introduction Population-based studies have associated inflammation, particularly higher C-reactive protein (CRP), with depressive severity, but clinical trials in major depressive disorder were rather non-specific without examining the role of gender. We aimed to investigate the association between CRP and overall depression severity including specific depressive symptoms and to examine potential gender differences. Methods We included 231 individuals with major depressive disorder from the Genome-Based Therapeutics Drugs for Depression (GENDEP) study. At baseline, we assessed high-sensitivity CRP levels and psychopathology with the Montgomery Aasberg Depression Rating Scale (MADRS). We performed linear regression analyses to investigate the association between baseline CRP levels with overall MADRS severity and specific symptoms at baseline and adjusted for age, gender, anti-inflammatory and psychotropic drug treatment, body mass index, smoking, inflammatory diseases, and recruitment center. Results Higher CRP levels were significantly associated with greater overall MADRS symptom severity (p = 0.02), which was significant among women (p = 0.02) but not among men (p = 0.68). Among women, higher CRP was associated with increased severity on observed mood, cognitive symptoms, interest-activity, and suicidality, but we found no significant associations among men. Interaction analyses showed no significant gender differences on the overall MADRS score or specific symptoms. Discussion Our results support the sickness syndrome theory suggesting that chronic low-grade inflammation may be associated with a subtype of depression. The potential gender differences in psychopathology may be explained by biological and/or psychosocial factors, e.g. differential modulation of immune responses by sex hormones. Clinical studies should investigate symptom-specific and/or gender-specific treatment guided by peripheral inflammatory markers.","author":[{"dropping-particle":"","family":"Köhler-Forsberg","given":"Ole","non-dropping-particle":"","parse-names":false,"suffix":""},{"dropping-particle":"","family":"Buttenschøn","given":"Henriette N.","non-dropping-particle":"","parse-names":false,"suffix":""},{"dropping-particle":"","family":"Tansey","given":"Katherine E.","non-dropping-particle":"","parse-names":false,"suffix":""},{"dropping-particle":"","family":"Maier","given":"Wolfgang","non-dropping-particle":"","parse-names":false,"suffix":""},{"dropping-particle":"","family":"Hauser","given":"Joanna","non-dropping-particle":"","parse-names":false,"suffix":""},{"dropping-particle":"","family":"Dernovsek","given":"Mojca Zvezdana","non-dropping-particle":"","parse-names":false,"suffix":""},{"dropping-particle":"","family":"Henigsberg","given":"Neven","non-dropping-particle":"","parse-names":false,"suffix":""},{"dropping-particle":"","family":"Souery","given":"Daniel","non-dropping-particle":"","parse-names":false,"suffix":""},{"dropping-particle":"","family":"Farmer","given":"Anne","non-dropping-particle":"","parse-names":false,"suffix":""},{"dropping-particle":"","family":"Rietschel","given":"Marcella","non-dropping-particle":"","parse-names":false,"suffix":""},{"dropping-particle":"","family":"McGuffin","given":"Peter","non-dropping-particle":"","parse-names":false,"suffix":""},{"dropping-particle":"","family":"Aitchison","given":"Katherine J.","non-dropping-particle":"","parse-names":false,"suffix":""},{"dropping-particle":"","family":"Uher","given":"Rudolf","non-dropping-particle":"","parse-names":false,"suffix":""},{"dropping-particle":"","family":"Mors","given":"Ole","non-dropping-particle":"","parse-names":false,"suffix":""}],"container-title":"Brain, Behavior, and Immunity","id":"ITEM-7","issued":{"date-parts":[["2017"]]},"page":"344-350","title":"Association between C-reactive protein (CRP) with depression symptom severity and specific depressive symptoms in major depression","type":"article-journal","volume":"62"},"uris":["http://www.mendeley.com/documents/?uuid=3ca90e3d-0190-403b-9d34-e7fb9b4684a8"]}],"mendeley":{"formattedCitation":"[10–16]","plainTextFormattedCitation":"[10–16]","previouslyFormattedCitation":"[10–16]"},"properties":{"noteIndex":0},"schema":"https://github.com/citation-style-language/schema/raw/master/csl-citation.json"}</w:instrText>
      </w:r>
      <w:r w:rsidR="002A78FD"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[10–16]</w:t>
      </w:r>
      <w:r w:rsidR="002A78FD" w:rsidRPr="00571EA4">
        <w:rPr>
          <w:rFonts w:eastAsia="Times New Roman" w:cs="Times New Roman"/>
          <w:szCs w:val="24"/>
          <w:highlight w:val="white"/>
        </w:rPr>
        <w:fldChar w:fldCharType="end"/>
      </w:r>
      <w:r w:rsidR="00AF5060" w:rsidRPr="00571EA4">
        <w:rPr>
          <w:rFonts w:eastAsia="Times New Roman" w:cs="Times New Roman"/>
          <w:szCs w:val="24"/>
          <w:highlight w:val="white"/>
        </w:rPr>
        <w:t>.</w:t>
      </w:r>
      <w:r w:rsidR="002A78FD" w:rsidRPr="00571EA4">
        <w:rPr>
          <w:rFonts w:eastAsia="Times New Roman" w:cs="Times New Roman"/>
          <w:szCs w:val="24"/>
          <w:lang w:val="en-GB"/>
        </w:rPr>
        <w:t xml:space="preserve"> However, assessments in previous research often conflated divergent </w:t>
      </w:r>
      <w:r w:rsidR="002A78FD" w:rsidRPr="00571EA4">
        <w:rPr>
          <w:rFonts w:eastAsia="Times New Roman" w:cs="Times New Roman"/>
          <w:szCs w:val="24"/>
          <w:highlight w:val="white"/>
          <w:lang w:val="en-GB"/>
        </w:rPr>
        <w:t xml:space="preserve">alterations in </w:t>
      </w:r>
      <w:proofErr w:type="spellStart"/>
      <w:r w:rsidR="002A78FD" w:rsidRPr="00571EA4">
        <w:rPr>
          <w:rFonts w:eastAsia="Times New Roman" w:cs="Times New Roman"/>
          <w:szCs w:val="24"/>
          <w:highlight w:val="white"/>
          <w:lang w:val="en-GB"/>
        </w:rPr>
        <w:t>neurovegetative</w:t>
      </w:r>
      <w:proofErr w:type="spellEnd"/>
      <w:r w:rsidR="002A78FD" w:rsidRPr="00571EA4">
        <w:rPr>
          <w:rFonts w:eastAsia="Times New Roman" w:cs="Times New Roman"/>
          <w:szCs w:val="24"/>
          <w:highlight w:val="white"/>
          <w:lang w:val="en-GB"/>
        </w:rPr>
        <w:t xml:space="preserve"> symptoms (e.g. increased vs decreased appetite).</w:t>
      </w:r>
      <w:r w:rsidR="002A78FD" w:rsidRPr="00571EA4">
        <w:rPr>
          <w:rFonts w:eastAsia="Times New Roman" w:cs="Times New Roman"/>
          <w:szCs w:val="24"/>
          <w:lang w:val="en-GB"/>
        </w:rPr>
        <w:t xml:space="preserve"> Emerging evidence suggests that inflammatory and metabolic alterations map more consistently onto “atypical</w:t>
      </w:r>
      <w:r w:rsidR="005E43E2" w:rsidRPr="00571EA4">
        <w:rPr>
          <w:rFonts w:eastAsia="Times New Roman" w:cs="Times New Roman"/>
          <w:szCs w:val="24"/>
          <w:lang w:val="en-GB"/>
        </w:rPr>
        <w:t>”</w:t>
      </w:r>
      <w:r w:rsidR="002A78FD" w:rsidRPr="00571EA4">
        <w:rPr>
          <w:rFonts w:eastAsia="Times New Roman" w:cs="Times New Roman"/>
          <w:szCs w:val="24"/>
          <w:lang w:val="en-GB"/>
        </w:rPr>
        <w:t xml:space="preserve"> energy-related symptoms, </w:t>
      </w:r>
      <w:r w:rsidR="005E43E2" w:rsidRPr="00571EA4">
        <w:rPr>
          <w:rFonts w:eastAsia="Times New Roman" w:cs="Times New Roman"/>
          <w:szCs w:val="24"/>
          <w:lang w:val="en-GB"/>
        </w:rPr>
        <w:t xml:space="preserve">particularly </w:t>
      </w:r>
      <w:r w:rsidR="002A78FD" w:rsidRPr="00571EA4">
        <w:rPr>
          <w:rFonts w:eastAsia="Times New Roman" w:cs="Times New Roman"/>
          <w:szCs w:val="24"/>
          <w:lang w:val="en-GB"/>
        </w:rPr>
        <w:t xml:space="preserve">increased </w:t>
      </w:r>
      <w:r w:rsidR="00255E15" w:rsidRPr="00571EA4">
        <w:rPr>
          <w:rFonts w:eastAsia="Times New Roman" w:cs="Times New Roman"/>
          <w:szCs w:val="24"/>
          <w:lang w:val="en-GB"/>
        </w:rPr>
        <w:t xml:space="preserve">sleep, </w:t>
      </w:r>
      <w:r w:rsidR="002A78FD" w:rsidRPr="00571EA4">
        <w:rPr>
          <w:rFonts w:eastAsia="Times New Roman" w:cs="Times New Roman"/>
          <w:szCs w:val="24"/>
          <w:lang w:val="en-GB"/>
        </w:rPr>
        <w:t>appetite</w:t>
      </w:r>
      <w:r w:rsidR="00255E15" w:rsidRPr="00571EA4">
        <w:rPr>
          <w:rFonts w:eastAsia="Times New Roman" w:cs="Times New Roman"/>
          <w:szCs w:val="24"/>
          <w:lang w:val="en-GB"/>
        </w:rPr>
        <w:t>/</w:t>
      </w:r>
      <w:r w:rsidR="002A78FD" w:rsidRPr="00571EA4">
        <w:rPr>
          <w:rFonts w:eastAsia="Times New Roman" w:cs="Times New Roman"/>
          <w:szCs w:val="24"/>
          <w:lang w:val="en-GB"/>
        </w:rPr>
        <w:t>weight, fatigue and leaden paralysis</w:t>
      </w:r>
      <w:r w:rsidR="00AF5060" w:rsidRPr="00571EA4">
        <w:rPr>
          <w:rFonts w:eastAsia="Times New Roman" w:cs="Times New Roman"/>
          <w:szCs w:val="24"/>
          <w:lang w:val="en-GB"/>
        </w:rPr>
        <w:t xml:space="preserve"> </w:t>
      </w:r>
      <w:r w:rsidR="002A78FD" w:rsidRPr="00571EA4">
        <w:rPr>
          <w:rFonts w:eastAsia="Times New Roman" w:cs="Times New Roman"/>
          <w:szCs w:val="24"/>
        </w:rPr>
        <w:fldChar w:fldCharType="begin" w:fldLock="1"/>
      </w:r>
      <w:r w:rsidR="002F5C4F">
        <w:rPr>
          <w:rFonts w:eastAsia="Times New Roman" w:cs="Times New Roman"/>
          <w:szCs w:val="24"/>
          <w:lang w:val="en-GB"/>
        </w:rPr>
        <w:instrText>ADDIN CSL_CITATION {"citationItems":[{"id":"ITEM-1","itemData":{"DOI":"10.1038/mp.2015.86","ISSN":"1359-4184","author":[{"dropping-particle":"","family":"Milaneschi","given":"Y","non-dropping-particle":"","parse-names":false,"suffix":""},{"dropping-particle":"","family":"Lamers","given":"F","non-dropping-particle":"","parse-names":false,"suffix":""},{"dropping-particle":"","family":"Peyrot","given":"W J","non-dropping-particle":"","parse-names":false,"suffix":""},{"dropping-particle":"","family":"Abdellaoui","given":"A","non-dropping-particle":"","parse-names":false,"suffix":""},{"dropping-particle":"","family":"Willemsen","given":"G","non-dropping-particle":"","parse-names":false,"suffix":""},{"dropping-particle":"","family":"Hottenga","given":"J-J","non-dropping-particle":"","parse-names":false,"suffix":""},{"dropping-particle":"","family":"Jansen","given":"R","non-dropping-particle":"","parse-names":false,"suffix":""},{"dropping-particle":"","family":"Mbarek","given":"H","non-dropping-particle":"","parse-names":false,"suffix":""},{"dropping-particle":"","family":"Dehghan","given":"A","non-dropping-particle":"","parse-names":false,"suffix":""},{"dropping-particle":"","family":"Lu","given":"C","non-dropping-particle":"","parse-names":false,"suffix":""},{"dropping-particle":"","family":"Boomsma","given":"D I","non-dropping-particle":"","parse-names":false,"suffix":""},{"dropping-particle":"","family":"Penninx","given":"B W J H","non-dropping-particle":"","parse-names":false,"suffix":""}],"container-title":"Molecular Psychiatry","id":"ITEM-1","issue":"4","issued":{"date-parts":[["2016","4","30"]]},"page":"516-522","title":"Polygenic dissection of major depression clinical heterogeneity","type":"article-journal","volume":"21"},"uris":["http://www.mendeley.com/documents/?uuid=1c33577b-1cf6-3a63-82a0-7a1cbd4186c6"]},{"id":"ITEM-2","itemData":{"author":[{"dropping-particle":"","family":"Milaneschi","given":"Yuri","non-dropping-particle":"","parse-names":false,"suffix":""},{"dropping-particle":"","family":"Lamers","given":"Femke","non-dropping-particle":"","parse-names":false,"suffix":""},{"dropping-particle":"","family":"Peyrot","given":"Wouter J","non-dropping-particle":"","parse-names":false,"suffix":""},{"dropping-particle":"","family":"Baune","given":"Berhnard T","non-dropping-particle":"","parse-names":false,"suffix":""},{"dropping-particle":"","family":"Breen","given":"Gerome","non-dropping-particle":"","parse-names":false,"suffix":""},{"dropping-particle":"","family":"Dehghan","given":"Abbas","non-dropping-particle":"","parse-names":false,"suffix":""},{"dropping-particle":"","family":"Forstner","given":"Andreas J","non-dropping-particle":"","parse-names":false,"suffix":""},{"dropping-particle":"","family":"Grabe","given":"Hans J","non-dropping-particle":"","parse-names":false,"suffix":""},{"dropping-particle":"","family":"Homuth","given":"Georg","non-dropping-particle":"","parse-names":false,"suffix":""},{"dropping-particle":"","family":"Kan","given":"Carol","non-dropping-particle":"","parse-names":false,"suffix":""},{"dropping-particle":"","family":"Lewis","given":"Cathryn","non-dropping-particle":"","parse-names":false,"suffix":""},{"dropping-particle":"","family":"Mullins","given":"Niamh","non-dropping-particle":"","parse-names":false,"suffix":""},{"dropping-particle":"","family":"Nauck","given":"Matthias","non-dropping-particle":"","parse-names":false,"suffix":""},{"dropping-particle":"","family":"Pistis","given":"Giorgio","non-dropping-particle":"","parse-names":false,"suffix":""},{"dropping-particle":"","family":"Preisig","given":"Martin","non-dropping-particle":"","parse-names":false,"suffix":""},{"dropping-particle":"","family":"Rivera","given":"Margarita","non-dropping-particle":"","parse-names":false,"suffix":""},{"dropping-particle":"","family":"Rietschel","given":"Marcella","non-dropping-particle":"","parse-names":false,"suffix":""},{"dropping-particle":"","family":"Streit","given":"Fabian","non-dropping-particle":"","parse-names":false,"suffix":""},{"dropping-particle":"","family":"Strohmaier","given":"Jana","non-dropping-particle":"","parse-names":false,"suffix":""},{"dropping-particle":"","family":"Teumer","given":"Alexander","non-dropping-particle":"","parse-names":false,"suffix":""},{"dropping-particle":"","family":"Auwera","given":"Sandra","non-dropping-particle":"Van der","parse-names":false,"suffix":""},{"dropping-particle":"","family":"Wray","given":"Naomi R","non-dropping-particle":"","parse-names":false,"suffix":""},{"dropping-particle":"","family":"CHARGE Inflammation Working Group","given":"","non-dropping-particle":"","parse-names":false,"suffix":""},{"dropping-particle":"","family":"Major Depressive Disorder Working Group of the Psychiatric Genomics","given":"","non-dropping-particle":"","parse-names":false,"suffix":""},{"dropping-particle":"","family":"Consortium","given":"","non-dropping-particle":"","parse-names":false,"suffix":""},{"dropping-particle":"","family":"Boomsma","given":"Dorret I","non-dropping-particle":"","parse-names":false,"suffix":""},{"dropping-particle":"","family":"Penninx","given":"Brenda WJH","non-dropping-particle":"","parse-names":false,"suffix":""}],"container-title":"JAMA psychiatry","id":"ITEM-2","issued":{"date-parts":[["2017"]]},"page":"1214-1225","title":"Genetic Association of Major Depression With Atypical Features and Obesity-Related Immunometabolic Dysregulations","type":"article-journal","volume":"74"},"uris":["http://www.mendeley.com/documents/?uuid=5be208ed-2434-4d93-adea-8c0c2e6876e8"]},{"id":"ITEM-3","itemData":{"DOI":"10.1016/j.bbi.2020.04.002","ISSN":"1090-2139 (Electronic)","PMID":"32272220","abstract":"BACKGROUND: Major depressive disorder (MDD) is linked to higher cardio-metabolic  comorbidity that may in part be due to the low-grade inflammation and poorer metabolic health observed in MDD. Heterogeneity of MDD is however large, and immune-inflammatory and metabolic dysregulation is present in only part of the MDD cases. We examined the associations of four depression dimensional profilers (atypical energy-related symptom dimension, melancholic symptom dimension, childhood trauma severity, and anxious distress symptom dimension) with immuno-metabolic outcomes, both cross-sectionally and longitudinally. METHODS: Three waves covering a 6-year follow-up (&gt;7000 observations) of the Netherlands Study of Depression and Anxiety (NESDA) were used. Depression profilers were based on the Inventory of Depressive Symptomatology, the Beck Anxiety Inventory, and the Childhood Trauma index. An inflammatory index (based on IL-6 and CRP), a metabolic syndrome index (based on the five metabolic syndrome components), and a combination of these two indices were constructed. Mixed models were used for cross-sectional and longitudinal models, controlling for covariates. RESULTS: Of the four depression profilers, only the atypical, energy-related symptom dimension showed robust associations with higher scores on the inflammatory, metabolic syndrome and combined inflammatory-metabolic indexes cross-sectionally, as well as at follow-up. The melancholic symptom dimension was associated with lower scores on the metabolic syndrome index both cross-sectionally and longitudinally. CONCLUSION: The atypical energy-related symptom dimension was linked to poorer immune-inflammatory and metabolic health, while the melancholic symptom dimension was linked to relatively better metabolic health. Persons with high atypical energy-related symptom burden, representing an immuno-metabolic depression, may be the most important group to target in prevention programs for cardiometabolic disease, and may benefit most from treatments targeting immuno-metabolic pathways.","author":[{"dropping-particle":"","family":"Lamers","given":"Femke","non-dropping-particle":"","parse-names":false,"suffix":""},{"dropping-particle":"","family":"Milaneschi","given":"Yuri","non-dropping-particle":"","parse-names":false,"suffix":""},{"dropping-particle":"","family":"Vinkers","given":"Christiaan H","non-dropping-particle":"","parse-names":false,"suffix":""},{"dropping-particle":"","family":"Schoevers","given":"Robert A","non-dropping-particle":"","parse-names":false,"suffix":""},{"dropping-particle":"","family":"Giltay","given":"Erik J","non-dropping-particle":"","parse-names":false,"suffix":""},{"dropping-particle":"","family":"Penninx","given":"Brenda W J H","non-dropping-particle":"","parse-names":false,"suffix":""}],"container-title":"Brain, behavior, and immunity","id":"ITEM-3","issued":{"date-parts":[["2020","8"]]},"language":"eng","page":"174-183","publisher-place":"Netherlands","title":"Depression profilers and immuno-metabolic dysregulation: Longitudinal results from  the NESDA study.","type":"article-journal","volume":"88"},"uris":["http://www.mendeley.com/documents/?uuid=254070b5-8d65-47af-b2c4-1eb99cba0d7f"]}],"mendeley":{"formattedCitation":"[17–19]","plainTextFormattedCitation":"[17–19]","previouslyFormattedCitation":"[17–19]"},"properties":{"noteIndex":0},"schema":"https://github.com/citation-style-language/schema/raw/master/csl-citation.json"}</w:instrText>
      </w:r>
      <w:r w:rsidR="002A78FD" w:rsidRPr="00571EA4">
        <w:rPr>
          <w:rFonts w:eastAsia="Times New Roman" w:cs="Times New Roman"/>
          <w:szCs w:val="24"/>
        </w:rPr>
        <w:fldChar w:fldCharType="separate"/>
      </w:r>
      <w:r w:rsidR="00AF5060" w:rsidRPr="00571EA4">
        <w:rPr>
          <w:rFonts w:eastAsia="Times New Roman" w:cs="Times New Roman"/>
          <w:noProof/>
          <w:szCs w:val="24"/>
          <w:lang w:val="en-GB"/>
        </w:rPr>
        <w:t>[17–19]</w:t>
      </w:r>
      <w:r w:rsidR="002A78FD" w:rsidRPr="00571EA4">
        <w:rPr>
          <w:rFonts w:eastAsia="Times New Roman" w:cs="Times New Roman"/>
          <w:szCs w:val="24"/>
        </w:rPr>
        <w:fldChar w:fldCharType="end"/>
      </w:r>
      <w:r w:rsidR="00AF5060" w:rsidRPr="00571EA4">
        <w:rPr>
          <w:rFonts w:eastAsia="Times New Roman" w:cs="Times New Roman"/>
          <w:szCs w:val="24"/>
        </w:rPr>
        <w:t>.</w:t>
      </w:r>
      <w:r w:rsidR="002A78FD" w:rsidRPr="00571EA4">
        <w:rPr>
          <w:rFonts w:eastAsia="Times New Roman" w:cs="Times New Roman"/>
          <w:szCs w:val="24"/>
        </w:rPr>
        <w:t xml:space="preserve"> </w:t>
      </w:r>
      <w:r w:rsidR="001F2DBF" w:rsidRPr="00571EA4">
        <w:rPr>
          <w:lang w:val="en-GB"/>
        </w:rPr>
        <w:t xml:space="preserve">Inflammation is unlikely to be relevant for all cases of depression. A symptom-based approach may provide insights into mechanisms of inflammation-related depression and </w:t>
      </w:r>
      <w:r w:rsidR="007F124D" w:rsidRPr="00571EA4">
        <w:rPr>
          <w:lang w:val="en-GB"/>
        </w:rPr>
        <w:t xml:space="preserve">could </w:t>
      </w:r>
      <w:r w:rsidR="001F2DBF" w:rsidRPr="00571EA4">
        <w:rPr>
          <w:lang w:val="en-GB"/>
        </w:rPr>
        <w:t xml:space="preserve">help inform patient selection in immunotherapy trials.   </w:t>
      </w:r>
    </w:p>
    <w:p w14:paraId="27E307BF" w14:textId="7B687719" w:rsidR="00A961F7" w:rsidRPr="00571EA4" w:rsidRDefault="00EE2EE7">
      <w:pPr>
        <w:rPr>
          <w:rFonts w:eastAsia="Times New Roman" w:cs="Times New Roman"/>
          <w:szCs w:val="24"/>
          <w:lang w:val="en-GB"/>
        </w:rPr>
      </w:pPr>
      <w:r w:rsidRPr="00571EA4">
        <w:rPr>
          <w:rFonts w:eastAsia="Times New Roman" w:cs="Times New Roman"/>
          <w:szCs w:val="24"/>
          <w:lang w:val="en-GB"/>
        </w:rPr>
        <w:t xml:space="preserve">In addition to symptom-specificity, another key issue is causality of association. </w:t>
      </w:r>
      <w:r w:rsidR="000C781A" w:rsidRPr="00571EA4">
        <w:rPr>
          <w:rFonts w:eastAsia="Times New Roman" w:cs="Times New Roman"/>
          <w:szCs w:val="24"/>
          <w:lang w:val="en-GB"/>
        </w:rPr>
        <w:t xml:space="preserve">Mendelian Randomization (MR) is an approach to evaluate potential causality, which </w:t>
      </w:r>
      <w:r w:rsidR="00E419D3" w:rsidRPr="00571EA4">
        <w:rPr>
          <w:rFonts w:eastAsia="Times New Roman" w:cs="Times New Roman"/>
          <w:szCs w:val="24"/>
          <w:lang w:val="en-GB"/>
        </w:rPr>
        <w:t xml:space="preserve">uses genetic variants </w:t>
      </w:r>
      <w:r w:rsidR="008B7FCF" w:rsidRPr="00571EA4">
        <w:rPr>
          <w:rFonts w:eastAsia="Times New Roman" w:cs="Times New Roman"/>
          <w:szCs w:val="24"/>
          <w:lang w:val="en-GB"/>
        </w:rPr>
        <w:t xml:space="preserve">as proxy instruments </w:t>
      </w:r>
      <w:r w:rsidR="00E419D3" w:rsidRPr="00571EA4">
        <w:rPr>
          <w:rFonts w:eastAsia="Times New Roman" w:cs="Times New Roman"/>
          <w:szCs w:val="24"/>
          <w:lang w:val="en-GB"/>
        </w:rPr>
        <w:t xml:space="preserve">(unrelated to confounding variables </w:t>
      </w:r>
      <w:r w:rsidR="00EF6950" w:rsidRPr="00571EA4">
        <w:rPr>
          <w:rFonts w:eastAsia="Times New Roman" w:cs="Times New Roman"/>
          <w:szCs w:val="24"/>
          <w:lang w:val="en-GB"/>
        </w:rPr>
        <w:t xml:space="preserve">based on Mendel’s </w:t>
      </w:r>
      <w:r w:rsidR="00EF6950" w:rsidRPr="00571EA4">
        <w:rPr>
          <w:rFonts w:eastAsia="Times New Roman" w:cs="Times New Roman"/>
          <w:szCs w:val="24"/>
          <w:lang w:val="en-GB"/>
        </w:rPr>
        <w:lastRenderedPageBreak/>
        <w:t xml:space="preserve">law of </w:t>
      </w:r>
      <w:r w:rsidR="008B7FCF" w:rsidRPr="00571EA4">
        <w:rPr>
          <w:rFonts w:eastAsia="Times New Roman" w:cs="Times New Roman"/>
          <w:szCs w:val="24"/>
          <w:lang w:val="en-GB"/>
        </w:rPr>
        <w:t>random allele segregation</w:t>
      </w:r>
      <w:r w:rsidR="00EF6950" w:rsidRPr="00571EA4">
        <w:rPr>
          <w:rFonts w:eastAsia="Times New Roman" w:cs="Times New Roman"/>
          <w:szCs w:val="24"/>
          <w:lang w:val="en-GB"/>
        </w:rPr>
        <w:t xml:space="preserve">) </w:t>
      </w:r>
      <w:r w:rsidR="00E419D3" w:rsidRPr="00571EA4">
        <w:rPr>
          <w:rFonts w:eastAsia="Times New Roman" w:cs="Times New Roman"/>
          <w:szCs w:val="24"/>
          <w:lang w:val="en-GB"/>
        </w:rPr>
        <w:t xml:space="preserve">to </w:t>
      </w:r>
      <w:r w:rsidR="008B7FCF" w:rsidRPr="00571EA4">
        <w:rPr>
          <w:rFonts w:eastAsia="Times New Roman" w:cs="Times New Roman"/>
          <w:szCs w:val="24"/>
          <w:lang w:val="en-GB"/>
        </w:rPr>
        <w:t>test exposure-outcome associations.</w:t>
      </w:r>
      <w:r w:rsidR="008B7FCF" w:rsidRPr="00571EA4">
        <w:rPr>
          <w:rFonts w:eastAsia="Times New Roman" w:cs="Times New Roman"/>
          <w:szCs w:val="24"/>
          <w:lang w:val="en-GB"/>
        </w:rPr>
        <w:fldChar w:fldCharType="begin" w:fldLock="1"/>
      </w:r>
      <w:r w:rsidR="00D613B9" w:rsidRPr="00571EA4">
        <w:rPr>
          <w:rFonts w:eastAsia="Times New Roman" w:cs="Times New Roman"/>
          <w:szCs w:val="24"/>
          <w:lang w:val="en-GB"/>
        </w:rPr>
        <w:instrText>ADDIN CSL_CITATION {"citationItems":[{"id":"ITEM-1","itemData":{"DOI":"10.1002/sim.3034","ISSN":"02776715","abstract":"Although sample size calculations have become an important element in the design of research projects, such methods for studies involving current status data are scarce. Here, we propose a method for calculating power and sample size for studies using current status data. This method is based on a Weibull survival model for a two-group comparison. The Weibull model allows the investigator to specify a group difference in terms of a hazards ratio or a failure time ratio. We consider exponential, Weibull and uniformly distributed censoring distributions. We base our power calculations on a parametric approach with the Wald test because it is easy for medical investigators to conceptualize and specify the required input variables. As expected, studies with current status data have substantially less power than studies with the usual right-censored failure time data. Our simulation results demonstrate the merits of these proposed power calculations.","author":[{"dropping-particle":"","family":"Lawlor","given":"Debbie A.","non-dropping-particle":"","parse-names":false,"suffix":""},{"dropping-particle":"","family":"Harbord","given":"Roger M.","non-dropping-particle":"","parse-names":false,"suffix":""},{"dropping-particle":"","family":"Sterne","given":"Jonathan A. C.","non-dropping-particle":"","parse-names":false,"suffix":""},{"dropping-particle":"","family":"Timpson","given":"Nic","non-dropping-particle":"","parse-names":false,"suffix":""},{"dropping-particle":"","family":"Davey Smith","given":"George","non-dropping-particle":"","parse-names":false,"suffix":""}],"container-title":"Statistics in Medicine","id":"ITEM-1","issue":"8","issued":{"date-parts":[["2008","4"]]},"page":"1133-1163","title":"Mendelian randomization: Using genes as instruments for making causal inferences in epidemiology","type":"article-journal","volume":"27"},"uris":["http://www.mendeley.com/documents/?uuid=dbc8f426-59f8-434a-9254-eff8b155838c","http://www.mendeley.com/documents/?uuid=03f2653e-5477-4606-99cb-9a78eec30975"]}],"mendeley":{"formattedCitation":"[20]","plainTextFormattedCitation":"[20]","previouslyFormattedCitation":"[20]"},"properties":{"noteIndex":0},"schema":"https://github.com/citation-style-language/schema/raw/master/csl-citation.json"}</w:instrText>
      </w:r>
      <w:r w:rsidR="008B7FCF" w:rsidRPr="00571EA4">
        <w:rPr>
          <w:rFonts w:eastAsia="Times New Roman" w:cs="Times New Roman"/>
          <w:szCs w:val="24"/>
          <w:lang w:val="en-GB"/>
        </w:rPr>
        <w:fldChar w:fldCharType="separate"/>
      </w:r>
      <w:r w:rsidR="00AF5060" w:rsidRPr="00571EA4">
        <w:rPr>
          <w:rFonts w:eastAsia="Times New Roman" w:cs="Times New Roman"/>
          <w:noProof/>
          <w:szCs w:val="24"/>
          <w:lang w:val="en-GB"/>
        </w:rPr>
        <w:t>[20]</w:t>
      </w:r>
      <w:r w:rsidR="008B7FCF" w:rsidRPr="00571EA4">
        <w:rPr>
          <w:rFonts w:eastAsia="Times New Roman" w:cs="Times New Roman"/>
          <w:szCs w:val="24"/>
          <w:lang w:val="en-GB"/>
        </w:rPr>
        <w:fldChar w:fldCharType="end"/>
      </w:r>
      <w:r w:rsidR="008B7FCF" w:rsidRPr="00571EA4">
        <w:rPr>
          <w:rFonts w:eastAsia="Times New Roman" w:cs="Times New Roman"/>
          <w:szCs w:val="24"/>
          <w:lang w:val="en-GB"/>
        </w:rPr>
        <w:t xml:space="preserve"> </w:t>
      </w:r>
      <w:r w:rsidR="000256C2" w:rsidRPr="00571EA4">
        <w:rPr>
          <w:rFonts w:eastAsia="Times New Roman" w:cs="Times New Roman"/>
          <w:szCs w:val="24"/>
          <w:lang w:val="en-GB"/>
        </w:rPr>
        <w:t>A r</w:t>
      </w:r>
      <w:r w:rsidR="00A24B87" w:rsidRPr="00571EA4">
        <w:rPr>
          <w:rFonts w:eastAsia="Times New Roman" w:cs="Times New Roman"/>
          <w:szCs w:val="24"/>
          <w:lang w:val="en-GB"/>
        </w:rPr>
        <w:t xml:space="preserve">ecent </w:t>
      </w:r>
      <w:r w:rsidR="00171991" w:rsidRPr="00571EA4">
        <w:rPr>
          <w:rFonts w:eastAsia="Times New Roman" w:cs="Times New Roman"/>
          <w:szCs w:val="24"/>
          <w:lang w:val="en-GB"/>
        </w:rPr>
        <w:t>MR</w:t>
      </w:r>
      <w:r w:rsidR="00A24B87" w:rsidRPr="00571EA4">
        <w:rPr>
          <w:rFonts w:eastAsia="Times New Roman" w:cs="Times New Roman"/>
          <w:szCs w:val="24"/>
          <w:lang w:val="en-GB"/>
        </w:rPr>
        <w:t xml:space="preserve"> </w:t>
      </w:r>
      <w:r w:rsidR="000256C2" w:rsidRPr="00571EA4">
        <w:rPr>
          <w:rFonts w:eastAsia="Times New Roman" w:cs="Times New Roman"/>
          <w:szCs w:val="24"/>
          <w:lang w:val="en-GB"/>
        </w:rPr>
        <w:t xml:space="preserve">study of depressive symptoms </w:t>
      </w:r>
      <w:r w:rsidR="00A24B87" w:rsidRPr="00571EA4">
        <w:rPr>
          <w:rFonts w:eastAsia="Times New Roman" w:cs="Times New Roman"/>
          <w:szCs w:val="24"/>
          <w:lang w:val="en-GB"/>
        </w:rPr>
        <w:t xml:space="preserve">indicated that IL-6 signalling </w:t>
      </w:r>
      <w:r w:rsidR="000256C2" w:rsidRPr="00571EA4">
        <w:rPr>
          <w:rFonts w:eastAsia="Times New Roman" w:cs="Times New Roman"/>
          <w:szCs w:val="24"/>
          <w:lang w:val="en-GB"/>
        </w:rPr>
        <w:t xml:space="preserve">could be </w:t>
      </w:r>
      <w:r w:rsidR="00A24B87" w:rsidRPr="00571EA4">
        <w:rPr>
          <w:rFonts w:eastAsia="Times New Roman" w:cs="Times New Roman"/>
          <w:szCs w:val="24"/>
          <w:lang w:val="en-GB"/>
        </w:rPr>
        <w:t xml:space="preserve">causally </w:t>
      </w:r>
      <w:r w:rsidR="000256C2" w:rsidRPr="00571EA4">
        <w:rPr>
          <w:rFonts w:eastAsia="Times New Roman" w:cs="Times New Roman"/>
          <w:szCs w:val="24"/>
          <w:lang w:val="en-GB"/>
        </w:rPr>
        <w:t xml:space="preserve">linked with </w:t>
      </w:r>
      <w:r w:rsidR="00A24B87" w:rsidRPr="00571EA4">
        <w:rPr>
          <w:rFonts w:eastAsia="Times New Roman" w:cs="Times New Roman"/>
          <w:szCs w:val="24"/>
          <w:lang w:val="en-GB"/>
        </w:rPr>
        <w:t>suicidality</w:t>
      </w:r>
      <w:r w:rsidR="00016837" w:rsidRPr="00571EA4">
        <w:rPr>
          <w:rFonts w:eastAsia="Times New Roman" w:cs="Times New Roman"/>
          <w:szCs w:val="24"/>
          <w:lang w:val="en-GB"/>
        </w:rPr>
        <w:t xml:space="preserve"> </w:t>
      </w:r>
      <w:r w:rsidR="00B2386E" w:rsidRPr="00571EA4">
        <w:rPr>
          <w:rFonts w:eastAsia="Times New Roman" w:cs="Times New Roman"/>
          <w:szCs w:val="24"/>
        </w:rPr>
        <w:fldChar w:fldCharType="begin" w:fldLock="1"/>
      </w:r>
      <w:r w:rsidR="00D613B9" w:rsidRPr="00571EA4">
        <w:rPr>
          <w:rFonts w:eastAsia="Times New Roman" w:cs="Times New Roman"/>
          <w:szCs w:val="24"/>
          <w:lang w:val="en-GB"/>
        </w:rPr>
        <w:instrText>ADDIN CSL_CITATION {"citationItems":[{"id":"ITEM-1","itemData":{"DOI":"10.1001/jamapsychiatry.2020.3436","ISSN":"2168-622X","abstract":"IMPORTANCE Observational studies highlight associations of C-reactive protein (CRP), a general marker of inflammation, and interleukin 6 (IL-6), a cytokine-stimulating CRP production, with individual depressive symptoms. However, it is unclear whether inflammatory activity is associated with individual depressive symptoms and to what extent metabolic dysregulation underlies the reported associations. OBJECTIVE To explore the genetic overlap and associations between inflammatory activity, metabolic dysregulation, and individual depressive symptoms. GWAS DATA SOURCES Genome-wide association study (GWAS) summary data of European individuals, including the following: CRP levels (204402 individuals); 9 individual depressive symptoms (3 of which did not differentiate between underlying diametrically opposite symptoms [eg, insomnia and hypersomnia]) as measured with the Patient Health Questionnaire 9 (up to 117 907 individuals); summary statistics for major depression, including and excluding UK Biobank participants, resulting in sample sizes of 500 199 and up to 230 214 individuals, respectively; insomnia (up to 386 533 individuals); body mass index (BMI) (up to 322 154 individuals); and height (up to 253 280 individuals). DESIGN In this genetic correlation and 2-sample mendelian randomization (MR) study, linkage disequilibrium score (LDSC) regression was applied to infer single-nucleotide variant–based heritability and genetic correlation estimates. Two-sample MR tested potential causal associations of genetic variants associated with CRP levels, IL-6 signaling, and BMI with depressive symptoms. The study dates were November 2019 to April 2020. RESULTS Based on large GWAS data sources, genetic correlation analyses revealed consistent false discovery rate (FDR)–controlled associations (genetic correlation range, 0.152-0.362; FDR P = .006 to P &lt; .001) between CRP levels and depressive symptoms that were similar in size to genetic correlations of BMI with depressive symptoms. Two-sample MR analyses suggested that genetic upregulation of IL-6 signaling was associated with suicidality (estimate [SE], 0.035 [0.010]; FDR plus Bonferroni correction P = .01), a finding that remained stable across statistical models and sensitivity analyses using alternative instrument selection strategies. Mendelian randomization analyses did not consistently show associations of higher CRP levels or IL-6 signaling with other depressive symptoms, but higher BMIwas associated with anh…","author":[{"dropping-particle":"","family":"Kappelmann","given":"Nils","non-dropping-particle":"","parse-names":false,"suffix":""},{"dropping-particle":"","family":"Arloth","given":"Janine","non-dropping-particle":"","parse-names":false,"suffix":""},{"dropping-particle":"","family":"Georgakis","given":"Marios K","non-dropping-particle":"","parse-names":false,"suffix":""},{"dropping-particle":"","family":"Czamara","given":"Darina","non-dropping-particle":"","parse-names":false,"suffix":""},{"dropping-particle":"","family":"Rost","given":"Nicolas","non-dropping-particle":"","parse-names":false,"suffix":""},{"dropping-particle":"","family":"Ligthart","given":"Symen","non-dropping-particle":"","parse-names":false,"suffix":""},{"dropping-particle":"","family":"Khandaker","given":"Golam M","non-dropping-particle":"","parse-names":false,"suffix":""},{"dropping-particle":"","family":"Binder","given":"Elisabeth B","non-dropping-particle":"","parse-names":false,"suffix":""}],"container-title":"JAMA Psychiatry","id":"ITEM-1","issue":"2","issued":{"date-parts":[["2021","10"]]},"page":"161-170","title":"Dissecting the Association Between Inflammation, Metabolic Dysregulation, and Specific Depressive Symptoms","type":"article-journal","volume":"78"},"uris":["http://www.mendeley.com/documents/?uuid=b8985a82-79ce-49ca-be30-b9df00ad3d25","http://www.mendeley.com/documents/?uuid=f6f6abd2-1048-4720-af33-59cc49864971"]}],"mendeley":{"formattedCitation":"[21]","plainTextFormattedCitation":"[21]","previouslyFormattedCitation":"[21]"},"properties":{"noteIndex":0},"schema":"https://github.com/citation-style-language/schema/raw/master/csl-citation.json"}</w:instrText>
      </w:r>
      <w:r w:rsidR="00B2386E" w:rsidRPr="00571EA4">
        <w:rPr>
          <w:rFonts w:eastAsia="Times New Roman" w:cs="Times New Roman"/>
          <w:szCs w:val="24"/>
        </w:rPr>
        <w:fldChar w:fldCharType="separate"/>
      </w:r>
      <w:r w:rsidR="00AF5060" w:rsidRPr="00571EA4">
        <w:rPr>
          <w:rFonts w:eastAsia="Times New Roman" w:cs="Times New Roman"/>
          <w:noProof/>
          <w:szCs w:val="24"/>
          <w:lang w:val="en-GB"/>
        </w:rPr>
        <w:t>[21]</w:t>
      </w:r>
      <w:r w:rsidR="00B2386E" w:rsidRPr="00571EA4">
        <w:rPr>
          <w:rFonts w:eastAsia="Times New Roman" w:cs="Times New Roman"/>
          <w:szCs w:val="24"/>
        </w:rPr>
        <w:fldChar w:fldCharType="end"/>
      </w:r>
      <w:r w:rsidR="00016837" w:rsidRPr="00571EA4">
        <w:rPr>
          <w:rFonts w:eastAsia="Times New Roman" w:cs="Times New Roman"/>
          <w:szCs w:val="24"/>
        </w:rPr>
        <w:t>.</w:t>
      </w:r>
      <w:r w:rsidR="00A24B87" w:rsidRPr="00571EA4">
        <w:rPr>
          <w:rFonts w:eastAsia="Times New Roman" w:cs="Times New Roman"/>
          <w:szCs w:val="24"/>
          <w:lang w:val="en-GB"/>
        </w:rPr>
        <w:t xml:space="preserve"> However, </w:t>
      </w:r>
      <w:r w:rsidR="000256C2" w:rsidRPr="00571EA4">
        <w:rPr>
          <w:rFonts w:eastAsia="Times New Roman" w:cs="Times New Roman"/>
          <w:szCs w:val="24"/>
          <w:lang w:val="en-GB"/>
        </w:rPr>
        <w:t xml:space="preserve">this study </w:t>
      </w:r>
      <w:r w:rsidR="00A24B87" w:rsidRPr="00571EA4">
        <w:rPr>
          <w:rFonts w:eastAsia="Times New Roman" w:cs="Times New Roman"/>
          <w:szCs w:val="24"/>
          <w:lang w:val="en-GB"/>
        </w:rPr>
        <w:t>did not</w:t>
      </w:r>
      <w:r w:rsidR="006033D2" w:rsidRPr="00571EA4">
        <w:rPr>
          <w:rFonts w:eastAsia="Times New Roman" w:cs="Times New Roman"/>
          <w:szCs w:val="24"/>
          <w:lang w:val="en-GB"/>
        </w:rPr>
        <w:t xml:space="preserve"> triangulate MR results using phenotypic association analyses on serum inflammatory markers and did not </w:t>
      </w:r>
      <w:r w:rsidR="00A24B87" w:rsidRPr="00571EA4">
        <w:rPr>
          <w:rFonts w:eastAsia="Times New Roman" w:cs="Times New Roman"/>
          <w:szCs w:val="24"/>
          <w:lang w:val="en-GB"/>
        </w:rPr>
        <w:t>investigate anxiety</w:t>
      </w:r>
      <w:r w:rsidR="000256C2" w:rsidRPr="00571EA4">
        <w:rPr>
          <w:rFonts w:eastAsia="Times New Roman" w:cs="Times New Roman"/>
          <w:szCs w:val="24"/>
          <w:lang w:val="en-GB"/>
        </w:rPr>
        <w:t xml:space="preserve"> symptoms or particular direction of change (increase vs decrease) in </w:t>
      </w:r>
      <w:proofErr w:type="spellStart"/>
      <w:r w:rsidR="00A24B87" w:rsidRPr="00571EA4">
        <w:rPr>
          <w:rFonts w:eastAsia="Times New Roman" w:cs="Times New Roman"/>
          <w:szCs w:val="24"/>
          <w:lang w:val="en-GB"/>
        </w:rPr>
        <w:t>neurovegetative</w:t>
      </w:r>
      <w:proofErr w:type="spellEnd"/>
      <w:r w:rsidR="00A24B87" w:rsidRPr="00571EA4">
        <w:rPr>
          <w:rFonts w:eastAsia="Times New Roman" w:cs="Times New Roman"/>
          <w:szCs w:val="24"/>
          <w:lang w:val="en-GB"/>
        </w:rPr>
        <w:t xml:space="preserve"> symptoms</w:t>
      </w:r>
      <w:r w:rsidR="000256C2" w:rsidRPr="00571EA4">
        <w:rPr>
          <w:rFonts w:eastAsia="Times New Roman" w:cs="Times New Roman"/>
          <w:szCs w:val="24"/>
          <w:lang w:val="en-GB"/>
        </w:rPr>
        <w:t xml:space="preserve"> specifically</w:t>
      </w:r>
      <w:r w:rsidR="00A24B87" w:rsidRPr="00571EA4">
        <w:rPr>
          <w:rFonts w:eastAsia="Times New Roman" w:cs="Times New Roman"/>
          <w:szCs w:val="24"/>
          <w:lang w:val="en-GB"/>
        </w:rPr>
        <w:t xml:space="preserve">. </w:t>
      </w:r>
      <w:r w:rsidR="00217BA9" w:rsidRPr="00571EA4">
        <w:t xml:space="preserve">MR studies of depressive and anxiety symptoms including more granular information on direction of symptom change is required to gain greater insights into </w:t>
      </w:r>
      <w:r w:rsidR="00014ECE" w:rsidRPr="00571EA4">
        <w:t xml:space="preserve">the </w:t>
      </w:r>
      <w:r w:rsidR="00217BA9" w:rsidRPr="00571EA4">
        <w:t>potential role of inflammation in these disorders.</w:t>
      </w:r>
      <w:r w:rsidR="00907F11" w:rsidRPr="00571EA4">
        <w:t xml:space="preserve"> </w:t>
      </w:r>
    </w:p>
    <w:p w14:paraId="27E307C1" w14:textId="7AEAAADE" w:rsidR="00A961F7" w:rsidRPr="00571EA4" w:rsidRDefault="0064187E">
      <w:pPr>
        <w:rPr>
          <w:rFonts w:eastAsia="Times New Roman" w:cs="Times New Roman"/>
          <w:szCs w:val="24"/>
          <w:lang w:val="en-GB"/>
        </w:rPr>
        <w:sectPr w:rsidR="00A961F7" w:rsidRPr="00571EA4">
          <w:pgSz w:w="11909" w:h="16834"/>
          <w:pgMar w:top="1440" w:right="1440" w:bottom="1440" w:left="1440" w:header="720" w:footer="720" w:gutter="0"/>
          <w:cols w:space="720"/>
        </w:sectPr>
      </w:pPr>
      <w:r w:rsidRPr="00571EA4">
        <w:rPr>
          <w:rFonts w:eastAsia="Times New Roman" w:cs="Times New Roman"/>
          <w:szCs w:val="24"/>
          <w:lang w:val="en-GB"/>
        </w:rPr>
        <w:t>W</w:t>
      </w:r>
      <w:r w:rsidR="00A24B87" w:rsidRPr="00571EA4">
        <w:rPr>
          <w:rFonts w:eastAsia="Times New Roman" w:cs="Times New Roman"/>
          <w:szCs w:val="24"/>
          <w:lang w:val="en-GB"/>
        </w:rPr>
        <w:t xml:space="preserve">e </w:t>
      </w:r>
      <w:r w:rsidRPr="00571EA4">
        <w:rPr>
          <w:rFonts w:eastAsia="Times New Roman" w:cs="Times New Roman"/>
          <w:szCs w:val="24"/>
          <w:lang w:val="en-GB"/>
        </w:rPr>
        <w:t xml:space="preserve">have examined specificity and potential causality of </w:t>
      </w:r>
      <w:r w:rsidR="007D3FF9" w:rsidRPr="00571EA4">
        <w:rPr>
          <w:rFonts w:eastAsia="Times New Roman" w:cs="Times New Roman"/>
          <w:szCs w:val="24"/>
          <w:lang w:val="en-GB"/>
        </w:rPr>
        <w:t>associations</w:t>
      </w:r>
      <w:r w:rsidRPr="00571EA4">
        <w:rPr>
          <w:rFonts w:eastAsia="Times New Roman" w:cs="Times New Roman"/>
          <w:szCs w:val="24"/>
          <w:lang w:val="en-GB"/>
        </w:rPr>
        <w:t xml:space="preserve"> for CRP</w:t>
      </w:r>
      <w:r w:rsidR="00E732E6" w:rsidRPr="00571EA4">
        <w:rPr>
          <w:rFonts w:eastAsia="Times New Roman" w:cs="Times New Roman"/>
          <w:szCs w:val="24"/>
          <w:lang w:val="en-GB"/>
        </w:rPr>
        <w:t xml:space="preserve"> and</w:t>
      </w:r>
      <w:r w:rsidRPr="00571EA4">
        <w:rPr>
          <w:rFonts w:eastAsia="Times New Roman" w:cs="Times New Roman"/>
          <w:szCs w:val="24"/>
          <w:lang w:val="en-GB"/>
        </w:rPr>
        <w:t xml:space="preserve"> IL-6 with depressive and anxiety symptoms using large-scale data from two well-established European cohorts, UK Biobank (UKB) and Netherlands Study of Depression and Anxiety (NESDA)</w:t>
      </w:r>
      <w:r w:rsidR="00A24B87" w:rsidRPr="00571EA4">
        <w:rPr>
          <w:rFonts w:eastAsia="Times New Roman" w:cs="Times New Roman"/>
          <w:szCs w:val="24"/>
          <w:lang w:val="en-GB"/>
        </w:rPr>
        <w:t xml:space="preserve">. </w:t>
      </w:r>
      <w:r w:rsidR="00A24B87" w:rsidRPr="00571EA4">
        <w:rPr>
          <w:rFonts w:eastAsia="Times New Roman" w:cs="Times New Roman"/>
          <w:szCs w:val="24"/>
          <w:highlight w:val="white"/>
          <w:lang w:val="en-GB"/>
        </w:rPr>
        <w:t xml:space="preserve">In </w:t>
      </w:r>
      <w:r w:rsidR="00A328DC" w:rsidRPr="00571EA4">
        <w:rPr>
          <w:rFonts w:eastAsia="Times New Roman" w:cs="Times New Roman"/>
          <w:szCs w:val="24"/>
          <w:highlight w:val="white"/>
          <w:lang w:val="en-GB"/>
        </w:rPr>
        <w:t xml:space="preserve">addition to </w:t>
      </w:r>
      <w:r w:rsidR="005C41CF" w:rsidRPr="00571EA4">
        <w:rPr>
          <w:rFonts w:eastAsia="Times New Roman" w:cs="Times New Roman"/>
          <w:szCs w:val="24"/>
          <w:highlight w:val="white"/>
          <w:lang w:val="en-GB"/>
        </w:rPr>
        <w:t xml:space="preserve">testing </w:t>
      </w:r>
      <w:r w:rsidR="00A328DC" w:rsidRPr="00571EA4">
        <w:rPr>
          <w:rFonts w:eastAsia="Times New Roman" w:cs="Times New Roman"/>
          <w:szCs w:val="24"/>
          <w:highlight w:val="white"/>
          <w:lang w:val="en-GB"/>
        </w:rPr>
        <w:t>symptom-level associations for CRP in two c</w:t>
      </w:r>
      <w:r w:rsidR="00053F0E" w:rsidRPr="00571EA4">
        <w:rPr>
          <w:rFonts w:eastAsia="Times New Roman" w:cs="Times New Roman"/>
          <w:szCs w:val="24"/>
          <w:highlight w:val="white"/>
          <w:lang w:val="en-GB"/>
        </w:rPr>
        <w:t>ohorts, we have carried out fur</w:t>
      </w:r>
      <w:r w:rsidR="00A328DC" w:rsidRPr="00571EA4">
        <w:rPr>
          <w:rFonts w:eastAsia="Times New Roman" w:cs="Times New Roman"/>
          <w:szCs w:val="24"/>
          <w:highlight w:val="white"/>
          <w:lang w:val="en-GB"/>
        </w:rPr>
        <w:t>ther analysis in the NESDA cohort</w:t>
      </w:r>
      <w:r w:rsidR="00AE5A6A" w:rsidRPr="00571EA4">
        <w:rPr>
          <w:rFonts w:eastAsia="Times New Roman" w:cs="Times New Roman"/>
          <w:szCs w:val="24"/>
          <w:highlight w:val="white"/>
          <w:lang w:val="en-GB"/>
        </w:rPr>
        <w:t xml:space="preserve"> using</w:t>
      </w:r>
      <w:r w:rsidR="00A328DC" w:rsidRPr="00571EA4">
        <w:rPr>
          <w:rFonts w:eastAsia="Times New Roman" w:cs="Times New Roman"/>
          <w:szCs w:val="24"/>
          <w:highlight w:val="white"/>
          <w:lang w:val="en-GB"/>
        </w:rPr>
        <w:t>: (1) IL-6 levels as exposure; and (2) granular information on direction of change for particular symptoms (e.g., sleep</w:t>
      </w:r>
      <w:r w:rsidR="00EE0C79" w:rsidRPr="00571EA4">
        <w:rPr>
          <w:rFonts w:eastAsia="Times New Roman" w:cs="Times New Roman"/>
          <w:szCs w:val="24"/>
          <w:highlight w:val="white"/>
          <w:lang w:val="en-GB"/>
        </w:rPr>
        <w:t xml:space="preserve"> problems</w:t>
      </w:r>
      <w:r w:rsidR="00A328DC" w:rsidRPr="00571EA4">
        <w:rPr>
          <w:rFonts w:eastAsia="Times New Roman" w:cs="Times New Roman"/>
          <w:szCs w:val="24"/>
          <w:highlight w:val="white"/>
          <w:lang w:val="en-GB"/>
        </w:rPr>
        <w:t>, appetite</w:t>
      </w:r>
      <w:r w:rsidR="00EE0C79" w:rsidRPr="00571EA4">
        <w:rPr>
          <w:rFonts w:eastAsia="Times New Roman" w:cs="Times New Roman"/>
          <w:szCs w:val="24"/>
          <w:highlight w:val="white"/>
          <w:lang w:val="en-GB"/>
        </w:rPr>
        <w:t xml:space="preserve"> alterations</w:t>
      </w:r>
      <w:r w:rsidR="00A328DC" w:rsidRPr="00571EA4">
        <w:rPr>
          <w:rFonts w:eastAsia="Times New Roman" w:cs="Times New Roman"/>
          <w:szCs w:val="24"/>
          <w:highlight w:val="white"/>
          <w:lang w:val="en-GB"/>
        </w:rPr>
        <w:t xml:space="preserve">) as outcomes in relation to IL-6 and CRP. </w:t>
      </w:r>
      <w:r w:rsidR="00AE5A6A" w:rsidRPr="00571EA4">
        <w:rPr>
          <w:rFonts w:eastAsia="Times New Roman" w:cs="Times New Roman"/>
          <w:szCs w:val="24"/>
          <w:highlight w:val="white"/>
          <w:lang w:val="en-GB"/>
        </w:rPr>
        <w:t>Furthermore</w:t>
      </w:r>
      <w:r w:rsidR="00AE5A6A" w:rsidRPr="00571EA4">
        <w:rPr>
          <w:rFonts w:eastAsia="Times New Roman" w:cs="Times New Roman"/>
          <w:szCs w:val="24"/>
          <w:lang w:val="en-GB"/>
        </w:rPr>
        <w:t>, we have carried out one</w:t>
      </w:r>
      <w:r w:rsidR="00B74E42" w:rsidRPr="00571EA4">
        <w:rPr>
          <w:rFonts w:eastAsia="Times New Roman" w:cs="Times New Roman"/>
          <w:szCs w:val="24"/>
          <w:lang w:val="en-GB"/>
        </w:rPr>
        <w:t>-</w:t>
      </w:r>
      <w:r w:rsidR="00AE5A6A" w:rsidRPr="00571EA4">
        <w:rPr>
          <w:rFonts w:eastAsia="Times New Roman" w:cs="Times New Roman"/>
          <w:szCs w:val="24"/>
          <w:lang w:val="en-GB"/>
        </w:rPr>
        <w:t xml:space="preserve"> and two</w:t>
      </w:r>
      <w:r w:rsidR="00B74E42" w:rsidRPr="00571EA4">
        <w:rPr>
          <w:rFonts w:eastAsia="Times New Roman" w:cs="Times New Roman"/>
          <w:szCs w:val="24"/>
          <w:lang w:val="en-GB"/>
        </w:rPr>
        <w:t>-</w:t>
      </w:r>
      <w:r w:rsidR="00AE5A6A" w:rsidRPr="00571EA4">
        <w:rPr>
          <w:rFonts w:eastAsia="Times New Roman" w:cs="Times New Roman"/>
          <w:szCs w:val="24"/>
          <w:lang w:val="en-GB"/>
        </w:rPr>
        <w:t xml:space="preserve">sample </w:t>
      </w:r>
      <w:r w:rsidR="00A24B87" w:rsidRPr="00571EA4">
        <w:rPr>
          <w:rFonts w:eastAsia="Times New Roman" w:cs="Times New Roman"/>
          <w:szCs w:val="24"/>
          <w:lang w:val="en-GB"/>
        </w:rPr>
        <w:t xml:space="preserve">MR analyses </w:t>
      </w:r>
      <w:r w:rsidR="00AE5A6A" w:rsidRPr="00571EA4">
        <w:rPr>
          <w:rFonts w:eastAsia="Times New Roman" w:cs="Times New Roman"/>
          <w:szCs w:val="24"/>
          <w:lang w:val="en-GB"/>
        </w:rPr>
        <w:t xml:space="preserve">to test whether associations of IL-6 and CRP with specific depressive and anxiety symptoms are likely to be causal </w:t>
      </w:r>
      <w:r w:rsidR="004153B9" w:rsidRPr="00571EA4">
        <w:rPr>
          <w:rFonts w:eastAsia="Times New Roman" w:cs="Times New Roman"/>
          <w:szCs w:val="24"/>
          <w:highlight w:val="white"/>
          <w:lang w:val="en-GB"/>
        </w:rPr>
        <w:t>using genetic variants regulating levels/activity of these inflammatory markers as in</w:t>
      </w:r>
      <w:r w:rsidR="00C617E6" w:rsidRPr="00571EA4">
        <w:rPr>
          <w:rFonts w:eastAsia="Times New Roman" w:cs="Times New Roman"/>
          <w:szCs w:val="24"/>
          <w:highlight w:val="white"/>
          <w:lang w:val="en-GB"/>
        </w:rPr>
        <w:t>s</w:t>
      </w:r>
      <w:r w:rsidR="004153B9" w:rsidRPr="00571EA4">
        <w:rPr>
          <w:rFonts w:eastAsia="Times New Roman" w:cs="Times New Roman"/>
          <w:szCs w:val="24"/>
          <w:highlight w:val="white"/>
          <w:lang w:val="en-GB"/>
        </w:rPr>
        <w:t>trumental variables</w:t>
      </w:r>
      <w:r w:rsidR="00A24B87" w:rsidRPr="00571EA4">
        <w:rPr>
          <w:rFonts w:eastAsia="Times New Roman" w:cs="Times New Roman"/>
          <w:szCs w:val="24"/>
          <w:lang w:val="en-GB"/>
        </w:rPr>
        <w:t>.</w:t>
      </w:r>
    </w:p>
    <w:p w14:paraId="27E307C2" w14:textId="77777777" w:rsidR="00A961F7" w:rsidRPr="00571EA4" w:rsidRDefault="00A24B87" w:rsidP="00EF79B6">
      <w:pPr>
        <w:pStyle w:val="Heading1"/>
        <w:rPr>
          <w:lang w:val="en-GB"/>
        </w:rPr>
      </w:pPr>
      <w:bookmarkStart w:id="3" w:name="_glo075tzoso1" w:colFirst="0" w:colLast="0"/>
      <w:bookmarkEnd w:id="3"/>
      <w:r w:rsidRPr="00571EA4">
        <w:rPr>
          <w:lang w:val="en-GB"/>
        </w:rPr>
        <w:lastRenderedPageBreak/>
        <w:t>METHODS</w:t>
      </w:r>
    </w:p>
    <w:p w14:paraId="27E307C3" w14:textId="77777777" w:rsidR="00A961F7" w:rsidRPr="00571EA4" w:rsidRDefault="00A24B87" w:rsidP="009E17F4">
      <w:pPr>
        <w:pStyle w:val="Heading2"/>
        <w:rPr>
          <w:b w:val="0"/>
          <w:lang w:val="en-GB"/>
        </w:rPr>
      </w:pPr>
      <w:bookmarkStart w:id="4" w:name="_2wvmlgr4utee" w:colFirst="0" w:colLast="0"/>
      <w:bookmarkEnd w:id="4"/>
      <w:r w:rsidRPr="00571EA4">
        <w:rPr>
          <w:lang w:val="en-GB"/>
        </w:rPr>
        <w:t>Study cohorts</w:t>
      </w:r>
    </w:p>
    <w:p w14:paraId="77814A80" w14:textId="166BFBF4" w:rsidR="00023559" w:rsidRPr="00571EA4" w:rsidRDefault="00A24B87" w:rsidP="00023559">
      <w:pPr>
        <w:rPr>
          <w:lang w:val="en-GB"/>
        </w:rPr>
      </w:pPr>
      <w:r w:rsidRPr="00571EA4">
        <w:rPr>
          <w:lang w:val="en-GB"/>
        </w:rPr>
        <w:t xml:space="preserve">The present study utilised data from the UK Biobank </w:t>
      </w:r>
      <w:r w:rsidR="00916B0E" w:rsidRPr="00571EA4">
        <w:rPr>
          <w:lang w:val="en-GB"/>
        </w:rPr>
        <w:t xml:space="preserve">(UKB) </w:t>
      </w:r>
      <w:r w:rsidRPr="00571EA4">
        <w:rPr>
          <w:lang w:val="en-GB"/>
        </w:rPr>
        <w:t>study</w:t>
      </w:r>
      <w:r w:rsidR="0084298F" w:rsidRPr="00571EA4">
        <w:rPr>
          <w:lang w:val="en-GB"/>
        </w:rPr>
        <w:t xml:space="preserve"> </w:t>
      </w:r>
      <w:r w:rsidR="00F2075B" w:rsidRPr="00571EA4">
        <w:fldChar w:fldCharType="begin" w:fldLock="1"/>
      </w:r>
      <w:r w:rsidR="00D613B9" w:rsidRPr="00571EA4">
        <w:rPr>
          <w:lang w:val="en-GB"/>
        </w:rPr>
        <w:instrText>ADDIN CSL_CITATION {"citationItems":[{"id":"ITEM-1","itemData":{"DOI":"10.1371/journal.pmed.1001779","ISSN":"1549-1676","abstract":"Cathie Sudlow and colleagues describe the UK Biobank, a large population-based prospective study, established to allow investigation of the genetic and non-genetic determinants of the diseases of middle and old age.","author":[{"dropping-particle":"","family":"Sudlow","given":"Cathie","non-dropping-particle":"","parse-names":false,"suffix":""},{"dropping-particle":"","family":"Gallacher","given":"John","non-dropping-particle":"","parse-names":false,"suffix":""},{"dropping-particle":"","family":"Allen","given":"Naomi","non-dropping-particle":"","parse-names":false,"suffix":""},{"dropping-particle":"","family":"Beral","given":"Valerie","non-dropping-particle":"","parse-names":false,"suffix":""},{"dropping-particle":"","family":"Burton","given":"Paul","non-dropping-particle":"","parse-names":false,"suffix":""},{"dropping-particle":"","family":"Danesh","given":"John","non-dropping-particle":"","parse-names":false,"suffix":""},{"dropping-particle":"","family":"Downey","given":"Paul","non-dropping-particle":"","parse-names":false,"suffix":""},{"dropping-particle":"","family":"Elliott","given":"Paul","non-dropping-particle":"","parse-names":false,"suffix":""},{"dropping-particle":"","family":"Green","given":"Jane","non-dropping-particle":"","parse-names":false,"suffix":""},{"dropping-particle":"","family":"Landray","given":"Martin","non-dropping-particle":"","parse-names":false,"suffix":""},{"dropping-particle":"","family":"Liu","given":"Bette","non-dropping-particle":"","parse-names":false,"suffix":""},{"dropping-particle":"","family":"Matthews","given":"Paul","non-dropping-particle":"","parse-names":false,"suffix":""},{"dropping-particle":"","family":"Ong","given":"Giok","non-dropping-particle":"","parse-names":false,"suffix":""},{"dropping-particle":"","family":"Pell","given":"Jill","non-dropping-particle":"","parse-names":false,"suffix":""},{"dropping-particle":"","family":"Silman","given":"Alan","non-dropping-particle":"","parse-names":false,"suffix":""},{"dropping-particle":"","family":"Young","given":"Alan","non-dropping-particle":"","parse-names":false,"suffix":""},{"dropping-particle":"","family":"Sprosen","given":"Tim","non-dropping-particle":"","parse-names":false,"suffix":""},{"dropping-particle":"","family":"Peakman","given":"Tim","non-dropping-particle":"","parse-names":false,"suffix":""},{"dropping-particle":"","family":"Collins","given":"Rory","non-dropping-particle":"","parse-names":false,"suffix":""}],"container-title":"PLOS Medicine","id":"ITEM-1","issue":"3","issued":{"date-parts":[["2015","3"]]},"page":"e1001779","title":"UK Biobank: An Open Access Resource for Identifying the Causes of a Wide Range of Complex Diseases of Middle and Old Age","type":"article-journal","volume":"12"},"uris":["http://www.mendeley.com/documents/?uuid=6dade2b9-7949-4389-ac52-87d379e0ce2a","http://www.mendeley.com/documents/?uuid=7c6efb68-fd2b-4342-9b07-19d4d811539d"]}],"mendeley":{"formattedCitation":"[22]","plainTextFormattedCitation":"[22]","previouslyFormattedCitation":"[22]"},"properties":{"noteIndex":0},"schema":"https://github.com/citation-style-language/schema/raw/master/csl-citation.json"}</w:instrText>
      </w:r>
      <w:r w:rsidR="00F2075B" w:rsidRPr="00571EA4">
        <w:fldChar w:fldCharType="separate"/>
      </w:r>
      <w:r w:rsidR="00AF5060" w:rsidRPr="00571EA4">
        <w:rPr>
          <w:noProof/>
          <w:lang w:val="en-GB"/>
        </w:rPr>
        <w:t>[22]</w:t>
      </w:r>
      <w:r w:rsidR="00F2075B" w:rsidRPr="00571EA4">
        <w:fldChar w:fldCharType="end"/>
      </w:r>
      <w:r w:rsidR="0084298F" w:rsidRPr="00571EA4">
        <w:t>,</w:t>
      </w:r>
      <w:r w:rsidRPr="00571EA4">
        <w:rPr>
          <w:lang w:val="en-GB"/>
        </w:rPr>
        <w:t xml:space="preserve"> a population-based cohort comprising 502,524 UK residents aged 40-69 years, and the </w:t>
      </w:r>
      <w:r w:rsidRPr="00571EA4">
        <w:rPr>
          <w:highlight w:val="white"/>
          <w:lang w:val="en-GB"/>
        </w:rPr>
        <w:t>Netherlands Study of Depression and Anxiety (NESDA)</w:t>
      </w:r>
      <w:r w:rsidR="0084298F" w:rsidRPr="00571EA4">
        <w:rPr>
          <w:highlight w:val="white"/>
        </w:rPr>
        <w:t xml:space="preserve"> </w:t>
      </w:r>
      <w:r w:rsidR="00DE5087" w:rsidRPr="00571EA4">
        <w:rPr>
          <w:highlight w:val="white"/>
        </w:rPr>
        <w:fldChar w:fldCharType="begin" w:fldLock="1"/>
      </w:r>
      <w:r w:rsidR="00D613B9" w:rsidRPr="00571EA4">
        <w:rPr>
          <w:highlight w:val="white"/>
          <w:lang w:val="en-GB"/>
        </w:rPr>
        <w:instrText>ADDIN CSL_CITATION {"citationItems":[{"id":"ITEM-1","itemData":{"DOI":"10.1002/mpr.256","ISSN":"10498931","PMID":"18763692","abstract":"The Netherlands Study of Depression and Anxiety (NESDA) is a multi-site naturalistic cohort study to: (1) describe the long-term course and consequences of depressive and anxiety disorders, and (2) to integrate biological and psychosocial research paradigms within an epidemiological approach in order to examine (interaction between) predictors of the long-term course and consequences. Its design is an eight-year longitudinal cohort study among 2981 participants aged 18 through 65 years. The sample consists of 1701 persons with a current (six-month recency) diagnosis of depression and/or anxiety disorder, 907 persons with life-time diagnoses or at risk because of a family history or subthreshold depressive or anxiety symptoms, and 373 healthy controls. Recruitment took place in the general population, in general practices (through a three-stage screening procedure), and in mental health organizations in order to recruit persons reflecting various settings and developmental stages of psychopathology. During a four-hour baseline assessment including written questionnaires, interviews, a medical examination, a cognitive computer task and collection of blood and saliva samples, extensive information was gathered about key (mental) health outcomes and demographic, psychosocial, clinical, biological and genetic determinants. Detailed assessments will be repeated after one, two, four and eight years of follow-up. The findings of NESDA are expected to provide more detailed insight into (predictors of) the long-term course of depressive and anxiety disorders in adults. Besides its scientific relevance, this may contribute to more effective prevention and treatment of depressive and anxiety disorders.","author":[{"dropping-particle":"","family":"Penninx","given":"Brenda W.J.H.","non-dropping-particle":"","parse-names":false,"suffix":""},{"dropping-particle":"","family":"Beekman","given":"Aartjan T.F.","non-dropping-particle":"","parse-names":false,"suffix":""},{"dropping-particle":"","family":"Smit","given":"Johannes H.","non-dropping-particle":"","parse-names":false,"suffix":""},{"dropping-particle":"","family":"Zitman","given":"Frans G.","non-dropping-particle":"","parse-names":false,"suffix":""},{"dropping-particle":"","family":"Nolen","given":"Willem A.","non-dropping-particle":"","parse-names":false,"suffix":""},{"dropping-particle":"","family":"Spinhoven","given":"Philip","non-dropping-particle":"","parse-names":false,"suffix":""},{"dropping-particle":"","family":"Cuijpers","given":"Pim","non-dropping-particle":"","parse-names":false,"suffix":""},{"dropping-particle":"","family":"Jong","given":"Peter J.","non-dropping-particle":"De","parse-names":false,"suffix":""},{"dropping-particle":"","family":"Marwijk","given":"Harm W.J.","non-dropping-particle":"Van","parse-names":false,"suffix":""},{"dropping-particle":"","family":"Assendelft","given":"Willem J.J.","non-dropping-particle":"","parse-names":false,"suffix":""},{"dropping-particle":"","family":"Meer","given":"Klaas","non-dropping-particle":"Van Der","parse-names":false,"suffix":""},{"dropping-particle":"","family":"Verhaak","given":"Peter","non-dropping-particle":"","parse-names":false,"suffix":""},{"dropping-particle":"","family":"Wensing","given":"Michel","non-dropping-particle":"","parse-names":false,"suffix":""},{"dropping-particle":"","family":"Graaf","given":"Ron","non-dropping-particle":"De","parse-names":false,"suffix":""},{"dropping-particle":"","family":"Hoogendijk","given":"Witte J.","non-dropping-particle":"","parse-names":false,"suffix":""},{"dropping-particle":"","family":"Ormel","given":"Johan","non-dropping-particle":"","parse-names":false,"suffix":""},{"dropping-particle":"","family":"Dyck","given":"Richard","non-dropping-particle":"Van","parse-names":false,"suffix":""},{"dropping-particle":"","family":"NESDA Research Consortium","given":"","non-dropping-particle":"","parse-names":false,"suffix":""}],"container-title":"International Journal of Methods in Psychiatric Research","id":"ITEM-1","issue":"3","issued":{"date-parts":[["2008","9"]]},"page":"121-140","title":"The Netherlands Study of Depression and Anxiety (NESDA): rationale, objectives and methods","type":"article-journal","volume":"17"},"uris":["http://www.mendeley.com/documents/?uuid=8752d504-e788-38da-ad6d-743a4230edb2"]}],"mendeley":{"formattedCitation":"[23]","plainTextFormattedCitation":"[23]","previouslyFormattedCitation":"[23]"},"properties":{"noteIndex":0},"schema":"https://github.com/citation-style-language/schema/raw/master/csl-citation.json"}</w:instrText>
      </w:r>
      <w:r w:rsidR="00DE5087" w:rsidRPr="00571EA4">
        <w:rPr>
          <w:highlight w:val="white"/>
        </w:rPr>
        <w:fldChar w:fldCharType="separate"/>
      </w:r>
      <w:r w:rsidR="00AF5060" w:rsidRPr="00571EA4">
        <w:rPr>
          <w:noProof/>
          <w:highlight w:val="white"/>
          <w:lang w:val="en-GB"/>
        </w:rPr>
        <w:t>[23]</w:t>
      </w:r>
      <w:r w:rsidR="00DE5087" w:rsidRPr="00571EA4">
        <w:rPr>
          <w:highlight w:val="white"/>
        </w:rPr>
        <w:fldChar w:fldCharType="end"/>
      </w:r>
      <w:r w:rsidR="0084298F" w:rsidRPr="00571EA4">
        <w:rPr>
          <w:highlight w:val="white"/>
        </w:rPr>
        <w:t>,</w:t>
      </w:r>
      <w:r w:rsidRPr="00571EA4">
        <w:rPr>
          <w:highlight w:val="white"/>
          <w:lang w:val="en-GB"/>
        </w:rPr>
        <w:t xml:space="preserve"> an ongoing cohort study of 2,981 participants </w:t>
      </w:r>
      <w:r w:rsidR="00B70900" w:rsidRPr="00571EA4">
        <w:rPr>
          <w:highlight w:val="white"/>
          <w:lang w:val="en-GB"/>
        </w:rPr>
        <w:t xml:space="preserve">aged </w:t>
      </w:r>
      <w:r w:rsidR="00AC0A6B" w:rsidRPr="00571EA4">
        <w:rPr>
          <w:highlight w:val="white"/>
          <w:lang w:val="en-GB"/>
        </w:rPr>
        <w:t>18-65</w:t>
      </w:r>
      <w:r w:rsidR="00B70900" w:rsidRPr="00571EA4">
        <w:rPr>
          <w:highlight w:val="white"/>
          <w:lang w:val="en-GB"/>
        </w:rPr>
        <w:t xml:space="preserve"> years </w:t>
      </w:r>
      <w:r w:rsidRPr="00571EA4">
        <w:rPr>
          <w:highlight w:val="white"/>
          <w:lang w:val="en-GB"/>
        </w:rPr>
        <w:t xml:space="preserve">with current or past depressive and/or anxiety disorder and healthy controls. </w:t>
      </w:r>
      <w:r w:rsidRPr="00571EA4">
        <w:rPr>
          <w:lang w:val="en-GB"/>
        </w:rPr>
        <w:t xml:space="preserve">Detailed descriptions of study cohorts are available </w:t>
      </w:r>
      <w:r w:rsidR="006601D9" w:rsidRPr="00571EA4">
        <w:rPr>
          <w:lang w:val="en-GB"/>
        </w:rPr>
        <w:t xml:space="preserve">as </w:t>
      </w:r>
      <w:r w:rsidR="00BF2220" w:rsidRPr="00571EA4">
        <w:rPr>
          <w:lang w:val="en-GB"/>
        </w:rPr>
        <w:t>Supplementary Methods</w:t>
      </w:r>
      <w:r w:rsidRPr="00571EA4">
        <w:rPr>
          <w:lang w:val="en-GB"/>
        </w:rPr>
        <w:t>.</w:t>
      </w:r>
    </w:p>
    <w:p w14:paraId="27E307C5" w14:textId="481C022F" w:rsidR="00A961F7" w:rsidRPr="00571EA4" w:rsidRDefault="00A24B87" w:rsidP="009E17F4">
      <w:pPr>
        <w:rPr>
          <w:lang w:val="en-GB"/>
        </w:rPr>
      </w:pPr>
      <w:r w:rsidRPr="00571EA4">
        <w:rPr>
          <w:highlight w:val="white"/>
          <w:lang w:val="en-GB"/>
        </w:rPr>
        <w:t xml:space="preserve">Briefly, </w:t>
      </w:r>
      <w:r w:rsidRPr="00571EA4">
        <w:rPr>
          <w:lang w:val="en-GB"/>
        </w:rPr>
        <w:t xml:space="preserve">we included up to 147,478 participants </w:t>
      </w:r>
      <w:r w:rsidRPr="00571EA4">
        <w:rPr>
          <w:highlight w:val="white"/>
          <w:lang w:val="en-GB"/>
        </w:rPr>
        <w:t xml:space="preserve">from the </w:t>
      </w:r>
      <w:r w:rsidR="00417B69" w:rsidRPr="00571EA4">
        <w:rPr>
          <w:highlight w:val="white"/>
          <w:lang w:val="en-GB"/>
        </w:rPr>
        <w:t>UKB</w:t>
      </w:r>
      <w:r w:rsidR="00B30EB9" w:rsidRPr="00571EA4">
        <w:rPr>
          <w:highlight w:val="white"/>
          <w:lang w:val="en-GB"/>
        </w:rPr>
        <w:t xml:space="preserve"> </w:t>
      </w:r>
      <w:r w:rsidRPr="00571EA4">
        <w:rPr>
          <w:highlight w:val="white"/>
          <w:lang w:val="en-GB"/>
        </w:rPr>
        <w:t xml:space="preserve">sample </w:t>
      </w:r>
      <w:r w:rsidRPr="00571EA4">
        <w:rPr>
          <w:lang w:val="en-GB"/>
        </w:rPr>
        <w:t xml:space="preserve">with data on CRP and depressive/anxiety symptoms. For Mendelian Randomisation analysis, a sample of unrelated individuals with European ancestry and genotype information was used including up to 325,441 participants to estimate single-nucleotide polymorphism (SNP)-exposure associations with CRP for </w:t>
      </w:r>
      <w:r w:rsidR="00617AF2" w:rsidRPr="00571EA4">
        <w:rPr>
          <w:lang w:val="en-GB"/>
        </w:rPr>
        <w:t>one</w:t>
      </w:r>
      <w:r w:rsidRPr="00571EA4">
        <w:rPr>
          <w:lang w:val="en-GB"/>
        </w:rPr>
        <w:t xml:space="preserve">-sample MR analysis and up to 111,572 participants to estimate SNP-outcome associations. From the NESDA sample, </w:t>
      </w:r>
      <w:r w:rsidRPr="00571EA4">
        <w:rPr>
          <w:highlight w:val="white"/>
          <w:lang w:val="en-GB"/>
        </w:rPr>
        <w:t xml:space="preserve">2,905 participants with complete data at baseline on inflammatory markers and </w:t>
      </w:r>
      <w:r w:rsidRPr="00571EA4">
        <w:rPr>
          <w:lang w:val="en-GB"/>
        </w:rPr>
        <w:t>depressive/anxiety symptoms were selected. Biomarkers and symptoms were assessed again at 2-year and 6-year follow-up, totalling ~7,000 observations.</w:t>
      </w:r>
    </w:p>
    <w:p w14:paraId="27E307C6" w14:textId="73575264" w:rsidR="00A961F7" w:rsidRPr="00571EA4" w:rsidRDefault="00A24B87" w:rsidP="00023559">
      <w:pPr>
        <w:rPr>
          <w:lang w:val="en-GB"/>
        </w:rPr>
      </w:pPr>
      <w:bookmarkStart w:id="5" w:name="_2eh0d622fuzn" w:colFirst="0" w:colLast="0"/>
      <w:bookmarkEnd w:id="5"/>
      <w:r w:rsidRPr="00571EA4">
        <w:rPr>
          <w:lang w:val="en-GB"/>
        </w:rPr>
        <w:t>The U</w:t>
      </w:r>
      <w:r w:rsidR="00362751" w:rsidRPr="00571EA4">
        <w:rPr>
          <w:lang w:val="en-GB"/>
        </w:rPr>
        <w:t>KB</w:t>
      </w:r>
      <w:r w:rsidRPr="00571EA4">
        <w:rPr>
          <w:lang w:val="en-GB"/>
        </w:rPr>
        <w:t xml:space="preserve"> study was approved by the UK Biobank’s research ethics committee and Human Tissue Authority research tissue bank</w:t>
      </w:r>
      <w:r w:rsidR="00DB7D37" w:rsidRPr="00571EA4">
        <w:rPr>
          <w:lang w:val="en-GB"/>
        </w:rPr>
        <w:t xml:space="preserve">. </w:t>
      </w:r>
      <w:r w:rsidR="000120D5" w:rsidRPr="00571EA4">
        <w:rPr>
          <w:lang w:val="en-GB"/>
        </w:rPr>
        <w:t xml:space="preserve">The current analysis was approved under project no. </w:t>
      </w:r>
      <w:r w:rsidR="000120D5" w:rsidRPr="00571EA4">
        <w:rPr>
          <w:szCs w:val="24"/>
          <w:lang w:val="en-GB"/>
        </w:rPr>
        <w:t>26999</w:t>
      </w:r>
      <w:r w:rsidR="000120D5" w:rsidRPr="00571EA4">
        <w:rPr>
          <w:lang w:val="en-GB"/>
        </w:rPr>
        <w:t xml:space="preserve">. </w:t>
      </w:r>
      <w:r w:rsidRPr="00571EA4">
        <w:rPr>
          <w:lang w:val="en-GB"/>
        </w:rPr>
        <w:t>The NESDA research protocol was approved by the ethical committee of participating universities</w:t>
      </w:r>
      <w:r w:rsidR="00E801AD" w:rsidRPr="00571EA4">
        <w:rPr>
          <w:lang w:val="en-GB"/>
        </w:rPr>
        <w:t xml:space="preserve">. </w:t>
      </w:r>
      <w:r w:rsidR="00260355" w:rsidRPr="00571EA4">
        <w:rPr>
          <w:lang w:val="en-GB"/>
        </w:rPr>
        <w:t>Participants from both cohorts provided i</w:t>
      </w:r>
      <w:r w:rsidR="00E801AD" w:rsidRPr="00571EA4">
        <w:rPr>
          <w:lang w:val="en-GB"/>
        </w:rPr>
        <w:t>nformed consent.</w:t>
      </w:r>
    </w:p>
    <w:p w14:paraId="27E307C7" w14:textId="77777777" w:rsidR="00A961F7" w:rsidRPr="00571EA4" w:rsidRDefault="00A24B87" w:rsidP="009E17F4">
      <w:pPr>
        <w:pStyle w:val="Heading2"/>
        <w:rPr>
          <w:b w:val="0"/>
          <w:lang w:val="en-GB"/>
        </w:rPr>
      </w:pPr>
      <w:bookmarkStart w:id="6" w:name="_zd02s87baxmh" w:colFirst="0" w:colLast="0"/>
      <w:bookmarkEnd w:id="6"/>
      <w:r w:rsidRPr="00571EA4">
        <w:rPr>
          <w:lang w:val="en-GB"/>
        </w:rPr>
        <w:t xml:space="preserve">Depressive and anxiety symptoms </w:t>
      </w:r>
    </w:p>
    <w:p w14:paraId="27E307C8" w14:textId="56CAE3A9" w:rsidR="00A961F7" w:rsidRPr="00571EA4" w:rsidRDefault="008B693C">
      <w:pPr>
        <w:rPr>
          <w:rFonts w:eastAsia="Times New Roman" w:cs="Times New Roman"/>
          <w:szCs w:val="24"/>
          <w:highlight w:val="white"/>
          <w:lang w:val="en-GB"/>
        </w:rPr>
      </w:pPr>
      <w:r w:rsidRPr="00571EA4">
        <w:rPr>
          <w:rFonts w:eastAsia="Times New Roman" w:cs="Times New Roman"/>
          <w:szCs w:val="24"/>
          <w:highlight w:val="white"/>
          <w:lang w:val="en-GB"/>
        </w:rPr>
        <w:t>In UKB</w:t>
      </w:r>
      <w:r w:rsidRPr="00571EA4" w:rsidDel="008B693C">
        <w:rPr>
          <w:rFonts w:eastAsia="Times New Roman" w:cs="Times New Roman"/>
          <w:szCs w:val="24"/>
          <w:highlight w:val="white"/>
          <w:lang w:val="en-GB"/>
        </w:rPr>
        <w:t xml:space="preserve"> </w:t>
      </w:r>
      <w:r w:rsidRPr="00571EA4">
        <w:rPr>
          <w:rFonts w:eastAsia="Times New Roman" w:cs="Times New Roman"/>
          <w:szCs w:val="24"/>
          <w:highlight w:val="white"/>
          <w:lang w:val="en-GB"/>
        </w:rPr>
        <w:t>nine</w:t>
      </w:r>
      <w:r w:rsidR="00A24B87" w:rsidRPr="00571EA4">
        <w:rPr>
          <w:rFonts w:eastAsia="Times New Roman" w:cs="Times New Roman"/>
          <w:szCs w:val="24"/>
          <w:highlight w:val="white"/>
          <w:lang w:val="en-GB"/>
        </w:rPr>
        <w:t xml:space="preserve"> depressive and </w:t>
      </w:r>
      <w:r w:rsidRPr="00571EA4">
        <w:rPr>
          <w:rFonts w:eastAsia="Times New Roman" w:cs="Times New Roman"/>
          <w:szCs w:val="24"/>
          <w:highlight w:val="white"/>
          <w:lang w:val="en-GB"/>
        </w:rPr>
        <w:t>seven</w:t>
      </w:r>
      <w:r w:rsidR="00A24B87" w:rsidRPr="00571EA4">
        <w:rPr>
          <w:rFonts w:eastAsia="Times New Roman" w:cs="Times New Roman"/>
          <w:szCs w:val="24"/>
          <w:highlight w:val="white"/>
          <w:lang w:val="en-GB"/>
        </w:rPr>
        <w:t xml:space="preserve"> anxiety symptoms </w:t>
      </w:r>
      <w:r w:rsidR="00E7219E" w:rsidRPr="00571EA4">
        <w:rPr>
          <w:rFonts w:eastAsia="Times New Roman" w:cs="Times New Roman"/>
          <w:szCs w:val="24"/>
          <w:highlight w:val="white"/>
          <w:lang w:val="en-GB"/>
        </w:rPr>
        <w:t xml:space="preserve">were </w:t>
      </w:r>
      <w:r w:rsidR="00A24B87" w:rsidRPr="00571EA4">
        <w:rPr>
          <w:rFonts w:eastAsia="Times New Roman" w:cs="Times New Roman"/>
          <w:szCs w:val="24"/>
          <w:highlight w:val="white"/>
          <w:lang w:val="en-GB"/>
        </w:rPr>
        <w:t xml:space="preserve">assessed </w:t>
      </w:r>
      <w:r w:rsidRPr="00571EA4">
        <w:rPr>
          <w:rFonts w:eastAsia="Times New Roman" w:cs="Times New Roman"/>
          <w:szCs w:val="24"/>
          <w:highlight w:val="white"/>
          <w:lang w:val="en-GB"/>
        </w:rPr>
        <w:t xml:space="preserve">using </w:t>
      </w:r>
      <w:r w:rsidR="002121AD" w:rsidRPr="00571EA4">
        <w:rPr>
          <w:rFonts w:eastAsia="Times New Roman" w:cs="Times New Roman"/>
          <w:szCs w:val="24"/>
          <w:highlight w:val="white"/>
          <w:lang w:val="en-GB"/>
        </w:rPr>
        <w:t>Patient Health Questionnaire (</w:t>
      </w:r>
      <w:r w:rsidRPr="00571EA4">
        <w:rPr>
          <w:rFonts w:eastAsia="Times New Roman" w:cs="Times New Roman"/>
          <w:szCs w:val="24"/>
          <w:highlight w:val="white"/>
          <w:lang w:val="en-GB"/>
        </w:rPr>
        <w:t>PHQ</w:t>
      </w:r>
      <w:r w:rsidR="002121AD" w:rsidRPr="00571EA4">
        <w:rPr>
          <w:rFonts w:eastAsia="Times New Roman" w:cs="Times New Roman"/>
          <w:szCs w:val="24"/>
          <w:highlight w:val="white"/>
          <w:lang w:val="en-GB"/>
        </w:rPr>
        <w:t>)</w:t>
      </w:r>
      <w:r w:rsidRPr="00571EA4">
        <w:rPr>
          <w:rFonts w:eastAsia="Times New Roman" w:cs="Times New Roman"/>
          <w:szCs w:val="24"/>
          <w:highlight w:val="white"/>
          <w:lang w:val="en-GB"/>
        </w:rPr>
        <w:t xml:space="preserve">-9 and </w:t>
      </w:r>
      <w:r w:rsidR="002121AD" w:rsidRPr="00571EA4">
        <w:rPr>
          <w:rFonts w:eastAsia="Times New Roman" w:cs="Times New Roman"/>
          <w:szCs w:val="24"/>
          <w:highlight w:val="white"/>
          <w:lang w:val="en-GB"/>
        </w:rPr>
        <w:t>Generalized Anxiety Disorder (</w:t>
      </w:r>
      <w:r w:rsidRPr="00571EA4">
        <w:rPr>
          <w:rFonts w:eastAsia="Times New Roman" w:cs="Times New Roman"/>
          <w:szCs w:val="24"/>
          <w:highlight w:val="white"/>
          <w:lang w:val="en-GB"/>
        </w:rPr>
        <w:t>GAD</w:t>
      </w:r>
      <w:r w:rsidR="002121AD" w:rsidRPr="00571EA4">
        <w:rPr>
          <w:rFonts w:eastAsia="Times New Roman" w:cs="Times New Roman"/>
          <w:szCs w:val="24"/>
          <w:highlight w:val="white"/>
          <w:lang w:val="en-GB"/>
        </w:rPr>
        <w:t>)</w:t>
      </w:r>
      <w:r w:rsidRPr="00571EA4">
        <w:rPr>
          <w:rFonts w:eastAsia="Times New Roman" w:cs="Times New Roman"/>
          <w:szCs w:val="24"/>
          <w:highlight w:val="white"/>
          <w:lang w:val="en-GB"/>
        </w:rPr>
        <w:t>-7 questionnaires</w:t>
      </w:r>
      <w:r w:rsidR="002121AD" w:rsidRPr="00571EA4">
        <w:rPr>
          <w:rFonts w:eastAsia="Times New Roman" w:cs="Times New Roman"/>
          <w:szCs w:val="24"/>
          <w:highlight w:val="white"/>
          <w:lang w:val="en-GB"/>
        </w:rPr>
        <w:t>,</w:t>
      </w:r>
      <w:r w:rsidRPr="00571EA4">
        <w:rPr>
          <w:rFonts w:eastAsia="Times New Roman" w:cs="Times New Roman"/>
          <w:szCs w:val="24"/>
          <w:highlight w:val="white"/>
          <w:lang w:val="en-GB"/>
        </w:rPr>
        <w:t xml:space="preserve"> respectively</w:t>
      </w:r>
      <w:r w:rsidR="008671EB" w:rsidRPr="00571EA4">
        <w:rPr>
          <w:rFonts w:eastAsia="Times New Roman" w:cs="Times New Roman"/>
          <w:szCs w:val="24"/>
          <w:lang w:val="en-GB"/>
        </w:rPr>
        <w:t xml:space="preserve"> </w:t>
      </w:r>
      <w:r w:rsidR="007F3BE4" w:rsidRPr="00571EA4">
        <w:rPr>
          <w:rFonts w:eastAsia="Times New Roman" w:cs="Times New Roman"/>
          <w:szCs w:val="24"/>
        </w:rPr>
        <w:fldChar w:fldCharType="begin" w:fldLock="1"/>
      </w:r>
      <w:r w:rsidR="00D613B9" w:rsidRPr="00571EA4">
        <w:rPr>
          <w:rFonts w:eastAsia="Times New Roman" w:cs="Times New Roman"/>
          <w:szCs w:val="24"/>
          <w:lang w:val="en-GB"/>
        </w:rPr>
        <w:instrText>ADDIN CSL_CITATION {"citationItems":[{"id":"ITEM-1","itemData":{"DOI":"10.1192/bjo.2019.100","ISSN":"2056-4724","author":[{"dropping-particle":"","family":"Davis","given":"Katrina A. S.","non-dropping-particle":"","parse-names":false,"suffix":""},{"dropping-particle":"","family":"Coleman","given":"Jonathan R. I.","non-dropping-particle":"","parse-names":false,"suffix":""},{"dropping-particle":"","family":"Adams","given":"Mark","non-dropping-particle":"","parse-names":false,"suffix":""},{"dropping-particle":"","family":"Allen","given":"Naomi","non-dropping-particle":"","parse-names":false,"suffix":""},{"dropping-particle":"","family":"Breen","given":"Gerome","non-dropping-particle":"","parse-names":false,"suffix":""},{"dropping-particle":"","family":"Cullen","given":"Breda","non-dropping-particle":"","parse-names":false,"suffix":""},{"dropping-particle":"","family":"Dickens","given":"Chris","non-dropping-particle":"","parse-names":false,"suffix":""},{"dropping-particle":"","family":"Fox","given":"Elaine","non-dropping-particle":"","parse-names":false,"suffix":""},{"dropping-particle":"","family":"Graham","given":"Nick","non-dropping-particle":"","parse-names":false,"suffix":""},{"dropping-particle":"","family":"Holliday","given":"Jo","non-dropping-particle":"","parse-names":false,"suffix":""},{"dropping-particle":"","family":"Howard","given":"Louise M.","non-dropping-particle":"","parse-names":false,"suffix":""},{"dropping-particle":"","family":"John","given":"Ann","non-dropping-particle":"","parse-names":false,"suffix":""},{"dropping-particle":"","family":"Lee","given":"William","non-dropping-particle":"","parse-names":false,"suffix":""},{"dropping-particle":"","family":"McCabe","given":"Rose","non-dropping-particle":"","parse-names":false,"suffix":""},{"dropping-particle":"","family":"McIntosh","given":"Andrew","non-dropping-particle":"","parse-names":false,"suffix":""},{"dropping-particle":"","family":"Pearsall","given":"Robert","non-dropping-particle":"","parse-names":false,"suffix":""},{"dropping-particle":"","family":"Smith","given":"Daniel J.","non-dropping-particle":"","parse-names":false,"suffix":""},{"dropping-particle":"","family":"Sudlow","given":"Cathie","non-dropping-particle":"","parse-names":false,"suffix":""},{"dropping-particle":"","family":"Ward","given":"Joey","non-dropping-particle":"","parse-names":false,"suffix":""},{"dropping-particle":"","family":"Zammit","given":"Stan","non-dropping-particle":"","parse-names":false,"suffix":""},{"dropping-particle":"","family":"Hotopf","given":"Matthew","non-dropping-particle":"","parse-names":false,"suffix":""}],"container-title":"BJPsych Open","id":"ITEM-1","issue":"2","issued":{"date-parts":[["2020","3"]]},"page":"e18","title":"Mental health in UK Biobank – development, implementation and results from an online questionnaire completed by 157 366 participants: a reanalysis","type":"article-journal","volume":"6"},"uris":["http://www.mendeley.com/documents/?uuid=e1c106b0-98e2-45b6-ab4c-0920e01fb77a","http://www.mendeley.com/documents/?uuid=aa4cc135-9cda-4b8b-99ae-35ffebe20edf"]}],"mendeley":{"formattedCitation":"[24]","plainTextFormattedCitation":"[24]","previouslyFormattedCitation":"[24]"},"properties":{"noteIndex":0},"schema":"https://github.com/citation-style-language/schema/raw/master/csl-citation.json"}</w:instrText>
      </w:r>
      <w:r w:rsidR="007F3BE4" w:rsidRPr="00571EA4">
        <w:rPr>
          <w:rFonts w:eastAsia="Times New Roman" w:cs="Times New Roman"/>
          <w:szCs w:val="24"/>
        </w:rPr>
        <w:fldChar w:fldCharType="separate"/>
      </w:r>
      <w:r w:rsidR="00AF5060" w:rsidRPr="00571EA4">
        <w:rPr>
          <w:rFonts w:eastAsia="Times New Roman" w:cs="Times New Roman"/>
          <w:noProof/>
          <w:szCs w:val="24"/>
          <w:lang w:val="en-GB"/>
        </w:rPr>
        <w:t>[24]</w:t>
      </w:r>
      <w:r w:rsidR="007F3BE4" w:rsidRPr="00571EA4">
        <w:rPr>
          <w:rFonts w:eastAsia="Times New Roman" w:cs="Times New Roman"/>
          <w:szCs w:val="24"/>
        </w:rPr>
        <w:fldChar w:fldCharType="end"/>
      </w:r>
      <w:r w:rsidR="008671EB" w:rsidRPr="00571EA4">
        <w:rPr>
          <w:rFonts w:eastAsia="Times New Roman" w:cs="Times New Roman"/>
          <w:szCs w:val="24"/>
        </w:rPr>
        <w:t>.</w:t>
      </w:r>
      <w:r w:rsidR="00A24B87" w:rsidRPr="00571EA4">
        <w:rPr>
          <w:rFonts w:eastAsia="Times New Roman" w:cs="Times New Roman"/>
          <w:szCs w:val="24"/>
          <w:lang w:val="en-GB"/>
        </w:rPr>
        <w:t xml:space="preserve"> </w:t>
      </w:r>
      <w:r w:rsidRPr="00571EA4">
        <w:rPr>
          <w:rFonts w:eastAsia="Times New Roman" w:cs="Times New Roman"/>
          <w:szCs w:val="24"/>
          <w:lang w:val="en-GB"/>
        </w:rPr>
        <w:t>We identi</w:t>
      </w:r>
      <w:r w:rsidR="00C617E6" w:rsidRPr="00571EA4">
        <w:rPr>
          <w:rFonts w:eastAsia="Times New Roman" w:cs="Times New Roman"/>
          <w:szCs w:val="24"/>
          <w:lang w:val="en-GB"/>
        </w:rPr>
        <w:t>f</w:t>
      </w:r>
      <w:r w:rsidR="00116A04" w:rsidRPr="00571EA4">
        <w:rPr>
          <w:rFonts w:eastAsia="Times New Roman" w:cs="Times New Roman"/>
          <w:szCs w:val="24"/>
          <w:lang w:val="en-GB"/>
        </w:rPr>
        <w:t>i</w:t>
      </w:r>
      <w:r w:rsidRPr="00571EA4">
        <w:rPr>
          <w:rFonts w:eastAsia="Times New Roman" w:cs="Times New Roman"/>
          <w:szCs w:val="24"/>
          <w:lang w:val="en-GB"/>
        </w:rPr>
        <w:t xml:space="preserve">ed similar items from </w:t>
      </w:r>
      <w:r w:rsidR="00A24B87" w:rsidRPr="00571EA4">
        <w:rPr>
          <w:rFonts w:eastAsia="Times New Roman" w:cs="Times New Roman"/>
          <w:szCs w:val="24"/>
          <w:highlight w:val="white"/>
          <w:lang w:val="en-GB"/>
        </w:rPr>
        <w:t>NESDA</w:t>
      </w:r>
      <w:r w:rsidRPr="00571EA4">
        <w:rPr>
          <w:rFonts w:eastAsia="Times New Roman" w:cs="Times New Roman"/>
          <w:szCs w:val="24"/>
          <w:highlight w:val="white"/>
          <w:lang w:val="en-GB"/>
        </w:rPr>
        <w:t xml:space="preserve"> that were assessed by </w:t>
      </w:r>
      <w:r w:rsidR="00A24B87" w:rsidRPr="00571EA4">
        <w:rPr>
          <w:rFonts w:eastAsia="Times New Roman" w:cs="Times New Roman"/>
          <w:szCs w:val="24"/>
          <w:highlight w:val="white"/>
          <w:lang w:val="en-GB"/>
        </w:rPr>
        <w:t>different questionnaires</w:t>
      </w:r>
      <w:r w:rsidR="004E49F1" w:rsidRPr="00571EA4">
        <w:rPr>
          <w:rFonts w:eastAsia="Times New Roman" w:cs="Times New Roman"/>
          <w:szCs w:val="24"/>
          <w:highlight w:val="white"/>
          <w:lang w:val="en-GB"/>
        </w:rPr>
        <w:t xml:space="preserve"> (</w:t>
      </w:r>
      <w:r w:rsidR="000610F5" w:rsidRPr="00571EA4">
        <w:rPr>
          <w:rFonts w:eastAsia="Times New Roman" w:cs="Times New Roman"/>
          <w:szCs w:val="24"/>
          <w:highlight w:val="white"/>
          <w:lang w:val="en-GB"/>
        </w:rPr>
        <w:t xml:space="preserve">i.e., </w:t>
      </w:r>
      <w:r w:rsidR="004E49F1" w:rsidRPr="00571EA4">
        <w:rPr>
          <w:color w:val="000000"/>
          <w:lang w:val="en-GB"/>
        </w:rPr>
        <w:t>Inventory of Depressive Symptomatology [IDS-SR</w:t>
      </w:r>
      <w:r w:rsidR="004E49F1" w:rsidRPr="00571EA4">
        <w:rPr>
          <w:color w:val="000000"/>
          <w:vertAlign w:val="subscript"/>
          <w:lang w:val="en-GB"/>
        </w:rPr>
        <w:t>30</w:t>
      </w:r>
      <w:r w:rsidR="004E49F1" w:rsidRPr="00571EA4">
        <w:rPr>
          <w:color w:val="000000"/>
          <w:lang w:val="en-GB"/>
        </w:rPr>
        <w:t xml:space="preserve">], Beck Anxiety </w:t>
      </w:r>
      <w:r w:rsidR="004E49F1" w:rsidRPr="00571EA4">
        <w:rPr>
          <w:color w:val="000000"/>
          <w:lang w:val="en-GB"/>
        </w:rPr>
        <w:lastRenderedPageBreak/>
        <w:t>Inventory [BAI] &amp; Penn State Worry Questionnaire [PSWQ]</w:t>
      </w:r>
      <w:r w:rsidR="004E49F1" w:rsidRPr="00571EA4">
        <w:rPr>
          <w:rFonts w:eastAsia="Times New Roman" w:cs="Times New Roman"/>
          <w:szCs w:val="24"/>
          <w:highlight w:val="white"/>
          <w:lang w:val="en-GB"/>
        </w:rPr>
        <w:t>)</w:t>
      </w:r>
      <w:r w:rsidR="0091596A" w:rsidRPr="00571EA4">
        <w:rPr>
          <w:highlight w:val="white"/>
          <w:lang w:val="en-GB"/>
        </w:rPr>
        <w:t xml:space="preserve"> at baseline, 2- and 6-year follow-up</w:t>
      </w:r>
      <w:r w:rsidR="004E49F1" w:rsidRPr="00571EA4">
        <w:rPr>
          <w:rFonts w:eastAsia="Times New Roman" w:cs="Times New Roman"/>
          <w:szCs w:val="24"/>
          <w:highlight w:val="white"/>
          <w:lang w:val="en-GB"/>
        </w:rPr>
        <w:t>.</w:t>
      </w:r>
      <w:r w:rsidR="00A24B87" w:rsidRPr="00571EA4">
        <w:rPr>
          <w:rFonts w:eastAsia="Times New Roman" w:cs="Times New Roman"/>
          <w:szCs w:val="24"/>
          <w:highlight w:val="white"/>
          <w:lang w:val="en-GB"/>
        </w:rPr>
        <w:t xml:space="preserve"> Items coding similar domains (e.g., anhedonia assessed as lack of “general interest” and “capacity for pleasure”) and items coding specific </w:t>
      </w:r>
      <w:proofErr w:type="spellStart"/>
      <w:r w:rsidR="00A24B87" w:rsidRPr="00571EA4">
        <w:rPr>
          <w:rFonts w:eastAsia="Times New Roman" w:cs="Times New Roman"/>
          <w:szCs w:val="24"/>
          <w:highlight w:val="white"/>
          <w:lang w:val="en-GB"/>
        </w:rPr>
        <w:t>neurovegetative</w:t>
      </w:r>
      <w:proofErr w:type="spellEnd"/>
      <w:r w:rsidR="00A24B87" w:rsidRPr="00571EA4">
        <w:rPr>
          <w:rFonts w:eastAsia="Times New Roman" w:cs="Times New Roman"/>
          <w:szCs w:val="24"/>
          <w:highlight w:val="white"/>
          <w:lang w:val="en-GB"/>
        </w:rPr>
        <w:t xml:space="preserve"> symptoms (e.g., </w:t>
      </w:r>
      <w:r w:rsidR="00825717" w:rsidRPr="00571EA4">
        <w:rPr>
          <w:rFonts w:eastAsia="Times New Roman" w:cs="Times New Roman"/>
          <w:szCs w:val="24"/>
          <w:highlight w:val="white"/>
          <w:lang w:val="en-GB"/>
        </w:rPr>
        <w:t>sleeping</w:t>
      </w:r>
      <w:r w:rsidR="00A24B87" w:rsidRPr="00571EA4">
        <w:rPr>
          <w:rFonts w:eastAsia="Times New Roman" w:cs="Times New Roman"/>
          <w:szCs w:val="24"/>
          <w:highlight w:val="white"/>
          <w:lang w:val="en-GB"/>
        </w:rPr>
        <w:t xml:space="preserve"> problems separately measured as “increased” or “decreased” sleep) were conflated to </w:t>
      </w:r>
      <w:r w:rsidR="0060328E" w:rsidRPr="00571EA4">
        <w:rPr>
          <w:rFonts w:eastAsia="Times New Roman" w:cs="Times New Roman"/>
          <w:szCs w:val="24"/>
          <w:highlight w:val="white"/>
          <w:lang w:val="en-GB"/>
        </w:rPr>
        <w:t xml:space="preserve">align </w:t>
      </w:r>
      <w:r w:rsidR="00A24B87" w:rsidRPr="00571EA4">
        <w:rPr>
          <w:rFonts w:eastAsia="Times New Roman" w:cs="Times New Roman"/>
          <w:szCs w:val="24"/>
          <w:highlight w:val="white"/>
          <w:lang w:val="en-GB"/>
        </w:rPr>
        <w:t>th</w:t>
      </w:r>
      <w:r w:rsidR="0060328E" w:rsidRPr="00571EA4">
        <w:rPr>
          <w:rFonts w:eastAsia="Times New Roman" w:cs="Times New Roman"/>
          <w:szCs w:val="24"/>
          <w:highlight w:val="white"/>
          <w:lang w:val="en-GB"/>
        </w:rPr>
        <w:t>e</w:t>
      </w:r>
      <w:r w:rsidR="00A24B87" w:rsidRPr="00571EA4">
        <w:rPr>
          <w:rFonts w:eastAsia="Times New Roman" w:cs="Times New Roman"/>
          <w:szCs w:val="24"/>
          <w:highlight w:val="white"/>
          <w:lang w:val="en-GB"/>
        </w:rPr>
        <w:t xml:space="preserve">se </w:t>
      </w:r>
      <w:r w:rsidR="0060328E" w:rsidRPr="00571EA4">
        <w:rPr>
          <w:rFonts w:eastAsia="Times New Roman" w:cs="Times New Roman"/>
          <w:szCs w:val="24"/>
          <w:highlight w:val="white"/>
          <w:lang w:val="en-GB"/>
        </w:rPr>
        <w:t xml:space="preserve">with </w:t>
      </w:r>
      <w:r w:rsidR="00A24B87" w:rsidRPr="00571EA4">
        <w:rPr>
          <w:rFonts w:eastAsia="Times New Roman" w:cs="Times New Roman"/>
          <w:szCs w:val="24"/>
          <w:highlight w:val="white"/>
          <w:lang w:val="en-GB"/>
        </w:rPr>
        <w:t>UK</w:t>
      </w:r>
      <w:r w:rsidR="001519B7" w:rsidRPr="00571EA4">
        <w:rPr>
          <w:rFonts w:eastAsia="Times New Roman" w:cs="Times New Roman"/>
          <w:szCs w:val="24"/>
          <w:highlight w:val="white"/>
          <w:lang w:val="en-GB"/>
        </w:rPr>
        <w:t>B</w:t>
      </w:r>
      <w:r w:rsidR="00171987" w:rsidRPr="00571EA4">
        <w:rPr>
          <w:rFonts w:eastAsia="Times New Roman" w:cs="Times New Roman"/>
          <w:szCs w:val="24"/>
          <w:highlight w:val="white"/>
          <w:lang w:val="en-GB"/>
        </w:rPr>
        <w:t xml:space="preserve"> </w:t>
      </w:r>
      <w:r w:rsidR="0060328E" w:rsidRPr="00571EA4">
        <w:rPr>
          <w:rFonts w:eastAsia="Times New Roman" w:cs="Times New Roman"/>
          <w:szCs w:val="24"/>
          <w:highlight w:val="white"/>
          <w:lang w:val="en-GB"/>
        </w:rPr>
        <w:t xml:space="preserve">data </w:t>
      </w:r>
      <w:r w:rsidR="00171987" w:rsidRPr="00571EA4">
        <w:rPr>
          <w:rFonts w:eastAsia="Times New Roman" w:cs="Times New Roman"/>
          <w:szCs w:val="24"/>
          <w:highlight w:val="white"/>
          <w:lang w:val="en-GB"/>
        </w:rPr>
        <w:t>for ease of comparison</w:t>
      </w:r>
      <w:r w:rsidR="00A24B87" w:rsidRPr="00571EA4">
        <w:rPr>
          <w:rFonts w:eastAsia="Times New Roman" w:cs="Times New Roman"/>
          <w:szCs w:val="24"/>
          <w:highlight w:val="white"/>
          <w:lang w:val="en-GB"/>
        </w:rPr>
        <w:t xml:space="preserve">. All symptoms were </w:t>
      </w:r>
      <w:proofErr w:type="spellStart"/>
      <w:r w:rsidR="00A24B87" w:rsidRPr="00571EA4">
        <w:rPr>
          <w:rFonts w:eastAsia="Times New Roman" w:cs="Times New Roman"/>
          <w:szCs w:val="24"/>
          <w:highlight w:val="white"/>
          <w:lang w:val="en-GB"/>
        </w:rPr>
        <w:t>binarised</w:t>
      </w:r>
      <w:proofErr w:type="spellEnd"/>
      <w:r w:rsidR="00A24B87" w:rsidRPr="00571EA4">
        <w:rPr>
          <w:rFonts w:eastAsia="Times New Roman" w:cs="Times New Roman"/>
          <w:szCs w:val="24"/>
          <w:highlight w:val="white"/>
          <w:lang w:val="en-GB"/>
        </w:rPr>
        <w:t xml:space="preserve"> to reflect a measure of any versus no symptom endorsement. For depressive symptoms we also created two summary scores, “psychological” and “somatic”, based on a 2-factor model </w:t>
      </w:r>
      <w:r w:rsidR="00A925B2" w:rsidRPr="00571EA4">
        <w:rPr>
          <w:rFonts w:eastAsia="Times New Roman" w:cs="Times New Roman"/>
          <w:szCs w:val="24"/>
          <w:highlight w:val="white"/>
          <w:lang w:val="en-GB"/>
        </w:rPr>
        <w:t xml:space="preserve">based on reported </w:t>
      </w:r>
      <w:r w:rsidR="00A24B87" w:rsidRPr="00571EA4">
        <w:rPr>
          <w:rFonts w:eastAsia="Times New Roman" w:cs="Times New Roman"/>
          <w:szCs w:val="24"/>
          <w:highlight w:val="white"/>
          <w:lang w:val="en-GB"/>
        </w:rPr>
        <w:t xml:space="preserve">genetic covariance </w:t>
      </w:r>
      <w:r w:rsidR="00A925B2" w:rsidRPr="00571EA4">
        <w:rPr>
          <w:rFonts w:eastAsia="Times New Roman" w:cs="Times New Roman"/>
          <w:szCs w:val="24"/>
          <w:highlight w:val="white"/>
          <w:lang w:val="en-GB"/>
        </w:rPr>
        <w:t xml:space="preserve">among </w:t>
      </w:r>
      <w:r w:rsidR="00287FE1" w:rsidRPr="00571EA4">
        <w:rPr>
          <w:rFonts w:eastAsia="Times New Roman" w:cs="Times New Roman"/>
          <w:szCs w:val="24"/>
          <w:highlight w:val="white"/>
          <w:lang w:val="en-GB"/>
        </w:rPr>
        <w:t>nine</w:t>
      </w:r>
      <w:r w:rsidR="00A24B87" w:rsidRPr="00571EA4">
        <w:rPr>
          <w:rFonts w:eastAsia="Times New Roman" w:cs="Times New Roman"/>
          <w:szCs w:val="24"/>
          <w:highlight w:val="white"/>
          <w:lang w:val="en-GB"/>
        </w:rPr>
        <w:t xml:space="preserve"> </w:t>
      </w:r>
      <w:r w:rsidR="00A925B2" w:rsidRPr="00571EA4">
        <w:rPr>
          <w:rFonts w:eastAsia="Times New Roman" w:cs="Times New Roman"/>
          <w:szCs w:val="24"/>
          <w:highlight w:val="white"/>
          <w:lang w:val="en-GB"/>
        </w:rPr>
        <w:t xml:space="preserve">PHQ-9 </w:t>
      </w:r>
      <w:r w:rsidR="00A24B87" w:rsidRPr="00571EA4">
        <w:rPr>
          <w:rFonts w:eastAsia="Times New Roman" w:cs="Times New Roman"/>
          <w:szCs w:val="24"/>
          <w:highlight w:val="white"/>
          <w:lang w:val="en-GB"/>
        </w:rPr>
        <w:t>symptoms in UK</w:t>
      </w:r>
      <w:r w:rsidR="005435AC" w:rsidRPr="00571EA4">
        <w:rPr>
          <w:rFonts w:eastAsia="Times New Roman" w:cs="Times New Roman"/>
          <w:szCs w:val="24"/>
          <w:highlight w:val="white"/>
          <w:lang w:val="en-GB"/>
        </w:rPr>
        <w:t>B</w:t>
      </w:r>
      <w:r w:rsidR="00DB0C1F" w:rsidRPr="00571EA4">
        <w:rPr>
          <w:rFonts w:eastAsia="Times New Roman" w:cs="Times New Roman"/>
          <w:szCs w:val="24"/>
          <w:highlight w:val="white"/>
          <w:lang w:val="en-GB"/>
        </w:rPr>
        <w:t xml:space="preserve"> </w:t>
      </w:r>
      <w:r w:rsidR="007F3BE4"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{"citationItems":[{"id":"ITEM-1","itemData":{"DOI":"10.1017/S0033291719002526","ISSN":"0033-2917","abstract":"26 Background: Major Depressive Disorder (MDD) is a clinically heterogeneous disorder. Previous 27","author":[{"dropping-particle":"","family":"Thorp","given":"Jackson G","non-dropping-particle":"","parse-names":false,"suffix":""},{"dropping-particle":"","family":"Marees","given":"Andries T","non-dropping-particle":"","parse-names":false,"suffix":""},{"dropping-particle":"","family":"Ong","given":"Jue-Sheng","non-dropping-particle":"","parse-names":false,"suffix":""},{"dropping-particle":"","family":"An","given":"Jiyuan","non-dropping-particle":"","parse-names":false,"suffix":""},{"dropping-particle":"","family":"MacGregor","given":"Stuart","non-dropping-particle":"","parse-names":false,"suffix":""},{"dropping-particle":"","family":"Derks","given":"Eske M","non-dropping-particle":"","parse-names":false,"suffix":""}],"container-title":"Psychological Medicine","id":"ITEM-1","issued":{"date-parts":[["2019","9"]]},"page":"1-12","title":"Genetic heterogeneity in self-reported depressive symptoms identified through genetic analyses of the PHQ-9","type":"article-journal","volume":"9"},"uris":["http://www.mendeley.com/documents/?uuid=02a267b1-d2bb-43f0-83b8-55a76c035122","http://www.mendeley.com/documents/?uuid=a2f10072-5063-404a-a55e-17f14bc3fbf4"]}],"mendeley":{"formattedCitation":"[25]","plainTextFormattedCitation":"[25]","previouslyFormattedCitation":"[25]"},"properties":{"noteIndex":0},"schema":"https://github.com/citation-style-language/schema/raw/master/csl-citation.json"}</w:instrText>
      </w:r>
      <w:r w:rsidR="007F3BE4"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[25]</w:t>
      </w:r>
      <w:r w:rsidR="007F3BE4" w:rsidRPr="00571EA4">
        <w:rPr>
          <w:rFonts w:eastAsia="Times New Roman" w:cs="Times New Roman"/>
          <w:szCs w:val="24"/>
          <w:highlight w:val="white"/>
        </w:rPr>
        <w:fldChar w:fldCharType="end"/>
      </w:r>
      <w:r w:rsidR="00DB0C1F" w:rsidRPr="00571EA4">
        <w:rPr>
          <w:rFonts w:eastAsia="Times New Roman" w:cs="Times New Roman"/>
          <w:szCs w:val="24"/>
          <w:highlight w:val="white"/>
        </w:rPr>
        <w:t>.</w:t>
      </w:r>
      <w:r w:rsidR="00A24B87" w:rsidRPr="00571EA4">
        <w:rPr>
          <w:rFonts w:eastAsia="Times New Roman" w:cs="Times New Roman"/>
          <w:szCs w:val="24"/>
          <w:highlight w:val="white"/>
          <w:lang w:val="en-GB"/>
        </w:rPr>
        <w:t xml:space="preserve"> </w:t>
      </w:r>
    </w:p>
    <w:p w14:paraId="27E307C9" w14:textId="21E833B8" w:rsidR="00A961F7" w:rsidRPr="00571EA4" w:rsidRDefault="00A24B87">
      <w:pPr>
        <w:rPr>
          <w:rFonts w:eastAsia="Times New Roman" w:cs="Times New Roman"/>
          <w:szCs w:val="24"/>
          <w:highlight w:val="white"/>
          <w:lang w:val="en-GB"/>
        </w:rPr>
      </w:pPr>
      <w:r w:rsidRPr="00571EA4">
        <w:rPr>
          <w:rFonts w:eastAsia="Times New Roman" w:cs="Times New Roman"/>
          <w:szCs w:val="24"/>
          <w:highlight w:val="white"/>
          <w:lang w:val="en-GB"/>
        </w:rPr>
        <w:t xml:space="preserve">In extended NESDA analyses, items measuring </w:t>
      </w:r>
      <w:proofErr w:type="spellStart"/>
      <w:r w:rsidRPr="00571EA4">
        <w:rPr>
          <w:rFonts w:eastAsia="Times New Roman" w:cs="Times New Roman"/>
          <w:szCs w:val="24"/>
          <w:highlight w:val="white"/>
          <w:lang w:val="en-GB"/>
        </w:rPr>
        <w:t>neurovegetative</w:t>
      </w:r>
      <w:proofErr w:type="spellEnd"/>
      <w:r w:rsidRPr="00571EA4">
        <w:rPr>
          <w:rFonts w:eastAsia="Times New Roman" w:cs="Times New Roman"/>
          <w:szCs w:val="24"/>
          <w:highlight w:val="white"/>
          <w:lang w:val="en-GB"/>
        </w:rPr>
        <w:t xml:space="preserve"> symptoms were left disaggregated coding for specific alterations. Details on questionnaires, items and coding are in </w:t>
      </w:r>
      <w:r w:rsidR="00BF2220" w:rsidRPr="00571EA4">
        <w:rPr>
          <w:rFonts w:eastAsia="Times New Roman" w:cs="Times New Roman"/>
          <w:szCs w:val="24"/>
          <w:highlight w:val="white"/>
          <w:lang w:val="en-GB"/>
        </w:rPr>
        <w:t>Supplementary Methods</w:t>
      </w:r>
      <w:r w:rsidRPr="00571EA4">
        <w:rPr>
          <w:rFonts w:eastAsia="Times New Roman" w:cs="Times New Roman"/>
          <w:szCs w:val="24"/>
          <w:highlight w:val="white"/>
          <w:lang w:val="en-GB"/>
        </w:rPr>
        <w:t xml:space="preserve"> and </w:t>
      </w:r>
      <w:r w:rsidR="00BF2220" w:rsidRPr="00571EA4">
        <w:rPr>
          <w:rFonts w:eastAsia="Times New Roman" w:cs="Times New Roman"/>
          <w:szCs w:val="24"/>
          <w:highlight w:val="white"/>
          <w:lang w:val="en-GB"/>
        </w:rPr>
        <w:t>Supplementary Table</w:t>
      </w:r>
      <w:r w:rsidRPr="00571EA4">
        <w:rPr>
          <w:rFonts w:eastAsia="Times New Roman" w:cs="Times New Roman"/>
          <w:szCs w:val="24"/>
          <w:highlight w:val="white"/>
          <w:lang w:val="en-GB"/>
        </w:rPr>
        <w:t xml:space="preserve"> 1. </w:t>
      </w:r>
    </w:p>
    <w:p w14:paraId="27E307CA" w14:textId="77777777" w:rsidR="00A961F7" w:rsidRPr="00571EA4" w:rsidRDefault="00A24B87" w:rsidP="009E17F4">
      <w:pPr>
        <w:pStyle w:val="Heading2"/>
        <w:rPr>
          <w:lang w:val="en-GB"/>
        </w:rPr>
      </w:pPr>
      <w:bookmarkStart w:id="7" w:name="_3o7by3re7ry9" w:colFirst="0" w:colLast="0"/>
      <w:bookmarkEnd w:id="7"/>
      <w:r w:rsidRPr="00571EA4">
        <w:rPr>
          <w:lang w:val="en-GB"/>
        </w:rPr>
        <w:t>Inflammatory markers</w:t>
      </w:r>
    </w:p>
    <w:p w14:paraId="27E307CB" w14:textId="0EE45FA5" w:rsidR="00A961F7" w:rsidRPr="00571EA4" w:rsidRDefault="00A24B87" w:rsidP="009E17F4">
      <w:pPr>
        <w:rPr>
          <w:highlight w:val="white"/>
          <w:lang w:val="en-GB"/>
        </w:rPr>
      </w:pPr>
      <w:r w:rsidRPr="00571EA4">
        <w:rPr>
          <w:highlight w:val="white"/>
          <w:lang w:val="en-GB"/>
        </w:rPr>
        <w:t>In both UK</w:t>
      </w:r>
      <w:r w:rsidR="0079326B" w:rsidRPr="00571EA4">
        <w:rPr>
          <w:highlight w:val="white"/>
          <w:lang w:val="en-GB"/>
        </w:rPr>
        <w:t>B</w:t>
      </w:r>
      <w:r w:rsidRPr="00571EA4">
        <w:rPr>
          <w:highlight w:val="white"/>
          <w:lang w:val="en-GB"/>
        </w:rPr>
        <w:t xml:space="preserve"> and NESDA</w:t>
      </w:r>
      <w:r w:rsidR="00F52A95" w:rsidRPr="00571EA4">
        <w:rPr>
          <w:highlight w:val="white"/>
          <w:lang w:val="en-GB"/>
        </w:rPr>
        <w:t>,</w:t>
      </w:r>
      <w:r w:rsidRPr="00571EA4">
        <w:rPr>
          <w:highlight w:val="white"/>
          <w:lang w:val="en-GB"/>
        </w:rPr>
        <w:t xml:space="preserve"> circulating CRP </w:t>
      </w:r>
      <w:r w:rsidR="000F0F5C" w:rsidRPr="00571EA4">
        <w:rPr>
          <w:highlight w:val="white"/>
          <w:lang w:val="en-GB"/>
        </w:rPr>
        <w:t xml:space="preserve">levels </w:t>
      </w:r>
      <w:r w:rsidRPr="00571EA4">
        <w:rPr>
          <w:highlight w:val="white"/>
          <w:lang w:val="en-GB"/>
        </w:rPr>
        <w:t xml:space="preserve">were measured using high-sensitivity assays. In NESDA, circulating IL-6 </w:t>
      </w:r>
      <w:r w:rsidR="000F0F5C" w:rsidRPr="00571EA4">
        <w:rPr>
          <w:highlight w:val="white"/>
          <w:lang w:val="en-GB"/>
        </w:rPr>
        <w:t xml:space="preserve">levels </w:t>
      </w:r>
      <w:r w:rsidRPr="00571EA4">
        <w:rPr>
          <w:highlight w:val="white"/>
          <w:lang w:val="en-GB"/>
        </w:rPr>
        <w:t>were additionally available, and both inflammatory markers were assessed at baseline, 2- and 6-year follow-up</w:t>
      </w:r>
      <w:r w:rsidR="000F0F5C" w:rsidRPr="00571EA4">
        <w:rPr>
          <w:lang w:val="en-GB"/>
        </w:rPr>
        <w:t xml:space="preserve"> which were modelled in repeated-measurement analyses</w:t>
      </w:r>
      <w:r w:rsidRPr="00571EA4">
        <w:rPr>
          <w:highlight w:val="white"/>
          <w:lang w:val="en-GB"/>
        </w:rPr>
        <w:t>. Details on blood sampling and technical</w:t>
      </w:r>
      <w:r w:rsidR="005B4333" w:rsidRPr="00571EA4">
        <w:rPr>
          <w:highlight w:val="white"/>
          <w:lang w:val="en-GB"/>
        </w:rPr>
        <w:t xml:space="preserve"> assay</w:t>
      </w:r>
      <w:r w:rsidRPr="00571EA4">
        <w:rPr>
          <w:highlight w:val="white"/>
          <w:lang w:val="en-GB"/>
        </w:rPr>
        <w:t xml:space="preserve"> features are described </w:t>
      </w:r>
      <w:r w:rsidR="00851492" w:rsidRPr="00571EA4">
        <w:rPr>
          <w:highlight w:val="white"/>
          <w:lang w:val="en-GB"/>
        </w:rPr>
        <w:t xml:space="preserve">in </w:t>
      </w:r>
      <w:r w:rsidR="00BF2220" w:rsidRPr="00571EA4">
        <w:rPr>
          <w:highlight w:val="white"/>
          <w:lang w:val="en-GB"/>
        </w:rPr>
        <w:t>Supplementary Methods</w:t>
      </w:r>
      <w:r w:rsidRPr="00571EA4">
        <w:rPr>
          <w:highlight w:val="white"/>
          <w:lang w:val="en-GB"/>
        </w:rPr>
        <w:t>.</w:t>
      </w:r>
    </w:p>
    <w:p w14:paraId="27E307CC" w14:textId="77777777" w:rsidR="00A961F7" w:rsidRPr="00571EA4" w:rsidRDefault="00A24B87" w:rsidP="009E17F4">
      <w:pPr>
        <w:pStyle w:val="Heading2"/>
        <w:rPr>
          <w:lang w:val="en-GB"/>
        </w:rPr>
      </w:pPr>
      <w:bookmarkStart w:id="8" w:name="_xbxmfe8if09p" w:colFirst="0" w:colLast="0"/>
      <w:bookmarkEnd w:id="8"/>
      <w:r w:rsidRPr="00571EA4">
        <w:rPr>
          <w:lang w:val="en-GB"/>
        </w:rPr>
        <w:t>Covariates</w:t>
      </w:r>
    </w:p>
    <w:p w14:paraId="27E307CD" w14:textId="1AB16411" w:rsidR="00A961F7" w:rsidRPr="00571EA4" w:rsidRDefault="00A24B87">
      <w:pPr>
        <w:rPr>
          <w:rFonts w:eastAsia="Times New Roman" w:cs="Times New Roman"/>
          <w:szCs w:val="24"/>
          <w:highlight w:val="white"/>
          <w:lang w:val="en-GB"/>
        </w:rPr>
      </w:pPr>
      <w:r w:rsidRPr="00571EA4">
        <w:rPr>
          <w:rFonts w:eastAsia="Times New Roman" w:cs="Times New Roman"/>
          <w:szCs w:val="24"/>
          <w:lang w:val="en-GB"/>
        </w:rPr>
        <w:t xml:space="preserve">The same set of covariates was considered in both </w:t>
      </w:r>
      <w:r w:rsidR="007709DF" w:rsidRPr="00571EA4">
        <w:rPr>
          <w:rFonts w:eastAsia="Times New Roman" w:cs="Times New Roman"/>
          <w:szCs w:val="24"/>
          <w:lang w:val="en-GB"/>
        </w:rPr>
        <w:t>cohorts, which</w:t>
      </w:r>
      <w:r w:rsidRPr="00571EA4">
        <w:rPr>
          <w:rFonts w:eastAsia="Times New Roman" w:cs="Times New Roman"/>
          <w:szCs w:val="24"/>
          <w:lang w:val="en-GB"/>
        </w:rPr>
        <w:t xml:space="preserve"> included age, sex, socioeconomic status (SES), smoking</w:t>
      </w:r>
      <w:r w:rsidR="00640F0B" w:rsidRPr="00571EA4">
        <w:rPr>
          <w:rFonts w:eastAsia="Times New Roman" w:cs="Times New Roman"/>
          <w:szCs w:val="24"/>
          <w:lang w:val="en-GB"/>
        </w:rPr>
        <w:t xml:space="preserve"> (current/former/never)</w:t>
      </w:r>
      <w:r w:rsidRPr="00571EA4">
        <w:rPr>
          <w:rFonts w:eastAsia="Times New Roman" w:cs="Times New Roman"/>
          <w:szCs w:val="24"/>
          <w:lang w:val="en-GB"/>
        </w:rPr>
        <w:t xml:space="preserve">, </w:t>
      </w:r>
      <w:r w:rsidR="00640F0B" w:rsidRPr="00571EA4">
        <w:rPr>
          <w:rFonts w:eastAsia="Times New Roman" w:cs="Times New Roman"/>
          <w:szCs w:val="24"/>
          <w:lang w:val="en-GB"/>
        </w:rPr>
        <w:t xml:space="preserve">quantity of </w:t>
      </w:r>
      <w:r w:rsidRPr="00571EA4">
        <w:rPr>
          <w:rFonts w:eastAsia="Times New Roman" w:cs="Times New Roman"/>
          <w:szCs w:val="24"/>
          <w:lang w:val="en-GB"/>
        </w:rPr>
        <w:t xml:space="preserve">alcohol consumption, </w:t>
      </w:r>
      <w:r w:rsidR="00640F0B" w:rsidRPr="00571EA4">
        <w:rPr>
          <w:lang w:val="en-GB"/>
        </w:rPr>
        <w:t xml:space="preserve">type and time spent in </w:t>
      </w:r>
      <w:r w:rsidRPr="00571EA4">
        <w:rPr>
          <w:rFonts w:eastAsia="Times New Roman" w:cs="Times New Roman"/>
          <w:szCs w:val="24"/>
          <w:lang w:val="en-GB"/>
        </w:rPr>
        <w:t xml:space="preserve">physical activity, </w:t>
      </w:r>
      <w:r w:rsidR="00640F0B" w:rsidRPr="00571EA4">
        <w:rPr>
          <w:rFonts w:eastAsia="Times New Roman" w:cs="Times New Roman"/>
          <w:szCs w:val="24"/>
          <w:lang w:val="en-GB"/>
        </w:rPr>
        <w:t xml:space="preserve">lifetime </w:t>
      </w:r>
      <w:r w:rsidRPr="00571EA4">
        <w:rPr>
          <w:rFonts w:eastAsia="Times New Roman" w:cs="Times New Roman"/>
          <w:szCs w:val="24"/>
          <w:lang w:val="en-GB"/>
        </w:rPr>
        <w:t xml:space="preserve">history of </w:t>
      </w:r>
      <w:r w:rsidR="00E12BB1" w:rsidRPr="00571EA4">
        <w:rPr>
          <w:rFonts w:eastAsia="Times New Roman" w:cs="Times New Roman"/>
          <w:szCs w:val="24"/>
          <w:lang w:val="en-GB"/>
        </w:rPr>
        <w:t>type two</w:t>
      </w:r>
      <w:r w:rsidRPr="00571EA4">
        <w:rPr>
          <w:rFonts w:eastAsia="Times New Roman" w:cs="Times New Roman"/>
          <w:szCs w:val="24"/>
          <w:lang w:val="en-GB"/>
        </w:rPr>
        <w:t xml:space="preserve"> </w:t>
      </w:r>
      <w:r w:rsidRPr="00571EA4">
        <w:rPr>
          <w:rFonts w:eastAsia="Times New Roman" w:cs="Times New Roman"/>
          <w:szCs w:val="24"/>
          <w:highlight w:val="white"/>
          <w:lang w:val="en-GB"/>
        </w:rPr>
        <w:t xml:space="preserve">diabetes (T2D) and cardiovascular diseases (CVD), and </w:t>
      </w:r>
      <w:r w:rsidR="00FD5422" w:rsidRPr="00571EA4">
        <w:rPr>
          <w:rFonts w:eastAsia="Times New Roman" w:cs="Times New Roman"/>
          <w:szCs w:val="24"/>
          <w:highlight w:val="white"/>
          <w:lang w:val="en-GB"/>
        </w:rPr>
        <w:t xml:space="preserve">body mass index </w:t>
      </w:r>
      <w:r w:rsidRPr="00571EA4">
        <w:rPr>
          <w:rFonts w:eastAsia="Times New Roman" w:cs="Times New Roman"/>
          <w:szCs w:val="24"/>
          <w:highlight w:val="white"/>
          <w:lang w:val="en-GB"/>
        </w:rPr>
        <w:t>(BMI). SES was measured via the Townsend Deprivation Index (a composite score of deprivation derived from national census data</w:t>
      </w:r>
      <w:r w:rsidR="00AD5A85" w:rsidRPr="00571EA4">
        <w:rPr>
          <w:rFonts w:eastAsia="Times New Roman" w:cs="Times New Roman"/>
          <w:szCs w:val="24"/>
          <w:highlight w:val="white"/>
          <w:lang w:val="en-GB"/>
        </w:rPr>
        <w:t xml:space="preserve"> </w:t>
      </w:r>
      <w:r w:rsidR="002162EB"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ISBN":"0709943512","author":[{"dropping-particle":"","family":"Townsend","given":"Peter","non-dropping-particle":"","parse-names":false,"suffix":""},{"dropping-particle":"","family":"Phillimore","given":"Peter","non-dropping-particle":"","parse-names":false,"suffix":""},{"dropping-particle":"","family":"Beattie","given":"Alastair","non-dropping-particle":"","parse-names":false,"suffix":""}],"id":"ITEM-1","issued":{"date-parts":[["1988"]]},"publisher":"Routledge","title":"Health and deprivation: inequality and the North","type":"book"},"uris":["http://www.mendeley.com/documents/?uuid=7eb9815a-66cd-4918-a176-3fbe18c9e3c9","http://www.mendeley.com/documents/?uuid=b754b1a2-aa81-4329-b529-fab9452c14a8"]}],"mendeley":{"formattedCitation":"[26]","plainTextFormattedCitation":"[26]","previouslyFormattedCitation":"[26]"},"properties":{"noteIndex":0},"schema":"https://github.com/citation-style-language/schema/raw/master/csl-citation.json"}</w:instrText>
      </w:r>
      <w:r w:rsidR="002162EB"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[26]</w:t>
      </w:r>
      <w:r w:rsidR="002162EB" w:rsidRPr="00571EA4">
        <w:rPr>
          <w:rFonts w:eastAsia="Times New Roman" w:cs="Times New Roman"/>
          <w:szCs w:val="24"/>
          <w:highlight w:val="white"/>
        </w:rPr>
        <w:fldChar w:fldCharType="end"/>
      </w:r>
      <w:r w:rsidR="00AD5A85" w:rsidRPr="00571EA4">
        <w:rPr>
          <w:rFonts w:eastAsia="Times New Roman" w:cs="Times New Roman"/>
          <w:szCs w:val="24"/>
          <w:highlight w:val="white"/>
        </w:rPr>
        <w:t>)</w:t>
      </w:r>
      <w:r w:rsidRPr="00571EA4">
        <w:rPr>
          <w:rFonts w:eastAsia="Times New Roman" w:cs="Times New Roman"/>
          <w:szCs w:val="24"/>
          <w:highlight w:val="white"/>
          <w:lang w:val="en-GB"/>
        </w:rPr>
        <w:t xml:space="preserve"> in UK</w:t>
      </w:r>
      <w:r w:rsidR="007709DF" w:rsidRPr="00571EA4">
        <w:rPr>
          <w:rFonts w:eastAsia="Times New Roman" w:cs="Times New Roman"/>
          <w:szCs w:val="24"/>
          <w:highlight w:val="white"/>
          <w:lang w:val="en-GB"/>
        </w:rPr>
        <w:t>B</w:t>
      </w:r>
      <w:r w:rsidRPr="00571EA4">
        <w:rPr>
          <w:rFonts w:eastAsia="Times New Roman" w:cs="Times New Roman"/>
          <w:szCs w:val="24"/>
          <w:highlight w:val="white"/>
          <w:lang w:val="en-GB"/>
        </w:rPr>
        <w:t xml:space="preserve">, and as years of education in NESDA. </w:t>
      </w:r>
      <w:r w:rsidR="00640F0B" w:rsidRPr="00571EA4">
        <w:rPr>
          <w:rFonts w:eastAsia="Times New Roman" w:cs="Times New Roman"/>
          <w:szCs w:val="24"/>
          <w:highlight w:val="white"/>
          <w:lang w:val="en-GB"/>
        </w:rPr>
        <w:t xml:space="preserve">All covariates in NESDA </w:t>
      </w:r>
      <w:r w:rsidR="00640F0B" w:rsidRPr="00571EA4">
        <w:rPr>
          <w:rFonts w:eastAsia="Times New Roman" w:cs="Times New Roman"/>
          <w:szCs w:val="24"/>
          <w:highlight w:val="white"/>
          <w:lang w:val="en-GB"/>
        </w:rPr>
        <w:lastRenderedPageBreak/>
        <w:t xml:space="preserve">were measured at baseline. </w:t>
      </w:r>
      <w:r w:rsidRPr="00571EA4">
        <w:rPr>
          <w:rFonts w:eastAsia="Times New Roman" w:cs="Times New Roman"/>
          <w:szCs w:val="24"/>
          <w:highlight w:val="white"/>
          <w:lang w:val="en-GB"/>
        </w:rPr>
        <w:t xml:space="preserve">Covariate measurements and their distribution are described in </w:t>
      </w:r>
      <w:r w:rsidR="00BF2220" w:rsidRPr="00571EA4">
        <w:rPr>
          <w:rFonts w:eastAsia="Times New Roman" w:cs="Times New Roman"/>
          <w:szCs w:val="24"/>
          <w:highlight w:val="white"/>
          <w:lang w:val="en-GB"/>
        </w:rPr>
        <w:t>Supplementary Methods</w:t>
      </w:r>
      <w:r w:rsidRPr="00571EA4">
        <w:rPr>
          <w:rFonts w:eastAsia="Times New Roman" w:cs="Times New Roman"/>
          <w:szCs w:val="24"/>
          <w:highlight w:val="white"/>
          <w:lang w:val="en-GB"/>
        </w:rPr>
        <w:t xml:space="preserve"> and </w:t>
      </w:r>
      <w:r w:rsidR="00BF2220" w:rsidRPr="00571EA4">
        <w:rPr>
          <w:rFonts w:eastAsia="Times New Roman" w:cs="Times New Roman"/>
          <w:szCs w:val="24"/>
          <w:highlight w:val="white"/>
          <w:lang w:val="en-GB"/>
        </w:rPr>
        <w:t>Supplementary Table</w:t>
      </w:r>
      <w:r w:rsidRPr="00571EA4">
        <w:rPr>
          <w:rFonts w:eastAsia="Times New Roman" w:cs="Times New Roman"/>
          <w:szCs w:val="24"/>
          <w:highlight w:val="white"/>
          <w:lang w:val="en-GB"/>
        </w:rPr>
        <w:t xml:space="preserve">s </w:t>
      </w:r>
      <w:r w:rsidR="00485B0A" w:rsidRPr="00571EA4">
        <w:rPr>
          <w:rFonts w:eastAsia="Times New Roman" w:cs="Times New Roman"/>
          <w:szCs w:val="24"/>
          <w:highlight w:val="white"/>
          <w:lang w:val="en-GB"/>
        </w:rPr>
        <w:t>2 and 3</w:t>
      </w:r>
      <w:r w:rsidRPr="00571EA4">
        <w:rPr>
          <w:rFonts w:eastAsia="Times New Roman" w:cs="Times New Roman"/>
          <w:szCs w:val="24"/>
          <w:highlight w:val="white"/>
          <w:lang w:val="en-GB"/>
        </w:rPr>
        <w:t>.</w:t>
      </w:r>
    </w:p>
    <w:p w14:paraId="27E307CE" w14:textId="45C3C388" w:rsidR="00A961F7" w:rsidRPr="00571EA4" w:rsidRDefault="00A24B87" w:rsidP="009E17F4">
      <w:pPr>
        <w:pStyle w:val="Heading2"/>
        <w:rPr>
          <w:b w:val="0"/>
          <w:lang w:val="en-GB"/>
        </w:rPr>
      </w:pPr>
      <w:bookmarkStart w:id="9" w:name="_4a5cgykeia01" w:colFirst="0" w:colLast="0"/>
      <w:bookmarkEnd w:id="9"/>
      <w:r w:rsidRPr="00571EA4">
        <w:rPr>
          <w:lang w:val="en-GB"/>
        </w:rPr>
        <w:t>Statistical Analysis</w:t>
      </w:r>
    </w:p>
    <w:p w14:paraId="27E307CF" w14:textId="4BFD8A89" w:rsidR="00A961F7" w:rsidRPr="00571EA4" w:rsidRDefault="00A24B87" w:rsidP="009E17F4">
      <w:pPr>
        <w:pStyle w:val="Heading3"/>
        <w:rPr>
          <w:b w:val="0"/>
          <w:lang w:val="en-GB"/>
        </w:rPr>
      </w:pPr>
      <w:bookmarkStart w:id="10" w:name="_5t303eldijtu" w:colFirst="0" w:colLast="0"/>
      <w:bookmarkEnd w:id="10"/>
      <w:r w:rsidRPr="00571EA4">
        <w:rPr>
          <w:lang w:val="en-GB"/>
        </w:rPr>
        <w:t>Cross-cohort analyses of association</w:t>
      </w:r>
      <w:r w:rsidR="008C4762" w:rsidRPr="00571EA4">
        <w:rPr>
          <w:lang w:val="en-GB"/>
        </w:rPr>
        <w:t>s</w:t>
      </w:r>
      <w:r w:rsidRPr="00571EA4">
        <w:rPr>
          <w:lang w:val="en-GB"/>
        </w:rPr>
        <w:t xml:space="preserve"> between CRP and depressive/anxiety symptoms</w:t>
      </w:r>
    </w:p>
    <w:p w14:paraId="27E307D0" w14:textId="337255DB" w:rsidR="00A961F7" w:rsidRPr="00571EA4" w:rsidRDefault="00A24B87" w:rsidP="009E17F4">
      <w:pPr>
        <w:rPr>
          <w:highlight w:val="white"/>
          <w:lang w:val="en-GB"/>
        </w:rPr>
      </w:pPr>
      <w:r w:rsidRPr="00571EA4">
        <w:rPr>
          <w:highlight w:val="white"/>
          <w:lang w:val="en-GB"/>
        </w:rPr>
        <w:t>Association</w:t>
      </w:r>
      <w:r w:rsidR="001700F8" w:rsidRPr="00571EA4">
        <w:rPr>
          <w:highlight w:val="white"/>
          <w:lang w:val="en-GB"/>
        </w:rPr>
        <w:t>s</w:t>
      </w:r>
      <w:r w:rsidRPr="00571EA4">
        <w:rPr>
          <w:highlight w:val="white"/>
          <w:lang w:val="en-GB"/>
        </w:rPr>
        <w:t xml:space="preserve"> between CRP levels and depressive/anxiety symptoms w</w:t>
      </w:r>
      <w:r w:rsidR="001700F8" w:rsidRPr="00571EA4">
        <w:rPr>
          <w:highlight w:val="white"/>
          <w:lang w:val="en-GB"/>
        </w:rPr>
        <w:t>ere</w:t>
      </w:r>
      <w:r w:rsidRPr="00571EA4">
        <w:rPr>
          <w:highlight w:val="white"/>
          <w:lang w:val="en-GB"/>
        </w:rPr>
        <w:t xml:space="preserve"> estimated by regressing individual symptoms and summary sc</w:t>
      </w:r>
      <w:r w:rsidR="007709DF" w:rsidRPr="00571EA4">
        <w:rPr>
          <w:highlight w:val="white"/>
          <w:lang w:val="en-GB"/>
        </w:rPr>
        <w:t>ores</w:t>
      </w:r>
      <w:r w:rsidRPr="00571EA4">
        <w:rPr>
          <w:highlight w:val="white"/>
          <w:lang w:val="en-GB"/>
        </w:rPr>
        <w:t xml:space="preserve"> on log-transformed values of CRP. Details of statistical models are given in </w:t>
      </w:r>
      <w:r w:rsidR="00BF2220" w:rsidRPr="00571EA4">
        <w:rPr>
          <w:highlight w:val="white"/>
          <w:lang w:val="en-GB"/>
        </w:rPr>
        <w:t>Supplementary Methods</w:t>
      </w:r>
      <w:r w:rsidRPr="00571EA4">
        <w:rPr>
          <w:highlight w:val="white"/>
          <w:lang w:val="en-GB"/>
        </w:rPr>
        <w:t xml:space="preserve">. In order to explore the impact of covariates on the association between CRP and symptoms, estimates were adjusted for age, sex and SES (Model 1), additionally adjusted for </w:t>
      </w:r>
      <w:r w:rsidRPr="00571EA4">
        <w:rPr>
          <w:lang w:val="en-GB"/>
        </w:rPr>
        <w:t xml:space="preserve">smoking, alcohol consumption, physical activity and </w:t>
      </w:r>
      <w:r w:rsidRPr="00571EA4">
        <w:rPr>
          <w:highlight w:val="white"/>
          <w:lang w:val="en-GB"/>
        </w:rPr>
        <w:t xml:space="preserve">T2D/CVD (Model 2), and additionally adjusted for BMI (Model 3). </w:t>
      </w:r>
    </w:p>
    <w:p w14:paraId="27E307D1" w14:textId="6A632D24" w:rsidR="00A961F7" w:rsidRPr="00571EA4" w:rsidRDefault="00A24B87">
      <w:pPr>
        <w:rPr>
          <w:rFonts w:eastAsia="Times New Roman" w:cs="Times New Roman"/>
          <w:szCs w:val="24"/>
          <w:highlight w:val="white"/>
          <w:lang w:val="en-GB"/>
        </w:rPr>
      </w:pPr>
      <w:r w:rsidRPr="00571EA4">
        <w:rPr>
          <w:rFonts w:eastAsia="Times New Roman" w:cs="Times New Roman"/>
          <w:szCs w:val="24"/>
          <w:highlight w:val="white"/>
          <w:lang w:val="en-GB"/>
        </w:rPr>
        <w:t xml:space="preserve">Cohort-specific estimates were pooled using random-effects meta-analysis with the </w:t>
      </w:r>
      <w:proofErr w:type="spellStart"/>
      <w:r w:rsidRPr="00571EA4">
        <w:rPr>
          <w:rFonts w:eastAsia="Times New Roman" w:cs="Times New Roman"/>
          <w:szCs w:val="24"/>
          <w:highlight w:val="white"/>
          <w:lang w:val="en-GB"/>
        </w:rPr>
        <w:t>DerSimonian</w:t>
      </w:r>
      <w:proofErr w:type="spellEnd"/>
      <w:r w:rsidRPr="00571EA4">
        <w:rPr>
          <w:rFonts w:eastAsia="Times New Roman" w:cs="Times New Roman"/>
          <w:szCs w:val="24"/>
          <w:highlight w:val="white"/>
          <w:lang w:val="en-GB"/>
        </w:rPr>
        <w:t xml:space="preserve"> and Laird method</w:t>
      </w:r>
      <w:r w:rsidR="004C4EB1" w:rsidRPr="00571EA4">
        <w:rPr>
          <w:rFonts w:eastAsia="Times New Roman" w:cs="Times New Roman"/>
          <w:szCs w:val="24"/>
          <w:lang w:val="en-GB"/>
        </w:rPr>
        <w:t xml:space="preserve"> </w:t>
      </w:r>
      <w:r w:rsidR="00B92763" w:rsidRPr="00571EA4">
        <w:rPr>
          <w:rFonts w:eastAsia="Times New Roman" w:cs="Times New Roman"/>
          <w:szCs w:val="24"/>
        </w:rPr>
        <w:fldChar w:fldCharType="begin" w:fldLock="1"/>
      </w:r>
      <w:r w:rsidR="00D613B9" w:rsidRPr="00571EA4">
        <w:rPr>
          <w:rFonts w:eastAsia="Times New Roman" w:cs="Times New Roman"/>
          <w:szCs w:val="24"/>
          <w:lang w:val="en-GB"/>
        </w:rPr>
        <w:instrText>ADDIN CSL_CITATION {"citationItems":[{"id":"ITEM-1","itemData":{"DOI":"10.1016/0197-2456(86)90046-2","ISBN":"1617432105","ISSN":"01972456","PMID":"3802833","abstract":"This paper examines eight published reviews each reporting results from several related trials. Each review pools the results from the relevant trials in order to evaluate the efficacy of a certain treatment for a specified medical condition. These reviews lack consistent assessment of homogeneity of treatment effect before pooling. We discuss a random effects approach to combining evidence from a series of experiments comparing two treatments. This approach incorporates the heterogeneity of effects in the analysis of the overall treatment efficacy. The model can be extended to include relevant covariates which would reduce the heterogeneity and allow for more specific therapeutic recommendations. We suggest a simple noniterative procedure for characterizing the distribution of treatment effects in a series of studies. © 1986.","author":[{"dropping-particle":"","family":"DerSimonian","given":"Rebecca","non-dropping-particle":"","parse-names":false,"suffix":""},{"dropping-particle":"","family":"Laird","given":"Nan","non-dropping-particle":"","parse-names":false,"suffix":""}],"container-title":"Controlled Clinical Trials","id":"ITEM-1","issue":"3","issued":{"date-parts":[["1986","11"]]},"page":"177-188","publisher":"Elsevier B.V.","title":"Meta-analysis in clinical trials","type":"article-journal","volume":"7"},"uris":["http://www.mendeley.com/documents/?uuid=8a5b011a-67db-4f30-96a2-088963a4bd47","http://www.mendeley.com/documents/?uuid=a17d1bdf-6023-4408-af6d-0cd8dc2f8d96"]}],"mendeley":{"formattedCitation":"[27]","plainTextFormattedCitation":"[27]","previouslyFormattedCitation":"[27]"},"properties":{"noteIndex":0},"schema":"https://github.com/citation-style-language/schema/raw/master/csl-citation.json"}</w:instrText>
      </w:r>
      <w:r w:rsidR="00B92763" w:rsidRPr="00571EA4">
        <w:rPr>
          <w:rFonts w:eastAsia="Times New Roman" w:cs="Times New Roman"/>
          <w:szCs w:val="24"/>
        </w:rPr>
        <w:fldChar w:fldCharType="separate"/>
      </w:r>
      <w:r w:rsidR="00AF5060" w:rsidRPr="00571EA4">
        <w:rPr>
          <w:rFonts w:eastAsia="Times New Roman" w:cs="Times New Roman"/>
          <w:noProof/>
          <w:szCs w:val="24"/>
          <w:lang w:val="en-GB"/>
        </w:rPr>
        <w:t>[27]</w:t>
      </w:r>
      <w:r w:rsidR="00B92763" w:rsidRPr="00571EA4">
        <w:rPr>
          <w:rFonts w:eastAsia="Times New Roman" w:cs="Times New Roman"/>
          <w:szCs w:val="24"/>
        </w:rPr>
        <w:fldChar w:fldCharType="end"/>
      </w:r>
      <w:r w:rsidR="004C4EB1" w:rsidRPr="00571EA4">
        <w:rPr>
          <w:rFonts w:eastAsia="Times New Roman" w:cs="Times New Roman"/>
          <w:szCs w:val="24"/>
        </w:rPr>
        <w:t>.</w:t>
      </w:r>
      <w:r w:rsidRPr="00571EA4">
        <w:rPr>
          <w:rFonts w:eastAsia="Times New Roman" w:cs="Times New Roman"/>
          <w:szCs w:val="24"/>
          <w:lang w:val="en-GB"/>
        </w:rPr>
        <w:t xml:space="preserve"> For each model, False-Discovery Rate (FDR) q-values were calculated taking</w:t>
      </w:r>
      <w:r w:rsidRPr="00571EA4">
        <w:rPr>
          <w:rFonts w:eastAsia="Times New Roman" w:cs="Times New Roman"/>
          <w:szCs w:val="24"/>
          <w:highlight w:val="white"/>
          <w:lang w:val="en-GB"/>
        </w:rPr>
        <w:t xml:space="preserve"> into account testing across 16 symptoms and 2 summary scales.</w:t>
      </w:r>
    </w:p>
    <w:p w14:paraId="27E307D2" w14:textId="77777777" w:rsidR="00A961F7" w:rsidRPr="00571EA4" w:rsidRDefault="00A24B87" w:rsidP="009E17F4">
      <w:pPr>
        <w:pStyle w:val="Heading3"/>
        <w:rPr>
          <w:lang w:val="en-GB"/>
        </w:rPr>
      </w:pPr>
      <w:bookmarkStart w:id="11" w:name="_4j13hf5d8y7o" w:colFirst="0" w:colLast="0"/>
      <w:bookmarkEnd w:id="11"/>
      <w:r w:rsidRPr="00571EA4">
        <w:rPr>
          <w:lang w:val="en-GB"/>
        </w:rPr>
        <w:t>Extended analyses using IL-6 levels and additional symptoms in NESDA</w:t>
      </w:r>
    </w:p>
    <w:p w14:paraId="27E307D3" w14:textId="3E5A8C22" w:rsidR="00A961F7" w:rsidRPr="00571EA4" w:rsidRDefault="007709DF">
      <w:pPr>
        <w:rPr>
          <w:rFonts w:eastAsia="Times New Roman" w:cs="Times New Roman"/>
          <w:szCs w:val="24"/>
          <w:highlight w:val="white"/>
          <w:lang w:val="en-GB"/>
        </w:rPr>
      </w:pPr>
      <w:r w:rsidRPr="00571EA4">
        <w:rPr>
          <w:rFonts w:eastAsia="Times New Roman" w:cs="Times New Roman"/>
          <w:szCs w:val="24"/>
          <w:highlight w:val="white"/>
          <w:lang w:val="en-GB"/>
        </w:rPr>
        <w:t>I</w:t>
      </w:r>
      <w:r w:rsidR="00A24B87" w:rsidRPr="00571EA4">
        <w:rPr>
          <w:rFonts w:eastAsia="Times New Roman" w:cs="Times New Roman"/>
          <w:szCs w:val="24"/>
          <w:highlight w:val="white"/>
          <w:lang w:val="en-GB"/>
        </w:rPr>
        <w:t xml:space="preserve">tems measuring </w:t>
      </w:r>
      <w:proofErr w:type="spellStart"/>
      <w:r w:rsidR="00A24B87" w:rsidRPr="00571EA4">
        <w:rPr>
          <w:rFonts w:eastAsia="Times New Roman" w:cs="Times New Roman"/>
          <w:szCs w:val="24"/>
          <w:highlight w:val="white"/>
          <w:lang w:val="en-GB"/>
        </w:rPr>
        <w:t>neurovegetative</w:t>
      </w:r>
      <w:proofErr w:type="spellEnd"/>
      <w:r w:rsidR="00A24B87" w:rsidRPr="00571EA4">
        <w:rPr>
          <w:rFonts w:eastAsia="Times New Roman" w:cs="Times New Roman"/>
          <w:szCs w:val="24"/>
          <w:highlight w:val="white"/>
          <w:lang w:val="en-GB"/>
        </w:rPr>
        <w:t xml:space="preserve"> </w:t>
      </w:r>
      <w:r w:rsidR="00A24B87" w:rsidRPr="00571EA4">
        <w:rPr>
          <w:rFonts w:eastAsia="Times New Roman" w:cs="Times New Roman"/>
          <w:szCs w:val="24"/>
          <w:lang w:val="en-GB"/>
        </w:rPr>
        <w:t xml:space="preserve">(appetite, sleep and psychomotor) </w:t>
      </w:r>
      <w:r w:rsidR="00A24B87" w:rsidRPr="00571EA4">
        <w:rPr>
          <w:rFonts w:eastAsia="Times New Roman" w:cs="Times New Roman"/>
          <w:szCs w:val="24"/>
          <w:highlight w:val="white"/>
          <w:lang w:val="en-GB"/>
        </w:rPr>
        <w:t xml:space="preserve">symptoms were disaggregated in order to </w:t>
      </w:r>
      <w:r w:rsidR="00A24B87" w:rsidRPr="00571EA4">
        <w:rPr>
          <w:rFonts w:eastAsia="Times New Roman" w:cs="Times New Roman"/>
          <w:szCs w:val="24"/>
          <w:lang w:val="en-GB"/>
        </w:rPr>
        <w:t>estimate association</w:t>
      </w:r>
      <w:r w:rsidR="008B1622" w:rsidRPr="00571EA4">
        <w:rPr>
          <w:rFonts w:eastAsia="Times New Roman" w:cs="Times New Roman"/>
          <w:szCs w:val="24"/>
          <w:lang w:val="en-GB"/>
        </w:rPr>
        <w:t>s</w:t>
      </w:r>
      <w:r w:rsidR="00A24B87" w:rsidRPr="00571EA4">
        <w:rPr>
          <w:rFonts w:eastAsia="Times New Roman" w:cs="Times New Roman"/>
          <w:szCs w:val="24"/>
          <w:lang w:val="en-GB"/>
        </w:rPr>
        <w:t xml:space="preserve"> between specific alterations (e.g</w:t>
      </w:r>
      <w:r w:rsidR="00EC2294" w:rsidRPr="00571EA4">
        <w:rPr>
          <w:rFonts w:eastAsia="Times New Roman" w:cs="Times New Roman"/>
          <w:szCs w:val="24"/>
          <w:lang w:val="en-GB"/>
        </w:rPr>
        <w:t>.</w:t>
      </w:r>
      <w:r w:rsidR="00066EC9" w:rsidRPr="00571EA4">
        <w:rPr>
          <w:rFonts w:eastAsia="Times New Roman" w:cs="Times New Roman"/>
          <w:szCs w:val="24"/>
          <w:lang w:val="en-GB"/>
        </w:rPr>
        <w:t>,</w:t>
      </w:r>
      <w:r w:rsidR="00A24B87" w:rsidRPr="00571EA4">
        <w:rPr>
          <w:rFonts w:eastAsia="Times New Roman" w:cs="Times New Roman"/>
          <w:szCs w:val="24"/>
          <w:lang w:val="en-GB"/>
        </w:rPr>
        <w:t xml:space="preserve"> increase vs decrease) and inflammation. </w:t>
      </w:r>
      <w:r w:rsidRPr="00571EA4">
        <w:rPr>
          <w:rFonts w:eastAsia="Times New Roman" w:cs="Times New Roman"/>
          <w:szCs w:val="24"/>
          <w:lang w:val="en-GB"/>
        </w:rPr>
        <w:t>We also</w:t>
      </w:r>
      <w:r w:rsidR="00A24B87" w:rsidRPr="00571EA4">
        <w:rPr>
          <w:rFonts w:eastAsia="Times New Roman" w:cs="Times New Roman"/>
          <w:szCs w:val="24"/>
          <w:lang w:val="en-GB"/>
        </w:rPr>
        <w:t xml:space="preserve"> </w:t>
      </w:r>
      <w:r w:rsidRPr="00571EA4">
        <w:rPr>
          <w:rFonts w:eastAsia="Times New Roman" w:cs="Times New Roman"/>
          <w:szCs w:val="24"/>
          <w:lang w:val="en-GB"/>
        </w:rPr>
        <w:t xml:space="preserve">used </w:t>
      </w:r>
      <w:r w:rsidR="00A24B87" w:rsidRPr="00571EA4">
        <w:rPr>
          <w:rFonts w:eastAsia="Times New Roman" w:cs="Times New Roman"/>
          <w:szCs w:val="24"/>
          <w:lang w:val="en-GB"/>
        </w:rPr>
        <w:t>(log)IL-6 levels</w:t>
      </w:r>
      <w:r w:rsidRPr="00571EA4">
        <w:rPr>
          <w:rFonts w:eastAsia="Times New Roman" w:cs="Times New Roman"/>
          <w:szCs w:val="24"/>
          <w:lang w:val="en-GB"/>
        </w:rPr>
        <w:t xml:space="preserve"> as exposure</w:t>
      </w:r>
      <w:r w:rsidR="00A24B87" w:rsidRPr="00571EA4">
        <w:rPr>
          <w:rFonts w:eastAsia="Times New Roman" w:cs="Times New Roman"/>
          <w:szCs w:val="24"/>
          <w:lang w:val="en-GB"/>
        </w:rPr>
        <w:t>, not measured in UK</w:t>
      </w:r>
      <w:r w:rsidRPr="00571EA4">
        <w:rPr>
          <w:rFonts w:eastAsia="Times New Roman" w:cs="Times New Roman"/>
          <w:szCs w:val="24"/>
          <w:lang w:val="en-GB"/>
        </w:rPr>
        <w:t>B</w:t>
      </w:r>
      <w:r w:rsidR="00A24B87" w:rsidRPr="00571EA4">
        <w:rPr>
          <w:rFonts w:eastAsia="Times New Roman" w:cs="Times New Roman"/>
          <w:szCs w:val="24"/>
          <w:lang w:val="en-GB"/>
        </w:rPr>
        <w:t xml:space="preserve">. For each model, FDR q-values were calculated accounting for </w:t>
      </w:r>
      <w:r w:rsidR="00A24B87" w:rsidRPr="00571EA4">
        <w:rPr>
          <w:rFonts w:eastAsia="Times New Roman" w:cs="Times New Roman"/>
          <w:szCs w:val="24"/>
          <w:highlight w:val="white"/>
          <w:lang w:val="en-GB"/>
        </w:rPr>
        <w:t xml:space="preserve">testing across 21 symptoms and </w:t>
      </w:r>
      <w:r w:rsidR="00A44428" w:rsidRPr="00571EA4">
        <w:rPr>
          <w:rFonts w:eastAsia="Times New Roman" w:cs="Times New Roman"/>
          <w:szCs w:val="24"/>
          <w:highlight w:val="white"/>
          <w:lang w:val="en-GB"/>
        </w:rPr>
        <w:t>two</w:t>
      </w:r>
      <w:r w:rsidR="00A24B87" w:rsidRPr="00571EA4">
        <w:rPr>
          <w:rFonts w:eastAsia="Times New Roman" w:cs="Times New Roman"/>
          <w:szCs w:val="24"/>
          <w:highlight w:val="white"/>
          <w:lang w:val="en-GB"/>
        </w:rPr>
        <w:t xml:space="preserve"> summary scales.</w:t>
      </w:r>
    </w:p>
    <w:p w14:paraId="27E307D4" w14:textId="77777777" w:rsidR="00A961F7" w:rsidRPr="00571EA4" w:rsidRDefault="00A961F7">
      <w:pPr>
        <w:rPr>
          <w:rFonts w:eastAsia="Times New Roman" w:cs="Times New Roman"/>
          <w:szCs w:val="24"/>
          <w:highlight w:val="white"/>
          <w:lang w:val="en-GB"/>
        </w:rPr>
      </w:pPr>
    </w:p>
    <w:p w14:paraId="27E307D5" w14:textId="77777777" w:rsidR="00A961F7" w:rsidRPr="00571EA4" w:rsidRDefault="00A24B87" w:rsidP="009E17F4">
      <w:pPr>
        <w:pStyle w:val="Heading2"/>
        <w:rPr>
          <w:b w:val="0"/>
          <w:lang w:val="en-GB"/>
        </w:rPr>
      </w:pPr>
      <w:bookmarkStart w:id="12" w:name="_rtozxlmsilel" w:colFirst="0" w:colLast="0"/>
      <w:bookmarkEnd w:id="12"/>
      <w:r w:rsidRPr="00571EA4">
        <w:rPr>
          <w:lang w:val="en-GB"/>
        </w:rPr>
        <w:t>Mendelian Randomization analyses</w:t>
      </w:r>
    </w:p>
    <w:p w14:paraId="27E307D6" w14:textId="77777777" w:rsidR="00A961F7" w:rsidRPr="00571EA4" w:rsidRDefault="00A24B87" w:rsidP="009E17F4">
      <w:pPr>
        <w:pStyle w:val="Heading3"/>
        <w:rPr>
          <w:highlight w:val="white"/>
          <w:lang w:val="en-GB"/>
        </w:rPr>
      </w:pPr>
      <w:r w:rsidRPr="00571EA4">
        <w:rPr>
          <w:highlight w:val="white"/>
          <w:lang w:val="en-GB"/>
        </w:rPr>
        <w:t>Instrument selection</w:t>
      </w:r>
    </w:p>
    <w:p w14:paraId="27E307D7" w14:textId="7C121F12" w:rsidR="00A961F7" w:rsidRPr="00571EA4" w:rsidRDefault="007709DF">
      <w:pPr>
        <w:rPr>
          <w:rFonts w:eastAsia="Times New Roman" w:cs="Times New Roman"/>
          <w:szCs w:val="24"/>
          <w:highlight w:val="white"/>
          <w:lang w:val="en-GB"/>
        </w:rPr>
      </w:pPr>
      <w:r w:rsidRPr="00571EA4">
        <w:rPr>
          <w:rFonts w:eastAsia="Times New Roman" w:cs="Times New Roman"/>
          <w:szCs w:val="24"/>
          <w:highlight w:val="white"/>
          <w:lang w:val="en-GB"/>
        </w:rPr>
        <w:t>W</w:t>
      </w:r>
      <w:r w:rsidR="00A24B87" w:rsidRPr="00571EA4">
        <w:rPr>
          <w:rFonts w:eastAsia="Times New Roman" w:cs="Times New Roman"/>
          <w:szCs w:val="24"/>
          <w:highlight w:val="white"/>
          <w:lang w:val="en-GB"/>
        </w:rPr>
        <w:t xml:space="preserve">e </w:t>
      </w:r>
      <w:r w:rsidRPr="00571EA4">
        <w:rPr>
          <w:rFonts w:eastAsia="Times New Roman" w:cs="Times New Roman"/>
          <w:szCs w:val="24"/>
          <w:highlight w:val="white"/>
          <w:lang w:val="en-GB"/>
        </w:rPr>
        <w:t xml:space="preserve">used </w:t>
      </w:r>
      <w:r w:rsidR="00A24B87" w:rsidRPr="00571EA4">
        <w:rPr>
          <w:rFonts w:eastAsia="Times New Roman" w:cs="Times New Roman"/>
          <w:szCs w:val="24"/>
          <w:highlight w:val="white"/>
          <w:lang w:val="en-GB"/>
        </w:rPr>
        <w:t>multiple genetic instruments for CRP</w:t>
      </w:r>
      <w:r w:rsidR="00136122" w:rsidRPr="00571EA4">
        <w:rPr>
          <w:rFonts w:eastAsia="Times New Roman" w:cs="Times New Roman"/>
          <w:szCs w:val="24"/>
          <w:highlight w:val="white"/>
          <w:lang w:val="en-GB"/>
        </w:rPr>
        <w:t xml:space="preserve"> </w:t>
      </w:r>
      <w:r w:rsidR="003469E8"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{"citationItems":[{"id":"ITEM-1","itemData":{"DOI":"10.1161/CIRCGEN.119.002872","ISSN":"25748300","PMID":"32397738","author":[{"dropping-particle":"","family":"Georgakis","given":"Marios K.","non-dropping-particle":"","parse-names":false,"suffix":""},{"dropping-particle":"","family":"Malik","given":"Rainer","non-dropping-particle":"","parse-names":false,"suffix":""},{"dropping-particle":"","family":"Gill","given":"Dipender","non-dropping-particle":"","parse-names":false,"suffix":""},{"dropping-particle":"","family":"Franceschini","given":"Nora","non-dropping-particle":"","parse-names":false,"suffix":""},{"dropping-particle":"","family":"Sudlow","given":"Cathie L.M.","non-dropping-particle":"","parse-names":false,"suffix":""},{"dropping-particle":"","family":"Dichgans","given":"Martin","non-dropping-particle":"","parse-names":false,"suffix":""}],"container-title":"Circulation: Genomic and Precision Medicine","id":"ITEM-1","issue":"June","issued":{"date-parts":[["2020"]]},"page":"168-171","title":"Interleukin-6 Signaling Effects on Ischemic Stroke and Other Cardiovascular Outcomes: A Mendelian Randomization Study","type":"article-journal"},"uris":["http://www.mendeley.com/documents/?uuid=4d214cd6-d3eb-4ae1-ad96-4834799e96f2"]},{"id":"ITEM-2","itemData":{"DOI":"10.1136/bmj.d548","ISSN":"0959-8138","abstract":"Objective To use genetic variants as unconfounded proxies of C reactive protein concentration to study its causal role in coronary heart disease.","author":[{"dropping-particle":"","family":"C Reactive Protein Coronary Heart Disease Genetics Collaboration (CCGC)","given":"","non-dropping-particle":"","parse-names":false,"suffix":""}],"container-title":"BMJ","id":"ITEM-2","issued":{"date-parts":[["2011","2"]]},"page":"d548","title":"Association between C reactive protein and coronary heart disease: mendelian randomisation analysis based on individual participant data","type":"article-journal","volume":"342"},"uris":["http://www.mendeley.com/documents/?uuid=0c8d65bf-45f3-3c51-9e39-72b931db6e98","http://www.mendeley.com/documents/?uuid=039c6132-800c-4b96-bc7e-8d44ba071143"]}],"mendeley":{"formattedCitation":"[28, 29]","plainTextFormattedCitation":"[28, 29]","previouslyFormattedCitation":"[28, 29]"},"properties":{"noteIndex":0},"schema":"https://github.com/citation-style-language/schema/raw/master/csl-citation.json"}</w:instrText>
      </w:r>
      <w:r w:rsidR="003469E8"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[28, 29]</w:t>
      </w:r>
      <w:r w:rsidR="003469E8" w:rsidRPr="00571EA4">
        <w:rPr>
          <w:rFonts w:eastAsia="Times New Roman" w:cs="Times New Roman"/>
          <w:szCs w:val="24"/>
          <w:highlight w:val="white"/>
        </w:rPr>
        <w:fldChar w:fldCharType="end"/>
      </w:r>
      <w:r w:rsidR="00136122" w:rsidRPr="00571EA4">
        <w:rPr>
          <w:rFonts w:eastAsia="Times New Roman" w:cs="Times New Roman"/>
          <w:szCs w:val="24"/>
          <w:highlight w:val="white"/>
        </w:rPr>
        <w:t>,</w:t>
      </w:r>
      <w:r w:rsidR="00A24B87" w:rsidRPr="00571EA4">
        <w:rPr>
          <w:rFonts w:eastAsia="Times New Roman" w:cs="Times New Roman"/>
          <w:szCs w:val="24"/>
          <w:highlight w:val="white"/>
          <w:lang w:val="en-GB"/>
        </w:rPr>
        <w:t xml:space="preserve"> based on SNPs in the </w:t>
      </w:r>
      <w:r w:rsidR="00A24B87" w:rsidRPr="00571EA4">
        <w:rPr>
          <w:rFonts w:eastAsia="Times New Roman" w:cs="Times New Roman"/>
          <w:i/>
          <w:szCs w:val="24"/>
          <w:highlight w:val="white"/>
          <w:lang w:val="en-GB"/>
        </w:rPr>
        <w:t xml:space="preserve">CRP </w:t>
      </w:r>
      <w:r w:rsidR="00A24B87" w:rsidRPr="00571EA4">
        <w:rPr>
          <w:rFonts w:eastAsia="Times New Roman" w:cs="Times New Roman"/>
          <w:szCs w:val="24"/>
          <w:highlight w:val="white"/>
          <w:lang w:val="en-GB"/>
        </w:rPr>
        <w:t>gene associated with serum CRP concentrations, and for IL-6</w:t>
      </w:r>
      <w:r w:rsidR="00136122" w:rsidRPr="00571EA4">
        <w:rPr>
          <w:rFonts w:eastAsia="Times New Roman" w:cs="Times New Roman"/>
          <w:szCs w:val="24"/>
          <w:highlight w:val="white"/>
          <w:lang w:val="en-GB"/>
        </w:rPr>
        <w:t xml:space="preserve"> </w:t>
      </w:r>
      <w:r w:rsidR="003469E8"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 xml:space="preserve">ADDIN CSL_CITATION {"citationItems":[{"id":"ITEM-1","itemData":{"DOI":"10.1016/S0140-6736(11)61931-4","ISSN":"0140-6736","abstract":"BackgroundPersistent inflammation has been proposed to contribute to various stages in the pathogenesis of cardiovascular disease. Interleukin-6 receptor (IL6R) signalling propagates downstream inflammation cascades. To assess whether this pathway is causally relevant to coronary heart disease, we studied a functional genetic variant known to affect IL6R signalling.","author":[{"dropping-particle":"","family":"Collaboration","given":"IL6R Genetics Consortium and Emerging Risk Factors","non-dropping-particle":"","parse-names":false,"suffix":""}],"container-title":"The Lancet","id":"ITEM-1","issue":"9822","issued":{"date-parts":[["2012","3"]]},"page":"1205-1213","publisher":"Elsevier","title":"Interleukin-6 receptor pathways in coronary heart disease: a collaborative meta-analysis of 82 studies","type":"article-journal","volume":"379"},"uris":["http://www.mendeley.com/documents/?uuid=1373f29b-18f5-4dc3-88a1-7be048adb438","http://www.mendeley.com/documents/?uuid=3b6b1016-34da-42ed-8285-909c25c6f924"]},{"id":"ITEM-2","itemData":{"DOI":"10.1016/S0140-6736(12)60110-X","ISSN":"01406736","abstract":"The interleukin-6 receptor as a target for prevention of coronary heart disease: a mendelian randomisation analysis The Interleukin-6 Receptor Mendelian Randomisation Analysis (IL6R MR) Consortium* Summary Background A high circulating concentration of interleukin 6 is associated with increased risk of coronary heart disease. Blockade of the interleukin-6 receptor (IL6R) with a monoclonal antibody (tocilizumab) licensed for treatment of rheumatoid arthritis reduces systemic and articular inflammation. However, whether IL6R blockade also reduces risk of coronary heart disease is unknown. Methods Applying the mendelian randomisation principle, we used single nucleotide polymorphisms (SNPs) in the gene IL6R to evaluate the likely effi cacy and safety of IL6R inhibition for primary prevention of coronary heart disease. We compared genetic fi ndings with the eff ects of tocilizumab reported in randomised trials in patients with rheumatoid arthritis. Findings In 40 studies including up to 133 449 individuals, an IL6R SNP (rs7529229) marking a non-synonymous IL6R variant (rs8192284; p.Asp358Ala) was associated with increased circulating log interleukin-6 concentration (increase per allele 9·45%, 95% CI 8·34–10·57) as well as reduced C-reactive protein (decrease per allele 8·35%, 95% CI 7·31–9·38) and fi brinogen concentrations (decrease per allele 0·85%, 95% CI 0·60–1·10). This pattern of eff ects was consistent with IL6R blockade from infusions of tocilizumab (4–8 mg/kg every 4 weeks) in patients with rheumatoid arthritis studied in randomised trials. In 25 458 coronary heart disease cases and 100 740 controls, the IL6R rs7529229 SNP was associated with a decreased odds of coronary heart disease events (per allele odds ratio 0·95, 95% CI 0·93–0·97, p=1·53×10 – </w:instrText>
      </w:r>
      <w:r w:rsidR="00D613B9" w:rsidRPr="00571EA4">
        <w:rPr>
          <w:rFonts w:ascii="Cambria Math" w:eastAsia="Times New Roman" w:hAnsi="Cambria Math" w:cs="Cambria Math"/>
          <w:szCs w:val="24"/>
          <w:highlight w:val="white"/>
          <w:lang w:val="en-GB"/>
        </w:rPr>
        <w:instrText>⁵</w:instrText>
      </w:r>
      <w:r w:rsidR="00D613B9" w:rsidRPr="00571EA4">
        <w:rPr>
          <w:rFonts w:eastAsia="Times New Roman" w:cs="Times New Roman"/>
          <w:szCs w:val="24"/>
          <w:highlight w:val="white"/>
          <w:lang w:val="en-GB"/>
        </w:rPr>
        <w:instrText>). Interpretation On the basis of genetic evidence in human beings, IL6R signalling seems to have a causal role in development of coronary heart disease. IL6R blockade could provide a novel therapeutic approach to prevention of coronary heart disease that warrants testing in suitably powered randomised trials. Genetic studies in popu lations could be used more widely to help to validate and prioritise novel drug targets or to repurpose existing agents and targets for new therapeutic uses.","author":[{"dropping-particle":"","family":"The Interleukin-6 Receptor Mendelian Randomisation Analysis (IL6R MR) Consortium","given":"","non-dropping-particle":"","parse-names":false,"suffix":""}],"container-title":"The Lancet","id":"ITEM-2","issue":"9822","issued":{"date-parts":[["2012","3"]]},"page":"1214-1224","title":"The interleukin-6 receptor as a target for prevention of coronary heart disease: a mendelian randomisation analysis","type":"article-journal","volume":"379"},"uris":["http://www.mendeley.com/documents/?uuid=d5bbb78a-6411-3545-9e00-c3bc9033b98b","http://www.mendeley.com/documents/?uuid=153c45ec-863c-4b12-8234-5e15236f5bcd"]},{"id":"ITEM-3","itemData":{"DOI":"10.1161/CIRCGEN.119.002872","ISSN":"25748300","PMID":"32397738","author":[{"dropping-particle":"","family":"Georgakis","given":"Marios K.","non-dropping-particle":"","parse-names":false,"suffix":""},{"dropping-particle":"","family":"Malik","given":"Rainer","non-dropping-particle":"","parse-names":false,"suffix":""},{"dropping-particle":"","family":"Gill","given":"Dipender","non-dropping-particle":"","parse-names":false,"suffix":""},{"dropping-particle":"","family":"Franceschini","given":"Nora","non-dropping-particle":"","parse-names":false,"suffix":""},{"dropping-particle":"","family":"Sudlow","given":"Cathie L.M.","non-dropping-particle":"","parse-names":false,"suffix":""},{"dropping-particle":"","family":"Dichgans","given":"Martin","non-dropping-particle":"","parse-names":false,"suffix":""}],"container-title":"Circulation: Genomic and Precision Medicine","id":"ITEM-3","issue":"June","issued":{"date-parts":[["2020"]]},"page":"168-171","title":"Interleukin-6 Signaling Effects on Ischemic Stroke and Other Cardiovascular Outcomes: A Mendelian Randomization Study","type":"article-journal"},"uris":["http://www.mendeley.com/documents/?uuid=4d214cd6-d3eb-4ae1-ad96-4834799e96f2"]}],"mendeley":{"formattedCitation":"[28, 30, 31]","plainTextFormattedCitation":"[28, 30, 31]","previouslyFormattedCitation":"[28, 30, 31]"},"properties":{"noteIndex":0},"schema":"https://github.com/citation-style-language/schema/raw/master/csl-citation.json"}</w:instrText>
      </w:r>
      <w:r w:rsidR="003469E8"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[28, 30, 31]</w:t>
      </w:r>
      <w:r w:rsidR="003469E8" w:rsidRPr="00571EA4">
        <w:rPr>
          <w:rFonts w:eastAsia="Times New Roman" w:cs="Times New Roman"/>
          <w:szCs w:val="24"/>
          <w:highlight w:val="white"/>
        </w:rPr>
        <w:fldChar w:fldCharType="end"/>
      </w:r>
      <w:r w:rsidR="00136122" w:rsidRPr="00571EA4">
        <w:rPr>
          <w:rFonts w:eastAsia="Times New Roman" w:cs="Times New Roman"/>
          <w:szCs w:val="24"/>
          <w:highlight w:val="white"/>
        </w:rPr>
        <w:t>,</w:t>
      </w:r>
      <w:r w:rsidR="00A24B87" w:rsidRPr="00571EA4">
        <w:rPr>
          <w:rFonts w:eastAsia="Times New Roman" w:cs="Times New Roman"/>
          <w:szCs w:val="24"/>
          <w:highlight w:val="white"/>
          <w:lang w:val="en-GB"/>
        </w:rPr>
        <w:t xml:space="preserve"> based on SNPs in the </w:t>
      </w:r>
      <w:r w:rsidR="00A24B87" w:rsidRPr="00571EA4">
        <w:rPr>
          <w:rFonts w:eastAsia="Times New Roman" w:cs="Times New Roman"/>
          <w:i/>
          <w:szCs w:val="24"/>
          <w:highlight w:val="white"/>
          <w:lang w:val="en-GB"/>
        </w:rPr>
        <w:t>IL-6R</w:t>
      </w:r>
      <w:r w:rsidR="00A24B87" w:rsidRPr="00571EA4">
        <w:rPr>
          <w:rFonts w:eastAsia="Times New Roman" w:cs="Times New Roman"/>
          <w:szCs w:val="24"/>
          <w:highlight w:val="white"/>
          <w:lang w:val="en-GB"/>
        </w:rPr>
        <w:t xml:space="preserve"> gene associated either with serum CRP concentrations (as downstream readout of </w:t>
      </w:r>
      <w:r w:rsidR="00A24B87" w:rsidRPr="00571EA4">
        <w:rPr>
          <w:rFonts w:eastAsia="Times New Roman" w:cs="Times New Roman"/>
          <w:szCs w:val="24"/>
          <w:highlight w:val="white"/>
          <w:lang w:val="en-GB"/>
        </w:rPr>
        <w:lastRenderedPageBreak/>
        <w:t xml:space="preserve">IL-6) or with serum IL-6 concentrations. Further details are provided </w:t>
      </w:r>
      <w:r w:rsidR="00E80656" w:rsidRPr="00571EA4">
        <w:rPr>
          <w:rFonts w:eastAsia="Times New Roman" w:cs="Times New Roman"/>
          <w:szCs w:val="24"/>
          <w:highlight w:val="white"/>
          <w:lang w:val="en-GB"/>
        </w:rPr>
        <w:t xml:space="preserve">as </w:t>
      </w:r>
      <w:r w:rsidR="00BF2220" w:rsidRPr="00571EA4">
        <w:rPr>
          <w:rFonts w:eastAsia="Times New Roman" w:cs="Times New Roman"/>
          <w:szCs w:val="24"/>
          <w:highlight w:val="white"/>
          <w:lang w:val="en-GB"/>
        </w:rPr>
        <w:t>Supplementary Methods</w:t>
      </w:r>
      <w:r w:rsidR="00E80656" w:rsidRPr="00571EA4">
        <w:rPr>
          <w:rFonts w:eastAsia="Times New Roman" w:cs="Times New Roman"/>
          <w:szCs w:val="24"/>
          <w:highlight w:val="white"/>
          <w:lang w:val="en-GB"/>
        </w:rPr>
        <w:t xml:space="preserve"> and</w:t>
      </w:r>
      <w:r w:rsidR="00BC04AF" w:rsidRPr="00571EA4">
        <w:rPr>
          <w:rFonts w:eastAsia="Times New Roman" w:cs="Times New Roman"/>
          <w:szCs w:val="24"/>
          <w:highlight w:val="white"/>
          <w:lang w:val="en-GB"/>
        </w:rPr>
        <w:t xml:space="preserve"> </w:t>
      </w:r>
      <w:r w:rsidR="00365A3A" w:rsidRPr="00571EA4">
        <w:rPr>
          <w:rFonts w:eastAsia="Times New Roman" w:cs="Times New Roman"/>
          <w:szCs w:val="24"/>
          <w:highlight w:val="white"/>
          <w:lang w:val="en-GB"/>
        </w:rPr>
        <w:t xml:space="preserve">in </w:t>
      </w:r>
      <w:r w:rsidR="00BF2220" w:rsidRPr="00571EA4">
        <w:rPr>
          <w:rFonts w:eastAsia="Times New Roman" w:cs="Times New Roman"/>
          <w:szCs w:val="24"/>
          <w:highlight w:val="white"/>
          <w:lang w:val="en-GB"/>
        </w:rPr>
        <w:t>Supplementary Table</w:t>
      </w:r>
      <w:r w:rsidR="00BC04AF" w:rsidRPr="00571EA4">
        <w:rPr>
          <w:rFonts w:eastAsia="Times New Roman" w:cs="Times New Roman"/>
          <w:szCs w:val="24"/>
          <w:highlight w:val="white"/>
          <w:lang w:val="en-GB"/>
        </w:rPr>
        <w:t xml:space="preserve"> 4</w:t>
      </w:r>
      <w:r w:rsidR="00A24B87" w:rsidRPr="00571EA4">
        <w:rPr>
          <w:rFonts w:eastAsia="Times New Roman" w:cs="Times New Roman"/>
          <w:szCs w:val="24"/>
          <w:lang w:val="en-GB"/>
        </w:rPr>
        <w:t>.</w:t>
      </w:r>
    </w:p>
    <w:p w14:paraId="27E307D9" w14:textId="77777777" w:rsidR="00A961F7" w:rsidRPr="00571EA4" w:rsidRDefault="00A24B87" w:rsidP="009E17F4">
      <w:pPr>
        <w:pStyle w:val="Heading3"/>
        <w:rPr>
          <w:highlight w:val="white"/>
          <w:lang w:val="en-GB"/>
        </w:rPr>
      </w:pPr>
      <w:r w:rsidRPr="00571EA4">
        <w:rPr>
          <w:highlight w:val="white"/>
          <w:lang w:val="en-GB"/>
        </w:rPr>
        <w:t>MR analysis</w:t>
      </w:r>
    </w:p>
    <w:p w14:paraId="27E307DA" w14:textId="5E77FB61" w:rsidR="00A961F7" w:rsidRPr="00571EA4" w:rsidRDefault="00A24B87">
      <w:pPr>
        <w:rPr>
          <w:rFonts w:eastAsia="Times New Roman" w:cs="Times New Roman"/>
          <w:szCs w:val="24"/>
          <w:highlight w:val="white"/>
          <w:lang w:val="en-GB"/>
        </w:rPr>
        <w:sectPr w:rsidR="00A961F7" w:rsidRPr="00571EA4">
          <w:pgSz w:w="11909" w:h="16834"/>
          <w:pgMar w:top="1440" w:right="1440" w:bottom="1440" w:left="1440" w:header="720" w:footer="720" w:gutter="0"/>
          <w:cols w:space="720"/>
        </w:sectPr>
      </w:pPr>
      <w:r w:rsidRPr="00571EA4">
        <w:rPr>
          <w:rFonts w:eastAsia="Times New Roman" w:cs="Times New Roman"/>
          <w:szCs w:val="24"/>
          <w:highlight w:val="white"/>
          <w:lang w:val="en-GB"/>
        </w:rPr>
        <w:t xml:space="preserve">Availability of CRP concentrations in the UKB sample allowed </w:t>
      </w:r>
      <w:r w:rsidR="007709DF" w:rsidRPr="00571EA4">
        <w:rPr>
          <w:rFonts w:eastAsia="Times New Roman" w:cs="Times New Roman"/>
          <w:szCs w:val="24"/>
          <w:highlight w:val="white"/>
          <w:lang w:val="en-GB"/>
        </w:rPr>
        <w:t>both</w:t>
      </w:r>
      <w:r w:rsidRPr="00571EA4">
        <w:rPr>
          <w:rFonts w:eastAsia="Times New Roman" w:cs="Times New Roman"/>
          <w:szCs w:val="24"/>
          <w:highlight w:val="white"/>
          <w:lang w:val="en-GB"/>
        </w:rPr>
        <w:t xml:space="preserve"> </w:t>
      </w:r>
      <w:r w:rsidR="00116A04" w:rsidRPr="00571EA4">
        <w:rPr>
          <w:rFonts w:eastAsia="Times New Roman" w:cs="Times New Roman"/>
          <w:szCs w:val="24"/>
          <w:highlight w:val="white"/>
          <w:lang w:val="en-GB"/>
        </w:rPr>
        <w:t>one</w:t>
      </w:r>
      <w:r w:rsidRPr="00571EA4">
        <w:rPr>
          <w:rFonts w:eastAsia="Times New Roman" w:cs="Times New Roman"/>
          <w:szCs w:val="24"/>
          <w:highlight w:val="white"/>
          <w:lang w:val="en-GB"/>
        </w:rPr>
        <w:t xml:space="preserve">-sample and </w:t>
      </w:r>
      <w:r w:rsidR="00116A04" w:rsidRPr="00571EA4">
        <w:rPr>
          <w:rFonts w:eastAsia="Times New Roman" w:cs="Times New Roman"/>
          <w:szCs w:val="24"/>
          <w:highlight w:val="white"/>
          <w:lang w:val="en-GB"/>
        </w:rPr>
        <w:t>two</w:t>
      </w:r>
      <w:r w:rsidRPr="00571EA4">
        <w:rPr>
          <w:rFonts w:eastAsia="Times New Roman" w:cs="Times New Roman"/>
          <w:szCs w:val="24"/>
          <w:highlight w:val="white"/>
          <w:lang w:val="en-GB"/>
        </w:rPr>
        <w:t xml:space="preserve">-sample MR </w:t>
      </w:r>
      <w:r w:rsidR="007709DF" w:rsidRPr="00571EA4">
        <w:rPr>
          <w:rFonts w:eastAsia="Times New Roman" w:cs="Times New Roman"/>
          <w:szCs w:val="24"/>
          <w:highlight w:val="white"/>
          <w:lang w:val="en-GB"/>
        </w:rPr>
        <w:t>analyses</w:t>
      </w:r>
      <w:r w:rsidRPr="00571EA4">
        <w:rPr>
          <w:rFonts w:eastAsia="Times New Roman" w:cs="Times New Roman"/>
          <w:szCs w:val="24"/>
          <w:highlight w:val="white"/>
          <w:lang w:val="en-GB"/>
        </w:rPr>
        <w:t xml:space="preserve"> with SNP-exposure estimates obtained from original reports (</w:t>
      </w:r>
      <w:r w:rsidR="00754F80" w:rsidRPr="00571EA4">
        <w:rPr>
          <w:rFonts w:eastAsia="Times New Roman" w:cs="Times New Roman"/>
          <w:szCs w:val="24"/>
          <w:highlight w:val="white"/>
          <w:lang w:val="en-GB"/>
        </w:rPr>
        <w:t>two</w:t>
      </w:r>
      <w:r w:rsidRPr="00571EA4">
        <w:rPr>
          <w:rFonts w:eastAsia="Times New Roman" w:cs="Times New Roman"/>
          <w:szCs w:val="24"/>
          <w:highlight w:val="white"/>
          <w:lang w:val="en-GB"/>
        </w:rPr>
        <w:t xml:space="preserve">-sample MR) or by regressing CRP on SNPs </w:t>
      </w:r>
      <w:r w:rsidR="007709DF" w:rsidRPr="00571EA4">
        <w:rPr>
          <w:rFonts w:eastAsia="Times New Roman" w:cs="Times New Roman"/>
          <w:szCs w:val="24"/>
          <w:highlight w:val="white"/>
          <w:lang w:val="en-GB"/>
        </w:rPr>
        <w:t xml:space="preserve">in UKB </w:t>
      </w:r>
      <w:r w:rsidRPr="00571EA4">
        <w:rPr>
          <w:rFonts w:eastAsia="Times New Roman" w:cs="Times New Roman"/>
          <w:szCs w:val="24"/>
          <w:highlight w:val="white"/>
          <w:lang w:val="en-GB"/>
        </w:rPr>
        <w:t>(</w:t>
      </w:r>
      <w:r w:rsidR="00754F80" w:rsidRPr="00571EA4">
        <w:rPr>
          <w:rFonts w:eastAsia="Times New Roman" w:cs="Times New Roman"/>
          <w:szCs w:val="24"/>
          <w:highlight w:val="white"/>
          <w:lang w:val="en-GB"/>
        </w:rPr>
        <w:t>one</w:t>
      </w:r>
      <w:r w:rsidRPr="00571EA4">
        <w:rPr>
          <w:rFonts w:eastAsia="Times New Roman" w:cs="Times New Roman"/>
          <w:szCs w:val="24"/>
          <w:highlight w:val="white"/>
          <w:lang w:val="en-GB"/>
        </w:rPr>
        <w:t xml:space="preserve">-sample MR). SNP-outcome estimates were all obtained by regressing outcome phenotypes on SNPs. Regression analyses were controlled for 20 genotype principal components, age, </w:t>
      </w:r>
      <w:r w:rsidR="007953DA" w:rsidRPr="00571EA4">
        <w:rPr>
          <w:rFonts w:eastAsia="Times New Roman" w:cs="Times New Roman"/>
          <w:szCs w:val="24"/>
          <w:highlight w:val="white"/>
          <w:lang w:val="en-GB"/>
        </w:rPr>
        <w:t>age</w:t>
      </w:r>
      <w:r w:rsidR="007953DA" w:rsidRPr="00571EA4">
        <w:rPr>
          <w:rFonts w:eastAsia="Times New Roman" w:cs="Times New Roman"/>
          <w:szCs w:val="24"/>
          <w:highlight w:val="white"/>
          <w:vertAlign w:val="superscript"/>
          <w:lang w:val="en-GB"/>
        </w:rPr>
        <w:t>2</w:t>
      </w:r>
      <w:r w:rsidR="007953DA" w:rsidRPr="00571EA4">
        <w:rPr>
          <w:rFonts w:eastAsia="Times New Roman" w:cs="Times New Roman"/>
          <w:szCs w:val="24"/>
          <w:highlight w:val="white"/>
          <w:lang w:val="en-GB"/>
        </w:rPr>
        <w:t xml:space="preserve">, </w:t>
      </w:r>
      <w:r w:rsidRPr="00571EA4">
        <w:rPr>
          <w:rFonts w:eastAsia="Times New Roman" w:cs="Times New Roman"/>
          <w:szCs w:val="24"/>
          <w:highlight w:val="white"/>
          <w:lang w:val="en-GB"/>
        </w:rPr>
        <w:t>sex</w:t>
      </w:r>
      <w:r w:rsidR="007953DA" w:rsidRPr="00571EA4">
        <w:rPr>
          <w:rFonts w:eastAsia="Times New Roman" w:cs="Times New Roman"/>
          <w:szCs w:val="24"/>
          <w:highlight w:val="white"/>
          <w:lang w:val="en-GB"/>
        </w:rPr>
        <w:t>, and age*sex</w:t>
      </w:r>
      <w:r w:rsidRPr="00571EA4">
        <w:rPr>
          <w:rFonts w:eastAsia="Times New Roman" w:cs="Times New Roman"/>
          <w:szCs w:val="24"/>
          <w:highlight w:val="white"/>
          <w:lang w:val="en-GB"/>
        </w:rPr>
        <w:t>. We performed standard variant harmonisation procedures on obtained estimates</w:t>
      </w:r>
      <w:r w:rsidR="002A5AF2" w:rsidRPr="00571EA4">
        <w:rPr>
          <w:rFonts w:eastAsia="Times New Roman" w:cs="Times New Roman"/>
          <w:szCs w:val="24"/>
          <w:highlight w:val="white"/>
          <w:lang w:val="en-GB"/>
        </w:rPr>
        <w:t xml:space="preserve"> </w:t>
      </w:r>
      <w:r w:rsidR="009516F7"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{"citationItems":[{"id":"ITEM-1","itemData":{"DOI":"10.12688/wellcomeopenres.15555.2","ISSN":"2398502X","abstract":"This paper provides guidelines for performing Mendelian randomization investigations. It is aimed at practitioners seeking to undertake analyses and write up their findings, and at journal editors and reviewers seeking to assess Mendelian randomization manuscripts. The guidelines are divided into nine sections: motivation and scope, data sources, choice of genetic variants, variant harmonization, primary analysis, supplementary and sensitivity analyses (one section on robust statistical methods and one on other approaches), data presentation, and interpretation. These guidelines will be updated based on feedback from the community and advances in the field. Updates will be made periodically as needed, and at least every 18 months.","author":[{"dropping-particle":"","family":"Burgess","given":"Stephen","non-dropping-particle":"","parse-names":false,"suffix":""},{"dropping-particle":"","family":"Davey Smith","given":"George","non-dropping-particle":"","parse-names":false,"suffix":""},{"dropping-particle":"","family":"Davies","given":"Neil M.","non-dropping-particle":"","parse-names":false,"suffix":""},{"dropping-particle":"","family":"Dudbridge","given":"Frank","non-dropping-particle":"","parse-names":false,"suffix":""},{"dropping-particle":"","family":"Gill","given":"Dipender","non-dropping-particle":"","parse-names":false,"suffix":""},{"dropping-particle":"","family":"Glymour","given":"M. Maria","non-dropping-particle":"","parse-names":false,"suffix":""},{"dropping-particle":"","family":"Hartwig","given":"Fernando P.","non-dropping-particle":"","parse-names":false,"suffix":""},{"dropping-particle":"V.","family":"Holmes","given":"Michael","non-dropping-particle":"","parse-names":false,"suffix":""},{"dropping-particle":"","family":"Minelli","given":"Cosetta","non-dropping-particle":"","parse-names":false,"suffix":""},{"dropping-particle":"","family":"Relton","given":"Caroline L.","non-dropping-particle":"","parse-names":false,"suffix":""},{"dropping-particle":"","family":"Theodoratou","given":"Evropi","non-dropping-particle":"","parse-names":false,"suffix":""}],"container-title":"Wellcome Open Research","id":"ITEM-1","issued":{"date-parts":[["2020"]]},"title":"Guidelines for performing Mendelian randomization investigations","type":"article-journal","volume":"4"},"uris":["http://www.mendeley.com/documents/?uuid=607d3422-b117-450f-ba2d-d00b9b44d331"]}],"mendeley":{"formattedCitation":"[32]","plainTextFormattedCitation":"[32]","previouslyFormattedCitation":"[32]"},"properties":{"noteIndex":0},"schema":"https://github.com/citation-style-language/schema/raw/master/csl-citation.json"}</w:instrText>
      </w:r>
      <w:r w:rsidR="009516F7"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[32]</w:t>
      </w:r>
      <w:r w:rsidR="009516F7" w:rsidRPr="00571EA4">
        <w:rPr>
          <w:rFonts w:eastAsia="Times New Roman" w:cs="Times New Roman"/>
          <w:szCs w:val="24"/>
          <w:highlight w:val="white"/>
        </w:rPr>
        <w:fldChar w:fldCharType="end"/>
      </w:r>
      <w:r w:rsidR="002A5AF2" w:rsidRPr="00571EA4">
        <w:rPr>
          <w:rFonts w:eastAsia="Times New Roman" w:cs="Times New Roman"/>
          <w:szCs w:val="24"/>
          <w:highlight w:val="white"/>
        </w:rPr>
        <w:t>.</w:t>
      </w:r>
      <w:r w:rsidRPr="00571EA4">
        <w:rPr>
          <w:rFonts w:eastAsia="Times New Roman" w:cs="Times New Roman"/>
          <w:szCs w:val="24"/>
          <w:highlight w:val="white"/>
          <w:lang w:val="en-GB"/>
        </w:rPr>
        <w:t xml:space="preserve"> As main analysis, we used fixed-effects inverse variance weighted (IVW) meta-analysis per exposure-outcome combination or Wald ratio estimation for the single-SNP IL-6 instrument</w:t>
      </w:r>
      <w:r w:rsidR="002A5AF2" w:rsidRPr="00571EA4">
        <w:rPr>
          <w:rFonts w:eastAsia="Times New Roman" w:cs="Times New Roman"/>
          <w:szCs w:val="24"/>
          <w:highlight w:val="white"/>
          <w:lang w:val="en-GB"/>
        </w:rPr>
        <w:t xml:space="preserve"> </w:t>
      </w:r>
      <w:r w:rsidR="009516F7"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{"citationItems":[{"id":"ITEM-1","itemData":{"DOI":"10.1016/S0140-6736(11)61931-4","ISSN":"0140-6736","abstract":"BackgroundPersistent inflammation has been proposed to contribute to various stages in the pathogenesis of cardiovascular disease. Interleukin-6 receptor (IL6R) signalling propagates downstream inflammation cascades. To assess whether this pathway is causally relevant to coronary heart disease, we studied a functional genetic variant known to affect IL6R signalling.","author":[{"dropping-particle":"","family":"Collaboration","given":"IL6R Genetics Consortium and Emerging Risk Factors","non-dropping-particle":"","parse-names":false,"suffix":""}],"container-title":"The Lancet","id":"ITEM-1","issue":"9822","issued":{"date-parts":[["2012","3"]]},"page":"1205-1213","publisher":"Elsevier","title":"Interleukin-6 receptor pathways in coronary heart disease: a collaborative meta-analysis of 82 studies","type":"article-journal","volume":"379"},"uris":["http://www.mendeley.com/documents/?uuid=3b6b1016-34da-42ed-8285-909c25c6f924","http://www.mendeley.com/documents/?uuid=1373f29b-18f5-4dc3-88a1-7be048adb438"]}],"mendeley":{"formattedCitation":"[30]","plainTextFormattedCitation":"[30]","previouslyFormattedCitation":"[30]"},"properties":{"noteIndex":0},"schema":"https://github.com/citation-style-language/schema/raw/master/csl-citation.json"}</w:instrText>
      </w:r>
      <w:r w:rsidR="009516F7"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[30]</w:t>
      </w:r>
      <w:r w:rsidR="009516F7" w:rsidRPr="00571EA4">
        <w:rPr>
          <w:rFonts w:eastAsia="Times New Roman" w:cs="Times New Roman"/>
          <w:szCs w:val="24"/>
          <w:highlight w:val="white"/>
        </w:rPr>
        <w:fldChar w:fldCharType="end"/>
      </w:r>
      <w:r w:rsidR="002A5AF2" w:rsidRPr="00571EA4">
        <w:rPr>
          <w:rFonts w:eastAsia="Times New Roman" w:cs="Times New Roman"/>
          <w:szCs w:val="24"/>
          <w:highlight w:val="white"/>
        </w:rPr>
        <w:t>.</w:t>
      </w:r>
      <w:r w:rsidRPr="00571EA4">
        <w:rPr>
          <w:rFonts w:eastAsia="Times New Roman" w:cs="Times New Roman"/>
          <w:szCs w:val="24"/>
          <w:highlight w:val="white"/>
          <w:lang w:val="en-GB"/>
        </w:rPr>
        <w:t xml:space="preserve"> </w:t>
      </w:r>
      <w:r w:rsidR="00865EE3" w:rsidRPr="00571EA4">
        <w:rPr>
          <w:rFonts w:eastAsia="Times New Roman" w:cs="Times New Roman"/>
          <w:szCs w:val="24"/>
          <w:highlight w:val="white"/>
          <w:lang w:val="en-GB"/>
        </w:rPr>
        <w:t xml:space="preserve">Potential </w:t>
      </w:r>
      <w:r w:rsidRPr="00571EA4">
        <w:rPr>
          <w:rFonts w:eastAsia="Times New Roman" w:cs="Times New Roman"/>
          <w:szCs w:val="24"/>
          <w:highlight w:val="white"/>
          <w:lang w:val="en-GB"/>
        </w:rPr>
        <w:t>horizontal pleiotropy w</w:t>
      </w:r>
      <w:r w:rsidR="00865EE3" w:rsidRPr="00571EA4">
        <w:rPr>
          <w:rFonts w:eastAsia="Times New Roman" w:cs="Times New Roman"/>
          <w:szCs w:val="24"/>
          <w:highlight w:val="white"/>
          <w:lang w:val="en-GB"/>
        </w:rPr>
        <w:t>as</w:t>
      </w:r>
      <w:r w:rsidRPr="00571EA4">
        <w:rPr>
          <w:rFonts w:eastAsia="Times New Roman" w:cs="Times New Roman"/>
          <w:szCs w:val="24"/>
          <w:highlight w:val="white"/>
          <w:lang w:val="en-GB"/>
        </w:rPr>
        <w:t xml:space="preserve"> evaluated using Cochrane</w:t>
      </w:r>
      <w:r w:rsidR="00E426E2" w:rsidRPr="00571EA4">
        <w:rPr>
          <w:rFonts w:eastAsia="Times New Roman" w:cs="Times New Roman"/>
          <w:szCs w:val="24"/>
          <w:highlight w:val="white"/>
          <w:lang w:val="en-GB"/>
        </w:rPr>
        <w:t>’</w:t>
      </w:r>
      <w:r w:rsidRPr="00571EA4">
        <w:rPr>
          <w:rFonts w:eastAsia="Times New Roman" w:cs="Times New Roman"/>
          <w:szCs w:val="24"/>
          <w:highlight w:val="white"/>
          <w:lang w:val="en-GB"/>
        </w:rPr>
        <w:t xml:space="preserve">s </w:t>
      </w:r>
      <w:r w:rsidRPr="00571EA4">
        <w:rPr>
          <w:rFonts w:eastAsia="Times New Roman" w:cs="Times New Roman"/>
          <w:i/>
          <w:szCs w:val="24"/>
          <w:highlight w:val="white"/>
          <w:lang w:val="en-GB"/>
        </w:rPr>
        <w:t>Q</w:t>
      </w:r>
      <w:r w:rsidR="00E426E2" w:rsidRPr="00571EA4">
        <w:rPr>
          <w:rFonts w:eastAsia="Times New Roman" w:cs="Times New Roman"/>
          <w:szCs w:val="24"/>
          <w:highlight w:val="white"/>
          <w:lang w:val="en-GB"/>
        </w:rPr>
        <w:t xml:space="preserve"> statistic</w:t>
      </w:r>
      <w:r w:rsidR="002A5AF2" w:rsidRPr="00571EA4">
        <w:rPr>
          <w:rFonts w:eastAsia="Times New Roman" w:cs="Times New Roman"/>
          <w:szCs w:val="24"/>
          <w:highlight w:val="white"/>
          <w:lang w:val="en-GB"/>
        </w:rPr>
        <w:t xml:space="preserve"> </w:t>
      </w:r>
      <w:r w:rsidR="009516F7"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{"citationItems":[{"id":"ITEM-1","itemData":{"DOI":"10.1002/sim.6522","ISSN":"02776715","abstract":"Mendelian randomisation (MR) estimates causal effects of modifiable phenotypes on an outcome by using genetic variants as instrumental variables, but its validity relies on the assumption of no pleiotropy, that is, genes influence the outcome only through the given phenotype. Excluding pleiotropy is difficult, but the use of multiple instruments can indirectly address the issue: if all genes represent valid instruments, their MR estimates should vary only by chance. The Sargan test detects pleiotropy when individual phenotype, outcome and genotype data are measured in the same subjects. We propose an alternative approach to be used when only summary genetic data are available or data on gene-phenotype and gene-outcome come from different subjects. The presence of pleiotropy is investigated using the between-instrument heterogeneity Q test (together with the I2 index) in a meta-analysis of MR Wald estimates, derived separately from each instrument. For a continuous outcome, we evaluate the approach through simulations and illustrate it using published data. For the scenario where all data come from the same subjects, we compare it with the Sargan test. The Q test tends to be conservative in small samples. Its power increases with the degree of pleiotropy and the sample size, as does the precision of the I2 index, in which case results are similar to those of the Sargan test. In MR studies with large sample sizes based on summary data, the between-instrument Q test represents a useful tool to explore the presence of heterogeneity due to pleiotropy or other causes.","author":[{"dropping-particle":"Del","family":"Greco M","given":"Fabiola","non-dropping-particle":"","parse-names":false,"suffix":""},{"dropping-particle":"","family":"Minelli","given":"Cosetta","non-dropping-particle":"","parse-names":false,"suffix":""},{"dropping-particle":"","family":"Sheehan","given":"Nuala A.","non-dropping-particle":"","parse-names":false,"suffix":""},{"dropping-particle":"","family":"Thompson","given":"John R.","non-dropping-particle":"","parse-names":false,"suffix":""}],"container-title":"Statistics in Medicine","id":"ITEM-1","issue":"21","issued":{"date-parts":[["2015","9"]]},"page":"2926-2940","title":"Detecting pleiotropy in Mendelian randomisation studies with summary data and a continuous outcome","type":"article-journal","volume":"34"},"uris":["http://www.mendeley.com/documents/?uuid=5b617415-8666-4634-a01b-21ab529c0bb9","http://www.mendeley.com/documents/?uuid=4f088f32-39a6-474e-813b-29cf08bf4c61"]}],"mendeley":{"formattedCitation":"[33]","plainTextFormattedCitation":"[33]","previouslyFormattedCitation":"[33]"},"properties":{"noteIndex":0},"schema":"https://github.com/citation-style-language/schema/raw/master/csl-citation.json"}</w:instrText>
      </w:r>
      <w:r w:rsidR="009516F7"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[33]</w:t>
      </w:r>
      <w:r w:rsidR="009516F7" w:rsidRPr="00571EA4">
        <w:rPr>
          <w:rFonts w:eastAsia="Times New Roman" w:cs="Times New Roman"/>
          <w:szCs w:val="24"/>
          <w:highlight w:val="white"/>
        </w:rPr>
        <w:fldChar w:fldCharType="end"/>
      </w:r>
      <w:r w:rsidR="002A5AF2" w:rsidRPr="00571EA4">
        <w:rPr>
          <w:rFonts w:eastAsia="Times New Roman" w:cs="Times New Roman"/>
          <w:szCs w:val="24"/>
          <w:highlight w:val="white"/>
        </w:rPr>
        <w:t>.</w:t>
      </w:r>
      <w:r w:rsidRPr="00571EA4">
        <w:rPr>
          <w:rFonts w:eastAsia="Times New Roman" w:cs="Times New Roman"/>
          <w:szCs w:val="24"/>
          <w:highlight w:val="white"/>
          <w:lang w:val="en-GB"/>
        </w:rPr>
        <w:t xml:space="preserve"> Further details are noted in </w:t>
      </w:r>
      <w:r w:rsidR="00BF2220" w:rsidRPr="00571EA4">
        <w:rPr>
          <w:rFonts w:eastAsia="Times New Roman" w:cs="Times New Roman"/>
          <w:szCs w:val="24"/>
          <w:highlight w:val="white"/>
          <w:lang w:val="en-GB"/>
        </w:rPr>
        <w:t>Supplementary Methods</w:t>
      </w:r>
      <w:r w:rsidR="006A5410" w:rsidRPr="00571EA4">
        <w:rPr>
          <w:rFonts w:eastAsia="Times New Roman" w:cs="Times New Roman"/>
          <w:szCs w:val="24"/>
          <w:lang w:val="en-GB"/>
        </w:rPr>
        <w:t>.</w:t>
      </w:r>
    </w:p>
    <w:p w14:paraId="27E307DB" w14:textId="77777777" w:rsidR="00A961F7" w:rsidRPr="006629C4" w:rsidRDefault="00A961F7" w:rsidP="006A5410">
      <w:pPr>
        <w:ind w:firstLine="0"/>
        <w:rPr>
          <w:rFonts w:eastAsia="Times New Roman" w:cs="Times New Roman"/>
          <w:szCs w:val="24"/>
          <w:highlight w:val="white"/>
          <w:lang w:val="en-GB"/>
        </w:rPr>
      </w:pPr>
    </w:p>
    <w:p w14:paraId="27E307DC" w14:textId="77777777" w:rsidR="00A961F7" w:rsidRPr="00571EA4" w:rsidRDefault="00A24B87" w:rsidP="00EF79B6">
      <w:pPr>
        <w:pStyle w:val="Heading1"/>
        <w:rPr>
          <w:lang w:val="en-GB"/>
        </w:rPr>
      </w:pPr>
      <w:bookmarkStart w:id="13" w:name="_dc9jyena4dzz" w:colFirst="0" w:colLast="0"/>
      <w:bookmarkEnd w:id="13"/>
      <w:r w:rsidRPr="00571EA4">
        <w:rPr>
          <w:lang w:val="en-GB"/>
        </w:rPr>
        <w:t>RESULTS</w:t>
      </w:r>
    </w:p>
    <w:p w14:paraId="27E307DD" w14:textId="7A078D4A" w:rsidR="00A961F7" w:rsidRPr="00571EA4" w:rsidRDefault="00A24B87">
      <w:pPr>
        <w:rPr>
          <w:rFonts w:eastAsia="Times New Roman" w:cs="Times New Roman"/>
          <w:szCs w:val="24"/>
          <w:highlight w:val="white"/>
          <w:lang w:val="en-GB"/>
        </w:rPr>
      </w:pPr>
      <w:r w:rsidRPr="00571EA4">
        <w:rPr>
          <w:rFonts w:eastAsia="Times New Roman" w:cs="Times New Roman"/>
          <w:szCs w:val="24"/>
          <w:highlight w:val="white"/>
          <w:lang w:val="en-GB"/>
        </w:rPr>
        <w:t>Table 1 shows main variables including symptom endorsement and inflammatory marker levels in UK</w:t>
      </w:r>
      <w:r w:rsidR="00833FB1" w:rsidRPr="00571EA4">
        <w:rPr>
          <w:rFonts w:eastAsia="Times New Roman" w:cs="Times New Roman"/>
          <w:szCs w:val="24"/>
          <w:highlight w:val="white"/>
          <w:lang w:val="en-GB"/>
        </w:rPr>
        <w:t>B</w:t>
      </w:r>
      <w:r w:rsidRPr="00571EA4">
        <w:rPr>
          <w:rFonts w:eastAsia="Times New Roman" w:cs="Times New Roman"/>
          <w:szCs w:val="24"/>
          <w:highlight w:val="white"/>
          <w:lang w:val="en-GB"/>
        </w:rPr>
        <w:t xml:space="preserve"> and NESDA </w:t>
      </w:r>
      <w:r w:rsidR="00336A5D" w:rsidRPr="00571EA4">
        <w:rPr>
          <w:rFonts w:eastAsia="Times New Roman" w:cs="Times New Roman"/>
          <w:szCs w:val="24"/>
          <w:highlight w:val="white"/>
          <w:lang w:val="en-GB"/>
        </w:rPr>
        <w:t>cohort</w:t>
      </w:r>
      <w:r w:rsidR="00797157" w:rsidRPr="00571EA4">
        <w:rPr>
          <w:rFonts w:eastAsia="Times New Roman" w:cs="Times New Roman"/>
          <w:szCs w:val="24"/>
          <w:highlight w:val="white"/>
          <w:lang w:val="en-GB"/>
        </w:rPr>
        <w:t>s</w:t>
      </w:r>
      <w:r w:rsidR="00BA5D0F" w:rsidRPr="00571EA4">
        <w:rPr>
          <w:rFonts w:eastAsia="Times New Roman" w:cs="Times New Roman"/>
          <w:szCs w:val="24"/>
          <w:highlight w:val="white"/>
          <w:lang w:val="en-GB"/>
        </w:rPr>
        <w:t>.</w:t>
      </w:r>
      <w:r w:rsidRPr="00571EA4">
        <w:rPr>
          <w:rFonts w:eastAsia="Times New Roman" w:cs="Times New Roman"/>
          <w:szCs w:val="24"/>
          <w:highlight w:val="white"/>
          <w:lang w:val="en-GB"/>
        </w:rPr>
        <w:t xml:space="preserve"> </w:t>
      </w:r>
    </w:p>
    <w:p w14:paraId="49AB8F94" w14:textId="77777777" w:rsidR="00ED6BAB" w:rsidRPr="00571EA4" w:rsidRDefault="00ED6BAB">
      <w:pPr>
        <w:rPr>
          <w:rFonts w:eastAsia="Times New Roman" w:cs="Times New Roman"/>
          <w:szCs w:val="24"/>
          <w:highlight w:val="white"/>
          <w:lang w:val="en-GB"/>
        </w:rPr>
      </w:pPr>
    </w:p>
    <w:p w14:paraId="27E307DF" w14:textId="200D51A7" w:rsidR="00A961F7" w:rsidRPr="00571EA4" w:rsidRDefault="00D3798A" w:rsidP="009E17F4">
      <w:pPr>
        <w:pStyle w:val="Heading2"/>
        <w:rPr>
          <w:b w:val="0"/>
          <w:lang w:val="en-GB"/>
        </w:rPr>
      </w:pPr>
      <w:bookmarkStart w:id="14" w:name="_wblxpat2qbah" w:colFirst="0" w:colLast="0"/>
      <w:bookmarkStart w:id="15" w:name="_Hlk56149058"/>
      <w:bookmarkEnd w:id="14"/>
      <w:r w:rsidRPr="00571EA4">
        <w:rPr>
          <w:lang w:val="en-GB"/>
        </w:rPr>
        <w:t>A</w:t>
      </w:r>
      <w:r w:rsidR="00A24B87" w:rsidRPr="00571EA4">
        <w:rPr>
          <w:lang w:val="en-GB"/>
        </w:rPr>
        <w:t>ssociation between CRP and depressive/anxiety symptoms</w:t>
      </w:r>
      <w:bookmarkEnd w:id="15"/>
      <w:r w:rsidRPr="00571EA4">
        <w:rPr>
          <w:lang w:val="en-GB"/>
        </w:rPr>
        <w:t xml:space="preserve"> in UKB and NESDA</w:t>
      </w:r>
    </w:p>
    <w:p w14:paraId="27E307E0" w14:textId="49102345" w:rsidR="00A961F7" w:rsidRPr="00571EA4" w:rsidRDefault="00A24B87">
      <w:pPr>
        <w:rPr>
          <w:rFonts w:eastAsia="Times New Roman" w:cs="Times New Roman"/>
          <w:szCs w:val="24"/>
          <w:highlight w:val="white"/>
          <w:lang w:val="en-GB"/>
        </w:rPr>
      </w:pPr>
      <w:r w:rsidRPr="00571EA4">
        <w:rPr>
          <w:rFonts w:eastAsia="Times New Roman" w:cs="Times New Roman"/>
          <w:szCs w:val="24"/>
          <w:highlight w:val="white"/>
          <w:lang w:val="en-GB"/>
        </w:rPr>
        <w:t xml:space="preserve">Figure 1 shows </w:t>
      </w:r>
      <w:r w:rsidR="00033569" w:rsidRPr="00571EA4">
        <w:rPr>
          <w:rFonts w:eastAsia="Times New Roman" w:cs="Times New Roman"/>
          <w:szCs w:val="24"/>
          <w:highlight w:val="white"/>
          <w:lang w:val="en-GB"/>
        </w:rPr>
        <w:t>resu</w:t>
      </w:r>
      <w:r w:rsidR="006629C4" w:rsidRPr="00571EA4">
        <w:rPr>
          <w:rFonts w:eastAsia="Times New Roman" w:cs="Times New Roman"/>
          <w:szCs w:val="24"/>
          <w:highlight w:val="white"/>
          <w:lang w:val="en-GB"/>
        </w:rPr>
        <w:t>lt</w:t>
      </w:r>
      <w:r w:rsidR="00033569" w:rsidRPr="00571EA4">
        <w:rPr>
          <w:rFonts w:eastAsia="Times New Roman" w:cs="Times New Roman"/>
          <w:szCs w:val="24"/>
          <w:highlight w:val="white"/>
          <w:lang w:val="en-GB"/>
        </w:rPr>
        <w:t xml:space="preserve">s from </w:t>
      </w:r>
      <w:r w:rsidRPr="00571EA4">
        <w:rPr>
          <w:rFonts w:eastAsia="Times New Roman" w:cs="Times New Roman"/>
          <w:szCs w:val="24"/>
          <w:highlight w:val="white"/>
          <w:lang w:val="en-GB"/>
        </w:rPr>
        <w:t xml:space="preserve">individual cohorts and </w:t>
      </w:r>
      <w:r w:rsidR="00D330CB" w:rsidRPr="00571EA4">
        <w:rPr>
          <w:rFonts w:eastAsia="Times New Roman" w:cs="Times New Roman"/>
          <w:szCs w:val="24"/>
          <w:highlight w:val="white"/>
          <w:lang w:val="en-GB"/>
        </w:rPr>
        <w:t xml:space="preserve">Table 2 shows </w:t>
      </w:r>
      <w:r w:rsidRPr="00571EA4">
        <w:rPr>
          <w:rFonts w:eastAsia="Times New Roman" w:cs="Times New Roman"/>
          <w:szCs w:val="24"/>
          <w:highlight w:val="white"/>
          <w:lang w:val="en-GB"/>
        </w:rPr>
        <w:t>meta-analytic pooled estimates representing the associations of CRP with individual depressive/anxiety symptoms and summary scores</w:t>
      </w:r>
      <w:r w:rsidR="00102B3F" w:rsidRPr="00571EA4">
        <w:rPr>
          <w:rFonts w:eastAsia="Times New Roman" w:cs="Times New Roman"/>
          <w:szCs w:val="24"/>
          <w:highlight w:val="white"/>
          <w:lang w:val="en-GB"/>
        </w:rPr>
        <w:t xml:space="preserve"> </w:t>
      </w:r>
      <w:r w:rsidR="00033569" w:rsidRPr="00571EA4">
        <w:rPr>
          <w:rFonts w:eastAsia="Times New Roman" w:cs="Times New Roman"/>
          <w:szCs w:val="24"/>
          <w:highlight w:val="white"/>
          <w:lang w:val="en-GB"/>
        </w:rPr>
        <w:t xml:space="preserve">for somatic and psychological symptoms of depression </w:t>
      </w:r>
      <w:r w:rsidR="00102B3F" w:rsidRPr="00571EA4">
        <w:rPr>
          <w:rFonts w:eastAsia="Times New Roman" w:cs="Times New Roman"/>
          <w:szCs w:val="24"/>
          <w:highlight w:val="white"/>
          <w:lang w:val="en-GB"/>
        </w:rPr>
        <w:t>(</w:t>
      </w:r>
      <w:r w:rsidRPr="00571EA4">
        <w:rPr>
          <w:rFonts w:eastAsia="Times New Roman" w:cs="Times New Roman"/>
          <w:szCs w:val="24"/>
          <w:highlight w:val="white"/>
          <w:lang w:val="en-GB"/>
        </w:rPr>
        <w:t xml:space="preserve">exact numbers in </w:t>
      </w:r>
      <w:r w:rsidR="00BF2220" w:rsidRPr="00571EA4">
        <w:rPr>
          <w:rFonts w:eastAsia="Times New Roman" w:cs="Times New Roman"/>
          <w:szCs w:val="24"/>
          <w:highlight w:val="white"/>
          <w:lang w:val="en-GB"/>
        </w:rPr>
        <w:t>Supplementary Table</w:t>
      </w:r>
      <w:r w:rsidR="00C569DD" w:rsidRPr="00571EA4">
        <w:rPr>
          <w:rFonts w:eastAsia="Times New Roman" w:cs="Times New Roman"/>
          <w:szCs w:val="24"/>
          <w:highlight w:val="white"/>
          <w:lang w:val="en-GB"/>
        </w:rPr>
        <w:t>s</w:t>
      </w:r>
      <w:r w:rsidR="00102B3F" w:rsidRPr="00571EA4">
        <w:rPr>
          <w:rFonts w:eastAsia="Times New Roman" w:cs="Times New Roman"/>
          <w:szCs w:val="24"/>
          <w:highlight w:val="white"/>
          <w:lang w:val="en-GB"/>
        </w:rPr>
        <w:t xml:space="preserve"> </w:t>
      </w:r>
      <w:r w:rsidRPr="00571EA4">
        <w:rPr>
          <w:rFonts w:eastAsia="Times New Roman" w:cs="Times New Roman"/>
          <w:szCs w:val="24"/>
          <w:highlight w:val="white"/>
          <w:lang w:val="en-GB"/>
        </w:rPr>
        <w:t>6</w:t>
      </w:r>
      <w:r w:rsidR="007057C6" w:rsidRPr="00571EA4">
        <w:rPr>
          <w:rFonts w:eastAsia="Times New Roman" w:cs="Times New Roman"/>
          <w:szCs w:val="24"/>
          <w:highlight w:val="white"/>
          <w:lang w:val="en-GB"/>
        </w:rPr>
        <w:t xml:space="preserve"> &amp; 7</w:t>
      </w:r>
      <w:r w:rsidRPr="00571EA4">
        <w:rPr>
          <w:rFonts w:eastAsia="Times New Roman" w:cs="Times New Roman"/>
          <w:szCs w:val="24"/>
          <w:highlight w:val="white"/>
          <w:lang w:val="en-GB"/>
        </w:rPr>
        <w:t xml:space="preserve">). </w:t>
      </w:r>
      <w:r w:rsidR="002A2478" w:rsidRPr="00571EA4">
        <w:rPr>
          <w:rFonts w:eastAsia="Times New Roman" w:cs="Times New Roman"/>
          <w:szCs w:val="24"/>
          <w:highlight w:val="white"/>
          <w:lang w:val="en-GB"/>
        </w:rPr>
        <w:t>Based on the pooled analyses, a</w:t>
      </w:r>
      <w:r w:rsidRPr="00571EA4">
        <w:rPr>
          <w:rFonts w:eastAsia="Times New Roman" w:cs="Times New Roman"/>
          <w:szCs w:val="24"/>
          <w:highlight w:val="white"/>
          <w:lang w:val="en-GB"/>
        </w:rPr>
        <w:t>fter adjustment for soci</w:t>
      </w:r>
      <w:r w:rsidR="00164CFA" w:rsidRPr="00571EA4">
        <w:rPr>
          <w:rFonts w:eastAsia="Times New Roman" w:cs="Times New Roman"/>
          <w:szCs w:val="24"/>
          <w:highlight w:val="white"/>
          <w:lang w:val="en-GB"/>
        </w:rPr>
        <w:t>o</w:t>
      </w:r>
      <w:r w:rsidRPr="00571EA4">
        <w:rPr>
          <w:rFonts w:eastAsia="Times New Roman" w:cs="Times New Roman"/>
          <w:szCs w:val="24"/>
          <w:highlight w:val="white"/>
          <w:lang w:val="en-GB"/>
        </w:rPr>
        <w:t>demographic, lifestyle and health-related factors</w:t>
      </w:r>
      <w:r w:rsidR="002A2F21" w:rsidRPr="00571EA4">
        <w:rPr>
          <w:rFonts w:eastAsia="Times New Roman" w:cs="Times New Roman"/>
          <w:szCs w:val="24"/>
          <w:highlight w:val="white"/>
          <w:lang w:val="en-GB"/>
        </w:rPr>
        <w:t xml:space="preserve"> (Model 2)</w:t>
      </w:r>
      <w:r w:rsidRPr="00571EA4">
        <w:rPr>
          <w:rFonts w:eastAsia="Times New Roman" w:cs="Times New Roman"/>
          <w:szCs w:val="24"/>
          <w:highlight w:val="white"/>
          <w:lang w:val="en-GB"/>
        </w:rPr>
        <w:t>, higher CRP was associated with appetite change (OR=1.25, 95%CI=1.23-1.28), fatigue (OR=1.12, 95%CI=1.11-1.14), depressed mood (OR=1.06, 95%CI=1.05-1.08), and sleep problem</w:t>
      </w:r>
      <w:r w:rsidR="00BC65B3" w:rsidRPr="00571EA4">
        <w:rPr>
          <w:rFonts w:eastAsia="Times New Roman" w:cs="Times New Roman"/>
          <w:szCs w:val="24"/>
          <w:highlight w:val="white"/>
          <w:lang w:val="en-GB"/>
        </w:rPr>
        <w:t>s</w:t>
      </w:r>
      <w:r w:rsidRPr="00571EA4">
        <w:rPr>
          <w:rFonts w:eastAsia="Times New Roman" w:cs="Times New Roman"/>
          <w:szCs w:val="24"/>
          <w:highlight w:val="white"/>
          <w:lang w:val="en-GB"/>
        </w:rPr>
        <w:t xml:space="preserve"> (OR=1.05, 95%CI=1.0</w:t>
      </w:r>
      <w:r w:rsidR="00F55652" w:rsidRPr="00571EA4">
        <w:rPr>
          <w:rFonts w:eastAsia="Times New Roman" w:cs="Times New Roman"/>
          <w:szCs w:val="24"/>
          <w:highlight w:val="white"/>
          <w:lang w:val="en-GB"/>
        </w:rPr>
        <w:t>4</w:t>
      </w:r>
      <w:r w:rsidRPr="00571EA4">
        <w:rPr>
          <w:rFonts w:eastAsia="Times New Roman" w:cs="Times New Roman"/>
          <w:szCs w:val="24"/>
          <w:highlight w:val="white"/>
          <w:lang w:val="en-GB"/>
        </w:rPr>
        <w:t>-1.0</w:t>
      </w:r>
      <w:r w:rsidR="00F55652" w:rsidRPr="00571EA4">
        <w:rPr>
          <w:rFonts w:eastAsia="Times New Roman" w:cs="Times New Roman"/>
          <w:szCs w:val="24"/>
          <w:highlight w:val="white"/>
          <w:lang w:val="en-GB"/>
        </w:rPr>
        <w:t>6</w:t>
      </w:r>
      <w:r w:rsidRPr="00571EA4">
        <w:rPr>
          <w:rFonts w:eastAsia="Times New Roman" w:cs="Times New Roman"/>
          <w:szCs w:val="24"/>
          <w:highlight w:val="white"/>
          <w:lang w:val="en-GB"/>
        </w:rPr>
        <w:t>) among depressive symptoms, and with irritability (OR=1.06, 95%CI=1.05-1.08) and worry</w:t>
      </w:r>
      <w:r w:rsidR="00F55652" w:rsidRPr="00571EA4">
        <w:rPr>
          <w:rFonts w:eastAsia="Times New Roman" w:cs="Times New Roman"/>
          <w:szCs w:val="24"/>
          <w:highlight w:val="white"/>
          <w:lang w:val="en-GB"/>
        </w:rPr>
        <w:t>ing control</w:t>
      </w:r>
      <w:r w:rsidRPr="00571EA4">
        <w:rPr>
          <w:rFonts w:eastAsia="Times New Roman" w:cs="Times New Roman"/>
          <w:szCs w:val="24"/>
          <w:highlight w:val="white"/>
          <w:lang w:val="en-GB"/>
        </w:rPr>
        <w:t xml:space="preserve"> (OR=1.03, 95%CI=1.02-1.04) among anxiety symptoms. CRP was not associated with somatic and psychological symptom summary scores for depression. Evidence for associations attenuated with </w:t>
      </w:r>
      <w:r w:rsidR="00E14BE7" w:rsidRPr="00571EA4">
        <w:rPr>
          <w:rFonts w:eastAsia="Times New Roman" w:cs="Times New Roman"/>
          <w:szCs w:val="24"/>
          <w:highlight w:val="white"/>
          <w:lang w:val="en-GB"/>
        </w:rPr>
        <w:t xml:space="preserve">increasing </w:t>
      </w:r>
      <w:r w:rsidRPr="00571EA4">
        <w:rPr>
          <w:rFonts w:eastAsia="Times New Roman" w:cs="Times New Roman"/>
          <w:szCs w:val="24"/>
          <w:highlight w:val="white"/>
          <w:lang w:val="en-GB"/>
        </w:rPr>
        <w:t>confounder adjustment</w:t>
      </w:r>
      <w:r w:rsidR="003A0F3F" w:rsidRPr="00571EA4">
        <w:rPr>
          <w:rFonts w:eastAsia="Times New Roman" w:cs="Times New Roman"/>
          <w:szCs w:val="24"/>
          <w:highlight w:val="white"/>
          <w:lang w:val="en-GB"/>
        </w:rPr>
        <w:t xml:space="preserve"> and</w:t>
      </w:r>
      <w:r w:rsidRPr="00571EA4">
        <w:rPr>
          <w:rFonts w:eastAsia="Times New Roman" w:cs="Times New Roman"/>
          <w:szCs w:val="24"/>
          <w:highlight w:val="white"/>
          <w:lang w:val="en-GB"/>
        </w:rPr>
        <w:t xml:space="preserve"> especially after including BMI</w:t>
      </w:r>
      <w:r w:rsidR="00F350A7" w:rsidRPr="00571EA4">
        <w:rPr>
          <w:rFonts w:eastAsia="Times New Roman" w:cs="Times New Roman"/>
          <w:szCs w:val="24"/>
          <w:highlight w:val="white"/>
          <w:lang w:val="en-GB"/>
        </w:rPr>
        <w:t>;</w:t>
      </w:r>
      <w:r w:rsidRPr="00571EA4">
        <w:rPr>
          <w:rFonts w:eastAsia="Times New Roman" w:cs="Times New Roman"/>
          <w:szCs w:val="24"/>
          <w:highlight w:val="white"/>
          <w:lang w:val="en-GB"/>
        </w:rPr>
        <w:t xml:space="preserve"> however, associations of CRP with fatigue, sleep </w:t>
      </w:r>
      <w:r w:rsidR="003A3B57" w:rsidRPr="00571EA4">
        <w:rPr>
          <w:rFonts w:eastAsia="Times New Roman" w:cs="Times New Roman"/>
          <w:szCs w:val="24"/>
          <w:highlight w:val="white"/>
          <w:lang w:val="en-GB"/>
        </w:rPr>
        <w:t>problems</w:t>
      </w:r>
      <w:r w:rsidRPr="00571EA4">
        <w:rPr>
          <w:rFonts w:eastAsia="Times New Roman" w:cs="Times New Roman"/>
          <w:szCs w:val="24"/>
          <w:highlight w:val="white"/>
          <w:lang w:val="en-GB"/>
        </w:rPr>
        <w:t>, depressed mood and irritability remained statistically significant.</w:t>
      </w:r>
    </w:p>
    <w:p w14:paraId="06D90C7F" w14:textId="77777777" w:rsidR="009E17F4" w:rsidRPr="00571EA4" w:rsidRDefault="009E17F4">
      <w:pPr>
        <w:rPr>
          <w:rFonts w:eastAsia="Times New Roman" w:cs="Times New Roman"/>
          <w:szCs w:val="24"/>
          <w:highlight w:val="white"/>
          <w:lang w:val="en-GB"/>
        </w:rPr>
      </w:pPr>
    </w:p>
    <w:p w14:paraId="27E307E1" w14:textId="5D0F34C5" w:rsidR="00A961F7" w:rsidRPr="00571EA4" w:rsidRDefault="00E35B37" w:rsidP="00160715">
      <w:pPr>
        <w:pStyle w:val="Heading2"/>
        <w:spacing w:line="480" w:lineRule="auto"/>
        <w:rPr>
          <w:b w:val="0"/>
          <w:lang w:val="en-GB"/>
        </w:rPr>
      </w:pPr>
      <w:bookmarkStart w:id="16" w:name="_eidcvguz8lxy" w:colFirst="0" w:colLast="0"/>
      <w:bookmarkEnd w:id="16"/>
      <w:r w:rsidRPr="00571EA4">
        <w:rPr>
          <w:lang w:val="en-GB"/>
        </w:rPr>
        <w:t>Fu</w:t>
      </w:r>
      <w:r w:rsidR="00C617E6" w:rsidRPr="00571EA4">
        <w:rPr>
          <w:lang w:val="en-GB"/>
        </w:rPr>
        <w:t>r</w:t>
      </w:r>
      <w:r w:rsidRPr="00571EA4">
        <w:rPr>
          <w:lang w:val="en-GB"/>
        </w:rPr>
        <w:t xml:space="preserve">ther </w:t>
      </w:r>
      <w:r w:rsidR="00A24B87" w:rsidRPr="00571EA4">
        <w:rPr>
          <w:lang w:val="en-GB"/>
        </w:rPr>
        <w:t>analyses using IL-6 levels and additional symptoms in NESDA</w:t>
      </w:r>
    </w:p>
    <w:p w14:paraId="27E307E2" w14:textId="141EFE4B" w:rsidR="00A961F7" w:rsidRPr="00571EA4" w:rsidRDefault="00A24B87" w:rsidP="00187DFB">
      <w:pPr>
        <w:spacing w:after="0"/>
        <w:ind w:firstLine="0"/>
        <w:rPr>
          <w:color w:val="000000"/>
          <w:shd w:val="clear" w:color="auto" w:fill="FFFFFF"/>
          <w:lang w:val="en-GB"/>
        </w:rPr>
      </w:pPr>
      <w:r w:rsidRPr="00571EA4">
        <w:rPr>
          <w:rFonts w:eastAsia="Times New Roman" w:cs="Times New Roman"/>
          <w:szCs w:val="24"/>
          <w:lang w:val="en-GB"/>
        </w:rPr>
        <w:t xml:space="preserve">Among symptoms identified in cross-cohort analysis, extended analyses examining (log)IL-6 levels and disaggregated </w:t>
      </w:r>
      <w:proofErr w:type="spellStart"/>
      <w:r w:rsidRPr="00571EA4">
        <w:rPr>
          <w:rFonts w:eastAsia="Times New Roman" w:cs="Times New Roman"/>
          <w:szCs w:val="24"/>
          <w:lang w:val="en-GB"/>
        </w:rPr>
        <w:t>neurovegetative</w:t>
      </w:r>
      <w:proofErr w:type="spellEnd"/>
      <w:r w:rsidRPr="00571EA4">
        <w:rPr>
          <w:rFonts w:eastAsia="Times New Roman" w:cs="Times New Roman"/>
          <w:szCs w:val="24"/>
          <w:lang w:val="en-GB"/>
        </w:rPr>
        <w:t xml:space="preserve"> symptoms confirmed associations with altered sleep, appetite and fatigue (Figure 2, full results </w:t>
      </w:r>
      <w:r w:rsidR="00BF2220" w:rsidRPr="00571EA4">
        <w:rPr>
          <w:rFonts w:eastAsia="Times New Roman" w:cs="Times New Roman"/>
          <w:szCs w:val="24"/>
          <w:lang w:val="en-GB"/>
        </w:rPr>
        <w:t>Supplementary Table</w:t>
      </w:r>
      <w:r w:rsidR="00A53E97" w:rsidRPr="00571EA4">
        <w:rPr>
          <w:rFonts w:eastAsia="Times New Roman" w:cs="Times New Roman"/>
          <w:szCs w:val="24"/>
          <w:lang w:val="en-GB"/>
        </w:rPr>
        <w:t xml:space="preserve">s </w:t>
      </w:r>
      <w:r w:rsidR="007D3153" w:rsidRPr="00571EA4">
        <w:rPr>
          <w:rFonts w:eastAsia="Times New Roman" w:cs="Times New Roman"/>
          <w:szCs w:val="24"/>
          <w:lang w:val="en-GB"/>
        </w:rPr>
        <w:t>8</w:t>
      </w:r>
      <w:r w:rsidR="00A53E97" w:rsidRPr="00571EA4">
        <w:rPr>
          <w:rFonts w:eastAsia="Times New Roman" w:cs="Times New Roman"/>
          <w:szCs w:val="24"/>
          <w:lang w:val="en-GB"/>
        </w:rPr>
        <w:t xml:space="preserve"> &amp; </w:t>
      </w:r>
      <w:r w:rsidR="007D3153" w:rsidRPr="00571EA4">
        <w:rPr>
          <w:rFonts w:eastAsia="Times New Roman" w:cs="Times New Roman"/>
          <w:szCs w:val="24"/>
          <w:lang w:val="en-GB"/>
        </w:rPr>
        <w:t>9</w:t>
      </w:r>
      <w:r w:rsidRPr="00571EA4">
        <w:rPr>
          <w:rFonts w:eastAsia="Times New Roman" w:cs="Times New Roman"/>
          <w:szCs w:val="24"/>
          <w:lang w:val="en-GB"/>
        </w:rPr>
        <w:t xml:space="preserve">). In particular, </w:t>
      </w:r>
      <w:r w:rsidR="00F411C8" w:rsidRPr="00571EA4">
        <w:rPr>
          <w:rFonts w:eastAsia="Times New Roman" w:cs="Times New Roman"/>
          <w:szCs w:val="24"/>
          <w:lang w:val="en-GB"/>
        </w:rPr>
        <w:lastRenderedPageBreak/>
        <w:t xml:space="preserve">both </w:t>
      </w:r>
      <w:r w:rsidRPr="00571EA4">
        <w:rPr>
          <w:rFonts w:eastAsia="Times New Roman" w:cs="Times New Roman"/>
          <w:szCs w:val="24"/>
          <w:lang w:val="en-GB"/>
        </w:rPr>
        <w:t>higher CRP and IL-6 showed converging associations with hypersomnia</w:t>
      </w:r>
      <w:r w:rsidR="00160715" w:rsidRPr="00571EA4">
        <w:rPr>
          <w:color w:val="000000"/>
          <w:lang w:val="en-GB"/>
        </w:rPr>
        <w:t xml:space="preserve"> (CRP </w:t>
      </w:r>
      <w:r w:rsidR="00160715" w:rsidRPr="00571EA4">
        <w:rPr>
          <w:color w:val="000000"/>
          <w:shd w:val="clear" w:color="auto" w:fill="FFFFFF"/>
          <w:lang w:val="en-GB"/>
        </w:rPr>
        <w:t>OR=1.2</w:t>
      </w:r>
      <w:r w:rsidR="00B70F46" w:rsidRPr="00571EA4">
        <w:rPr>
          <w:color w:val="000000"/>
          <w:shd w:val="clear" w:color="auto" w:fill="FFFFFF"/>
          <w:lang w:val="en-GB"/>
        </w:rPr>
        <w:t>7</w:t>
      </w:r>
      <w:r w:rsidR="00160715" w:rsidRPr="00571EA4">
        <w:rPr>
          <w:color w:val="000000"/>
          <w:shd w:val="clear" w:color="auto" w:fill="FFFFFF"/>
          <w:lang w:val="en-GB"/>
        </w:rPr>
        <w:t>, 95%CI=1.1</w:t>
      </w:r>
      <w:r w:rsidR="00C944A3" w:rsidRPr="00571EA4">
        <w:rPr>
          <w:color w:val="000000"/>
          <w:shd w:val="clear" w:color="auto" w:fill="FFFFFF"/>
          <w:lang w:val="en-GB"/>
        </w:rPr>
        <w:t>3</w:t>
      </w:r>
      <w:r w:rsidR="00160715" w:rsidRPr="00571EA4">
        <w:rPr>
          <w:color w:val="000000"/>
          <w:shd w:val="clear" w:color="auto" w:fill="FFFFFF"/>
          <w:lang w:val="en-GB"/>
        </w:rPr>
        <w:t>-1.43; IL-6 OR=1.26, 95%CI=1.07-1.49</w:t>
      </w:r>
      <w:r w:rsidR="00160715" w:rsidRPr="00571EA4">
        <w:rPr>
          <w:color w:val="000000"/>
          <w:lang w:val="en-GB"/>
        </w:rPr>
        <w:t>)</w:t>
      </w:r>
      <w:r w:rsidR="00E94F99" w:rsidRPr="00571EA4">
        <w:rPr>
          <w:color w:val="000000"/>
          <w:lang w:val="en-GB"/>
        </w:rPr>
        <w:t xml:space="preserve"> </w:t>
      </w:r>
      <w:r w:rsidRPr="00571EA4">
        <w:rPr>
          <w:rFonts w:eastAsia="Times New Roman" w:cs="Times New Roman"/>
          <w:szCs w:val="24"/>
          <w:lang w:val="en-GB"/>
        </w:rPr>
        <w:t>and fatigue</w:t>
      </w:r>
      <w:r w:rsidR="00B1070F" w:rsidRPr="00571EA4">
        <w:rPr>
          <w:rFonts w:eastAsia="Times New Roman" w:cs="Times New Roman"/>
          <w:szCs w:val="24"/>
          <w:lang w:val="en-GB"/>
        </w:rPr>
        <w:t xml:space="preserve"> </w:t>
      </w:r>
      <w:r w:rsidR="00160715" w:rsidRPr="00571EA4">
        <w:rPr>
          <w:color w:val="000000"/>
          <w:lang w:val="en-GB"/>
        </w:rPr>
        <w:t xml:space="preserve">(CRP </w:t>
      </w:r>
      <w:r w:rsidR="00160715" w:rsidRPr="00571EA4">
        <w:rPr>
          <w:color w:val="000000"/>
          <w:shd w:val="clear" w:color="auto" w:fill="FFFFFF"/>
          <w:lang w:val="en-GB"/>
        </w:rPr>
        <w:t>OR=1.12, 95%CI=1.0</w:t>
      </w:r>
      <w:r w:rsidR="00C944A3" w:rsidRPr="00571EA4">
        <w:rPr>
          <w:color w:val="000000"/>
          <w:shd w:val="clear" w:color="auto" w:fill="FFFFFF"/>
          <w:lang w:val="en-GB"/>
        </w:rPr>
        <w:t>4</w:t>
      </w:r>
      <w:r w:rsidR="00160715" w:rsidRPr="00571EA4">
        <w:rPr>
          <w:color w:val="000000"/>
          <w:shd w:val="clear" w:color="auto" w:fill="FFFFFF"/>
          <w:lang w:val="en-GB"/>
        </w:rPr>
        <w:t>-1.21; IL-6 OR=1.</w:t>
      </w:r>
      <w:r w:rsidR="00C944A3" w:rsidRPr="00571EA4">
        <w:rPr>
          <w:color w:val="000000"/>
          <w:shd w:val="clear" w:color="auto" w:fill="FFFFFF"/>
          <w:lang w:val="en-GB"/>
        </w:rPr>
        <w:t>19</w:t>
      </w:r>
      <w:r w:rsidR="00160715" w:rsidRPr="00571EA4">
        <w:rPr>
          <w:color w:val="000000"/>
          <w:shd w:val="clear" w:color="auto" w:fill="FFFFFF"/>
          <w:lang w:val="en-GB"/>
        </w:rPr>
        <w:t>, 95%CI=1.07-1.</w:t>
      </w:r>
      <w:r w:rsidR="00C944A3" w:rsidRPr="00571EA4">
        <w:rPr>
          <w:color w:val="000000"/>
          <w:shd w:val="clear" w:color="auto" w:fill="FFFFFF"/>
          <w:lang w:val="en-GB"/>
        </w:rPr>
        <w:t>33</w:t>
      </w:r>
      <w:r w:rsidR="00160715" w:rsidRPr="00571EA4">
        <w:rPr>
          <w:color w:val="000000"/>
          <w:lang w:val="en-GB"/>
        </w:rPr>
        <w:t>)</w:t>
      </w:r>
      <w:r w:rsidR="00E94F99" w:rsidRPr="00571EA4">
        <w:rPr>
          <w:color w:val="000000"/>
          <w:lang w:val="en-GB"/>
        </w:rPr>
        <w:t xml:space="preserve">. </w:t>
      </w:r>
      <w:r w:rsidRPr="00571EA4">
        <w:rPr>
          <w:rFonts w:eastAsia="Times New Roman" w:cs="Times New Roman"/>
          <w:szCs w:val="24"/>
          <w:lang w:val="en-GB"/>
        </w:rPr>
        <w:t>In contrast, divergent associations with appetite alterations emerged, with CRP linked to increased</w:t>
      </w:r>
      <w:r w:rsidR="00C617E6" w:rsidRPr="00571EA4">
        <w:rPr>
          <w:rFonts w:eastAsia="Times New Roman" w:cs="Times New Roman"/>
          <w:szCs w:val="24"/>
          <w:lang w:val="en-GB"/>
        </w:rPr>
        <w:t xml:space="preserve"> appetite</w:t>
      </w:r>
      <w:r w:rsidRPr="00571EA4">
        <w:rPr>
          <w:rFonts w:eastAsia="Times New Roman" w:cs="Times New Roman"/>
          <w:szCs w:val="24"/>
          <w:lang w:val="en-GB"/>
        </w:rPr>
        <w:t xml:space="preserve"> </w:t>
      </w:r>
      <w:r w:rsidR="00187DFB" w:rsidRPr="00571EA4">
        <w:rPr>
          <w:color w:val="000000"/>
          <w:shd w:val="clear" w:color="auto" w:fill="FFFFFF"/>
          <w:lang w:val="en-GB"/>
        </w:rPr>
        <w:t>(OR=1.2</w:t>
      </w:r>
      <w:r w:rsidR="00C944A3" w:rsidRPr="00571EA4">
        <w:rPr>
          <w:color w:val="000000"/>
          <w:shd w:val="clear" w:color="auto" w:fill="FFFFFF"/>
          <w:lang w:val="en-GB"/>
        </w:rPr>
        <w:t>1</w:t>
      </w:r>
      <w:r w:rsidR="00187DFB" w:rsidRPr="00571EA4">
        <w:rPr>
          <w:color w:val="000000"/>
          <w:shd w:val="clear" w:color="auto" w:fill="FFFFFF"/>
          <w:lang w:val="en-GB"/>
        </w:rPr>
        <w:t xml:space="preserve">, 95%CI=1.08-1.35) </w:t>
      </w:r>
      <w:r w:rsidRPr="00571EA4">
        <w:rPr>
          <w:rFonts w:eastAsia="Times New Roman" w:cs="Times New Roman"/>
          <w:szCs w:val="24"/>
          <w:lang w:val="en-GB"/>
        </w:rPr>
        <w:t xml:space="preserve">and IL-6 linked to decreased </w:t>
      </w:r>
      <w:r w:rsidR="00C617E6" w:rsidRPr="00571EA4">
        <w:rPr>
          <w:rFonts w:eastAsia="Times New Roman" w:cs="Times New Roman"/>
          <w:szCs w:val="24"/>
          <w:lang w:val="en-GB"/>
        </w:rPr>
        <w:t xml:space="preserve">appetite </w:t>
      </w:r>
      <w:r w:rsidRPr="00571EA4">
        <w:rPr>
          <w:rFonts w:eastAsia="Times New Roman" w:cs="Times New Roman"/>
          <w:szCs w:val="24"/>
          <w:highlight w:val="white"/>
          <w:lang w:val="en-GB"/>
        </w:rPr>
        <w:t>(OR=1.45, 95%CI=1.18-1.79)</w:t>
      </w:r>
      <w:r w:rsidRPr="00571EA4">
        <w:rPr>
          <w:rFonts w:eastAsia="Times New Roman" w:cs="Times New Roman"/>
          <w:szCs w:val="24"/>
          <w:lang w:val="en-GB"/>
        </w:rPr>
        <w:t>. IL-6</w:t>
      </w:r>
      <w:r w:rsidR="00E94F99" w:rsidRPr="00571EA4">
        <w:rPr>
          <w:rFonts w:eastAsia="Times New Roman" w:cs="Times New Roman"/>
          <w:szCs w:val="24"/>
          <w:lang w:val="en-GB"/>
        </w:rPr>
        <w:t xml:space="preserve"> but not CRP</w:t>
      </w:r>
      <w:r w:rsidRPr="00571EA4">
        <w:rPr>
          <w:rFonts w:eastAsia="Times New Roman" w:cs="Times New Roman"/>
          <w:szCs w:val="24"/>
          <w:lang w:val="en-GB"/>
        </w:rPr>
        <w:t xml:space="preserve"> </w:t>
      </w:r>
      <w:r w:rsidR="00E94F99" w:rsidRPr="00571EA4">
        <w:rPr>
          <w:rFonts w:eastAsia="Times New Roman" w:cs="Times New Roman"/>
          <w:szCs w:val="24"/>
          <w:lang w:val="en-GB"/>
        </w:rPr>
        <w:t>was also</w:t>
      </w:r>
      <w:r w:rsidRPr="00571EA4">
        <w:rPr>
          <w:rFonts w:eastAsia="Times New Roman" w:cs="Times New Roman"/>
          <w:szCs w:val="24"/>
          <w:lang w:val="en-GB"/>
        </w:rPr>
        <w:t xml:space="preserve"> associat</w:t>
      </w:r>
      <w:r w:rsidR="00E94F99" w:rsidRPr="00571EA4">
        <w:rPr>
          <w:rFonts w:eastAsia="Times New Roman" w:cs="Times New Roman"/>
          <w:szCs w:val="24"/>
          <w:lang w:val="en-GB"/>
        </w:rPr>
        <w:t>ed</w:t>
      </w:r>
      <w:r w:rsidRPr="00571EA4">
        <w:rPr>
          <w:rFonts w:eastAsia="Times New Roman" w:cs="Times New Roman"/>
          <w:szCs w:val="24"/>
          <w:lang w:val="en-GB"/>
        </w:rPr>
        <w:t xml:space="preserve"> with anhedonia (</w:t>
      </w:r>
      <w:r w:rsidRPr="00571EA4">
        <w:rPr>
          <w:rFonts w:eastAsia="Times New Roman" w:cs="Times New Roman"/>
          <w:szCs w:val="24"/>
          <w:highlight w:val="white"/>
          <w:lang w:val="en-GB"/>
        </w:rPr>
        <w:t>OR=1.30, 95%CI=1.12-1.52).</w:t>
      </w:r>
      <w:r w:rsidRPr="00571EA4">
        <w:rPr>
          <w:rFonts w:eastAsia="Times New Roman" w:cs="Times New Roman"/>
          <w:szCs w:val="24"/>
          <w:lang w:val="en-GB"/>
        </w:rPr>
        <w:t xml:space="preserve"> </w:t>
      </w:r>
      <w:r w:rsidR="008D67B7" w:rsidRPr="00571EA4">
        <w:rPr>
          <w:rFonts w:eastAsia="Times New Roman" w:cs="Times New Roman"/>
          <w:szCs w:val="24"/>
          <w:lang w:val="en-GB"/>
        </w:rPr>
        <w:t>A</w:t>
      </w:r>
      <w:r w:rsidRPr="00571EA4">
        <w:rPr>
          <w:rFonts w:eastAsia="Times New Roman" w:cs="Times New Roman"/>
          <w:szCs w:val="24"/>
          <w:lang w:val="en-GB"/>
        </w:rPr>
        <w:t>dditional adjustment for BMI</w:t>
      </w:r>
      <w:r w:rsidR="008D67B7" w:rsidRPr="00571EA4">
        <w:rPr>
          <w:rFonts w:eastAsia="Times New Roman" w:cs="Times New Roman"/>
          <w:szCs w:val="24"/>
          <w:lang w:val="en-GB"/>
        </w:rPr>
        <w:t xml:space="preserve"> </w:t>
      </w:r>
      <w:r w:rsidR="00D7714D" w:rsidRPr="00571EA4">
        <w:rPr>
          <w:rFonts w:eastAsia="Times New Roman" w:cs="Times New Roman"/>
          <w:szCs w:val="24"/>
          <w:lang w:val="en-GB"/>
        </w:rPr>
        <w:t xml:space="preserve">did not change </w:t>
      </w:r>
      <w:r w:rsidR="008D67B7" w:rsidRPr="00571EA4">
        <w:rPr>
          <w:rFonts w:eastAsia="Times New Roman" w:cs="Times New Roman"/>
          <w:szCs w:val="24"/>
          <w:lang w:val="en-GB"/>
        </w:rPr>
        <w:t>results substantially</w:t>
      </w:r>
      <w:r w:rsidRPr="00571EA4">
        <w:rPr>
          <w:rFonts w:eastAsia="Times New Roman" w:cs="Times New Roman"/>
          <w:szCs w:val="24"/>
          <w:lang w:val="en-GB"/>
        </w:rPr>
        <w:t xml:space="preserve">, </w:t>
      </w:r>
      <w:r w:rsidR="00862D8A" w:rsidRPr="00571EA4">
        <w:rPr>
          <w:rFonts w:eastAsia="Times New Roman" w:cs="Times New Roman"/>
          <w:szCs w:val="24"/>
          <w:lang w:val="en-GB"/>
        </w:rPr>
        <w:t>but</w:t>
      </w:r>
      <w:r w:rsidRPr="00571EA4">
        <w:rPr>
          <w:rFonts w:eastAsia="Times New Roman" w:cs="Times New Roman"/>
          <w:szCs w:val="24"/>
          <w:lang w:val="en-GB"/>
        </w:rPr>
        <w:t xml:space="preserve"> the association between CRP and increased appetite was no longer significant.</w:t>
      </w:r>
      <w:r w:rsidR="00917E76" w:rsidRPr="00571EA4">
        <w:rPr>
          <w:rFonts w:eastAsia="Times New Roman" w:cs="Times New Roman"/>
          <w:szCs w:val="24"/>
          <w:lang w:val="en-GB"/>
        </w:rPr>
        <w:t xml:space="preserve"> In model 2, higher IL-6 was associated with depressed mood, but not after considering multiple testing. IL-6 was not associated with anxiety symptoms.</w:t>
      </w:r>
    </w:p>
    <w:p w14:paraId="3ECA872A" w14:textId="77777777" w:rsidR="009E17F4" w:rsidRPr="00571EA4" w:rsidRDefault="009E17F4" w:rsidP="00B1070F">
      <w:pPr>
        <w:ind w:firstLine="0"/>
        <w:rPr>
          <w:rFonts w:eastAsia="Times New Roman" w:cs="Times New Roman"/>
          <w:szCs w:val="24"/>
          <w:lang w:val="en-GB"/>
        </w:rPr>
      </w:pPr>
    </w:p>
    <w:p w14:paraId="27E307E3" w14:textId="77777777" w:rsidR="00A961F7" w:rsidRPr="00571EA4" w:rsidRDefault="00A24B87" w:rsidP="009E17F4">
      <w:pPr>
        <w:pStyle w:val="Heading2"/>
        <w:rPr>
          <w:b w:val="0"/>
          <w:lang w:val="en-GB"/>
        </w:rPr>
      </w:pPr>
      <w:bookmarkStart w:id="17" w:name="_f9bpze1z1ldl" w:colFirst="0" w:colLast="0"/>
      <w:bookmarkStart w:id="18" w:name="_Hlk56149689"/>
      <w:bookmarkEnd w:id="17"/>
      <w:r w:rsidRPr="00571EA4">
        <w:rPr>
          <w:lang w:val="en-GB"/>
        </w:rPr>
        <w:t>Results for Mendelian randomization analyses</w:t>
      </w:r>
    </w:p>
    <w:bookmarkEnd w:id="18"/>
    <w:p w14:paraId="27E307E4" w14:textId="3992708E" w:rsidR="00A961F7" w:rsidRPr="00571EA4" w:rsidRDefault="00A24B87">
      <w:pPr>
        <w:rPr>
          <w:rFonts w:eastAsia="Times New Roman" w:cs="Times New Roman"/>
          <w:szCs w:val="24"/>
          <w:highlight w:val="white"/>
          <w:lang w:val="en-GB"/>
        </w:rPr>
      </w:pPr>
      <w:r w:rsidRPr="00571EA4">
        <w:rPr>
          <w:rFonts w:eastAsia="Times New Roman" w:cs="Times New Roman"/>
          <w:szCs w:val="24"/>
          <w:highlight w:val="white"/>
          <w:lang w:val="en-GB"/>
        </w:rPr>
        <w:t xml:space="preserve">IVW </w:t>
      </w:r>
      <w:r w:rsidR="004A633F" w:rsidRPr="00571EA4">
        <w:rPr>
          <w:rFonts w:eastAsia="Times New Roman" w:cs="Times New Roman"/>
          <w:szCs w:val="24"/>
          <w:highlight w:val="white"/>
          <w:lang w:val="en-GB"/>
        </w:rPr>
        <w:t>one</w:t>
      </w:r>
      <w:r w:rsidRPr="00571EA4">
        <w:rPr>
          <w:rFonts w:eastAsia="Times New Roman" w:cs="Times New Roman"/>
          <w:szCs w:val="24"/>
          <w:highlight w:val="white"/>
          <w:lang w:val="en-GB"/>
        </w:rPr>
        <w:t xml:space="preserve">-sample and </w:t>
      </w:r>
      <w:r w:rsidR="004A633F" w:rsidRPr="00571EA4">
        <w:rPr>
          <w:rFonts w:eastAsia="Times New Roman" w:cs="Times New Roman"/>
          <w:szCs w:val="24"/>
          <w:highlight w:val="white"/>
          <w:lang w:val="en-GB"/>
        </w:rPr>
        <w:t>two</w:t>
      </w:r>
      <w:r w:rsidRPr="00571EA4">
        <w:rPr>
          <w:rFonts w:eastAsia="Times New Roman" w:cs="Times New Roman"/>
          <w:szCs w:val="24"/>
          <w:highlight w:val="white"/>
          <w:lang w:val="en-GB"/>
        </w:rPr>
        <w:t xml:space="preserve">-sample MR results for CRP and IL-6 instruments are displayed in Figure </w:t>
      </w:r>
      <w:r w:rsidR="00A364F7" w:rsidRPr="00571EA4">
        <w:rPr>
          <w:rFonts w:eastAsia="Times New Roman" w:cs="Times New Roman"/>
          <w:szCs w:val="24"/>
          <w:highlight w:val="white"/>
          <w:lang w:val="en-GB"/>
        </w:rPr>
        <w:t>3</w:t>
      </w:r>
      <w:r w:rsidRPr="00571EA4">
        <w:rPr>
          <w:rFonts w:eastAsia="Times New Roman" w:cs="Times New Roman"/>
          <w:szCs w:val="24"/>
          <w:highlight w:val="white"/>
          <w:lang w:val="en-GB"/>
        </w:rPr>
        <w:t xml:space="preserve"> based on genetic instruments derived from Georgakis </w:t>
      </w:r>
      <w:r w:rsidRPr="00571EA4">
        <w:rPr>
          <w:rFonts w:eastAsia="Times New Roman" w:cs="Times New Roman"/>
          <w:i/>
          <w:szCs w:val="24"/>
          <w:highlight w:val="white"/>
          <w:lang w:val="en-GB"/>
        </w:rPr>
        <w:t>et al.</w:t>
      </w:r>
      <w:r w:rsidR="00F91790" w:rsidRPr="00571EA4">
        <w:rPr>
          <w:rFonts w:eastAsia="Times New Roman" w:cs="Times New Roman"/>
          <w:i/>
          <w:szCs w:val="24"/>
          <w:highlight w:val="white"/>
        </w:rPr>
        <w:fldChar w:fldCharType="begin" w:fldLock="1"/>
      </w:r>
      <w:r w:rsidR="00D613B9" w:rsidRPr="00571EA4">
        <w:rPr>
          <w:rFonts w:eastAsia="Times New Roman" w:cs="Times New Roman"/>
          <w:i/>
          <w:szCs w:val="24"/>
          <w:highlight w:val="white"/>
          <w:lang w:val="en-GB"/>
        </w:rPr>
        <w:instrText>ADDIN CSL_CITATION {"citationItems":[{"id":"ITEM-1","itemData":{"DOI":"10.1161/CIRCGEN.119.002872","ISSN":"25748300","PMID":"32397738","author":[{"dropping-particle":"","family":"Georgakis","given":"Marios K.","non-dropping-particle":"","parse-names":false,"suffix":""},{"dropping-particle":"","family":"Malik","given":"Rainer","non-dropping-particle":"","parse-names":false,"suffix":""},{"dropping-particle":"","family":"Gill","given":"Dipender","non-dropping-particle":"","parse-names":false,"suffix":""},{"dropping-particle":"","family":"Franceschini","given":"Nora","non-dropping-particle":"","parse-names":false,"suffix":""},{"dropping-particle":"","family":"Sudlow","given":"Cathie L.M.","non-dropping-particle":"","parse-names":false,"suffix":""},{"dropping-particle":"","family":"Dichgans","given":"Martin","non-dropping-particle":"","parse-names":false,"suffix":""}],"container-title":"Circulation: Genomic and Precision Medicine","id":"ITEM-1","issue":"June","issued":{"date-parts":[["2020"]]},"page":"168-171","title":"Interleukin-6 Signaling Effects on Ischemic Stroke and Other Cardiovascular Outcomes: A Mendelian Randomization Study","type":"article-journal"},"uris":["http://www.mendeley.com/documents/?uuid=4d214cd6-d3eb-4ae1-ad96-4834799e96f2"]}],"mendeley":{"formattedCitation":"[28]","plainTextFormattedCitation":"[28]","previouslyFormattedCitation":"[28]"},"properties":{"noteIndex":0},"schema":"https://github.com/citation-style-language/schema/raw/master/csl-citation.json"}</w:instrText>
      </w:r>
      <w:r w:rsidR="00F91790" w:rsidRPr="00571EA4">
        <w:rPr>
          <w:rFonts w:eastAsia="Times New Roman" w:cs="Times New Roman"/>
          <w:i/>
          <w:szCs w:val="24"/>
          <w:highlight w:val="white"/>
        </w:rPr>
        <w:fldChar w:fldCharType="separate"/>
      </w:r>
      <w:r w:rsidR="00AF5060" w:rsidRPr="00571EA4">
        <w:rPr>
          <w:rFonts w:eastAsia="Times New Roman" w:cs="Times New Roman"/>
          <w:noProof/>
          <w:szCs w:val="24"/>
          <w:highlight w:val="white"/>
          <w:lang w:val="en-GB"/>
        </w:rPr>
        <w:t>[28]</w:t>
      </w:r>
      <w:r w:rsidR="00F91790" w:rsidRPr="00571EA4">
        <w:rPr>
          <w:rFonts w:eastAsia="Times New Roman" w:cs="Times New Roman"/>
          <w:i/>
          <w:szCs w:val="24"/>
          <w:highlight w:val="white"/>
        </w:rPr>
        <w:fldChar w:fldCharType="end"/>
      </w:r>
      <w:r w:rsidRPr="00571EA4">
        <w:rPr>
          <w:rFonts w:eastAsia="Times New Roman" w:cs="Times New Roman"/>
          <w:szCs w:val="24"/>
          <w:highlight w:val="white"/>
          <w:lang w:val="en-GB"/>
        </w:rPr>
        <w:t xml:space="preserve"> Exact numeric results for these and other instruments are provided in </w:t>
      </w:r>
      <w:r w:rsidR="00BF2220" w:rsidRPr="00571EA4">
        <w:rPr>
          <w:rFonts w:eastAsia="Times New Roman" w:cs="Times New Roman"/>
          <w:szCs w:val="24"/>
          <w:highlight w:val="white"/>
          <w:lang w:val="en-GB"/>
        </w:rPr>
        <w:t>Supplementary Table</w:t>
      </w:r>
      <w:r w:rsidRPr="00571EA4">
        <w:rPr>
          <w:rFonts w:eastAsia="Times New Roman" w:cs="Times New Roman"/>
          <w:szCs w:val="24"/>
          <w:highlight w:val="white"/>
          <w:lang w:val="en-GB"/>
        </w:rPr>
        <w:t xml:space="preserve">s </w:t>
      </w:r>
      <w:r w:rsidR="0018062B" w:rsidRPr="00571EA4">
        <w:rPr>
          <w:rFonts w:eastAsia="Times New Roman" w:cs="Times New Roman"/>
          <w:szCs w:val="24"/>
          <w:highlight w:val="white"/>
          <w:lang w:val="en-GB"/>
        </w:rPr>
        <w:t>1</w:t>
      </w:r>
      <w:r w:rsidR="003D668F" w:rsidRPr="00571EA4">
        <w:rPr>
          <w:rFonts w:eastAsia="Times New Roman" w:cs="Times New Roman"/>
          <w:szCs w:val="24"/>
          <w:highlight w:val="white"/>
          <w:lang w:val="en-GB"/>
        </w:rPr>
        <w:t>0</w:t>
      </w:r>
      <w:r w:rsidR="0018062B" w:rsidRPr="00571EA4">
        <w:rPr>
          <w:rFonts w:eastAsia="Times New Roman" w:cs="Times New Roman"/>
          <w:szCs w:val="24"/>
          <w:highlight w:val="white"/>
          <w:lang w:val="en-GB"/>
        </w:rPr>
        <w:t xml:space="preserve"> and 1</w:t>
      </w:r>
      <w:r w:rsidR="003D668F" w:rsidRPr="00571EA4">
        <w:rPr>
          <w:rFonts w:eastAsia="Times New Roman" w:cs="Times New Roman"/>
          <w:szCs w:val="24"/>
          <w:highlight w:val="white"/>
          <w:lang w:val="en-GB"/>
        </w:rPr>
        <w:t>1</w:t>
      </w:r>
      <w:r w:rsidRPr="00571EA4">
        <w:rPr>
          <w:rFonts w:eastAsia="Times New Roman" w:cs="Times New Roman"/>
          <w:szCs w:val="24"/>
          <w:highlight w:val="white"/>
          <w:lang w:val="en-GB"/>
        </w:rPr>
        <w:t xml:space="preserve">. </w:t>
      </w:r>
    </w:p>
    <w:p w14:paraId="71F74469" w14:textId="3636A35C" w:rsidR="00C37947" w:rsidRPr="00571EA4" w:rsidRDefault="00A24B87">
      <w:pPr>
        <w:rPr>
          <w:rFonts w:eastAsia="Times New Roman" w:cs="Times New Roman"/>
          <w:szCs w:val="24"/>
          <w:highlight w:val="white"/>
          <w:lang w:val="en-GB"/>
        </w:rPr>
      </w:pPr>
      <w:r w:rsidRPr="00571EA4">
        <w:rPr>
          <w:rFonts w:eastAsia="Times New Roman" w:cs="Times New Roman"/>
          <w:szCs w:val="24"/>
          <w:highlight w:val="white"/>
          <w:lang w:val="en-GB"/>
        </w:rPr>
        <w:t xml:space="preserve">Overall, MR results showed that genetically predicted higher CRP levels were associated with lower </w:t>
      </w:r>
      <w:r w:rsidR="00C51402" w:rsidRPr="00571EA4">
        <w:rPr>
          <w:rFonts w:eastAsia="Times New Roman" w:cs="Times New Roman"/>
          <w:szCs w:val="24"/>
          <w:highlight w:val="white"/>
          <w:lang w:val="en-GB"/>
        </w:rPr>
        <w:t xml:space="preserve">risk of </w:t>
      </w:r>
      <w:r w:rsidRPr="00571EA4">
        <w:rPr>
          <w:rFonts w:eastAsia="Times New Roman" w:cs="Times New Roman"/>
          <w:szCs w:val="24"/>
          <w:highlight w:val="white"/>
          <w:lang w:val="en-GB"/>
        </w:rPr>
        <w:t>depressive and anxiety symptoms. After adjusting for multiple comparisons, evidence for associations remained for suicidal ideation, cognitive problems, and the psychological symptom summary score. On the other hand, MR results for IL-6 showed that genetically predicted increased IL-6 signalling was associated with increased fatigue</w:t>
      </w:r>
      <w:r w:rsidR="00C37947" w:rsidRPr="00571EA4">
        <w:rPr>
          <w:rFonts w:eastAsia="Times New Roman" w:cs="Times New Roman"/>
          <w:szCs w:val="24"/>
          <w:highlight w:val="white"/>
          <w:lang w:val="en-GB"/>
        </w:rPr>
        <w:t xml:space="preserve">, </w:t>
      </w:r>
      <w:r w:rsidRPr="00571EA4">
        <w:rPr>
          <w:rFonts w:eastAsia="Times New Roman" w:cs="Times New Roman"/>
          <w:szCs w:val="24"/>
          <w:highlight w:val="white"/>
          <w:lang w:val="en-GB"/>
        </w:rPr>
        <w:t>sleep problem</w:t>
      </w:r>
      <w:r w:rsidR="00C617E6" w:rsidRPr="00571EA4">
        <w:rPr>
          <w:rFonts w:eastAsia="Times New Roman" w:cs="Times New Roman"/>
          <w:szCs w:val="24"/>
          <w:highlight w:val="white"/>
          <w:lang w:val="en-GB"/>
        </w:rPr>
        <w:t>s</w:t>
      </w:r>
      <w:r w:rsidR="00C37947" w:rsidRPr="00571EA4">
        <w:rPr>
          <w:rFonts w:eastAsia="Times New Roman" w:cs="Times New Roman"/>
          <w:szCs w:val="24"/>
          <w:highlight w:val="white"/>
          <w:lang w:val="en-GB"/>
        </w:rPr>
        <w:t xml:space="preserve"> and suicidality</w:t>
      </w:r>
      <w:r w:rsidRPr="00571EA4">
        <w:rPr>
          <w:rFonts w:eastAsia="Times New Roman" w:cs="Times New Roman"/>
          <w:szCs w:val="24"/>
          <w:highlight w:val="white"/>
          <w:lang w:val="en-GB"/>
        </w:rPr>
        <w:t xml:space="preserve">, </w:t>
      </w:r>
      <w:r w:rsidR="00C37947" w:rsidRPr="00571EA4">
        <w:rPr>
          <w:rFonts w:eastAsia="Times New Roman" w:cs="Times New Roman"/>
          <w:szCs w:val="24"/>
          <w:highlight w:val="white"/>
          <w:lang w:val="en-GB"/>
        </w:rPr>
        <w:t xml:space="preserve">but only associations with fatigue and sleep problems </w:t>
      </w:r>
      <w:r w:rsidRPr="00571EA4">
        <w:rPr>
          <w:rFonts w:eastAsia="Times New Roman" w:cs="Times New Roman"/>
          <w:szCs w:val="24"/>
          <w:highlight w:val="white"/>
          <w:lang w:val="en-GB"/>
        </w:rPr>
        <w:t xml:space="preserve">persisted after corrections for multiple testing. </w:t>
      </w:r>
    </w:p>
    <w:p w14:paraId="27E307E7" w14:textId="5192C958" w:rsidR="00A961F7" w:rsidRPr="00571EA4" w:rsidRDefault="00C37947" w:rsidP="00625A4A">
      <w:pPr>
        <w:rPr>
          <w:rFonts w:eastAsia="Times New Roman" w:cs="Times New Roman"/>
          <w:szCs w:val="24"/>
          <w:highlight w:val="white"/>
          <w:lang w:val="en-GB"/>
        </w:rPr>
      </w:pPr>
      <w:r w:rsidRPr="00571EA4">
        <w:rPr>
          <w:rFonts w:eastAsia="Times New Roman" w:cs="Times New Roman"/>
          <w:szCs w:val="24"/>
          <w:highlight w:val="white"/>
          <w:lang w:val="en-GB"/>
        </w:rPr>
        <w:t>Of note, MR results for the aforementioned associations of genetically predicted CRP</w:t>
      </w:r>
      <w:r w:rsidR="000E63D6" w:rsidRPr="00571EA4">
        <w:rPr>
          <w:rFonts w:eastAsia="Times New Roman" w:cs="Times New Roman"/>
          <w:szCs w:val="24"/>
          <w:highlight w:val="white"/>
          <w:lang w:val="en-GB"/>
        </w:rPr>
        <w:t>/IL-6 with specific depressive symptoms</w:t>
      </w:r>
      <w:r w:rsidRPr="00571EA4">
        <w:rPr>
          <w:rFonts w:eastAsia="Times New Roman" w:cs="Times New Roman"/>
          <w:szCs w:val="24"/>
          <w:highlight w:val="white"/>
          <w:lang w:val="en-GB"/>
        </w:rPr>
        <w:t xml:space="preserve"> </w:t>
      </w:r>
      <w:r w:rsidR="006C4531" w:rsidRPr="00571EA4">
        <w:rPr>
          <w:rFonts w:eastAsia="Times New Roman" w:cs="Times New Roman"/>
          <w:szCs w:val="24"/>
          <w:highlight w:val="white"/>
          <w:lang w:val="en-GB"/>
        </w:rPr>
        <w:t>were</w:t>
      </w:r>
      <w:r w:rsidRPr="00571EA4">
        <w:rPr>
          <w:rFonts w:eastAsia="Times New Roman" w:cs="Times New Roman"/>
          <w:szCs w:val="24"/>
          <w:highlight w:val="white"/>
          <w:lang w:val="en-GB"/>
        </w:rPr>
        <w:t xml:space="preserve"> directionally consistent with </w:t>
      </w:r>
      <w:r w:rsidR="000E63D6" w:rsidRPr="00571EA4">
        <w:rPr>
          <w:rFonts w:eastAsia="Times New Roman" w:cs="Times New Roman"/>
          <w:szCs w:val="24"/>
          <w:highlight w:val="white"/>
          <w:lang w:val="en-GB"/>
        </w:rPr>
        <w:t xml:space="preserve">results from </w:t>
      </w:r>
      <w:r w:rsidRPr="00571EA4">
        <w:rPr>
          <w:rFonts w:eastAsia="Times New Roman" w:cs="Times New Roman"/>
          <w:szCs w:val="24"/>
          <w:highlight w:val="white"/>
          <w:lang w:val="en-GB"/>
        </w:rPr>
        <w:lastRenderedPageBreak/>
        <w:t xml:space="preserve">a previous report using two-sample MR and </w:t>
      </w:r>
      <w:r w:rsidR="000E63D6" w:rsidRPr="00571EA4">
        <w:rPr>
          <w:rFonts w:eastAsia="Times New Roman" w:cs="Times New Roman"/>
          <w:szCs w:val="24"/>
          <w:highlight w:val="white"/>
          <w:lang w:val="en-GB"/>
        </w:rPr>
        <w:t>a different combination of genetic instruments for CRP and IL-6 (cf.</w:t>
      </w:r>
      <w:r w:rsidRPr="00571EA4">
        <w:rPr>
          <w:rFonts w:eastAsia="Times New Roman" w:cs="Times New Roman"/>
          <w:szCs w:val="24"/>
          <w:highlight w:val="white"/>
          <w:lang w:val="en-GB"/>
        </w:rPr>
        <w:t xml:space="preserve"> </w:t>
      </w:r>
      <w:proofErr w:type="spellStart"/>
      <w:r w:rsidRPr="00571EA4">
        <w:rPr>
          <w:rFonts w:eastAsia="Times New Roman" w:cs="Times New Roman"/>
          <w:szCs w:val="24"/>
          <w:highlight w:val="white"/>
          <w:lang w:val="en-GB"/>
        </w:rPr>
        <w:t>Kappelmann</w:t>
      </w:r>
      <w:proofErr w:type="spellEnd"/>
      <w:r w:rsidRPr="00571EA4">
        <w:rPr>
          <w:rFonts w:eastAsia="Times New Roman" w:cs="Times New Roman"/>
          <w:szCs w:val="24"/>
          <w:highlight w:val="white"/>
          <w:lang w:val="en-GB"/>
        </w:rPr>
        <w:t xml:space="preserve"> </w:t>
      </w:r>
      <w:r w:rsidRPr="00571EA4">
        <w:rPr>
          <w:rFonts w:eastAsia="Times New Roman" w:cs="Times New Roman"/>
          <w:i/>
          <w:szCs w:val="24"/>
          <w:highlight w:val="white"/>
          <w:lang w:val="en-GB"/>
        </w:rPr>
        <w:t>et al.</w:t>
      </w:r>
      <w:r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{"citationItems":[{"id":"ITEM-1","itemData":{"DOI":"10.1001/jamapsychiatry.2020.3436","ISSN":"2168-622X","abstract":"IMPORTANCE Observational studies highlight associations of C-reactive protein (CRP), a general marker of inflammation, and interleukin 6 (IL-6), a cytokine-stimulating CRP production, with individual depressive symptoms. However, it is unclear whether inflammatory activity is associated with individual depressive symptoms and to what extent metabolic dysregulation underlies the reported associations. OBJECTIVE To explore the genetic overlap and associations between inflammatory activity, metabolic dysregulation, and individual depressive symptoms. GWAS DATA SOURCES Genome-wide association study (GWAS) summary data of European individuals, including the following: CRP levels (204402 individuals); 9 individual depressive symptoms (3 of which did not differentiate between underlying diametrically opposite symptoms [eg, insomnia and hypersomnia]) as measured with the Patient Health Questionnaire 9 (up to 117 907 individuals); summary statistics for major depression, including and excluding UK Biobank participants, resulting in sample sizes of 500 199 and up to 230 214 individuals, respectively; insomnia (up to 386 533 individuals); body mass index (BMI) (up to 322 154 individuals); and height (up to 253 280 individuals). DESIGN In this genetic correlation and 2-sample mendelian randomization (MR) study, linkage disequilibrium score (LDSC) regression was applied to infer single-nucleotide variant–based heritability and genetic correlation estimates. Two-sample MR tested potential causal associations of genetic variants associated with CRP levels, IL-6 signaling, and BMI with depressive symptoms. The study dates were November 2019 to April 2020. RESULTS Based on large GWAS data sources, genetic correlation analyses revealed consistent false discovery rate (FDR)–controlled associations (genetic correlation range, 0.152-0.362; FDR P = .006 to P &lt; .001) between CRP levels and depressive symptoms that were similar in size to genetic correlations of BMI with depressive symptoms. Two-sample MR analyses suggested that genetic upregulation of IL-6 signaling was associated with suicidality (estimate [SE], 0.035 [0.010]; FDR plus Bonferroni correction P = .01), a finding that remained stable across statistical models and sensitivity analyses using alternative instrument selection strategies. Mendelian randomization analyses did not consistently show associations of higher CRP levels or IL-6 signaling with other depressive symptoms, but higher BMIwas associated with anh…","author":[{"dropping-particle":"","family":"Kappelmann","given":"Nils","non-dropping-particle":"","parse-names":false,"suffix":""},{"dropping-particle":"","family":"Arloth","given":"Janine","non-dropping-particle":"","parse-names":false,"suffix":""},{"dropping-particle":"","family":"Georgakis","given":"Marios K","non-dropping-particle":"","parse-names":false,"suffix":""},{"dropping-particle":"","family":"Czamara","given":"Darina","non-dropping-particle":"","parse-names":false,"suffix":""},{"dropping-particle":"","family":"Rost","given":"Nicolas","non-dropping-particle":"","parse-names":false,"suffix":""},{"dropping-particle":"","family":"Ligthart","given":"Symen","non-dropping-particle":"","parse-names":false,"suffix":""},{"dropping-particle":"","family":"Khandaker","given":"Golam M","non-dropping-particle":"","parse-names":false,"suffix":""},{"dropping-particle":"","family":"Binder","given":"Elisabeth B","non-dropping-particle":"","parse-names":false,"suffix":""}],"container-title":"JAMA Psychiatry","id":"ITEM-1","issue":"2","issued":{"date-parts":[["2021","10"]]},"page":"161-170","title":"Dissecting the Association Between Inflammation, Metabolic Dysregulation, and Specific Depressive Symptoms","type":"article-journal","volume":"78"},"uris":["http://www.mendeley.com/documents/?uuid=f6f6abd2-1048-4720-af33-59cc49864971","http://www.mendeley.com/documents/?uuid=b8985a82-79ce-49ca-be30-b9df00ad3d25"]}],"mendeley":{"formattedCitation":"[21]","plainTextFormattedCitation":"[21]","previouslyFormattedCitation":"[21]"},"properties":{"noteIndex":0},"schema":"https://github.com/citation-style-language/schema/raw/master/csl-citation.json"}</w:instrText>
      </w:r>
      <w:r w:rsidRPr="00571EA4">
        <w:rPr>
          <w:rFonts w:eastAsia="Times New Roman" w:cs="Times New Roman"/>
          <w:szCs w:val="24"/>
          <w:highlight w:val="white"/>
        </w:rPr>
        <w:fldChar w:fldCharType="separate"/>
      </w:r>
      <w:r w:rsidRPr="00571EA4">
        <w:rPr>
          <w:rFonts w:eastAsia="Times New Roman" w:cs="Times New Roman"/>
          <w:noProof/>
          <w:szCs w:val="24"/>
          <w:highlight w:val="white"/>
          <w:lang w:val="en-GB"/>
        </w:rPr>
        <w:t>[21]</w:t>
      </w:r>
      <w:r w:rsidRPr="00571EA4">
        <w:rPr>
          <w:rFonts w:eastAsia="Times New Roman" w:cs="Times New Roman"/>
          <w:szCs w:val="24"/>
          <w:highlight w:val="white"/>
        </w:rPr>
        <w:fldChar w:fldCharType="end"/>
      </w:r>
      <w:r w:rsidR="000E63D6" w:rsidRPr="00571EA4">
        <w:rPr>
          <w:rFonts w:eastAsia="Times New Roman" w:cs="Times New Roman"/>
          <w:szCs w:val="24"/>
          <w:highlight w:val="white"/>
        </w:rPr>
        <w:t>)</w:t>
      </w:r>
      <w:r w:rsidR="00F22BF8" w:rsidRPr="00571EA4">
        <w:rPr>
          <w:rFonts w:eastAsia="Times New Roman" w:cs="Times New Roman"/>
          <w:szCs w:val="24"/>
          <w:highlight w:val="white"/>
          <w:lang w:val="en-GB"/>
        </w:rPr>
        <w:t>.</w:t>
      </w:r>
    </w:p>
    <w:p w14:paraId="7AE5A801" w14:textId="77777777" w:rsidR="00A961F7" w:rsidRPr="00571EA4" w:rsidRDefault="00A24B87">
      <w:pPr>
        <w:rPr>
          <w:rFonts w:eastAsia="Times New Roman" w:cs="Times New Roman"/>
          <w:szCs w:val="24"/>
          <w:highlight w:val="white"/>
          <w:lang w:val="en-GB"/>
        </w:rPr>
      </w:pPr>
      <w:r w:rsidRPr="00571EA4">
        <w:rPr>
          <w:rFonts w:eastAsia="Times New Roman" w:cs="Times New Roman"/>
          <w:szCs w:val="24"/>
          <w:highlight w:val="white"/>
          <w:lang w:val="en-GB"/>
        </w:rPr>
        <w:t>Assessment of heterogeneity did not indicate that the aforementioned associations w</w:t>
      </w:r>
      <w:r w:rsidR="004D52F3" w:rsidRPr="00571EA4">
        <w:rPr>
          <w:rFonts w:eastAsia="Times New Roman" w:cs="Times New Roman"/>
          <w:szCs w:val="24"/>
          <w:highlight w:val="white"/>
          <w:lang w:val="en-GB"/>
        </w:rPr>
        <w:t>ere</w:t>
      </w:r>
      <w:r w:rsidRPr="00571EA4">
        <w:rPr>
          <w:rFonts w:eastAsia="Times New Roman" w:cs="Times New Roman"/>
          <w:szCs w:val="24"/>
          <w:highlight w:val="white"/>
          <w:lang w:val="en-GB"/>
        </w:rPr>
        <w:t xml:space="preserve"> likely to be due to horizontal pleiotropy</w:t>
      </w:r>
      <w:r w:rsidR="002E4771" w:rsidRPr="00571EA4">
        <w:rPr>
          <w:rFonts w:eastAsia="Times New Roman" w:cs="Times New Roman"/>
          <w:szCs w:val="24"/>
          <w:highlight w:val="white"/>
          <w:lang w:val="en-GB"/>
        </w:rPr>
        <w:t xml:space="preserve"> </w:t>
      </w:r>
      <w:r w:rsidR="008417F7" w:rsidRPr="00571EA4">
        <w:rPr>
          <w:rFonts w:eastAsia="Times New Roman" w:cs="Times New Roman"/>
          <w:szCs w:val="24"/>
          <w:highlight w:val="white"/>
          <w:lang w:val="en-GB"/>
        </w:rPr>
        <w:t xml:space="preserve">except for the MR associations between </w:t>
      </w:r>
      <w:r w:rsidR="008C6BAB" w:rsidRPr="00571EA4">
        <w:rPr>
          <w:rFonts w:eastAsia="Times New Roman" w:cs="Times New Roman"/>
          <w:szCs w:val="24"/>
          <w:highlight w:val="white"/>
          <w:lang w:val="en-GB"/>
        </w:rPr>
        <w:t xml:space="preserve">lower </w:t>
      </w:r>
      <w:r w:rsidR="008417F7" w:rsidRPr="00571EA4">
        <w:rPr>
          <w:rFonts w:eastAsia="Times New Roman" w:cs="Times New Roman"/>
          <w:szCs w:val="24"/>
          <w:highlight w:val="white"/>
          <w:lang w:val="en-GB"/>
        </w:rPr>
        <w:t xml:space="preserve">CRP </w:t>
      </w:r>
      <w:r w:rsidR="00A46057" w:rsidRPr="00571EA4">
        <w:rPr>
          <w:rFonts w:eastAsia="Times New Roman" w:cs="Times New Roman"/>
          <w:szCs w:val="24"/>
          <w:highlight w:val="white"/>
          <w:lang w:val="en-GB"/>
        </w:rPr>
        <w:t>with</w:t>
      </w:r>
      <w:r w:rsidR="008417F7" w:rsidRPr="00571EA4">
        <w:rPr>
          <w:rFonts w:eastAsia="Times New Roman" w:cs="Times New Roman"/>
          <w:szCs w:val="24"/>
          <w:highlight w:val="white"/>
          <w:lang w:val="en-GB"/>
        </w:rPr>
        <w:t xml:space="preserve"> </w:t>
      </w:r>
      <w:r w:rsidR="008C69B3" w:rsidRPr="00571EA4">
        <w:rPr>
          <w:rFonts w:eastAsia="Times New Roman" w:cs="Times New Roman"/>
          <w:szCs w:val="24"/>
          <w:highlight w:val="white"/>
          <w:lang w:val="en-GB"/>
        </w:rPr>
        <w:t xml:space="preserve">increased </w:t>
      </w:r>
      <w:r w:rsidR="008417F7" w:rsidRPr="00571EA4">
        <w:rPr>
          <w:rFonts w:eastAsia="Times New Roman" w:cs="Times New Roman"/>
          <w:szCs w:val="24"/>
          <w:highlight w:val="white"/>
          <w:lang w:val="en-GB"/>
        </w:rPr>
        <w:t xml:space="preserve">suicidality </w:t>
      </w:r>
      <w:r w:rsidR="002E4771" w:rsidRPr="00571EA4">
        <w:rPr>
          <w:rFonts w:eastAsia="Times New Roman" w:cs="Times New Roman"/>
          <w:szCs w:val="24"/>
          <w:highlight w:val="white"/>
          <w:lang w:val="en-GB"/>
        </w:rPr>
        <w:t>(</w:t>
      </w:r>
      <w:r w:rsidR="00BF2220" w:rsidRPr="00571EA4">
        <w:rPr>
          <w:rFonts w:eastAsia="Times New Roman" w:cs="Times New Roman"/>
          <w:szCs w:val="24"/>
          <w:highlight w:val="white"/>
          <w:lang w:val="en-GB"/>
        </w:rPr>
        <w:t>Supplementary Table</w:t>
      </w:r>
      <w:r w:rsidR="002E4771" w:rsidRPr="00571EA4">
        <w:rPr>
          <w:rFonts w:eastAsia="Times New Roman" w:cs="Times New Roman"/>
          <w:szCs w:val="24"/>
          <w:highlight w:val="white"/>
          <w:lang w:val="en-GB"/>
        </w:rPr>
        <w:t xml:space="preserve"> 1</w:t>
      </w:r>
      <w:r w:rsidR="002527A5" w:rsidRPr="00571EA4">
        <w:rPr>
          <w:rFonts w:eastAsia="Times New Roman" w:cs="Times New Roman"/>
          <w:szCs w:val="24"/>
          <w:highlight w:val="white"/>
          <w:lang w:val="en-GB"/>
        </w:rPr>
        <w:t>2</w:t>
      </w:r>
      <w:r w:rsidR="00EC4588" w:rsidRPr="00571EA4">
        <w:rPr>
          <w:rFonts w:eastAsia="Times New Roman" w:cs="Times New Roman"/>
          <w:szCs w:val="24"/>
          <w:highlight w:val="white"/>
          <w:lang w:val="en-GB"/>
        </w:rPr>
        <w:t xml:space="preserve"> &amp; 1</w:t>
      </w:r>
      <w:r w:rsidR="002527A5" w:rsidRPr="00571EA4">
        <w:rPr>
          <w:rFonts w:eastAsia="Times New Roman" w:cs="Times New Roman"/>
          <w:szCs w:val="24"/>
          <w:highlight w:val="white"/>
          <w:lang w:val="en-GB"/>
        </w:rPr>
        <w:t>3</w:t>
      </w:r>
      <w:r w:rsidR="002E4771" w:rsidRPr="00571EA4">
        <w:rPr>
          <w:rFonts w:eastAsia="Times New Roman" w:cs="Times New Roman"/>
          <w:szCs w:val="24"/>
          <w:highlight w:val="white"/>
          <w:lang w:val="en-GB"/>
        </w:rPr>
        <w:t>)</w:t>
      </w:r>
      <w:r w:rsidRPr="00571EA4">
        <w:rPr>
          <w:rFonts w:eastAsia="Times New Roman" w:cs="Times New Roman"/>
          <w:szCs w:val="24"/>
          <w:highlight w:val="white"/>
          <w:lang w:val="en-GB"/>
        </w:rPr>
        <w:t>.</w:t>
      </w:r>
    </w:p>
    <w:p w14:paraId="27E307E8" w14:textId="7AD041DF" w:rsidR="006C07D3" w:rsidRPr="00571EA4" w:rsidRDefault="006C07D3">
      <w:pPr>
        <w:rPr>
          <w:rFonts w:eastAsia="Times New Roman" w:cs="Times New Roman"/>
          <w:szCs w:val="24"/>
          <w:highlight w:val="white"/>
          <w:lang w:val="en-GB"/>
        </w:rPr>
        <w:sectPr w:rsidR="006C07D3" w:rsidRPr="00571EA4">
          <w:pgSz w:w="11909" w:h="16834"/>
          <w:pgMar w:top="1440" w:right="1440" w:bottom="1440" w:left="1440" w:header="720" w:footer="720" w:gutter="0"/>
          <w:cols w:space="720"/>
        </w:sectPr>
      </w:pPr>
    </w:p>
    <w:p w14:paraId="27E307E9" w14:textId="77777777" w:rsidR="00A961F7" w:rsidRPr="00B1070F" w:rsidRDefault="00A24B87" w:rsidP="00EF79B6">
      <w:pPr>
        <w:pStyle w:val="Heading1"/>
        <w:rPr>
          <w:lang w:val="en-GB"/>
        </w:rPr>
      </w:pPr>
      <w:bookmarkStart w:id="19" w:name="_gqn8g9o4ezwc" w:colFirst="0" w:colLast="0"/>
      <w:bookmarkEnd w:id="19"/>
      <w:r w:rsidRPr="00571EA4">
        <w:rPr>
          <w:lang w:val="en-GB"/>
        </w:rPr>
        <w:lastRenderedPageBreak/>
        <w:t>DISCUSSIO</w:t>
      </w:r>
      <w:r w:rsidRPr="00B1070F">
        <w:rPr>
          <w:lang w:val="en-GB"/>
        </w:rPr>
        <w:t>N</w:t>
      </w:r>
    </w:p>
    <w:p w14:paraId="27E307EA" w14:textId="718057A1" w:rsidR="00A961F7" w:rsidRPr="00571EA4" w:rsidRDefault="0033237B" w:rsidP="009E17F4">
      <w:pPr>
        <w:rPr>
          <w:highlight w:val="white"/>
          <w:lang w:val="en-GB"/>
        </w:rPr>
      </w:pPr>
      <w:r w:rsidRPr="00571EA4">
        <w:rPr>
          <w:lang w:val="en-GB"/>
        </w:rPr>
        <w:t>Using</w:t>
      </w:r>
      <w:r w:rsidR="00A24B87" w:rsidRPr="00571EA4">
        <w:rPr>
          <w:lang w:val="en-GB"/>
        </w:rPr>
        <w:t xml:space="preserve"> large-scale data from two well-established cohorts, </w:t>
      </w:r>
      <w:r w:rsidR="00A24B87" w:rsidRPr="00571EA4">
        <w:rPr>
          <w:highlight w:val="white"/>
          <w:lang w:val="en-GB"/>
        </w:rPr>
        <w:t>we report a</w:t>
      </w:r>
      <w:r w:rsidR="00442A86" w:rsidRPr="00571EA4">
        <w:rPr>
          <w:highlight w:val="white"/>
          <w:lang w:val="en-GB"/>
        </w:rPr>
        <w:t>n</w:t>
      </w:r>
      <w:r w:rsidR="00A24B87" w:rsidRPr="00571EA4">
        <w:rPr>
          <w:highlight w:val="white"/>
          <w:lang w:val="en-GB"/>
        </w:rPr>
        <w:t xml:space="preserve"> </w:t>
      </w:r>
      <w:r w:rsidR="00442A86" w:rsidRPr="00571EA4">
        <w:rPr>
          <w:highlight w:val="white"/>
          <w:lang w:val="en-GB"/>
        </w:rPr>
        <w:t>extensive</w:t>
      </w:r>
      <w:r w:rsidR="00A24B87" w:rsidRPr="00571EA4">
        <w:rPr>
          <w:highlight w:val="white"/>
          <w:lang w:val="en-GB"/>
        </w:rPr>
        <w:t xml:space="preserve"> evaluation of the associations between inflammatory markers and individual symptoms of depression and anxiety, including cross-cohort analyses, extended phenotype analyses on symptoms assessed at more granular resolutions, and MR analysis testing potential causality. Our results provided evidence for symptom-specificity</w:t>
      </w:r>
      <w:r w:rsidR="00442A86" w:rsidRPr="00571EA4">
        <w:rPr>
          <w:highlight w:val="white"/>
          <w:lang w:val="en-GB"/>
        </w:rPr>
        <w:t>. I</w:t>
      </w:r>
      <w:r w:rsidR="00A24B87" w:rsidRPr="00571EA4">
        <w:rPr>
          <w:highlight w:val="white"/>
          <w:lang w:val="en-GB"/>
        </w:rPr>
        <w:t xml:space="preserve">nflammation does not map uniformly onto all affective symptoms, but rather </w:t>
      </w:r>
      <w:r w:rsidR="00442A86" w:rsidRPr="00571EA4">
        <w:rPr>
          <w:highlight w:val="white"/>
          <w:lang w:val="en-GB"/>
        </w:rPr>
        <w:t xml:space="preserve">are </w:t>
      </w:r>
      <w:r w:rsidR="00A24B87" w:rsidRPr="00571EA4">
        <w:rPr>
          <w:highlight w:val="white"/>
          <w:lang w:val="en-GB"/>
        </w:rPr>
        <w:t xml:space="preserve">more consistently </w:t>
      </w:r>
      <w:r w:rsidR="00442A86" w:rsidRPr="00571EA4">
        <w:rPr>
          <w:highlight w:val="white"/>
          <w:lang w:val="en-GB"/>
        </w:rPr>
        <w:t>associated with</w:t>
      </w:r>
      <w:r w:rsidR="00A24B87" w:rsidRPr="00571EA4">
        <w:rPr>
          <w:highlight w:val="white"/>
          <w:lang w:val="en-GB"/>
        </w:rPr>
        <w:t xml:space="preserve"> specific depressive symptoms </w:t>
      </w:r>
      <w:r w:rsidR="0056782C" w:rsidRPr="00571EA4">
        <w:rPr>
          <w:highlight w:val="white"/>
          <w:lang w:val="en-GB"/>
        </w:rPr>
        <w:t>of</w:t>
      </w:r>
      <w:r w:rsidR="00A24B87" w:rsidRPr="00571EA4">
        <w:rPr>
          <w:highlight w:val="white"/>
          <w:lang w:val="en-GB"/>
        </w:rPr>
        <w:t xml:space="preserve"> fatigue, altered appetite</w:t>
      </w:r>
      <w:r w:rsidR="0056782C" w:rsidRPr="00571EA4">
        <w:rPr>
          <w:highlight w:val="white"/>
          <w:lang w:val="en-GB"/>
        </w:rPr>
        <w:t>,</w:t>
      </w:r>
      <w:r w:rsidR="00A24B87" w:rsidRPr="00571EA4">
        <w:rPr>
          <w:highlight w:val="white"/>
          <w:lang w:val="en-GB"/>
        </w:rPr>
        <w:t xml:space="preserve"> sleep</w:t>
      </w:r>
      <w:r w:rsidR="00D6510E" w:rsidRPr="00571EA4">
        <w:rPr>
          <w:highlight w:val="white"/>
          <w:lang w:val="en-GB"/>
        </w:rPr>
        <w:t xml:space="preserve"> problems</w:t>
      </w:r>
      <w:r w:rsidR="00A24B87" w:rsidRPr="00571EA4">
        <w:rPr>
          <w:highlight w:val="white"/>
          <w:lang w:val="en-GB"/>
        </w:rPr>
        <w:t xml:space="preserve"> </w:t>
      </w:r>
      <w:r w:rsidR="0056782C" w:rsidRPr="00571EA4">
        <w:rPr>
          <w:highlight w:val="white"/>
          <w:lang w:val="en-GB"/>
        </w:rPr>
        <w:t>(</w:t>
      </w:r>
      <w:r w:rsidR="00A24B87" w:rsidRPr="00571EA4">
        <w:rPr>
          <w:highlight w:val="white"/>
          <w:lang w:val="en-GB"/>
        </w:rPr>
        <w:t>in particular hypersomnia</w:t>
      </w:r>
      <w:r w:rsidR="0056782C" w:rsidRPr="00571EA4">
        <w:rPr>
          <w:highlight w:val="white"/>
          <w:lang w:val="en-GB"/>
        </w:rPr>
        <w:t>)</w:t>
      </w:r>
      <w:r w:rsidR="00A24B87" w:rsidRPr="00571EA4">
        <w:rPr>
          <w:highlight w:val="white"/>
          <w:lang w:val="en-GB"/>
        </w:rPr>
        <w:t>, and the core symptom of depressed mood as compared to other symptoms of depression and anxiety</w:t>
      </w:r>
      <w:r w:rsidR="00A24B87" w:rsidRPr="00571EA4">
        <w:rPr>
          <w:lang w:val="en-GB"/>
        </w:rPr>
        <w:t xml:space="preserve">. Furthermore, </w:t>
      </w:r>
      <w:r w:rsidR="00442A86" w:rsidRPr="00571EA4">
        <w:rPr>
          <w:lang w:val="en-GB"/>
        </w:rPr>
        <w:t xml:space="preserve">we provide evidence consistent with a </w:t>
      </w:r>
      <w:r w:rsidR="00A24B87" w:rsidRPr="00571EA4">
        <w:rPr>
          <w:lang w:val="en-GB"/>
        </w:rPr>
        <w:t>potential</w:t>
      </w:r>
      <w:r w:rsidR="00442A86" w:rsidRPr="00571EA4">
        <w:rPr>
          <w:lang w:val="en-GB"/>
        </w:rPr>
        <w:t>ly</w:t>
      </w:r>
      <w:r w:rsidR="00A24B87" w:rsidRPr="00571EA4">
        <w:rPr>
          <w:lang w:val="en-GB"/>
        </w:rPr>
        <w:t xml:space="preserve"> causal</w:t>
      </w:r>
      <w:r w:rsidR="00442A86" w:rsidRPr="00571EA4">
        <w:rPr>
          <w:lang w:val="en-GB"/>
        </w:rPr>
        <w:t xml:space="preserve"> role of </w:t>
      </w:r>
      <w:r w:rsidR="00A24B87" w:rsidRPr="00571EA4">
        <w:rPr>
          <w:lang w:val="en-GB"/>
        </w:rPr>
        <w:t>IL-6 in fatigue and sleep alterations</w:t>
      </w:r>
      <w:r w:rsidR="005264A6" w:rsidRPr="00571EA4">
        <w:rPr>
          <w:lang w:val="en-GB"/>
        </w:rPr>
        <w:t>;</w:t>
      </w:r>
      <w:r w:rsidR="00A24B87" w:rsidRPr="00571EA4">
        <w:rPr>
          <w:highlight w:val="white"/>
          <w:lang w:val="en-GB"/>
        </w:rPr>
        <w:t xml:space="preserve"> </w:t>
      </w:r>
      <w:r w:rsidR="005264A6" w:rsidRPr="00571EA4">
        <w:rPr>
          <w:highlight w:val="white"/>
          <w:lang w:val="en-GB"/>
        </w:rPr>
        <w:t>p</w:t>
      </w:r>
      <w:r w:rsidR="00442A86" w:rsidRPr="00571EA4">
        <w:rPr>
          <w:highlight w:val="white"/>
          <w:lang w:val="en-GB"/>
        </w:rPr>
        <w:t xml:space="preserve">lease see </w:t>
      </w:r>
      <w:r w:rsidR="00BF2220" w:rsidRPr="00571EA4">
        <w:rPr>
          <w:highlight w:val="white"/>
          <w:lang w:val="en-GB"/>
        </w:rPr>
        <w:t>Supplementary Table</w:t>
      </w:r>
      <w:r w:rsidR="00442A86" w:rsidRPr="00571EA4">
        <w:rPr>
          <w:highlight w:val="white"/>
          <w:lang w:val="en-GB"/>
        </w:rPr>
        <w:t xml:space="preserve"> 15 for a</w:t>
      </w:r>
      <w:r w:rsidR="0074619E" w:rsidRPr="00571EA4">
        <w:rPr>
          <w:highlight w:val="white"/>
          <w:lang w:val="en-GB"/>
        </w:rPr>
        <w:t>n overview of main results</w:t>
      </w:r>
      <w:r w:rsidR="00A24B87" w:rsidRPr="00571EA4">
        <w:rPr>
          <w:highlight w:val="white"/>
          <w:lang w:val="en-GB"/>
        </w:rPr>
        <w:t>.</w:t>
      </w:r>
    </w:p>
    <w:p w14:paraId="27E307EC" w14:textId="1CFAA15E" w:rsidR="00A961F7" w:rsidRPr="00571EA4" w:rsidRDefault="00A24B87">
      <w:pPr>
        <w:rPr>
          <w:rFonts w:eastAsia="Times New Roman" w:cs="Times New Roman"/>
          <w:b/>
          <w:szCs w:val="24"/>
          <w:highlight w:val="white"/>
          <w:lang w:val="en-GB"/>
        </w:rPr>
      </w:pPr>
      <w:r w:rsidRPr="00571EA4">
        <w:rPr>
          <w:rFonts w:eastAsia="Times New Roman" w:cs="Times New Roman"/>
          <w:szCs w:val="24"/>
          <w:lang w:val="en-GB"/>
        </w:rPr>
        <w:t xml:space="preserve">Results across different analytical models and biomarkers highlighted more consistent associations of inflammation with depressive than with anxiety symptoms. For anxiety, associations were mainly limited to CRP and irritability, a symptom also commonly present in </w:t>
      </w:r>
      <w:r w:rsidR="001B39C7" w:rsidRPr="00571EA4">
        <w:rPr>
          <w:rFonts w:eastAsia="Times New Roman" w:cs="Times New Roman"/>
          <w:szCs w:val="24"/>
          <w:lang w:val="en-GB"/>
        </w:rPr>
        <w:t>depression</w:t>
      </w:r>
      <w:r w:rsidRPr="00571EA4">
        <w:rPr>
          <w:rFonts w:eastAsia="Times New Roman" w:cs="Times New Roman"/>
          <w:szCs w:val="24"/>
          <w:lang w:val="en-GB"/>
        </w:rPr>
        <w:t>. These results align with an extensive evidence-base suggesting an association between inflammation and depression, and with a more limited evidence-base indicating an association between increased CRP levels mainly in subjects with generalized anxiety disorder (GAD)</w:t>
      </w:r>
      <w:r w:rsidR="00E121E0" w:rsidRPr="00571EA4">
        <w:rPr>
          <w:rFonts w:eastAsia="Times New Roman" w:cs="Times New Roman"/>
          <w:szCs w:val="24"/>
          <w:lang w:val="en-GB"/>
        </w:rPr>
        <w:t>,</w:t>
      </w:r>
      <w:r w:rsidRPr="00571EA4">
        <w:rPr>
          <w:rFonts w:eastAsia="Times New Roman" w:cs="Times New Roman"/>
          <w:szCs w:val="24"/>
          <w:lang w:val="en-GB"/>
        </w:rPr>
        <w:t xml:space="preserve"> including our </w:t>
      </w:r>
      <w:r w:rsidR="001B39C7" w:rsidRPr="00571EA4">
        <w:rPr>
          <w:rFonts w:eastAsia="Times New Roman" w:cs="Times New Roman"/>
          <w:szCs w:val="24"/>
          <w:lang w:val="en-GB"/>
        </w:rPr>
        <w:t xml:space="preserve">previous </w:t>
      </w:r>
      <w:r w:rsidRPr="00571EA4">
        <w:rPr>
          <w:rFonts w:eastAsia="Times New Roman" w:cs="Times New Roman"/>
          <w:szCs w:val="24"/>
          <w:lang w:val="en-GB"/>
        </w:rPr>
        <w:t xml:space="preserve">work from NESDA, ALSPAC, </w:t>
      </w:r>
      <w:r w:rsidR="002F4479" w:rsidRPr="00571EA4">
        <w:rPr>
          <w:rFonts w:eastAsia="Times New Roman" w:cs="Times New Roman"/>
          <w:szCs w:val="24"/>
          <w:lang w:val="en-GB"/>
        </w:rPr>
        <w:t xml:space="preserve">and </w:t>
      </w:r>
      <w:r w:rsidRPr="00571EA4">
        <w:rPr>
          <w:rFonts w:eastAsia="Times New Roman" w:cs="Times New Roman"/>
          <w:szCs w:val="24"/>
          <w:lang w:val="en-GB"/>
        </w:rPr>
        <w:t>UK</w:t>
      </w:r>
      <w:r w:rsidR="002F4479" w:rsidRPr="00571EA4">
        <w:rPr>
          <w:rFonts w:eastAsia="Times New Roman" w:cs="Times New Roman"/>
          <w:szCs w:val="24"/>
          <w:lang w:val="en-GB"/>
        </w:rPr>
        <w:t xml:space="preserve"> Biobank</w:t>
      </w:r>
      <w:r w:rsidRPr="00571EA4">
        <w:rPr>
          <w:rFonts w:eastAsia="Times New Roman" w:cs="Times New Roman"/>
          <w:szCs w:val="24"/>
          <w:lang w:val="en-GB"/>
        </w:rPr>
        <w:t xml:space="preserve"> cohorts</w:t>
      </w:r>
      <w:r w:rsidR="00EB500F" w:rsidRPr="00571EA4">
        <w:rPr>
          <w:rFonts w:eastAsia="Times New Roman" w:cs="Times New Roman"/>
          <w:szCs w:val="24"/>
          <w:lang w:val="en-GB"/>
        </w:rPr>
        <w:t xml:space="preserve"> </w:t>
      </w:r>
      <w:r w:rsidR="00D43F13" w:rsidRPr="00571EA4">
        <w:rPr>
          <w:rFonts w:eastAsia="Times New Roman" w:cs="Times New Roman"/>
          <w:szCs w:val="24"/>
        </w:rPr>
        <w:fldChar w:fldCharType="begin" w:fldLock="1"/>
      </w:r>
      <w:r w:rsidR="0048155C">
        <w:rPr>
          <w:rFonts w:eastAsia="Times New Roman" w:cs="Times New Roman"/>
          <w:szCs w:val="24"/>
          <w:lang w:val="en-GB"/>
        </w:rPr>
        <w:instrText>ADDIN CSL_CITATION {"citationItems":[{"id":"ITEM-1","itemData":{"DOI":"10.1016/j.biopsych.2018.12.020","ISSN":"18732402","abstract":"Background: While cross-sectional associations of inflammatory markers interleukin-6 (IL-6) and C-reactive protein with major depressive disorder are well established, evidence for longitudinal associations mostly comes from studies on depression symptoms, not diagnoses. This study examined cross-sectional and bidirectional longitudinal associations between depression diagnosis and symptoms in an adult sample over a 6-year period. Methods: Data were obtained from the baseline (n = 2416) and 2- and 6-year follow-up assessments (n = 1925 and n = 1924, respectively) of the Netherlands Study of Depression and Anxiety. C-reactive protein and IL-6 were assessed at each wave, as were the Composite International Diagnostic Interview and Inventory of Depressive Symptomatology. Linear mixed models and generalized estimating equation models with a binomial distribution were used to study longitudinal associations between depression and inflammation and vice versa. Results: There was a consistent cross-sectional association between current depressive disorder (vs. no current disorder) and symptoms with IL-6 across all follow-up measurements (Cohen's d depression diagnosis = 0.06, p =.017; B standardized Inventory of Depressive Symptomatology = 0.029, SE = 0.011, p =.008). In longitudinal analyses, higher IL-6 levels predicted subsequent chronic course in those with a diagnosis at baseline in women but not in men (odds ratio women = 1.13, 95% confidence interval = 1.04–1.23), and both depressive disorder and high severity predicted higher IL-6 levels at the subsequent follow-up (p values &lt;.01). In contrast, C-reactive protein was not associated with current depression in cross-sectional and longitudinal analyses. Conclusions: In this longitudinal study, cross-sectional and bidirectional longitudinal associations were found between depression and IL-6 levels. This underlines the importance of targeting inflammation pathways in the treatment of major depressive disorder. IL-6 could be a potential marker for patient profiling in personalized medicine approaches.","author":[{"dropping-particle":"","family":"Lamers","given":"Femke","non-dropping-particle":"","parse-names":false,"suffix":""},{"dropping-particle":"","family":"Milaneschi","given":"Yuri","non-dropping-particle":"","parse-names":false,"suffix":""},{"dropping-particle":"","family":"Smit","given":"Johannes H.","non-dropping-particle":"","parse-names":false,"suffix":""},{"dropping-particle":"","family":"Schoevers","given":"Robert A.","non-dropping-particle":"","parse-names":false,"suffix":""},{"dropping-particle":"","family":"Wittenberg","given":"Gayle","non-dropping-particle":"","parse-names":false,"suffix":""},{"dropping-particle":"","family":"Penninx","given":"Brenda W.J.H.","non-dropping-particle":"","parse-names":false,"suffix":""}],"container-title":"Biological Psychiatry","id":"ITEM-1","issue":"10","issued":{"date-parts":[["2019"]]},"page":"829-837","publisher":"Elsevier Inc","title":"Longitudinal Association Between Depression and Inflammatory Markers: Results From the Netherlands Study of Depression and Anxiety","type":"article-journal","volume":"85"},"uris":["http://www.mendeley.com/documents/?uuid=62b41e16-5ed9-4492-a61d-5835134eb3ff"]},{"id":"ITEM-2","itemData":{"DOI":"10.1016/j.bbi.2018.11.007","ISSN":"0889-1591","author":[{"dropping-particle":"","family":"Chu","given":"Alexander L","non-dropping-particle":"","parse-names":false,"suffix":""},{"dropping-particle":"","family":"Stochl","given":"Jan","non-dropping-particle":"","parse-names":false,"suffix":""},{"dropping-particle":"","family":"Lewis","given":"Glyn","non-dropping-particle":"","parse-names":false,"suffix":""},{"dropping-particle":"","family":"Zammit","given":"Stan","non-dropping-particle":"","parse-names":false,"suffix":""},{"dropping-particle":"","family":"Jones","given":"Peter B","non-dropping-particle":"","parse-names":false,"suffix":""},{"dropping-particle":"","family":"Khandaker","given":"M","non-dropping-particle":"","parse-names":false,"suffix":""}],"container-title":"Brain Behavior and Immunity","id":"ITEM-2","issued":{"date-parts":[["2019"]]},"page":"74-81","publisher":"Elsevier Inc.","title":"Longitudinal Association between Inflammatory Markers and Specific Symptoms of Depression in a Prospective Birth Cohort","type":"article-journal","volume":"76"},"uris":["http://www.mendeley.com/documents/?uuid=83d49ec5-820e-4de7-af44-51a49852945a"]},{"id":"ITEM-3","itemData":{"DOI":"10.1001/jamapsychiatry.2014.1332","ISBN":"2168-6238 (Electronic) 2168-622X (Linking)","PMID":"25133871","abstract":"IMPORTANCE: Longitudinal studies have linked the systemic inflammatory markers interleukin 6 (IL-6) and C-reactive protein (CRP) with the risk of developing heart disease and diabetes mellitus, which are common comorbidities for depression and psychosis. Recent meta-analyses of cross-sectional studies have reported increased serum levels of these inflammatory markers in depression, first-episode psychosis, and acute psychotic relapse; however, the direction of the association has been unclear. OBJECTIVE: To test the hypothesis that higher serum levels of IL-6 and CRP in childhood would increase future risks for depression and psychosis. DESIGN, SETTING, AND PARTICIPANTS: The Avon Longitudinal Study of Parents and Children (ALSPAC)is a prospective general population birth cohort study based in Avon County, England. We have studied a subsample of approximately 4500 individuals from the cohort with data on childhood IL-6 and CRP levels and later psychiatric assessments. MEASUREMENT OF EXPOSURE: Levels of IL-6 and CRP were measured in nonfasting blood samples obtained in participants at age 9 years. MAIN OUTCOMES AND MEASURES: Participants were assessed at age 18 years. Depression was measured using the Clinical Interview Schedule-Revised (CIS-R) and Mood and Feelings Questionnaire (MFQ), thus allowing internal replication; psychotic experiences (PEs) and psychotic disorder were measured by a semistructured interview. RESULTS: After adjusting for sex, age, body mass index, ethnicity, social class, past psychological and behavioral problems, and maternal postpartum depression, participants in the top third of IL-6 values compared with the bottom third at age 9 years were more likely to be depressed (CIS-R) at age 18 years (adjusted odds ratio [OR], 1.55; 95% CI, 1.13-2.14). Results using the MFQ were similar. Risks of PEs and of psychotic disorder at age 18 years were also increased with higher IL-6 levels at baseline (adjusted OR, 1.81; 95% CI, 1.01-3.28; and adjusted OR, 2.40; 95% CI, 0.88-6.22, respectively). Higher IL-6 levels in childhood were associated with subsequent risks of depression and PEs in a dose-dependent manner. CONCLUSIONS AND RELEVANCE: Higher levels of the systemic inflammatory marker IL-6 in childhood are associated with an increased risk of developing depression and psychosis in young adulthood. Inflammatory pathways may provide important new intervention and prevention targets for these disorders. Inflammation might explain the high c…","author":[{"dropping-particle":"","family":"Khandaker","given":"Golam M","non-dropping-particle":"","parse-names":false,"suffix":""},{"dropping-particle":"","family":"Pearson","given":"R M","non-dropping-particle":"","parse-names":false,"suffix":""},{"dropping-particle":"","family":"Zammit","given":"S","non-dropping-particle":"","parse-names":false,"suffix":""},{"dropping-particle":"","family":"Lewis","given":"Glyn","non-dropping-particle":"","parse-names":false,"suffix":""},{"dropping-particle":"","family":"Jones","given":"Peter B","non-dropping-particle":"","parse-names":false,"suffix":""}],"container-title":"JAMA Psychiatry","edition":"2014/08/19","id":"ITEM-3","issue":"10","issued":{"date-parts":[["2014"]]},"language":"eng","page":"1121-1128","title":"Association of serum interleukin 6 and C-reactive protein in childhood with depression and psychosis in young adult life: a population-based longitudinal study","type":"article-journal","volume":"71"},"uris":["http://www.mendeley.com/documents/?uuid=2c36d36c-e4e6-4a8a-8f6b-7ead1e7540da","http://www.mendeley.com/documents/?uuid=8f6ddd3c-b4f0-461e-8513-02d530cbffb9"]},{"id":"ITEM-4","itemData":{"DOI":"10.1136/bmjopen-2018-027925","ISSN":"2044-6055","PMID":"31326932","abstract":"Objective Inflammation has been implicated in the aetiology of mental illness. We conducted the first systematic review and meta-analysis of the association between peripheral markers of inflammation and generalised anxiety disorder (GAD). Design Systematic review and meta-analysis of studies measuring peripheral cytokine levels in people with GAD compared with controls. Data sources MEDLINE (1950-), EMBASE (1947-), PsycINFO (1872-) and Web of Science (1945-) databases up until January 2018. Eligibility criteria Primary, quantitative research studies of people with a diagnosis of GAD assessed using a standardised clinical interview that measured peripheral inflammatory markers. Data extraction and synthesis Two independent reviewers extracted data and assessed study quality. Meta-analysis using a random-effects model was conducted for individual cytokines where data from three or more studies were available. Results 14 of 1718 identified studies met the inclusion criteria, comprising 1188 patients with GAD and 10 623 controls. In total 16 cytokines were evaluated. Significantly raised levels of C reactive protein (CRP), interferon-γand tumour necrosis factor-α were reported in patients with GAD compared with controls in two or more studies. Ten further proinflammatory cytokines were reported to be significantly raised in GAD in at least one study. However, 5 of 14 studies found no difference in the levels of at least one cytokine. Only CRP studies reported sufficient data for meta-analysis. CRP was significantly higher in people with GAD compared with controls, with a small effect size (Cohen's d=0.38, 0.06-0.69), comparable with that reported in schizophrenia. However, heterogeneity was high (I 2 =75%), in keeping with meta-analyses of inflammation in other psychiatric conditions and reflecting differences in participant medication use, comorbid depression and cytokine sampling methodology. Conclusion There is preliminary evidence to suggest an inflammatory response in GAD, but it remains unclear whether inflammatory cytokines play a role in the aetiology. GAD remains a poorly studied area of neuroinflammation compared with other mental disorders, and further longitudinal studies are required.","author":[{"dropping-particle":"","family":"Costello","given":"Harry","non-dropping-particle":"","parse-names":false,"suffix":""},{"dropping-particle":"","family":"Gould","given":"Rebecca L.","non-dropping-particle":"","parse-names":false,"suffix":""},{"dropping-particle":"","family":"Abrol","given":"Esha","non-dropping-particle":"","parse-names":false,"suffix":""},{"dropping-particle":"","family":"Howard","given":"Robert","non-dropping-particle":"","parse-names":false,"suffix":""}],"container-title":"BMJ Open","id":"ITEM-4","issue":"7","issued":{"date-parts":[["2019","7"]]},"page":"e027925","title":"Systematic review and meta-analysis of the association between peripheral inflammatory cytokines and generalised anxiety disorder","type":"article-journal","volume":"9"},"uris":["http://www.mendeley.com/documents/?uuid=ebd07454-32d7-40e9-b18b-e8dbfcbf3f14","http://www.mendeley.com/documents/?uuid=c9e85906-8d71-44ce-98f4-ed003b13582a"]},{"id":"ITEM-5","itemData":{"DOI":"10.1016/j.biopsych.2009.09.033","ISBN":"0006-3223","abstract":"Background Major depression occurs in 4.4% to 20% of the general population. Studies suggest that major depression is accompanied by immune dysregulation and activation of the inflammatory response system (IRS). Our objective was to quantitatively summarize the data on concentrations of specific cytokines in patients diagnosed with a major depressive episode and controls. Methods We performed a meta-analysis of studies measuring cytokine concentration in patients with major depression, with a database search of the English literature (to August 2009) and a manual search of references. Results Twenty-four studies involving unstimulated measurements of cytokines in patients meeting DSM criteria for major depression were included in the meta-analysis; 13 for tumor necrosis factor (TNF)-α, 9 for interleukin (IL)-1β, 16 for IL-6, 5 for IL-4, 5 for IL-2, 4 for IL-8, 6 for IL-10, and 4 for interferon (IFN)-γ. There were significantly higher concentrations of TNF-α (p &amp;lt; .00001), weighted mean difference (WMD) (95% confidence interval) 3.97 pg/mL (2.24 to 5.71), in depressed subjects compared with control subjects (438 depressed/350 nondepressed). Also, IL-6 concentrations were significantly higher (p &amp;lt; .00001) in depressed subjects compared with control subjects (492 depressed/400 nondepressed) with an overall WMD of 1.78 pg/mL (1.23 to 2.33). There were no significant differences among depressed and nondepressed subjects for the other cytokines studied. Conclusions This meta-analysis reports significantly higher concentrations of the proinflammatory cytokines TNF-α and IL-6 in depressed subjects compared with control subjects. While both positive and negative results have been reported in individual studies, this meta-analytic result strengthens evidence that depression is accompanied by activation of the IRS.","author":[{"dropping-particle":"","family":"Dowlati","given":"Yekta","non-dropping-particle":"","parse-names":false,"suffix":""},{"dropping-particle":"","family":"Herrmann","given":"Nathan","non-dropping-particle":"","parse-names":false,"suffix":""},{"dropping-particle":"","family":"Swardfager","given":"Walter","non-dropping-particle":"","parse-names":false,"suffix":""},{"dropping-particle":"","family":"Liu","given":"Helena","non-dropping-particle":"","parse-names":false,"suffix":""},{"dropping-particle":"","family":"Sham","given":"Lauren","non-dropping-particle":"","parse-names":false,"suffix":""},{"dropping-particle":"","family":"Reim","given":"Elyse K","non-dropping-particle":"","parse-names":false,"suffix":""},{"dropping-particle":"","family":"Lanctôt","given":"Krista L","non-dropping-particle":"","parse-names":false,"suffix":""}],"container-title":"Biological Psychiatry","id":"ITEM-5","issue":"5","issued":{"date-parts":[["2010"]]},"page":"446-457","title":"A Meta-Analysis of Cytokines in Major Depression","type":"article-journal","volume":"67"},"uris":["http://www.mendeley.com/documents/?uuid=e1748641-9299-453e-98e3-66d454d939cb","http://www.mendeley.com/documents/?uuid=dadc89dd-1f80-417e-b672-c299ee0c5162","http://www.mendeley.com/documents/?uuid=f990a8eb-4426-4819-abf7-e06efe4a9273"]},{"id":"ITEM-6","itemData":{"DOI":"10.1097/PSY.0b013e3181907c1b","ISBN":"1534-7796 (Electronic) 0033-3174 (Linking)","PMID":"19188531","author":[{"dropping-particle":"","family":"Howren","given":"M B","non-dropping-particle":"","parse-names":false,"suffix":""},{"dropping-particle":"","family":"Lamkin","given":"D M","non-dropping-particle":"","parse-names":false,"suffix":""},{"dropping-particle":"","family":"Suls","given":"J","non-dropping-particle":"","parse-names":false,"suffix":""}],"container-title":"Psychosomatic Medicine","edition":"2009/02/04","id":"ITEM-6","issue":"2","issued":{"date-parts":[["2009"]]},"language":"eng","page":"171-186","title":"Associations of depression with C-reactive protein, IL-1, and IL-6: a meta-analysis","type":"article-journal","volume":"71"},"uris":["http://www.mendeley.com/documents/?uuid=4825f84b-6539-4863-ac04-f89310b98d78","http://www.mendeley.com/documents/?uuid=eda02ade-180f-49df-9ee1-7220efb2dd5d","http://www.mendeley.com/documents/?uuid=059ca70e-bf8c-4018-8c3a-0c36bd8ae0bc"]},{"id":"ITEM-7","itemData":{"DOI":"10.1038/mp.2016.3","ISBN":"1359-4184","ISSN":"1476-5578","PMID":"26903267","abstract":"Schizophrenia, bipolar disorder and major depressive disorder (MDD) have all been associated with aberrant blood cytokine levels; however, neither the pattern of cytokine alterations nor the impact of clinical status have been compared across disorders. We performed a meta-analysis of blood cytokines in acutely and chronically ill patients with these major psychiatric disorders. Articles were identified by searching the PubMed, PsycInfo and Web of Science, and the reference lists of these studies. Sixty-eight studies met the inclusion criteria (40 schizophrenia, 10 bipolar disorder and 18 MDD) for acutely ill patients. Forty-six studies met the inclusion criteria (18 schizophrenia, 16 bipolar disorder and 12 MDD) for chronically ill patients. Levels of two cytokines (interleukin-6 (IL-6), tumor necrosis factor-α (TNF-α)), one soluble cytokine receptor (sIL-2R), and one cytokine receptor antagonist (IL-1RA) were significantly increased in acutely ill patients with schizophrenia, bipolar mania and MDD compared with controls (P&lt;0.01). Following treatment of the acute illness, IL-6 levels significantly decreased in both schizophrenia and MDD (P&lt;0.01); sIL-2R levels increased in schizophrenia; and IL-1RA levels in bipolar mania decreased. In chronically ill patients, the levels of IL-6 were significantly increased in schizophrenia, euthymic (but not depressed) bipolar disorder and MDD compared with controls (P&lt;0.01). The levels of IL-1β and sIL-2R were significantly increased in both chronic schizophrenia and euthymic bipolar disorder. Overall, there were similarities in the pattern of cytokine alterations in schizophrenia, bipolar disorder and MDD during acute and chronic phases of illness, raising the possibility of common underlying pathways for immune dysfunction. Effects of treatment on cytokines were more robust for schizophrenia and MDD, but were more frequently studied than for acute mania. These findings have important implications for our understanding of the pathophysiology and treatment of major psychiatric disorders.Molecular Psychiatry advance online publication, 23 February 2016; doi:10.1038/mp.2016.3.","author":[{"dropping-particle":"","family":"Goldsmith","given":"D R","non-dropping-particle":"","parse-names":false,"suffix":""},{"dropping-particle":"","family":"Rapaport","given":"M H","non-dropping-particle":"","parse-names":false,"suffix":""},{"dropping-particle":"","family":"Miller","given":"B J","non-dropping-particle":"","parse-names":false,"suffix":""}],"container-title":"Molecular Psychiatry","id":"ITEM-7","issue":"April 2015","issued":{"date-parts":[["2016"]]},"page":"1-14","publisher":"Nature Publishing Group","title":"A meta-analysis of blood cytokine network alterations in psychiatric patients: comparisons between schizophrenia, bipolar disorder and depression.","type":"article-journal","volume":"21"},"uris":["http://www.mendeley.com/documents/?uuid=3a1f2a88-4544-4d67-844f-1872f2307cc1"]},{"id":"ITEM-8","itemData":{"DOI":"10.1016/j.bbi.2015.06.001","ISBN":"0889-1591","abstract":"Cumulative meta-analyses are used to evaluate the extent to which further studies are needed to confirm or refute a hypothesis. We used this approach to assess observational evidence on systemic inflammation in individuals with major depressive disorder. We identified 58 studies of four common inflammatory markers in a literature search of PubMed, Embase and PsychInfo databases in May 2014. Pooled data from the earliest eight studies already showed an association between interleukin-6 concentrations and major depression; 23 more recent studies confirmed this finding (d = 0.54, p &amp;lt; 0.0001). A significant association between C-reactive protein levels and major depression was noted after 14 studies and this did not change after addition of six more studies (d = 0.47, p &amp;lt; 0.0001). For these two inflammatory markers, there was moderate heterogeneity in study-specific estimates, subgroup differences were small, and publication bias appeared to be an unlikely explanation for the findings. Sensitivity analyses including only high-quality studies and subjects free of antidepressant medication further verified the associations. While there was a link between tumour necrosis factor-α levels and major depression (d = 0.40, p = 0.002), the cumulative effect remained uncertain due to the extensive heterogeneity in study-specific estimates and inconsistencies between subgroups. No evidence was found for the association between interleukin-1β levels and major depression (d = −0.05, p = 0.86). In conclusion, this cumulative meta-analysis confirmed higher mean levels of interleukin-6 and C-reactive protein in patients with major depression compared to non-depressed controls. No consistent association between tumour necrosis factor-α, interleukin-1β and major depression was observed. Future studies should clarify the specific immune mechanisms involved as well as continue testing anti-inflammatory therapies in patients suffering from major depression.","author":[{"dropping-particle":"","family":"Haapakoski","given":"Rita","non-dropping-particle":"","parse-names":false,"suffix":""},{"dropping-particle":"","family":"Mathieu","given":"Julia","non-dropping-particle":"","parse-names":false,"suffix":""},{"dropping-particle":"","family":"Ebmeier","given":"Klaus P","non-dropping-particle":"","parse-names":false,"suffix":""},{"dropping-particle":"","family":"Alenius","given":"Harri","non-dropping-particle":"","parse-names":false,"suffix":""},{"dropping-particle":"","family":"Kivimäki","given":"Mika","non-dropping-particle":"","parse-names":false,"suffix":""}],"container-title":"Brain, Behavior, and Immunity","id":"ITEM-8","issued":{"date-parts":[["2015"]]},"page":"206-215","title":"Cumulative meta-analysis of interleukins 6 and 1β, tumour necrosis factor α and C-reactive protein in patients with major depressive disorder","type":"article-journal","volume":"49"},"uris":["http://www.mendeley.com/documents/?uuid=f0659e3a-a3d2-472a-8550-a8ef2476d1fd","http://www.mendeley.com/documents/?uuid=82e3ac25-3fca-4db9-9168-2f910b65c26e","http://www.mendeley.com/documents/?uuid=cd27aa81-7777-418f-92a1-ae02a58d189c"]},{"id":"ITEM-9","itemData":{"ISSN":"1469-8978","PMID":"28889804","author":[{"dropping-particle":"","family":"Lamers","given":"Femke","non-dropping-particle":"","parse-names":false,"suffix":""},{"dropping-particle":"","family":"Milaneschi","given":"Yuri","non-dropping-particle":"","parse-names":false,"suffix":""},{"dropping-particle":"","family":"Jonge","given":"Peter","non-dropping-particle":"de","parse-names":false,"suffix":""},{"dropping-particle":"","family":"Giltay","given":"Erik J.","non-dropping-particle":"","parse-names":false,"suffix":""},{"dropping-particle":"","family":"Penninx","given":"Brenda W.J.H.","non-dropping-particle":"","parse-names":false,"suffix":""}],"container-title":"Psychological Medicine","id":"ITEM-9","issue":"7","issued":{"date-parts":[["2018"]]},"page":"1102-1110","title":"Metabolic and inflammatory markers: associations with individual depressive symptoms","type":"article-journal","volume":"48"},"uris":["http://www.mendeley.com/documents/?uuid=a17d3d1f-c135-4f40-8d28-9c50f0718508"]},{"id":"ITEM-10","itemData":{"DOI":"10.1016/j.bbi.2020.04.002","ISSN":"1090-2139 (Electronic)","PMID":"32272220","abstract":"BACKGROUND: Major depressive disorder (MDD) is linked to higher cardio-metabolic  comorbidity that may in part be due to the low-grade inflammation and poorer metabolic health observed in MDD. Heterogeneity of MDD is however large, and immune-inflammatory and metabolic dysregulation is present in only part of the MDD cases. We examined the associations of four depression dimensional profilers (atypical energy-related symptom dimension, melancholic symptom dimension, childhood trauma severity, and anxious distress symptom dimension) with immuno-metabolic outcomes, both cross-sectionally and longitudinally. METHODS: Three waves covering a 6-year follow-up (&gt;7000 observations) of the Netherlands Study of Depression and Anxiety (NESDA) were used. Depression profilers were based on the Inventory of Depressive Symptomatology, the Beck Anxiety Inventory, and the Childhood Trauma index. An inflammatory index (based on IL-6 and CRP), a metabolic syndrome index (based on the five metabolic syndrome components), and a combination of these two indices were constructed. Mixed models were used for cross-sectional and longitudinal models, controlling for covariates. RESULTS: Of the four depression profilers, only the atypical, energy-related symptom dimension showed robust associations with higher scores on the inflammatory, metabolic syndrome and combined inflammatory-metabolic indexes cross-sectionally, as well as at follow-up. The melancholic symptom dimension was associated with lower scores on the metabolic syndrome index both cross-sectionally and longitudinally. CONCLUSION: The atypical energy-related symptom dimension was linked to poorer immune-inflammatory and metabolic health, while the melancholic symptom dimension was linked to relatively better metabolic health. Persons with high atypical energy-related symptom burden, representing an immuno-metabolic depression, may be the most important group to target in prevention programs for cardiometabolic disease, and may benefit most from treatments targeting immuno-metabolic pathways.","author":[{"dropping-particle":"","family":"Lamers","given":"Femke","non-dropping-particle":"","parse-names":false,"suffix":""},{"dropping-particle":"","family":"Milaneschi","given":"Yuri","non-dropping-particle":"","parse-names":false,"suffix":""},{"dropping-particle":"","family":"Vinkers","given":"Christiaan H","non-dropping-particle":"","parse-names":false,"suffix":""},{"dropping-particle":"","family":"Schoevers","given":"Robert A","non-dropping-particle":"","parse-names":false,"suffix":""},{"dropping-particle":"","family":"Giltay","given":"Erik J","non-dropping-particle":"","parse-names":false,"suffix":""},{"dropping-particle":"","family":"Penninx","given":"Brenda W J H","non-dropping-particle":"","parse-names":false,"suffix":""}],"container-title":"Brain, behavior, and immunity","id":"ITEM-10","issued":{"date-parts":[["2020","8"]]},"language":"eng","page":"174-183","publisher-place":"Netherlands","title":"Depression profilers and immuno-metabolic dysregulation: Longitudinal results from  the NESDA study.","type":"article-journal","volume":"88"},"uris":["http://www.mendeley.com/documents/?uuid=254070b5-8d65-47af-b2c4-1eb99cba0d7f"]},{"id":"ITEM-11","itemData":{"DOI":"10.1038/mp.2015.86","ISSN":"1359-4184","author":[{"dropping-particle":"","family":"Milaneschi","given":"Y","non-dropping-particle":"","parse-names":false,"suffix":""},{"dropping-particle":"","family":"Lamers","given":"F","non-dropping-particle":"","parse-names":false,"suffix":""},{"dropping-particle":"","family":"Peyrot","given":"W J","non-dropping-particle":"","parse-names":false,"suffix":""},{"dropping-particle":"","family":"Abdellaoui","given":"A","non-dropping-particle":"","parse-names":false,"suffix":""},{"dropping-particle":"","family":"Willemsen","given":"G","non-dropping-particle":"","parse-names":false,"suffix":""},{"dropping-particle":"","family":"Hottenga","given":"J-J","non-dropping-particle":"","parse-names":false,"suffix":""},{"dropping-particle":"","family":"Jansen","given":"R","non-dropping-particle":"","parse-names":false,"suffix":""},{"dropping-particle":"","family":"Mbarek","given":"H","non-dropping-particle":"","parse-names":false,"suffix":""},{"dropping-particle":"","family":"Dehghan","given":"A","non-dropping-particle":"","parse-names":false,"suffix":""},{"dropping-particle":"","family":"Lu","given":"C","non-dropping-particle":"","parse-names":false,"suffix":""},{"dropping-particle":"","family":"Boomsma","given":"D I","non-dropping-particle":"","parse-names":false,"suffix":""},{"dropping-particle":"","family":"Penninx","given":"B W J H","non-dropping-particle":"","parse-names":false,"suffix":""}],"container-title":"Molecular Psychiatry","id":"ITEM-11","issue":"4","issued":{"date-parts":[["2016","4","30"]]},"page":"516-522","title":"Polygenic dissection of major depression clinical heterogeneity","type":"article-journal","volume":"21"},"uris":["http://www.mendeley.com/documents/?uuid=1c33577b-1cf6-3a63-82a0-7a1cbd4186c6"]},{"id":"ITEM-12","itemData":{"author":[{"dropping-particle":"","family":"Milaneschi","given":"Yuri","non-dropping-particle":"","parse-names":false,"suffix":""},{"dropping-particle":"","family":"Lamers","given":"Femke","non-dropping-particle":"","parse-names":false,"suffix":""},{"dropping-particle":"","family":"Peyrot","given":"Wouter J","non-dropping-particle":"","parse-names":false,"suffix":""},{"dropping-particle":"","family":"Baune","given":"Berhnard T","non-dropping-particle":"","parse-names":false,"suffix":""},{"dropping-particle":"","family":"Breen","given":"Gerome","non-dropping-particle":"","parse-names":false,"suffix":""},{"dropping-particle":"","family":"Dehghan","given":"Abbas","non-dropping-particle":"","parse-names":false,"suffix":""},{"dropping-particle":"","family":"Forstner","given":"Andreas J","non-dropping-particle":"","parse-names":false,"suffix":""},{"dropping-particle":"","family":"Grabe","given":"Hans J","non-dropping-particle":"","parse-names":false,"suffix":""},{"dropping-particle":"","family":"Homuth","given":"Georg","non-dropping-particle":"","parse-names":false,"suffix":""},{"dropping-particle":"","family":"Kan","given":"Carol","non-dropping-particle":"","parse-names":false,"suffix":""},{"dropping-particle":"","family":"Lewis","given":"Cathryn","non-dropping-particle":"","parse-names":false,"suffix":""},{"dropping-particle":"","family":"Mullins","given":"Niamh","non-dropping-particle":"","parse-names":false,"suffix":""},{"dropping-particle":"","family":"Nauck","given":"Matthias","non-dropping-particle":"","parse-names":false,"suffix":""},{"dropping-particle":"","family":"Pistis","given":"Giorgio","non-dropping-particle":"","parse-names":false,"suffix":""},{"dropping-particle":"","family":"Preisig","given":"Martin","non-dropping-particle":"","parse-names":false,"suffix":""},{"dropping-particle":"","family":"Rivera","given":"Margarita","non-dropping-particle":"","parse-names":false,"suffix":""},{"dropping-particle":"","family":"Rietschel","given":"Marcella","non-dropping-particle":"","parse-names":false,"suffix":""},{"dropping-particle":"","family":"Streit","given":"Fabian","non-dropping-particle":"","parse-names":false,"suffix":""},{"dropping-particle":"","family":"Strohmaier","given":"Jana","non-dropping-particle":"","parse-names":false,"suffix":""},{"dropping-particle":"","family":"Teumer","given":"Alexander","non-dropping-particle":"","parse-names":false,"suffix":""},{"dropping-particle":"","family":"Auwera","given":"Sandra","non-dropping-particle":"Van der","parse-names":false,"suffix":""},{"dropping-particle":"","family":"Wray","given":"Naomi R","non-dropping-particle":"","parse-names":false,"suffix":""},{"dropping-particle":"","family":"CHARGE Inflammation Working Group","given":"","non-dropping-particle":"","parse-names":false,"suffix":""},{"dropping-particle":"","family":"Major Depressive Disorder Working Group of the Psychiatric Genomics","given":"","non-dropping-particle":"","parse-names":false,"suffix":""},{"dropping-particle":"","family":"Consortium","given":"","non-dropping-particle":"","parse-names":false,"suffix":""},{"dropping-particle":"","family":"Boomsma","given":"Dorret I","non-dropping-particle":"","parse-names":false,"suffix":""},{"dropping-particle":"","family":"Penninx","given":"Brenda WJH","non-dropping-particle":"","parse-names":false,"suffix":""}],"container-title":"JAMA psychiatry","id":"ITEM-12","issued":{"date-parts":[["2017"]]},"page":"1214-1225","title":"Genetic Association of Major Depression With Atypical Features and Obesity-Related Immunometabolic Dysregulations","type":"article-journal","volume":"74"},"uris":["http://www.mendeley.com/documents/?uuid=5be208ed-2434-4d93-adea-8c0c2e6876e8"]},{"id":"ITEM-13","itemData":{"DOI":"10.1001/jamapsychiatry.2020.3436","ISSN":"2168-622X","abstract":"IMPORTANCE Observational studies highlight associations of C-reactive protein (CRP), a general marker of inflammation, and interleukin 6 (IL-6), a cytokine-stimulating CRP production, with individual depressive symptoms. However, it is unclear whether inflammatory activity is associated with individual depressive symptoms and to what extent metabolic dysregulation underlies the reported associations. OBJECTIVE To explore the genetic overlap and associations between inflammatory activity, metabolic dysregulation, and individual depressive symptoms. GWAS DATA SOURCES Genome-wide association study (GWAS) summary data of European individuals, including the following: CRP levels (204402 individuals); 9 individual depressive symptoms (3 of which did not differentiate between underlying diametrically opposite symptoms [eg, insomnia and hypersomnia]) as measured with the Patient Health Questionnaire 9 (up to 117 907 individuals); summary statistics for major depression, including and excluding UK Biobank participants, resulting in sample sizes of 500 199 and up to 230 214 individuals, respectively; insomnia (up to 386 533 individuals); body mass index (BMI) (up to 322 154 individuals); and height (up to 253 280 individuals). DESIGN In this genetic correlation and 2-sample mendelian randomization (MR) study, linkage disequilibrium score (LDSC) regression was applied to infer single-nucleotide variant–based heritability and genetic correlation estimates. Two-sample MR tested potential causal associations of genetic variants associated with CRP levels, IL-6 signaling, and BMI with depressive symptoms. The study dates were November 2019 to April 2020. RESULTS Based on large GWAS data sources, genetic correlation analyses revealed consistent false discovery rate (FDR)–controlled associations (genetic correlation range, 0.152-0.362; FDR P = .006 to P &lt; .001) between CRP levels and depressive symptoms that were similar in size to genetic correlations of BMI with depressive symptoms. Two-sample MR analyses suggested that genetic upregulation of IL-6 signaling was associated with suicidality (estimate [SE], 0.035 [0.010]; FDR plus Bonferroni correction P = .01), a finding that remained stable across statistical models and sensitivity analyses using alternative instrument selection strategies. Mendelian randomization analyses did not consistently show associations of higher CRP levels or IL-6 signaling with other depressive symptoms, but higher BMIwas associated with anh…","author":[{"dropping-particle":"","family":"Kappelmann","given":"Nils","non-dropping-particle":"","parse-names":false,"suffix":""},{"dropping-particle":"","family":"Arloth","given":"Janine","non-dropping-particle":"","parse-names":false,"suffix":""},{"dropping-particle":"","family":"Georgakis","given":"Marios K","non-dropping-particle":"","parse-names":false,"suffix":""},{"dropping-particle":"","family":"Czamara","given":"Darina","non-dropping-particle":"","parse-names":false,"suffix":""},{"dropping-particle":"","family":"Rost","given":"Nicolas","non-dropping-particle":"","parse-names":false,"suffix":""},{"dropping-particle":"","family":"Ligthart","given":"Symen","non-dropping-particle":"","parse-names":false,"suffix":""},{"dropping-particle":"","family":"Khandaker","given":"Golam M","non-dropping-particle":"","parse-names":false,"suffix":""},{"dropping-particle":"","family":"Binder","given":"Elisabeth B","non-dropping-particle":"","parse-names":false,"suffix":""}],"container-title":"JAMA Psychiatry","id":"ITEM-13","issue":"2","issued":{"date-parts":[["2021","10"]]},"page":"161-170","title":"Dissecting the Association Between Inflammation, Metabolic Dysregulation, and Specific Depressive Symptoms","type":"article-journal","volume":"78"},"uris":["http://www.mendeley.com/documents/?uuid=f6f6abd2-1048-4720-af33-59cc49864971","http://www.mendeley.com/documents/?uuid=b8985a82-79ce-49ca-be30-b9df00ad3d25","http://www.mendeley.com/documents/?uuid=311635b9-5826-4344-803f-b698de26c607"]}],"mendeley":{"formattedCitation":"[2–5, 9, 11, 17–19, 21, 34–36]","plainTextFormattedCitation":"[2–5, 9, 11, 17–19, 21, 34–36]","previouslyFormattedCitation":"[2–5, 9, 11, 17–19, 21, 34–36]"},"properties":{"noteIndex":0},"schema":"https://github.com/citation-style-language/schema/raw/master/csl-citation.json"}</w:instrText>
      </w:r>
      <w:r w:rsidR="00D43F13" w:rsidRPr="00571EA4">
        <w:rPr>
          <w:rFonts w:eastAsia="Times New Roman" w:cs="Times New Roman"/>
          <w:szCs w:val="24"/>
        </w:rPr>
        <w:fldChar w:fldCharType="separate"/>
      </w:r>
      <w:r w:rsidR="00DA2D28" w:rsidRPr="00DA2D28">
        <w:rPr>
          <w:rFonts w:eastAsia="Times New Roman" w:cs="Times New Roman"/>
          <w:noProof/>
          <w:szCs w:val="24"/>
          <w:lang w:val="en-GB"/>
        </w:rPr>
        <w:t>[2–5, 9, 11, 17–19, 21, 34–36]</w:t>
      </w:r>
      <w:r w:rsidR="00D43F13" w:rsidRPr="00571EA4">
        <w:rPr>
          <w:rFonts w:eastAsia="Times New Roman" w:cs="Times New Roman"/>
          <w:szCs w:val="24"/>
        </w:rPr>
        <w:fldChar w:fldCharType="end"/>
      </w:r>
      <w:r w:rsidR="00EB500F" w:rsidRPr="00571EA4">
        <w:rPr>
          <w:rFonts w:eastAsia="Times New Roman" w:cs="Times New Roman"/>
          <w:szCs w:val="24"/>
        </w:rPr>
        <w:t>.</w:t>
      </w:r>
      <w:r w:rsidRPr="00571EA4">
        <w:rPr>
          <w:rFonts w:eastAsia="Times New Roman" w:cs="Times New Roman"/>
          <w:szCs w:val="24"/>
          <w:lang w:val="en-GB"/>
        </w:rPr>
        <w:t xml:space="preserve"> T</w:t>
      </w:r>
      <w:r w:rsidR="001B39C7" w:rsidRPr="00571EA4">
        <w:rPr>
          <w:rFonts w:eastAsia="Times New Roman" w:cs="Times New Roman"/>
          <w:szCs w:val="24"/>
          <w:lang w:val="en-GB"/>
        </w:rPr>
        <w:t>ogether</w:t>
      </w:r>
      <w:r w:rsidRPr="00571EA4">
        <w:rPr>
          <w:rFonts w:eastAsia="Times New Roman" w:cs="Times New Roman"/>
          <w:szCs w:val="24"/>
          <w:lang w:val="en-GB"/>
        </w:rPr>
        <w:t>, the</w:t>
      </w:r>
      <w:r w:rsidR="001B39C7" w:rsidRPr="00571EA4">
        <w:rPr>
          <w:rFonts w:eastAsia="Times New Roman" w:cs="Times New Roman"/>
          <w:szCs w:val="24"/>
          <w:lang w:val="en-GB"/>
        </w:rPr>
        <w:t>se</w:t>
      </w:r>
      <w:r w:rsidRPr="00571EA4">
        <w:rPr>
          <w:rFonts w:eastAsia="Times New Roman" w:cs="Times New Roman"/>
          <w:szCs w:val="24"/>
          <w:lang w:val="en-GB"/>
        </w:rPr>
        <w:t xml:space="preserve"> findings </w:t>
      </w:r>
      <w:r w:rsidR="001B39C7" w:rsidRPr="00571EA4">
        <w:rPr>
          <w:rFonts w:eastAsia="Times New Roman" w:cs="Times New Roman"/>
          <w:szCs w:val="24"/>
          <w:lang w:val="en-GB"/>
        </w:rPr>
        <w:t xml:space="preserve">support the idea that </w:t>
      </w:r>
      <w:r w:rsidR="00AA3885" w:rsidRPr="00571EA4">
        <w:rPr>
          <w:rFonts w:eastAsia="Times New Roman" w:cs="Times New Roman"/>
          <w:szCs w:val="24"/>
          <w:lang w:val="en-GB"/>
        </w:rPr>
        <w:t xml:space="preserve">systemic </w:t>
      </w:r>
      <w:r w:rsidR="00EC47B3" w:rsidRPr="00571EA4">
        <w:rPr>
          <w:rFonts w:eastAsia="Times New Roman" w:cs="Times New Roman"/>
          <w:szCs w:val="24"/>
          <w:lang w:val="en-GB"/>
        </w:rPr>
        <w:t>inflammation</w:t>
      </w:r>
      <w:r w:rsidR="001B39C7" w:rsidRPr="00571EA4">
        <w:rPr>
          <w:rFonts w:eastAsia="Times New Roman" w:cs="Times New Roman"/>
          <w:szCs w:val="24"/>
          <w:lang w:val="en-GB"/>
        </w:rPr>
        <w:t xml:space="preserve"> could be</w:t>
      </w:r>
      <w:r w:rsidRPr="00571EA4">
        <w:rPr>
          <w:rFonts w:eastAsia="Times New Roman" w:cs="Times New Roman"/>
          <w:szCs w:val="24"/>
          <w:lang w:val="en-GB"/>
        </w:rPr>
        <w:t xml:space="preserve"> specifi</w:t>
      </w:r>
      <w:r w:rsidR="001B39C7" w:rsidRPr="00571EA4">
        <w:rPr>
          <w:rFonts w:eastAsia="Times New Roman" w:cs="Times New Roman"/>
          <w:szCs w:val="24"/>
          <w:lang w:val="en-GB"/>
        </w:rPr>
        <w:t xml:space="preserve">cally related to </w:t>
      </w:r>
      <w:r w:rsidRPr="00571EA4">
        <w:rPr>
          <w:rFonts w:eastAsia="Times New Roman" w:cs="Times New Roman"/>
          <w:szCs w:val="24"/>
          <w:lang w:val="en-GB"/>
        </w:rPr>
        <w:t xml:space="preserve">depressive </w:t>
      </w:r>
      <w:r w:rsidR="001B39C7" w:rsidRPr="00571EA4">
        <w:rPr>
          <w:rFonts w:eastAsia="Times New Roman" w:cs="Times New Roman"/>
          <w:szCs w:val="24"/>
          <w:lang w:val="en-GB"/>
        </w:rPr>
        <w:t xml:space="preserve">rather than anxiety </w:t>
      </w:r>
      <w:r w:rsidRPr="00571EA4">
        <w:rPr>
          <w:rFonts w:eastAsia="Times New Roman" w:cs="Times New Roman"/>
          <w:szCs w:val="24"/>
          <w:lang w:val="en-GB"/>
        </w:rPr>
        <w:t>symptoms.</w:t>
      </w:r>
    </w:p>
    <w:p w14:paraId="39411602" w14:textId="633F251C" w:rsidR="00554DBA" w:rsidRPr="00571EA4" w:rsidRDefault="00A1701D">
      <w:pPr>
        <w:rPr>
          <w:rFonts w:eastAsia="Times New Roman" w:cs="Times New Roman"/>
          <w:szCs w:val="24"/>
          <w:highlight w:val="white"/>
          <w:lang w:val="en-GB"/>
        </w:rPr>
      </w:pPr>
      <w:r w:rsidRPr="00571EA4">
        <w:rPr>
          <w:rFonts w:eastAsia="Times New Roman" w:cs="Times New Roman"/>
          <w:szCs w:val="24"/>
          <w:highlight w:val="white"/>
          <w:lang w:val="en-GB"/>
        </w:rPr>
        <w:t>O</w:t>
      </w:r>
      <w:r w:rsidR="005C600F" w:rsidRPr="00571EA4">
        <w:rPr>
          <w:rFonts w:eastAsia="Times New Roman" w:cs="Times New Roman"/>
          <w:szCs w:val="24"/>
          <w:highlight w:val="white"/>
          <w:lang w:val="en-GB"/>
        </w:rPr>
        <w:t xml:space="preserve">ur results provide evidence for further phenotype-specificity within the </w:t>
      </w:r>
      <w:r w:rsidR="00A24B87" w:rsidRPr="00571EA4">
        <w:rPr>
          <w:rFonts w:eastAsia="Times New Roman" w:cs="Times New Roman"/>
          <w:szCs w:val="24"/>
          <w:highlight w:val="white"/>
          <w:lang w:val="en-GB"/>
        </w:rPr>
        <w:t>depressi</w:t>
      </w:r>
      <w:r w:rsidR="00FA3DEC" w:rsidRPr="00571EA4">
        <w:rPr>
          <w:rFonts w:eastAsia="Times New Roman" w:cs="Times New Roman"/>
          <w:szCs w:val="24"/>
          <w:highlight w:val="white"/>
          <w:lang w:val="en-GB"/>
        </w:rPr>
        <w:t>on</w:t>
      </w:r>
      <w:r w:rsidR="00A24B87" w:rsidRPr="00571EA4">
        <w:rPr>
          <w:rFonts w:eastAsia="Times New Roman" w:cs="Times New Roman"/>
          <w:szCs w:val="24"/>
          <w:highlight w:val="white"/>
          <w:lang w:val="en-GB"/>
        </w:rPr>
        <w:t xml:space="preserve"> </w:t>
      </w:r>
      <w:r w:rsidR="005C600F" w:rsidRPr="00571EA4">
        <w:rPr>
          <w:rFonts w:eastAsia="Times New Roman" w:cs="Times New Roman"/>
          <w:szCs w:val="24"/>
          <w:highlight w:val="white"/>
          <w:lang w:val="en-GB"/>
        </w:rPr>
        <w:t>syndrome</w:t>
      </w:r>
      <w:r w:rsidR="00A24B87" w:rsidRPr="00571EA4">
        <w:rPr>
          <w:rFonts w:eastAsia="Times New Roman" w:cs="Times New Roman"/>
          <w:szCs w:val="24"/>
          <w:highlight w:val="white"/>
          <w:lang w:val="en-GB"/>
        </w:rPr>
        <w:t xml:space="preserve"> </w:t>
      </w:r>
      <w:r w:rsidR="005C600F" w:rsidRPr="00571EA4">
        <w:rPr>
          <w:rFonts w:eastAsia="Times New Roman" w:cs="Times New Roman"/>
          <w:szCs w:val="24"/>
          <w:highlight w:val="white"/>
          <w:lang w:val="en-GB"/>
        </w:rPr>
        <w:t xml:space="preserve">suggesting </w:t>
      </w:r>
      <w:r w:rsidR="00A24B87" w:rsidRPr="00571EA4">
        <w:rPr>
          <w:rFonts w:eastAsia="Times New Roman" w:cs="Times New Roman"/>
          <w:szCs w:val="24"/>
          <w:highlight w:val="white"/>
          <w:lang w:val="en-GB"/>
        </w:rPr>
        <w:t>that inflammation maps specifically onto symptoms of fatigue, sleep</w:t>
      </w:r>
      <w:r w:rsidR="005A2F7E" w:rsidRPr="00571EA4">
        <w:rPr>
          <w:rFonts w:eastAsia="Times New Roman" w:cs="Times New Roman"/>
          <w:szCs w:val="24"/>
          <w:highlight w:val="white"/>
          <w:lang w:val="en-GB"/>
        </w:rPr>
        <w:t>ing</w:t>
      </w:r>
      <w:r w:rsidR="00A24B87" w:rsidRPr="00571EA4">
        <w:rPr>
          <w:rFonts w:eastAsia="Times New Roman" w:cs="Times New Roman"/>
          <w:szCs w:val="24"/>
          <w:highlight w:val="white"/>
          <w:lang w:val="en-GB"/>
        </w:rPr>
        <w:t xml:space="preserve"> problems, changes in appetite, and depressed mood. </w:t>
      </w:r>
      <w:r w:rsidR="00774CAB" w:rsidRPr="00571EA4">
        <w:rPr>
          <w:rFonts w:eastAsia="Times New Roman" w:cs="Times New Roman"/>
          <w:szCs w:val="24"/>
          <w:highlight w:val="white"/>
        </w:rPr>
        <w:t>T</w:t>
      </w:r>
      <w:r w:rsidR="00A24B87" w:rsidRPr="00571EA4">
        <w:rPr>
          <w:rFonts w:eastAsia="Times New Roman" w:cs="Times New Roman"/>
          <w:szCs w:val="24"/>
          <w:highlight w:val="white"/>
        </w:rPr>
        <w:t xml:space="preserve">hese findings are consistent with </w:t>
      </w:r>
      <w:r w:rsidR="00A24B87" w:rsidRPr="00571EA4">
        <w:rPr>
          <w:rFonts w:eastAsia="Times New Roman" w:cs="Times New Roman"/>
          <w:szCs w:val="24"/>
          <w:highlight w:val="white"/>
        </w:rPr>
        <w:lastRenderedPageBreak/>
        <w:t>previous research</w:t>
      </w:r>
      <w:r w:rsidR="00653B91" w:rsidRPr="00571EA4">
        <w:rPr>
          <w:rFonts w:eastAsia="Times New Roman" w:cs="Times New Roman"/>
          <w:szCs w:val="24"/>
          <w:highlight w:val="white"/>
        </w:rPr>
        <w:fldChar w:fldCharType="begin" w:fldLock="1"/>
      </w:r>
      <w:r w:rsidR="002F5C4F">
        <w:rPr>
          <w:rFonts w:eastAsia="Times New Roman" w:cs="Times New Roman"/>
          <w:szCs w:val="24"/>
          <w:highlight w:val="white"/>
        </w:rPr>
        <w:instrText>ADDIN CSL_CITATION {"citationItems":[{"id":"ITEM-1","itemData":{"DOI":"10.1001/jamapsychiatry.2015.1977","ISBN":"2168-622X","abstract":"Elevated levels of inflammatory markers, such as C-reactive protein, are well-documented in people with depression.1,2 Raison and Miller3 suggested that this association may, in fact, be symptom-specific. Higher levels of inflammation are particularly likely to underlie depression symptoms that characterize sickness behavior, including fatigue, reduced appetite, withdrawal, and inhibited motivation. From an evolutionary perspective, such symptoms have the beneficial effect of preserving energy resources for use in fighting infection and promoting healing processes.4,5 Here, we tested the hypothesis that the association between C-reactive protein and depression is symptom-specific.","author":[{"dropping-particle":"","family":"Jokela","given":"M","non-dropping-particle":"","parse-names":false,"suffix":""},{"dropping-particle":"","family":"Virtanen","given":"M","non-dropping-particle":"","parse-names":false,"suffix":""},{"dropping-particle":"","family":"Batty","given":"G","non-dropping-particle":"","parse-names":false,"suffix":""},{"dropping-particle":"","family":"Kivimäki","given":"M","non-dropping-particle":"","parse-names":false,"suffix":""}],"container-title":"JAMA Psychiatry","id":"ITEM-1","issue":"1","issued":{"date-parts":[["2016"]]},"page":"87-88","title":"Inflammation and specific symptoms of depression","type":"article-journal","volume":"73"},"uris":["http://www.mendeley.com/documents/?uuid=0a95e6fc-5535-440d-a6e9-c49ab8a61bcd","http://www.mendeley.com/documents/?uuid=0ffe7f1d-9eb2-4360-b668-1305198ac317"]},{"id":"ITEM-2","itemData":{"ISSN":"1469-8978","PMID":"28889804","author":[{"dropping-particle":"","family":"Lamers","given":"Femke","non-dropping-particle":"","parse-names":false,"suffix":""},{"dropping-particle":"","family":"Milaneschi","given":"Yuri","non-dropping-particle":"","parse-names":false,"suffix":""},{"dropping-particle":"","family":"Jonge","given":"Peter","non-dropping-particle":"de","parse-names":false,"suffix":""},{"dropping-particle":"","family":"Giltay","given":"Erik J.","non-dropping-particle":"","parse-names":false,"suffix":""},{"dropping-particle":"","family":"Penninx","given":"Brenda W.J.H.","non-dropping-particle":"","parse-names":false,"suffix":""}],"container-title":"Psychological Medicine","id":"ITEM-2","issue":"7","issued":{"date-parts":[["2018"]]},"page":"1102-1110","title":"Metabolic and inflammatory markers: associations with individual depressive symptoms","type":"article-journal","volume":"48"},"uris":["http://www.mendeley.com/documents/?uuid=a17d3d1f-c135-4f40-8d28-9c50f0718508"]},{"id":"ITEM-3","itemData":{"DOI":"10.1017/S0033291719002770","ISSN":"0033-2917","abstract":"Background: Studies investigating the link between Major Depressive Disorder (MDD) and inflammation have yielded inconsistent results. This may be due to two factors. First, studies differed regarding the specific inflammatory markers studied and covariates accounted for. Second, specific depression symptoms may be differentially related to inflammation, and traditional analyses of symptom total scores or diagnostic status may obfuscate such associations. Here we test these two possibilities. Methods: In increasing levels of complexity, we estimated six regularized partial correlation networks in 2321 participants of the Netherlands Study of Depression and Anxiety study to explore the shared variance among depression modeled via sum-score, 9 DSM-5 symptoms, or 28 individual symptoms; inflammatory markers C-reactive protein (CRP), interleukin 6 (IL-6) and tumor necrosis factor α (TNF- α); excluding and including the covariates sex, age, body mass index (BMI), exercise, smoking, alcohol, and chronic diseases Results: After covariate adjustment, the depression sum-score was associated with IL-6; all markers were related to sex; and CRP and IL-6 were associated with BMI. When modeling the 9 DSM-5 symptoms and CRP as replication of Jokela et al. (2016), CRP was associated with trouble sleeping, energy level, BMI, and sex. In a final adjusted model with all 28 individual symptoms, depression and inflammation were unrelated; CRP was associated with BMI and sex; IL-6 with BMI and age; and TNF- α with chronic diseases. Conclusions: Differential relations between markers, symptoms, and covariates emerged. Links between depression and inflammation were largely to completely attenuated after covariate adjustment.","author":[{"dropping-particle":"","family":"Fried","given":"Eiko I","non-dropping-particle":"","parse-names":false,"suffix":""},{"dropping-particle":"","family":"Stockert","given":"S.","non-dropping-particle":"von","parse-names":false,"suffix":""},{"dropping-particle":"","family":"Haslbeck","given":"Jonas M B","non-dropping-particle":"","parse-names":false,"suffix":""},{"dropping-particle":"","family":"Lamers","given":"Femke","non-dropping-particle":"","parse-names":false,"suffix":""},{"dropping-particle":"","family":"Schoevers","given":"Robert A","non-dropping-particle":"","parse-names":false,"suffix":""},{"dropping-particle":"","family":"Penninx","given":"Brenda W J H","non-dropping-particle":"","parse-names":false,"suffix":""}],"container-title":"Psychological Medicine","id":"ITEM-3","issued":{"date-parts":[["2019","10"]]},"page":"1-9","title":"Using network analysis to examine links between individual depressive symptoms, inflammatory markers, and covariates","type":"article-journal"},"uris":["http://www.mendeley.com/documents/?uuid=135d20e1-b188-45cb-be7c-dd7471d2ce52","http://www.mendeley.com/documents/?uuid=0db42247-bb51-4321-8b3e-9f559e1c7696","http://www.mendeley.com/documents/?uuid=1f4e8396-eb45-4226-983f-91f6d2745c6e"]},{"id":"ITEM-4","itemData":{"DOI":"10.1038/s41380-018-0093-6","ISSN":"1359-4184","abstract":"There exists little human neuroscience research to explain why some individuals lose their appetite when they become depressed, while others eat more. Answering this question may reveal much about the various pathophysiologies underlying depression. The present study combined neuroimaging, salivary cortisol, and blood markers of inflammation and metabolism collected prior to scanning. We compared the relationships between peripheral endocrine, metabolic, and immune signaling and brain activity to food cues between depressed participants experiencing increased (N = 23) or decreased (N = 31) appetite and weight in their current depressive episode and healthy control participants (N = 42). The two depression subgroups were unmedicated and did not differ in depression severity, anxiety, anhedonia, or body mass index. Depressed participants experiencing decreased appetite had higher cortisol levels than subjects in the other two groups, and their cortisol values correlated inversely with the ventral striatal response to food cues. In contrast, depressed participants experiencing increased appetite exhibited marked immunometabolic dysregulation, with higher insulin, insulin resistance, leptin, CRP, IL-1RA, and IL-6, and lower ghrelin than subjects in other groups, and the magnitude of their insulin resistance correlated positively with the insula response to food cues. These findings provide novel evidence linking aberrations in homeostatic signaling pathways within depression subtypes to the activity of neural systems that respond to food cues and select when, what, and how much to eat. In conjunction with prior work, the present findings strongly support the existence of pathophysiologically distinct depression subtypes for which the direction of appetite change may be an easily measured behavioral marker.","author":[{"dropping-particle":"","family":"Simmons","given":"W. Kyle","non-dropping-particle":"","parse-names":false,"suffix":""},{"dropping-particle":"","family":"Burrows","given":"Kaiping","non-dropping-particle":"","parse-names":false,"suffix":""},{"dropping-particle":"","family":"Avery","given":"Jason A.","non-dropping-particle":"","parse-names":false,"suffix":""},{"dropping-particle":"","family":"Kerr","given":"Kara L.","non-dropping-particle":"","parse-names":false,"suffix":""},{"dropping-particle":"","family":"Taylor","given":"Ashlee","non-dropping-particle":"","parse-names":false,"suffix":""},{"dropping-particle":"","family":"Bodurka","given":"Jerzy","non-dropping-particle":"","parse-names":false,"suffix":""},{"dropping-particle":"","family":"Potter","given":"William","non-dropping-particle":"","parse-names":false,"suffix":""},{"dropping-particle":"","family":"Teague","given":"T. Kent","non-dropping-particle":"","parse-names":false,"suffix":""},{"dropping-particle":"","family":"Drevets","given":"Wayne C.","non-dropping-particle":"","parse-names":false,"suffix":""}],"container-title":"Molecular Psychiatry","id":"ITEM-4","issue":"7","issued":{"date-parts":[["2020"]]},"page":"1457-1468","publisher":"Springer US","title":"Appetite changes reveal depression subgroups with distinct endocrine, metabolic, and immune states","type":"article-journal","volume":"25"},"uris":["http://www.mendeley.com/documents/?uuid=163d021f-cd80-4203-90b7-539445db0881"]},{"id":"ITEM-5","itemData":{"ISSN":"08891591","author":[{"dropping-particle":"","family":"Moriarity","given":"Daniel P","non-dropping-particle":"","parse-names":false,"suffix":""},{"dropping-particle":"","family":"Horn","given":"Sarah R","non-dropping-particle":"","parse-names":false,"suffix":""},{"dropping-particle":"","family":"Kautz","given":"Marin M","non-dropping-particle":"","parse-names":false,"suffix":""},{"dropping-particle":"","family":"Haslbeck","given":"Jonas M.B.","non-dropping-particle":"","parse-names":false,"suffix":""},{"dropping-particle":"","family":"Alloy","given":"Lauren B","non-dropping-particle":"","parse-names":false,"suffix":""}],"container-title":"Brain, Behavior, and Immunity","id":"ITEM-5","issued":{"date-parts":[["2021","10"]]},"page":"393-403","title":"How handling extreme C-reactive protein (CRP) values and regularization influences CRP and depression criteria associations in network analyses","type":"article-journal","volume":"91"},"uris":["http://www.mendeley.com/documents/?uuid=961c3985-abad-4951-99b6-9e5c9e893c01","http://www.mendeley.com/documents/?uuid=d293e1d1-9ad6-4d80-8bef-2f5498fa6c38","http://www.mendeley.com/documents/?uuid=74d642ed-c7ef-4bae-a1a3-551ff503b8a8"]},{"id":"ITEM-6","itemData":{"DOI":"10.1017/S0033291720002342","ISSN":"0033-2917","abstract":"Background: Depression is a highly prevalent and heterogenous disorder. This study aims to determine whether depression with atypical features shows different heritability and different degree of overlap with polygenic risk for psychiatric and immuno-metabolic traits than other depression subgroups. Methods: Data included 30,069 European ancestry individuals from the UK Biobank who met criteria for lifetime major depression. Participants reporting both weight gain and hypersomnia were classified as ↑WS depression (N = 1,854) and the others as non-↑WS depression (N = 28,215). Cases with non-↑WS depression were further classified as ↓WS depression (i.e. weight loss and insomnia; N = 10,142). Polygenic risk scores (PRS) for 22 traits were generated using genome-wide summary statistics (Bonferroni corrected p=2.1x10-4). Single nucleotide polymorphism (SNP)-based heritability of depression subgroups was estimated. Results: ↑WS depression had a higher polygenic risk for BMI (OR=1.20, [1.15-1.26], p=2.37e-14) and C-reactive protein (OR=1.11, [1.06-1.17], p=8.86e-06) vs. non-↑WS depression and ↓WS depression. Leptin PRS was close to the significance threshold (p=2.99e-04), but the effect disappeared when considering GWAS summary statistics of leptin adjusted for BMI. PRS for daily alcohol use was inversely associated with ↑WS depression (OR=0.88, [0.83-0.93], p=1.04e-05) vs. non-↑WS depression. SNP-based heritability was not significantly different between ↑WS depression and ↓WS depression (14.3% and 12.2%, respectively). Conclusions: ↑WS depression shows evidence of distinct genetic predisposition to immune-metabolic traits and alcohol consumption. These genetic signals suggest that biological targets including immune-cardiometabolic pathways may be relevant to therapies in individuals with ↑WS depression. ### Competing Interest Statement Cathryn Lewis is a member of the Scientific Advisory Board of Myriad Neurosciences. Matthew Hotopf is principal investigator of RADAR-CNS (funded by European Commission, Janssen, Biogen, UCB, MSD and Lundbeck). ### Funding Statement This research was supported by the UK Medical Research Council (MR/N015746 and MR/S0151132). This paper represents independent research part-funded by the National Institute for Health Research (NIHR) Biomedical Research Centre at South London and Maudsley NHS Foundation Trust and King's College London. The views expressed are those of the author(s) and not necessarily those of the NHS, the NIHR o…","author":[{"dropping-particle":"","family":"Badini","given":"Isabella","non-dropping-particle":"","parse-names":false,"suffix":""},{"dropping-particle":"","family":"Coleman","given":"Jonathan RI","non-dropping-particle":"","parse-names":false,"suffix":""},{"dropping-particle":"","family":"Hagenaars","given":"Saskia P.","non-dropping-particle":"","parse-names":false,"suffix":""},{"dropping-particle":"","family":"Hotopf","given":"Matthew","non-dropping-particle":"","parse-names":false,"suffix":""},{"dropping-particle":"","family":"Breen","given":"Gerome","non-dropping-particle":"","parse-names":false,"suffix":""},{"dropping-particle":"","family":"Lewis","given":"Cathryn M.","non-dropping-particle":"","parse-names":false,"suffix":""},{"dropping-particle":"","family":"Fabbri","given":"Chiara","non-dropping-particle":"","parse-names":false,"suffix":""}],"container-title":"Psychological Medicine","id":"ITEM-6","issued":{"date-parts":[["2020","7"]]},"page":"1-11","title":"Depression with atypical neurovegetative symptoms shares genetic predisposition with immuno-metabolic traits and alcohol consumption","type":"article-journal"},"uris":["http://www.mendeley.com/documents/?uuid=463f388a-204d-485c-ba85-ed005b100e6d","http://www.mendeley.com/documents/?uuid=322533f0-30ec-4772-9585-b97b952cf45e","http://www.mendeley.com/documents/?uuid=e939f6a2-b04b-4e9e-bcc5-2bd72efab1cd"]}],"mendeley":{"formattedCitation":"[10–15]","plainTextFormattedCitation":"[10–15]","previouslyFormattedCitation":"[10–15]"},"properties":{"noteIndex":0},"schema":"https://github.com/citation-style-language/schema/raw/master/csl-citation.json"}</w:instrText>
      </w:r>
      <w:r w:rsidR="00653B91"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[10–15]</w:t>
      </w:r>
      <w:r w:rsidR="00653B91" w:rsidRPr="00571EA4">
        <w:rPr>
          <w:rFonts w:eastAsia="Times New Roman" w:cs="Times New Roman"/>
          <w:szCs w:val="24"/>
          <w:highlight w:val="white"/>
        </w:rPr>
        <w:fldChar w:fldCharType="end"/>
      </w:r>
      <w:r w:rsidR="00A24B87" w:rsidRPr="00571EA4">
        <w:rPr>
          <w:rFonts w:eastAsia="Times New Roman" w:cs="Times New Roman"/>
          <w:szCs w:val="24"/>
          <w:highlight w:val="white"/>
          <w:lang w:val="en-GB"/>
        </w:rPr>
        <w:t xml:space="preserve"> </w:t>
      </w:r>
      <w:r w:rsidR="00B23046" w:rsidRPr="00571EA4">
        <w:rPr>
          <w:rFonts w:eastAsia="Times New Roman" w:cs="Times New Roman"/>
          <w:szCs w:val="24"/>
          <w:highlight w:val="white"/>
          <w:lang w:val="en-GB"/>
        </w:rPr>
        <w:t xml:space="preserve">including </w:t>
      </w:r>
      <w:r w:rsidR="00A24B87" w:rsidRPr="00571EA4">
        <w:rPr>
          <w:rFonts w:eastAsia="Times New Roman" w:cs="Times New Roman"/>
          <w:szCs w:val="24"/>
          <w:highlight w:val="white"/>
          <w:lang w:val="en-GB"/>
        </w:rPr>
        <w:t xml:space="preserve">the </w:t>
      </w:r>
      <w:r w:rsidR="00B23046" w:rsidRPr="00571EA4">
        <w:rPr>
          <w:rFonts w:eastAsia="Times New Roman" w:cs="Times New Roman"/>
          <w:szCs w:val="24"/>
          <w:highlight w:val="white"/>
          <w:lang w:val="en-GB"/>
        </w:rPr>
        <w:t>concept</w:t>
      </w:r>
      <w:r w:rsidR="00A24B87" w:rsidRPr="00571EA4">
        <w:rPr>
          <w:rFonts w:eastAsia="Times New Roman" w:cs="Times New Roman"/>
          <w:szCs w:val="24"/>
          <w:highlight w:val="white"/>
          <w:lang w:val="en-GB"/>
        </w:rPr>
        <w:t xml:space="preserve"> of immuno-metabolic depression </w:t>
      </w:r>
      <w:r w:rsidR="00B23046" w:rsidRPr="00571EA4">
        <w:rPr>
          <w:rFonts w:eastAsia="Times New Roman" w:cs="Times New Roman"/>
          <w:szCs w:val="24"/>
          <w:highlight w:val="white"/>
          <w:lang w:val="en-GB"/>
        </w:rPr>
        <w:t xml:space="preserve">and with inflammation-related </w:t>
      </w:r>
      <w:r w:rsidR="00A24B87" w:rsidRPr="00571EA4">
        <w:rPr>
          <w:rFonts w:eastAsia="Times New Roman" w:cs="Times New Roman"/>
          <w:szCs w:val="24"/>
          <w:highlight w:val="white"/>
          <w:lang w:val="en-GB"/>
        </w:rPr>
        <w:t xml:space="preserve">“sickness </w:t>
      </w:r>
      <w:r w:rsidR="00B23046" w:rsidRPr="00571EA4">
        <w:rPr>
          <w:rFonts w:eastAsia="Times New Roman" w:cs="Times New Roman"/>
          <w:szCs w:val="24"/>
          <w:highlight w:val="white"/>
          <w:lang w:val="en-GB"/>
        </w:rPr>
        <w:t>behaviour</w:t>
      </w:r>
      <w:r w:rsidR="00A24B87" w:rsidRPr="00571EA4">
        <w:rPr>
          <w:rFonts w:eastAsia="Times New Roman" w:cs="Times New Roman"/>
          <w:szCs w:val="24"/>
          <w:highlight w:val="white"/>
          <w:lang w:val="en-GB"/>
        </w:rPr>
        <w:t xml:space="preserve">” </w:t>
      </w:r>
      <w:r w:rsidR="00B23046" w:rsidRPr="00571EA4">
        <w:rPr>
          <w:rFonts w:eastAsia="Times New Roman" w:cs="Times New Roman"/>
          <w:szCs w:val="24"/>
          <w:highlight w:val="white"/>
          <w:lang w:val="en-GB"/>
        </w:rPr>
        <w:t>observed in human and animal studies</w:t>
      </w:r>
      <w:r w:rsidR="002B2369" w:rsidRPr="00571EA4">
        <w:rPr>
          <w:rFonts w:eastAsia="Times New Roman" w:cs="Times New Roman"/>
          <w:szCs w:val="24"/>
          <w:highlight w:val="white"/>
          <w:lang w:val="en-GB"/>
        </w:rPr>
        <w:t xml:space="preserve"> </w:t>
      </w:r>
      <w:r w:rsidR="00B10BE4"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{"citationItems":[{"id":"ITEM-1","itemData":{"DOI":"10.1038/nrn2297","ISBN":"1471-0048 (Electronic) 1471-003X (Linking)","PMID":"18073775","author":[{"dropping-particle":"","family":"Dantzer","given":"Robert","non-dropping-particle":"","parse-names":false,"suffix":""},{"dropping-particle":"","family":"O'Connor","given":"J C","non-dropping-particle":"","parse-names":false,"suffix":""},{"dropping-particle":"","family":"Freund","given":"G G","non-dropping-particle":"","parse-names":false,"suffix":""},{"dropping-particle":"","family":"Johnson","given":"R W","non-dropping-particle":"","parse-names":false,"suffix":""},{"dropping-particle":"","family":"Kelley","given":"K W","non-dropping-particle":"","parse-names":false,"suffix":""}],"container-title":"Nature Reviews Neuroscience","id":"ITEM-1","issue":"1","issued":{"date-parts":[["2008"]]},"page":"46-56","title":"From inflammation to sickness and depression: when the immune system subjugates the brain","type":"article-journal","volume":"9"},"uris":["http://www.mendeley.com/documents/?uuid=e0d8376d-ae37-4e97-88f4-51d40de3eaac","http://www.mendeley.com/documents/?uuid=4dc5b294-151b-4d62-ba0a-8048bcec5d30"]},{"id":"ITEM-2","itemData":{"DOI":"10.1016/j.biopsych.2020.01.014","ISSN":"18732402","PMID":"32247527","abstract":"Epidemiological evidence indicates the presence of dysregulated homeostatic biological pathways in depressed patients, such as increased inflammation and disrupted energy-regulating neuroendocrine signaling (e.g., leptin, insulin). Alterations in these biological pathways may explain the considerable comorbidity between depression and cardiometabolic conditions (e.g., obesity, metabolic syndrome, diabetes) and represent a promising target for intervention. This review describes how immunometabolic dysregulations vary as a function of depression heterogeneity by illustrating that such biological dysregulations map more consistently to atypical behavioral symptoms reflecting altered energy intake/expenditure balance (hyperphagia, weight gain, hypersomnia, fatigue, and leaden paralysis) and may moderate the antidepressant effects of standard or novel (e.g., anti-inflammatory) therapeutic approaches. These lines of evidence are integrated in a conceptual model of immunometabolic depression emerging from the clustering of immunometabolic biological dysregulations and specific behavioral symptoms. The review finally elicits questions to be answered by future research and describes how the immunometabolic depression dimension could be used to dissect the heterogeneity of depression and potentially to match subgroups of patients to specific treatments with higher likelihood of clinical success.","author":[{"dropping-particle":"","family":"Milaneschi","given":"Yuri","non-dropping-particle":"","parse-names":false,"suffix":""},{"dropping-particle":"","family":"Lamers","given":"Femke","non-dropping-particle":"","parse-names":false,"suffix":""},{"dropping-particle":"","family":"Berk","given":"Michael","non-dropping-particle":"","parse-names":false,"suffix":""},{"dropping-particle":"","family":"Penninx","given":"Brenda W.J.H.","non-dropping-particle":"","parse-names":false,"suffix":""}],"container-title":"Biological Psychiatry","id":"ITEM-2","issue":"5","issued":{"date-parts":[["2020"]]},"page":"369-380","publisher":"Elsevier Inc","title":"Depression Heterogeneity and Its Biological Underpinnings: Toward Immunometabolic Depression","type":"article-journal","volume":"88"},"uris":["http://www.mendeley.com/documents/?uuid=db750f1b-4b63-4907-9fb6-e908d3fcfa7c"]}],"mendeley":{"formattedCitation":"[37, 38]","plainTextFormattedCitation":"[37, 38]","previouslyFormattedCitation":"[37, 38]"},"properties":{"noteIndex":0},"schema":"https://github.com/citation-style-language/schema/raw/master/csl-citation.json"}</w:instrText>
      </w:r>
      <w:r w:rsidR="00B10BE4"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[37, 38]</w:t>
      </w:r>
      <w:r w:rsidR="00B10BE4" w:rsidRPr="00571EA4">
        <w:rPr>
          <w:rFonts w:eastAsia="Times New Roman" w:cs="Times New Roman"/>
          <w:szCs w:val="24"/>
          <w:highlight w:val="white"/>
        </w:rPr>
        <w:fldChar w:fldCharType="end"/>
      </w:r>
      <w:r w:rsidR="002B2369" w:rsidRPr="00571EA4">
        <w:rPr>
          <w:rFonts w:eastAsia="Times New Roman" w:cs="Times New Roman"/>
          <w:szCs w:val="24"/>
          <w:highlight w:val="white"/>
        </w:rPr>
        <w:t>.</w:t>
      </w:r>
      <w:r w:rsidRPr="00571EA4">
        <w:rPr>
          <w:rFonts w:eastAsia="Times New Roman" w:cs="Times New Roman"/>
          <w:szCs w:val="24"/>
          <w:highlight w:val="white"/>
          <w:lang w:val="en-GB"/>
        </w:rPr>
        <w:t xml:space="preserve"> </w:t>
      </w:r>
    </w:p>
    <w:p w14:paraId="3A36C89E" w14:textId="6F848250" w:rsidR="00E552BD" w:rsidRPr="00571EA4" w:rsidRDefault="00A1701D">
      <w:pPr>
        <w:rPr>
          <w:rFonts w:eastAsia="Times New Roman" w:cs="Times New Roman"/>
          <w:szCs w:val="24"/>
          <w:highlight w:val="white"/>
          <w:lang w:val="en-GB"/>
        </w:rPr>
      </w:pPr>
      <w:r w:rsidRPr="00571EA4">
        <w:rPr>
          <w:rFonts w:eastAsia="Times New Roman" w:cs="Times New Roman"/>
          <w:szCs w:val="24"/>
          <w:highlight w:val="white"/>
          <w:lang w:val="en-GB"/>
        </w:rPr>
        <w:t xml:space="preserve">We </w:t>
      </w:r>
      <w:r w:rsidR="000505F4" w:rsidRPr="00571EA4">
        <w:rPr>
          <w:rFonts w:eastAsia="Times New Roman" w:cs="Times New Roman"/>
          <w:szCs w:val="24"/>
          <w:highlight w:val="white"/>
          <w:lang w:val="en-GB"/>
        </w:rPr>
        <w:t xml:space="preserve">add to this evidence-base </w:t>
      </w:r>
      <w:r w:rsidRPr="00571EA4">
        <w:rPr>
          <w:rFonts w:eastAsia="Times New Roman" w:cs="Times New Roman"/>
          <w:szCs w:val="24"/>
          <w:highlight w:val="white"/>
          <w:lang w:val="en-GB"/>
        </w:rPr>
        <w:t xml:space="preserve">by providing </w:t>
      </w:r>
      <w:r w:rsidR="000505F4" w:rsidRPr="00571EA4">
        <w:rPr>
          <w:rFonts w:eastAsia="Times New Roman" w:cs="Times New Roman"/>
          <w:szCs w:val="24"/>
          <w:highlight w:val="white"/>
          <w:lang w:val="en-GB"/>
        </w:rPr>
        <w:t>data</w:t>
      </w:r>
      <w:r w:rsidRPr="00571EA4">
        <w:rPr>
          <w:rFonts w:eastAsia="Times New Roman" w:cs="Times New Roman"/>
          <w:szCs w:val="24"/>
          <w:highlight w:val="white"/>
          <w:lang w:val="en-GB"/>
        </w:rPr>
        <w:t xml:space="preserve"> for similar </w:t>
      </w:r>
      <w:r w:rsidR="00EE68F8" w:rsidRPr="00571EA4">
        <w:rPr>
          <w:rFonts w:eastAsia="Times New Roman" w:cs="Times New Roman"/>
          <w:szCs w:val="24"/>
          <w:highlight w:val="white"/>
          <w:lang w:val="en-GB"/>
        </w:rPr>
        <w:t xml:space="preserve">and </w:t>
      </w:r>
      <w:r w:rsidRPr="00571EA4">
        <w:rPr>
          <w:rFonts w:eastAsia="Times New Roman" w:cs="Times New Roman"/>
          <w:szCs w:val="24"/>
          <w:highlight w:val="white"/>
          <w:lang w:val="en-GB"/>
        </w:rPr>
        <w:t>distinct associations for IL-6 and CRP for certa</w:t>
      </w:r>
      <w:r w:rsidR="00EC47B3" w:rsidRPr="00571EA4">
        <w:rPr>
          <w:rFonts w:eastAsia="Times New Roman" w:cs="Times New Roman"/>
          <w:szCs w:val="24"/>
          <w:highlight w:val="white"/>
          <w:lang w:val="en-GB"/>
        </w:rPr>
        <w:t>i</w:t>
      </w:r>
      <w:r w:rsidRPr="00571EA4">
        <w:rPr>
          <w:rFonts w:eastAsia="Times New Roman" w:cs="Times New Roman"/>
          <w:szCs w:val="24"/>
          <w:highlight w:val="white"/>
          <w:lang w:val="en-GB"/>
        </w:rPr>
        <w:t xml:space="preserve">n symptoms, especially sleep and appetite. </w:t>
      </w:r>
      <w:r w:rsidR="005271C4" w:rsidRPr="00571EA4">
        <w:rPr>
          <w:highlight w:val="white"/>
          <w:lang w:val="en-GB"/>
        </w:rPr>
        <w:t xml:space="preserve">Only hypersomnia, but not loss of sleep, showed consistent associations with CRP and IL-6. We report an intriguing dissociation between </w:t>
      </w:r>
      <w:r w:rsidR="001275FD" w:rsidRPr="00571EA4">
        <w:rPr>
          <w:highlight w:val="white"/>
          <w:lang w:val="en-GB"/>
        </w:rPr>
        <w:t>these inflammatory markers</w:t>
      </w:r>
      <w:r w:rsidR="005271C4" w:rsidRPr="00571EA4">
        <w:rPr>
          <w:highlight w:val="white"/>
          <w:lang w:val="en-GB"/>
        </w:rPr>
        <w:t xml:space="preserve"> regarding their associations with appetite</w:t>
      </w:r>
      <w:r w:rsidR="00A627EA" w:rsidRPr="00571EA4">
        <w:rPr>
          <w:highlight w:val="white"/>
          <w:lang w:val="en-GB"/>
        </w:rPr>
        <w:t>.</w:t>
      </w:r>
      <w:r w:rsidR="005271C4" w:rsidRPr="00571EA4">
        <w:rPr>
          <w:highlight w:val="white"/>
          <w:lang w:val="en-GB"/>
        </w:rPr>
        <w:t xml:space="preserve">  </w:t>
      </w:r>
      <w:r w:rsidR="001275FD" w:rsidRPr="00571EA4">
        <w:rPr>
          <w:highlight w:val="white"/>
          <w:lang w:val="en-GB"/>
        </w:rPr>
        <w:t xml:space="preserve">CRP and IL-6 </w:t>
      </w:r>
      <w:r w:rsidR="005271C4" w:rsidRPr="00571EA4">
        <w:rPr>
          <w:highlight w:val="white"/>
          <w:lang w:val="en-GB"/>
        </w:rPr>
        <w:t xml:space="preserve">were </w:t>
      </w:r>
      <w:r w:rsidR="00A627EA" w:rsidRPr="00571EA4">
        <w:rPr>
          <w:highlight w:val="white"/>
          <w:lang w:val="en-GB"/>
        </w:rPr>
        <w:t xml:space="preserve">specifically </w:t>
      </w:r>
      <w:r w:rsidR="005271C4" w:rsidRPr="00571EA4">
        <w:rPr>
          <w:highlight w:val="white"/>
          <w:lang w:val="en-GB"/>
        </w:rPr>
        <w:t>associated with increased and decreased appetite, respectively. These findings are consistent with evidence from animal models showing that CRP directly inhibits leptin binding to its central receptors, abolishing its anorexigenic effect and disinhibiting food intake</w:t>
      </w:r>
      <w:r w:rsidR="00B01FB7" w:rsidRPr="00571EA4">
        <w:rPr>
          <w:highlight w:val="white"/>
          <w:lang w:val="en-GB"/>
        </w:rPr>
        <w:t xml:space="preserve"> </w:t>
      </w:r>
      <w:r w:rsidR="005271C4" w:rsidRPr="00571EA4">
        <w:rPr>
          <w:highlight w:val="white"/>
        </w:rPr>
        <w:fldChar w:fldCharType="begin" w:fldLock="1"/>
      </w:r>
      <w:r w:rsidR="00D613B9" w:rsidRPr="00571EA4">
        <w:rPr>
          <w:highlight w:val="white"/>
          <w:lang w:val="en-GB"/>
        </w:rPr>
        <w:instrText>ADDIN CSL_CITATION {"citationItems":[{"id":"ITEM-1","itemData":{"DOI":"10.1038/nm1372","ISBN":"1078-8956 (Print) 1078-8956 (Linking)","ISSN":"1078-8956","PMID":"16582918","abstract":"The mechanisms underlying leptin resistance are still being defined. We report here the presence in human blood of several serum leptin-interacting proteins (SLIPs), isolated by leptin-affinity chromatography and identified by mass spectrometry and immunochemical analysis. We confirmed that one of the major SLIPs is C-reactive protein (CRP). In vitro, human CRP directly inhibits the binding of leptin to its receptors and blocks its ability to signal in cultured cells. In vivo, infusion of human CRP into ob/ob mice blocked the effects of leptin upon satiety and weight reduction. In mice that express a transgene encoding human CRP, the actions of human leptin were completely blunted. We also found that physiological concentrations of leptin can stimulate expression of CRP in human primary hepatocytes. Recently, human CRP has been correlated with increased adiposity and plasma leptin. Thus, our results suggest a potential mechanism contributing to leptin resistance, by which circulating CRP binds to leptin and attenuates its physiological functions.","author":[{"dropping-particle":"","family":"Chen","given":"Ke","non-dropping-particle":"","parse-names":false,"suffix":""},{"dropping-particle":"","family":"Li","given":"Fanghong","non-dropping-particle":"","parse-names":false,"suffix":""},{"dropping-particle":"","family":"Li","given":"Ji","non-dropping-particle":"","parse-names":false,"suffix":""},{"dropping-particle":"","family":"Cai","given":"Hongbo","non-dropping-particle":"","parse-names":false,"suffix":""},{"dropping-particle":"","family":"Strom","given":"Steven","non-dropping-particle":"","parse-names":false,"suffix":""},{"dropping-particle":"","family":"Bisello","given":"Alessandro","non-dropping-particle":"","parse-names":false,"suffix":""},{"dropping-particle":"","family":"Kelley","given":"David E","non-dropping-particle":"","parse-names":false,"suffix":""},{"dropping-particle":"","family":"Friedman-Einat","given":"Miriam","non-dropping-particle":"","parse-names":false,"suffix":""},{"dropping-particle":"","family":"Skibinski","given":"Gregory a","non-dropping-particle":"","parse-names":false,"suffix":""},{"dropping-particle":"","family":"McCrory","given":"Mark a","non-dropping-particle":"","parse-names":false,"suffix":""},{"dropping-particle":"","family":"Szalai","given":"Alexander J","non-dropping-particle":"","parse-names":false,"suffix":""},{"dropping-particle":"","family":"Zhao","given":"Allan Z","non-dropping-particle":"","parse-names":false,"suffix":""}],"container-title":"Nature medicine","id":"ITEM-1","issue":"4","issued":{"date-parts":[["2006"]]},"page":"425-432","title":"Induction of leptin resistance through direct interaction of C-reactive protein with leptin.","type":"article-journal","volume":"12"},"uris":["http://www.mendeley.com/documents/?uuid=c1ea2ece-808f-4f36-a0c3-a978ee8d99f4"]}],"mendeley":{"formattedCitation":"[39]","plainTextFormattedCitation":"[39]","previouslyFormattedCitation":"[39]"},"properties":{"noteIndex":0},"schema":"https://github.com/citation-style-language/schema/raw/master/csl-citation.json"}</w:instrText>
      </w:r>
      <w:r w:rsidR="005271C4" w:rsidRPr="00571EA4">
        <w:rPr>
          <w:highlight w:val="white"/>
        </w:rPr>
        <w:fldChar w:fldCharType="separate"/>
      </w:r>
      <w:r w:rsidR="00AF5060" w:rsidRPr="00571EA4">
        <w:rPr>
          <w:noProof/>
          <w:highlight w:val="white"/>
          <w:lang w:val="en-GB"/>
        </w:rPr>
        <w:t>[39]</w:t>
      </w:r>
      <w:r w:rsidR="005271C4" w:rsidRPr="00571EA4">
        <w:rPr>
          <w:highlight w:val="white"/>
        </w:rPr>
        <w:fldChar w:fldCharType="end"/>
      </w:r>
      <w:r w:rsidR="00B01FB7" w:rsidRPr="00571EA4">
        <w:rPr>
          <w:highlight w:val="white"/>
        </w:rPr>
        <w:t>.</w:t>
      </w:r>
      <w:r w:rsidR="005271C4" w:rsidRPr="00571EA4">
        <w:rPr>
          <w:highlight w:val="white"/>
          <w:lang w:val="en-GB"/>
        </w:rPr>
        <w:t xml:space="preserve"> In contrast, in obese mice with leptin resistance, the central activation of IL-6 trans-signalling has been shown to suppress feeding and improve glucose tolerance</w:t>
      </w:r>
      <w:r w:rsidR="00B01FB7" w:rsidRPr="00571EA4">
        <w:rPr>
          <w:highlight w:val="white"/>
          <w:lang w:val="en-GB"/>
        </w:rPr>
        <w:t xml:space="preserve"> </w:t>
      </w:r>
      <w:r w:rsidR="005271C4" w:rsidRPr="00571EA4">
        <w:rPr>
          <w:highlight w:val="white"/>
        </w:rPr>
        <w:fldChar w:fldCharType="begin" w:fldLock="1"/>
      </w:r>
      <w:r w:rsidR="00D613B9" w:rsidRPr="00571EA4">
        <w:rPr>
          <w:highlight w:val="white"/>
          <w:lang w:val="en-GB"/>
        </w:rPr>
        <w:instrText>ADDIN CSL_CITATION {"citationItems":[{"id":"ITEM-1","itemData":{"DOI":"10.1016/j.celrep.2017.03.043","ISSN":"22111247","PMID":"28402851","abstract":"Interleukin (IL)-6 engages similar signaling mechanisms to leptin. Here, we find that central application of IL-6 in mice suppresses feeding and improves glucose tolerance. In contrast to leptin, whose action is attenuated in obesity, the ability of IL-6 to suppress feeding is enhanced in obese mice. IL-6 suppresses feeding in the absence of neuronal IL-6-receptor (IL-6R) expression in hypothalamic or all forebrain neurons of mice. Conversely, obese mice exhibit increased soluble IL-6R levels in the cerebrospinal fluid. Blocking IL-6 trans-signaling in the CNS abrogates the ability of IL-6 to suppress feeding. Furthermore, gp130 expression is enhanced in the paraventricular nucleus of the hypothalamus (PVH) of obese mice, and deletion of gp130 in the PVH attenuates the beneficial central IL-6 effects on metabolism. Collectively, these experiments indicate that IL-6 trans-signaling is enhanced in the CNS of obese mice, allowing IL-6 to exert its beneficial metabolic effects even under conditions of leptin resistance.","author":[{"dropping-particle":"","family":"Timper","given":"Katharina","non-dropping-particle":"","parse-names":false,"suffix":""},{"dropping-particle":"","family":"Denson","given":"Jesse Lee","non-dropping-particle":"","parse-names":false,"suffix":""},{"dropping-particle":"","family":"Steculorum","given":"Sophie Marie","non-dropping-particle":"","parse-names":false,"suffix":""},{"dropping-particle":"","family":"Heilinger","given":"Christian","non-dropping-particle":"","parse-names":false,"suffix":""},{"dropping-particle":"","family":"Engström-Ruud","given":"Linda","non-dropping-particle":"","parse-names":false,"suffix":""},{"dropping-particle":"","family":"Wunderlich","given":"Claudia Maria","non-dropping-particle":"","parse-names":false,"suffix":""},{"dropping-particle":"","family":"Rose-John","given":"Stefan","non-dropping-particle":"","parse-names":false,"suffix":""},{"dropping-particle":"","family":"Wunderlich","given":"F. Thomas","non-dropping-particle":"","parse-names":false,"suffix":""},{"dropping-particle":"","family":"Brüning","given":"Jens Claus","non-dropping-particle":"","parse-names":false,"suffix":""}],"container-title":"Cell Reports","id":"ITEM-1","issue":"2","issued":{"date-parts":[["2017"]]},"page":"267-280","title":"IL-6 Improves Energy and Glucose Homeostasis in Obesity via Enhanced Central IL-6 trans-Signaling","type":"article-journal","volume":"19"},"uris":["http://www.mendeley.com/documents/?uuid=20e5cc92-2ff7-486d-8fa1-c0d6b68cc175"]}],"mendeley":{"formattedCitation":"[40]","plainTextFormattedCitation":"[40]","previouslyFormattedCitation":"[40]"},"properties":{"noteIndex":0},"schema":"https://github.com/citation-style-language/schema/raw/master/csl-citation.json"}</w:instrText>
      </w:r>
      <w:r w:rsidR="005271C4" w:rsidRPr="00571EA4">
        <w:rPr>
          <w:highlight w:val="white"/>
        </w:rPr>
        <w:fldChar w:fldCharType="separate"/>
      </w:r>
      <w:r w:rsidR="00AF5060" w:rsidRPr="00571EA4">
        <w:rPr>
          <w:noProof/>
          <w:highlight w:val="white"/>
          <w:lang w:val="en-GB"/>
        </w:rPr>
        <w:t>[40]</w:t>
      </w:r>
      <w:r w:rsidR="005271C4" w:rsidRPr="00571EA4">
        <w:rPr>
          <w:highlight w:val="white"/>
        </w:rPr>
        <w:fldChar w:fldCharType="end"/>
      </w:r>
      <w:r w:rsidR="00B01FB7" w:rsidRPr="00571EA4">
        <w:rPr>
          <w:highlight w:val="white"/>
        </w:rPr>
        <w:t>.</w:t>
      </w:r>
      <w:r w:rsidR="005271C4" w:rsidRPr="00571EA4">
        <w:rPr>
          <w:highlight w:val="white"/>
          <w:lang w:val="en-GB"/>
        </w:rPr>
        <w:t xml:space="preserve"> </w:t>
      </w:r>
      <w:r w:rsidR="00605C54" w:rsidRPr="00571EA4">
        <w:rPr>
          <w:rFonts w:eastAsia="Times New Roman" w:cs="Times New Roman"/>
          <w:szCs w:val="24"/>
          <w:highlight w:val="white"/>
          <w:lang w:val="en-GB"/>
        </w:rPr>
        <w:t>Similarly, it has been previously shown that increased BMI, a major stimulus for CRP production</w:t>
      </w:r>
      <w:r w:rsidR="00B01FB7" w:rsidRPr="00571EA4">
        <w:rPr>
          <w:rFonts w:eastAsia="Times New Roman" w:cs="Times New Roman"/>
          <w:szCs w:val="24"/>
          <w:highlight w:val="white"/>
          <w:lang w:val="en-GB"/>
        </w:rPr>
        <w:t xml:space="preserve"> </w:t>
      </w:r>
      <w:r w:rsidR="00605C54"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{"citationItems":[{"id":"ITEM-1","itemData":{"DOI":"10.1038/ijo.2010.137","ISSN":"0307-0565","PMID":"20714329","abstract":"Context:The assignment of direction and causality within networks of observational associations is problematic outside randomized control trials, and the presence of a causal relationship between body mass index (BMI) and C-reactive protein (CRP) is disputed.Objective:Using reciprocal Mendelian randomization, we aim to assess the direction of causality in relationships between BMI and CRP and to demonstrate this as a promising analytical technique.Participants and methods:The study was based on a large, cross-sectional European study from Copenhagen, Denmark. Genetic associates of BMI (FTO(rs9939609)) and circulating CRP (CRP(rs3091244)) have been used to reexamine observational associations between them.Results:Observational analyses showed a strong, positive association between circulating CRP and BMI (change in BMI for a doubling in logCRP of 1.03 kg m-2 (95% confidence interval (95% CI): 1.00, 1.07), P0.0001). Analysis using CRP(rs3091244) to re-estimate the causal effect of circulating CRP on BMI yielded null effects (change in BMI for a doubling in logCRP of 0.24 kg m-2 (95% CI: 0.58, 0.11), P=0.2). In contrast, analysis using FTO(rs9939609) to assess the causal effect of BMI on circulating CRP confirmed observational associations (ratio of geometric means of CRP per s.d. increase in BMI 1.41 (95% CI: 1.10, 1.80), P=0.006).Conclusions:Taken together, these data suggest that the observed association between circulating CRP and measured BMI is likely to be driven by BMI, with CRP being a marker of elevated adiposity. More generally, the method of reciprocal randomization has general applicability in determining the direction of causation within inter-correlated networks of metabolic components. © 2011 Macmillan Publishers Limited. All rights reserved.","author":[{"dropping-particle":"","family":"Timpson","given":"N. J.","non-dropping-particle":"","parse-names":false,"suffix":""},{"dropping-particle":"","family":"Nordestgaard","given":"B. G.","non-dropping-particle":"","parse-names":false,"suffix":""},{"dropping-particle":"","family":"Harbord","given":"R. M.","non-dropping-particle":"","parse-names":false,"suffix":""},{"dropping-particle":"","family":"Zacho","given":"J.","non-dropping-particle":"","parse-names":false,"suffix":""},{"dropping-particle":"","family":"Frayling","given":"T. M.","non-dropping-particle":"","parse-names":false,"suffix":""},{"dropping-particle":"","family":"Tybjærg-Hansen","given":"A.","non-dropping-particle":"","parse-names":false,"suffix":""},{"dropping-particle":"","family":"Davey Smith","given":"George","non-dropping-particle":"","parse-names":false,"suffix":""}],"container-title":"International Journal of Obesity","id":"ITEM-1","issue":"2","issued":{"date-parts":[["2011","2"]]},"page":"300-308","title":"C-reactive protein levels and body mass index: elucidating direction of causation through reciprocal Mendelian randomization","type":"article-journal","volume":"35"},"uris":["http://www.mendeley.com/documents/?uuid=16130dac-bc7b-4f5f-8d3e-770824b55605","http://www.mendeley.com/documents/?uuid=20f138b0-f1a9-479e-8696-aaf5e1ec7f55"]}],"mendeley":{"formattedCitation":"[41]","plainTextFormattedCitation":"[41]","previouslyFormattedCitation":"[41]"},"properties":{"noteIndex":0},"schema":"https://github.com/citation-style-language/schema/raw/master/csl-citation.json"}</w:instrText>
      </w:r>
      <w:r w:rsidR="00605C54"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rPr>
        <w:t>[41]</w:t>
      </w:r>
      <w:r w:rsidR="00605C54" w:rsidRPr="00571EA4">
        <w:rPr>
          <w:rFonts w:eastAsia="Times New Roman" w:cs="Times New Roman"/>
          <w:szCs w:val="24"/>
          <w:highlight w:val="white"/>
        </w:rPr>
        <w:fldChar w:fldCharType="end"/>
      </w:r>
      <w:r w:rsidR="00B01FB7" w:rsidRPr="00571EA4">
        <w:rPr>
          <w:rFonts w:eastAsia="Times New Roman" w:cs="Times New Roman"/>
          <w:szCs w:val="24"/>
          <w:highlight w:val="white"/>
        </w:rPr>
        <w:t>,</w:t>
      </w:r>
      <w:r w:rsidR="00605C54" w:rsidRPr="00571EA4">
        <w:rPr>
          <w:rFonts w:eastAsia="Times New Roman" w:cs="Times New Roman"/>
          <w:szCs w:val="24"/>
          <w:highlight w:val="white"/>
        </w:rPr>
        <w:t xml:space="preserve"> is associated with appetite alterations</w:t>
      </w:r>
      <w:r w:rsidR="00B01FB7" w:rsidRPr="00571EA4">
        <w:rPr>
          <w:rFonts w:eastAsia="Times New Roman" w:cs="Times New Roman"/>
          <w:szCs w:val="24"/>
          <w:highlight w:val="white"/>
        </w:rPr>
        <w:t xml:space="preserve"> </w:t>
      </w:r>
      <w:r w:rsidR="00605C54"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rPr>
        <w:instrText>ADDIN CSL_CITATION {"citationItems":[{"id":"ITEM-1","itemData":{"DOI":"10.1001/jamapsychiatry.2020.3436","ISSN":"2168-622X","abstract":"IMPORTANCE Observational studies highlight associations of C-reactive protein (CRP), a general marker of inflammation, and interleukin 6 (IL-6), a cytokine-stimulating CRP production, with individual depressive symptoms. However, it is unclear whether inflammatory activity is associated with individual depressive symptoms and to what extent metabolic dysregulation underlies the reported associations. OBJECTIVE To explore the genetic overlap and associations between inflammatory activity, metabolic dysregulation, and individual depressive symptoms. GWAS DATA SOURCES Genome-wide association study (GWAS) summary data of European individuals, including the following: CRP levels (204402 individuals); 9 individual depressive symptoms (3 of which did not differentiate between underlying diametrically opposite symptoms [eg, insomnia and hypersomnia]) as measured with the Patient Health Questionnaire 9 (up to 117 907 individuals); summary statistics for major depression, including and excluding UK Biobank participants, resulting in sample sizes of 500 199 and up to 230 214 individuals, respectively; insomnia (up to 386 533 individuals); body mass index (BMI) (up to 322 154 individuals); and height (up to 253 280 individuals). DESIGN In this genetic correlation and 2-sample mendelian randomization (MR) study, linkage disequilibrium score (LDSC) regression was applied to infer single-nucleotide variant–based heritability and genetic correlation estimates. Two-sample MR tested potential causal associations of genetic variants associated with CRP levels, IL-6 signaling, and BMI with depressive symptoms. The study dates were November 2019 to April 2020. RESULTS Based on large GWAS data sources, genetic correlation analyses revealed consistent false discovery rate (FDR)–controlled associations (genetic correlation range, 0.152-0.362; FDR P = .006 to P &lt; .001) between CRP levels and depressive symptoms that were similar in size to genetic correlations of BMI with depressive symptoms. Two-sample MR analyses suggested that genetic upregulation of IL-6 signaling was associated with suicidality (estimate [SE], 0.035 [0.010]; FDR plus Bonferroni correction P = .01), a finding that remained stable across statistical models and sensitivity analyses using alternative instrument selection strategies. Mendelian randomization analyses did not consistently show associations of higher CRP levels or IL-6 signaling with other depressive symptoms, but higher BMIwas associated with anh…","author":[{"dropping-particle":"","family":"Kappelmann","given":"Nils","non-dropping-particle":"","parse-names":false,"suffix":""},{"dropping-particle":"","family":"Arloth","given":"Janine","non-dropping-particle":"","parse-names":false,"suffix":""},{"dropping-particle":"","family":"Georgakis","given":"Marios K","non-dropping-particle":"","parse-names":false,"suffix":""},{"dropping-particle":"","family":"Czamara","given":"Darina","non-dropping-particle":"","parse-names":false,"suffix":""},{"dropping-particle":"","family":"Rost","given":"Nicolas","non-dropping-particle":"","parse-names":false,"suffix":""},{"dropping-particle":"","family":"Ligthart","given":"Symen","non-dropping-particle":"","parse-names":false,"suffix":""},{"dropping-particle":"","family":"Khandaker","given":"Golam M","non-dropping-particle":"","parse-names":false,"suffix":""},{"dropping-particle":"","family":"Binder","given":"Elisabeth B","non-dropping-particle":"","parse-names":false,"suffix":""}],"container-title":"JAMA Psychiatry","id":"ITEM-1","issue":"2","issued":{"date-parts":[["2021","10"]]},"page":"161-170","title":"Dissecting the Association Between Inflammation, Metabolic Dysregulation, and Specific Depressive Symptoms","type":"article-journal","volume":"78"},"uris":["http://www.mendeley.com/documents/?uuid=f6f6abd2-1048-4720-af33-59cc49864971","http://www.mendeley.com/documents/?uuid=b8985a82-79ce-49ca-be30-b9df00ad3d25"]}],"mendeley":{"formattedCitation":"[21]","plainTextFormattedCitation":"[21]","previouslyFormattedCitation":"[21]"},"properties":{"noteIndex":0},"schema":"https://github.com/citation-style-language/schema/raw/master/csl-citation.json"}</w:instrText>
      </w:r>
      <w:r w:rsidR="00605C54"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[21]</w:t>
      </w:r>
      <w:r w:rsidR="00605C54" w:rsidRPr="00571EA4">
        <w:rPr>
          <w:rFonts w:eastAsia="Times New Roman" w:cs="Times New Roman"/>
          <w:szCs w:val="24"/>
          <w:highlight w:val="white"/>
        </w:rPr>
        <w:fldChar w:fldCharType="end"/>
      </w:r>
      <w:r w:rsidR="00B01FB7" w:rsidRPr="00571EA4">
        <w:rPr>
          <w:rFonts w:eastAsia="Times New Roman" w:cs="Times New Roman"/>
          <w:szCs w:val="24"/>
          <w:highlight w:val="white"/>
        </w:rPr>
        <w:t>,</w:t>
      </w:r>
      <w:r w:rsidR="00605C54" w:rsidRPr="00571EA4">
        <w:rPr>
          <w:rFonts w:eastAsia="Times New Roman" w:cs="Times New Roman"/>
          <w:szCs w:val="24"/>
          <w:highlight w:val="white"/>
          <w:lang w:val="en-GB"/>
        </w:rPr>
        <w:t xml:space="preserve"> but only with increased appetite</w:t>
      </w:r>
      <w:r w:rsidR="00B01FB7" w:rsidRPr="00571EA4">
        <w:rPr>
          <w:rFonts w:eastAsia="Times New Roman" w:cs="Times New Roman"/>
          <w:szCs w:val="24"/>
          <w:highlight w:val="white"/>
          <w:lang w:val="en-GB"/>
        </w:rPr>
        <w:t xml:space="preserve"> </w:t>
      </w:r>
      <w:r w:rsidR="00605C54" w:rsidRPr="00571EA4">
        <w:rPr>
          <w:rFonts w:eastAsia="Times New Roman" w:cs="Times New Roman"/>
          <w:szCs w:val="24"/>
          <w:highlight w:val="white"/>
        </w:rPr>
        <w:fldChar w:fldCharType="begin" w:fldLock="1"/>
      </w:r>
      <w:r w:rsidR="00DA2D28">
        <w:rPr>
          <w:rFonts w:eastAsia="Times New Roman" w:cs="Times New Roman"/>
          <w:szCs w:val="24"/>
          <w:highlight w:val="white"/>
          <w:lang w:val="en-GB"/>
        </w:rPr>
        <w:instrText>ADDIN CSL_CITATION {"citationItems":[{"id":"ITEM-1","itemData":{"ISSN":"2168-6238 (Electronic)","PMID":"33471038","author":[{"dropping-particle":"","family":"Milaneschi","given":"Yuri","non-dropping-particle":"","parse-names":false,"suffix":""},{"dropping-particle":"","family":"Lamers","given":"Femke","non-dropping-particle":"","parse-names":false,"suffix":""},{"dropping-particle":"","family":"Penninx","given":"Brenda W J H","non-dropping-particle":"","parse-names":false,"suffix":""}],"container-title":"JAMA psychiatry","id":"ITEM-1","issued":{"date-parts":[["2021","1"]]},"language":"eng","page":"341","publisher-place":"United States","title":"Dissecting Depression Biological and Clinical Heterogeneity-The Importance of Symptom Assessment Resolution.","type":"article-journal","volume":"78"},"uris":["http://www.mendeley.com/documents/?uuid=3fd57546-7938-489e-8220-3970ca7fb01a"]}],"mendeley":{"formattedCitation":"[42]","plainTextFormattedCitation":"[42]","previouslyFormattedCitation":"[42]"},"properties":{"noteIndex":0},"schema":"https://github.com/citation-style-language/schema/raw/master/csl-citation.json"}</w:instrText>
      </w:r>
      <w:r w:rsidR="00605C54"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[42]</w:t>
      </w:r>
      <w:r w:rsidR="00605C54" w:rsidRPr="00571EA4">
        <w:rPr>
          <w:rFonts w:eastAsia="Times New Roman" w:cs="Times New Roman"/>
          <w:szCs w:val="24"/>
          <w:highlight w:val="white"/>
        </w:rPr>
        <w:fldChar w:fldCharType="end"/>
      </w:r>
      <w:r w:rsidR="00B01FB7" w:rsidRPr="00571EA4">
        <w:rPr>
          <w:rFonts w:eastAsia="Times New Roman" w:cs="Times New Roman"/>
          <w:szCs w:val="24"/>
          <w:highlight w:val="white"/>
        </w:rPr>
        <w:t>.</w:t>
      </w:r>
      <w:r w:rsidR="00605C54" w:rsidRPr="00571EA4">
        <w:rPr>
          <w:rFonts w:eastAsia="Times New Roman" w:cs="Times New Roman"/>
          <w:szCs w:val="24"/>
          <w:highlight w:val="white"/>
          <w:lang w:val="en-GB"/>
        </w:rPr>
        <w:t xml:space="preserve"> These data shed light on the impact of </w:t>
      </w:r>
      <w:r w:rsidR="0083166D" w:rsidRPr="00571EA4">
        <w:rPr>
          <w:rFonts w:eastAsia="Times New Roman" w:cs="Times New Roman"/>
          <w:szCs w:val="24"/>
          <w:highlight w:val="white"/>
          <w:lang w:val="en-GB"/>
        </w:rPr>
        <w:t>obesity</w:t>
      </w:r>
      <w:r w:rsidR="00605C54" w:rsidRPr="00571EA4">
        <w:rPr>
          <w:rFonts w:eastAsia="Times New Roman" w:cs="Times New Roman"/>
          <w:szCs w:val="24"/>
          <w:highlight w:val="white"/>
          <w:lang w:val="en-GB"/>
        </w:rPr>
        <w:t xml:space="preserve"> </w:t>
      </w:r>
      <w:r w:rsidR="00B73592" w:rsidRPr="00571EA4">
        <w:rPr>
          <w:rFonts w:eastAsia="Times New Roman" w:cs="Times New Roman"/>
          <w:szCs w:val="24"/>
          <w:highlight w:val="white"/>
          <w:lang w:val="en-GB"/>
        </w:rPr>
        <w:t>o</w:t>
      </w:r>
      <w:r w:rsidR="00605C54" w:rsidRPr="00571EA4">
        <w:rPr>
          <w:rFonts w:eastAsia="Times New Roman" w:cs="Times New Roman"/>
          <w:szCs w:val="24"/>
          <w:highlight w:val="white"/>
          <w:lang w:val="en-GB"/>
        </w:rPr>
        <w:t>n the association between CRP and appetite alterations, which was fully attenuated</w:t>
      </w:r>
      <w:r w:rsidR="0083166D" w:rsidRPr="00571EA4">
        <w:rPr>
          <w:rFonts w:eastAsia="Times New Roman" w:cs="Times New Roman"/>
          <w:szCs w:val="24"/>
          <w:highlight w:val="white"/>
          <w:lang w:val="en-GB"/>
        </w:rPr>
        <w:t xml:space="preserve"> after controlling for BMI</w:t>
      </w:r>
      <w:r w:rsidR="00605C54" w:rsidRPr="00571EA4">
        <w:rPr>
          <w:rFonts w:eastAsia="Times New Roman" w:cs="Times New Roman"/>
          <w:szCs w:val="24"/>
          <w:highlight w:val="white"/>
          <w:lang w:val="en-GB"/>
        </w:rPr>
        <w:t xml:space="preserve">. </w:t>
      </w:r>
    </w:p>
    <w:p w14:paraId="348B84FC" w14:textId="276C39E3" w:rsidR="00CA562D" w:rsidRPr="00571EA4" w:rsidRDefault="00605C54">
      <w:pPr>
        <w:rPr>
          <w:highlight w:val="white"/>
          <w:lang w:val="en-GB"/>
        </w:rPr>
      </w:pPr>
      <w:r w:rsidRPr="00571EA4">
        <w:rPr>
          <w:rFonts w:eastAsia="Times New Roman" w:cs="Times New Roman"/>
          <w:szCs w:val="24"/>
          <w:highlight w:val="white"/>
          <w:lang w:val="en-GB"/>
        </w:rPr>
        <w:t>The pathways linking BMI, inflammation and depression, and their r</w:t>
      </w:r>
      <w:r w:rsidR="00C95758" w:rsidRPr="00571EA4">
        <w:rPr>
          <w:rFonts w:eastAsia="Times New Roman" w:cs="Times New Roman"/>
          <w:szCs w:val="24"/>
          <w:highlight w:val="white"/>
          <w:lang w:val="en-GB"/>
        </w:rPr>
        <w:t>ole</w:t>
      </w:r>
      <w:r w:rsidRPr="00571EA4">
        <w:rPr>
          <w:rFonts w:eastAsia="Times New Roman" w:cs="Times New Roman"/>
          <w:szCs w:val="24"/>
          <w:highlight w:val="white"/>
          <w:lang w:val="en-GB"/>
        </w:rPr>
        <w:t xml:space="preserve"> in those pathways, are particularly complex. It is known that genetic risk variants for inflammation and for depression </w:t>
      </w:r>
      <w:r w:rsidR="00C95758" w:rsidRPr="00571EA4">
        <w:rPr>
          <w:rFonts w:eastAsia="Times New Roman" w:cs="Times New Roman"/>
          <w:szCs w:val="24"/>
          <w:highlight w:val="white"/>
          <w:lang w:val="en-GB"/>
        </w:rPr>
        <w:t xml:space="preserve">also </w:t>
      </w:r>
      <w:r w:rsidRPr="00571EA4">
        <w:rPr>
          <w:rFonts w:eastAsia="Times New Roman" w:cs="Times New Roman"/>
          <w:szCs w:val="24"/>
          <w:highlight w:val="white"/>
          <w:lang w:val="en-GB"/>
        </w:rPr>
        <w:t>have a major role in BMI increase</w:t>
      </w:r>
      <w:r w:rsidR="00E77D66" w:rsidRPr="00571EA4">
        <w:rPr>
          <w:rFonts w:eastAsia="Times New Roman" w:cs="Times New Roman"/>
          <w:szCs w:val="24"/>
          <w:highlight w:val="white"/>
          <w:lang w:val="en-GB"/>
        </w:rPr>
        <w:t xml:space="preserve"> </w:t>
      </w:r>
      <w:r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DOI":"10.1016/j.ajhg.2018.09.009","ISSN":"00029297","PMID":"30388399","author":[{"dropping-particle":"","family":"Ligthart","given":"Symen","non-dropping-particle":"","parse-names":false,"suffix":""},{"dropping-particle":"","family":"Vaez","given":"Ahmad","non-dropping-particle":"","parse-names":false,"suffix":""},{"dropping-particle":"","family":"Võsa","given":"Urmo","non-dropping-particle":"","parse-names":false,"suffix":""},{"dropping-particle":"","family":"Stathopoulou","given":"Maria G.","non-dropping-particle":"","parse-names":false,"suffix":""},{"dropping-particle":"","family":"Vries","given":"Paul S.","non-dropping-particle":"de","parse-names":false,"suffix":""},{"dropping-particle":"","family":"Prins","given":"Bram P.","non-dropping-particle":"","parse-names":false,"suffix":""},{"dropping-particle":"","family":"Most","given":"Peter J.","non-dropping-particle":"Van der","parse-names":false,"suffix":""},{"dropping-particle":"","family":"Tanaka","given":"Toshiko","non-dropping-particle":"","parse-names":false,"suffix":""},{"dropping-particle":"","family":"Naderi","given":"Elnaz","non-dropping-particle":"","parse-names":false,"suffix":""},{"dropping-particle":"","family":"Rose","given":"Lynda M.","non-dropping-particle":"","parse-names":false,"suffix":""},{"dropping-particle":"","family":"Wu","given":"Ying","non-dropping-particle":"","parse-names":false,"suffix":""},{"dropping-particle":"","family":"Karlsson","given":"Robert","non-dropping-particle":"","parse-names":false,"suffix":""},{"dropping-particle":"","family":"Barbalic","given":"Maja","non-dropping-particle":"","parse-names":false,"suffix":""},{"dropping-particle":"","family":"Lin","given":"Honghuang","non-dropping-particle":"","parse-names":false,"suffix":""},{"dropping-particle":"","family":"Pool","given":"René","non-dropping-particle":"","parse-names":false,"suffix":""},{"dropping-particle":"","family":"Zhu","given":"Gu","non-dropping-particle":"","parse-names":false,"suffix":""},{"dropping-particle":"","family":"Macé","given":"Aurélien","non-dropping-particle":"","parse-names":false,"suffix":""},{"dropping-particle":"","family":"Sidore","given":"Carlo","non-dropping-particle":"","parse-names":false,"suffix":""},{"dropping-particle":"","family":"Trompet","given":"Stella","non-dropping-particle":"","parse-names":false,"suffix":""},{"dropping-particle":"","family":"Mangino","given":"Massimo","non-dropping-particle":"","parse-names":false,"suffix":""},{"dropping-particle":"","family":"Sabater-Lleal","given":"Maria","non-dropping-particle":"","parse-names":false,"suffix":""},{"dropping-particle":"","family":"Kemp","given":"John P.","non-dropping-particle":"","parse-names":false,"suffix":""},{"dropping-particle":"","family":"Abbasi","given":"Ali","non-dropping-particle":"","parse-names":false,"suffix":""},{"dropping-particle":"","family":"Kacprowski","given":"Tim","non-dropping-particle":"","parse-names":false,"suffix":""},{"dropping-particle":"","family":"Verweij","given":"Niek","non-dropping-particle":"","parse-names":false,"suffix":""},{"dropping-particle":"V.","family":"Smith","given":"Albert","non-dropping-particle":"","parse-names":false,"suffix":""},{"dropping-particle":"","family":"Huang","given":"Tao","non-dropping-particle":"","parse-names":false,"suffix":""},{"dropping-particle":"","family":"Marzi","given":"Carola","non-dropping-particle":"","parse-names":false,"suffix":""},{"dropping-particle":"","family":"Feitosa","given":"Mary F.","non-dropping-particle":"","parse-names":false,"suffix":""},{"dropping-particle":"","family":"Lohman","given":"Kurt K.","non-dropping-particle":"","parse-names":false,"suffix":""},{"dropping-particle":"","family":"Kleber","given":"Marcus E.","non-dropping-particle":"","parse-names":false,"suffix":""},{"dropping-particle":"","family":"Milaneschi","given":"Yuri","non-dropping-particle":"","parse-names":false,"suffix":""},{"dropping-particle":"","family":"Mueller","given":"Christian","non-dropping-particle":"","parse-names":false,"suffix":""},{"dropping-particle":"","family":"Huq","given":"Mahmudul","non-dropping-particle":"","parse-names":false,"suffix":""},{"dropping-particle":"","family":"Vlachopoulou","given":"Efthymia","non-dropping-particle":"","parse-names":false,"suffix":""},{"dropping-particle":"","family":"Lyytikäinen","given":"Leo-Pekka","non-dropping-particle":"","parse-names":false,"suffix":""},{"dropping-particle":"","family":"Oldmeadow","given":"Christopher","non-dropping-particle":"","parse-names":false,"suffix":""},{"dropping-particle":"","family":"Deelen","given":"Joris","non-dropping-particle":"","parse-names":false,"suffix":""},{"dropping-particle":"","family":"Perola","given":"Markus","non-dropping-particle":"","parse-names":false,"suffix":""},{"dropping-particle":"","family":"Zhao","given":"Jing Hua","non-dropping-particle":"","parse-names":false,"suffix":""},{"dropping-particle":"","family":"Feenstra","given":"Bjarke","non-dropping-particle":"","parse-names":false,"suffix":""},{"dropping-particle":"","family":"Amini","given":"Marzyeh","non-dropping-particle":"","parse-names":false,"suffix":""},{"dropping-particle":"","family":"Lahti","given":"Jari","non-dropping-particle":"","parse-names":false,"suffix":""},{"dropping-particle":"","family":"Schraut","given":"Katharina E.","non-dropping-particle":"","parse-names":false,"suffix":""},{"dropping-particle":"","family":"Fornage","given":"Myriam","non-dropping-particle":"","parse-names":false,"suffix":""},{"dropping-particle":"","family":"Suktitipat","given":"Bhoom","non-dropping-particle":"","parse-names":false,"suffix":""},{"dropping-particle":"","family":"Chen","given":"Wei-Min","non-dropping-particle":"","parse-names":false,"suffix":""},{"dropping-particle":"","family":"Li","given":"Xiaohui","non-dropping-particle":"","parse-names":false,"suffix":""},{"dropping-particle":"","family":"Nutile","given":"Teresa","non-dropping-particle":"","parse-names":false,"suffix":""},{"dropping-particle":"","family":"Malerba","given":"Giovanni","non-dropping-particle":"","parse-names":false,"suffix":""},{"dropping-particle":"","family":"Luan","given":"Jian’an","non-dropping-particle":"","parse-names":false,"suffix":""},{"dropping-particle":"","family":"Bak","given":"Tom","non-dropping-particle":"","parse-names":false,"suffix":""},{"dropping-particle":"","family":"Schork","given":"Nicholas","non-dropping-particle":"","parse-names":false,"suffix":""},{"dropping-particle":"","family":"Greco M.","given":"Fabiola","non-dropping-particle":"Del","parse-names":false,"suffix":""},{"dropping-particle":"","family":"Thiering","given":"Elisabeth","non-dropping-particle":"","parse-names":false,"suffix":""},{"dropping-particle":"","family":"Mahajan","given":"Anubha","non-dropping-particle":"","parse-names":false,"suffix":""},{"dropping-particle":"","family":"Marioni","given":"Riccardo E.","non-dropping-particle":"","parse-names":false,"suffix":""},{"dropping-particle":"","family":"Mihailov","given":"Evelin","non-dropping-particle":"","parse-names":false,"suffix":""},{"dropping-particle":"","family":"Eriksson","given":"Joel","non-dropping-particle":"","parse-names":false,"suffix":""},{"dropping-particle":"","family":"Ozel","given":"Ayse Bilge","non-dropping-particle":"","parse-names":false,"suffix":""},{"dropping-particle":"","family":"Zhang","given":"Weihua","non-dropping-particle":"","parse-names":false,"suffix":""},{"dropping-particle":"","family":"Nethander","given":"Maria","non-dropping-particle":"","parse-names":false,"suffix":""},{"dropping-particle":"","family":"Cheng","given":"Yu-Ching","non-dropping-particle":"","parse-names":false,"suffix":""},{"dropping-particle":"","family":"Aslibekyan","given":"Stella","non-dropping-particle":"","parse-names":false,"suffix":""},{"dropping-particle":"","family":"Ang","given":"Wei","non-dropping-particle":"","parse-names":false,"suffix":""},{"dropping-particle":"","family":"Gandin","given":"Ilaria","non-dropping-particle":"","parse-names":false,"suffix":""},{"dropping-particle":"","family":"Yengo","given":"Loïc","non-dropping-particle":"","parse-names":false,"suffix":""},{"dropping-particle":"","family":"Portas","given":"Laura","non-dropping-particle":"","parse-names":false,"suffix":""},{"dropping-particle":"","family":"Kooperberg","given":"Charles","non-dropping-particle":"","parse-names":false,"suffix":""},{"dropping-particle":"","family":"Hofer","given":"Edith","non-dropping-particle":"","parse-names":false,"suffix":""},{"dropping-particle":"","family":"Rajan","given":"Kumar B.","non-dropping-particle":"","parse-names":false,"suffix":""},{"dropping-particle":"","family":"Schurmann","given":"Claudia","non-dropping-particle":"","parse-names":false,"suffix":""},{"dropping-particle":"","family":"Hollander","given":"Wouter","non-dropping-particle":"den","parse-names":false,"suffix":""},{"dropping-particle":"","family":"Ahluwalia","given":"Tarunveer S.","non-dropping-particle":"","parse-names":false,"suffix":""},{"dropping-particle":"","family":"Zhao","given":"Jing","non-dropping-particle":"","parse-names":false,"suffix":""},{"dropping-particle":"","family":"Draisma","given":"Harmen H.M.","non-dropping-particle":"","parse-names":false,"suffix":""},{"dropping-particle":"","family":"Ford","given":"Ian","non-dropping-particle":"","parse-names":false,"suffix":""},{"dropping-particle":"","family":"Timpson","given":"Nicholas","non-dropping-particle":"","parse-names":false,"suffix":""},{"dropping-particle":"","family":"Teumer","given":"Alexander","non-dropping-particle":"","parse-names":false,"suffix":""},{"dropping-particle":"","family":"Huang","given":"Hongyan","non-dropping-particle":"","parse-names":false,"suffix":""},{"dropping-particle":"","family":"Wahl","given":"Simone","non-dropping-particle":"","parse-names":false,"suffix":""},{"dropping-particle":"","family":"Liu","given":"YongMei","non-dropping-particle":"","parse-names":false,"suffix":""},{"dropping-particle":"","family":"Huang","given":"Jie","non-dropping-particle":"","parse-names":false,"suffix":""},{"dropping-particle":"","family":"Uh","given":"Hae-Won","non-dropping-particle":"","parse-names":false,"suffix":""},{"dropping-particle":"","family":"Geller","given":"Frank","non-dropping-particle":"","parse-names":false,"suffix":""},{"dropping-particle":"","family":"Joshi","given":"Peter K.","non-dropping-particle":"","parse-names":false,"suffix":""},{"dropping-particle":"","family":"Yanek","given":"Lisa R.","non-dropping-particle":"","parse-names":false,"suffix":""},{"dropping-particle":"","family":"Trabetti","given":"Elisabetta","non-dropping-particle":"","parse-names":false,"suffix":""},{"dropping-particle":"","family":"Lehne","given":"Benjamin","non-dropping-particle":"","parse-names":false,"suffix":""},{"dropping-particle":"","family":"Vozzi","given":"Diego","non-dropping-particle":"","parse-names":false,"suffix":""},{"dropping-particle":"","family":"Verbanck","given":"Marie","non-dropping-particle":"","parse-names":false,"suffix":""},{"dropping-particle":"","family":"Biino","given":"Ginevra","non-dropping-particle":"","parse-names":false,"suffix":""},{"dropping-particle":"","family":"Saba","given":"Yasaman","non-dropping-particle":"","parse-names":false,"suffix":""},{"dropping-particle":"","family":"Meulenbelt","given":"Ingrid","non-dropping-particle":"","parse-names":false,"suffix":""},{"dropping-particle":"","family":"O’Connell","given":"Jeff R.","non-dropping-particle":"","parse-names":false,"suffix":""},{"dropping-particle":"","family":"Laakso","given":"Markku","non-dropping-particle":"","parse-names":false,"suffix":""},{"dropping-particle":"","family":"Giulianini","given":"Franco","non-dropping-particle":"","parse-names":false,"suffix":""},{"dropping-particle":"","family":"Magnusson","given":"Patrik K.E.","non-dropping-particle":"","parse-names":false,"suffix":""},{"dropping-particle":"","family":"Ballantyne","given":"Christie M.","non-dropping-particle":"","parse-names":false,"suffix":""},{"dropping-particle":"","family":"Hottenga","given":"Jouke Jan","non-dropping-particle":"","parse-names":false,"suffix":""},{"dropping-particle":"","family":"Montgomery","given":"Grant W.","non-dropping-particle":"","parse-names":false,"suffix":""},{"dropping-particle":"","family":"Rivadineira","given":"Fernando","non-dropping-particle":"","parse-names":false,"suffix":""},{"dropping-particle":"","family":"Rueedi","given":"Rico","non-dropping-particle":"","parse-names":false,"suffix":""},{"dropping-particle":"","family":"Steri","given":"Maristella","non-dropping-particle":"","parse-names":false,"suffix":""},{"dropping-particle":"","family":"Herzig","given":"Karl-Heinz","non-dropping-particle":"","parse-names":false,"suffix":""},{"dropping-particle":"","family":"Stott","given":"David J.","non-dropping-particle":"","parse-names":false,"suffix":""},{"dropping-particle":"","family":"Menni","given":"Cristina","non-dropping-particle":"","parse-names":false,"suffix":""},{"dropping-particle":"","family":"Frånberg","given":"Mattias","non-dropping-particle":"","parse-names":false,"suffix":""},{"dropping-particle":"","family":"Pourcain","given":"Beate","non-dropping-particle":"St.","parse-names":false,"suffix":""},{"dropping-particle":"","family":"Felix","given":"Stephan B.","non-dropping-particle":"","parse-names":false,"suffix":""},{"dropping-particle":"","family":"Pers","given":"Tune H.","non-dropping-particle":"","parse-names":false,"suffix":""},{"dropping-particle":"","family":"Bakker","given":"Stephan J.L.","non-dropping-particle":"","parse-names":false,"suffix":""},{"dropping-particle":"","family":"Kraft","given":"Peter","non-dropping-particle":"","parse-names":false,"suffix":""},{"dropping-particle":"","family":"Peters","given":"Annette","non-dropping-particle":"","parse-names":false,"suffix":""},{"dropping-particle":"","family":"Vaidya","given":"Dhananjay","non-dropping-particle":"","parse-names":false,"suffix":""},{"dropping-particle":"","family":"Delgado","given":"Graciela","non-dropping-particle":"","parse-names":false,"suffix":""},{"dropping-particle":"","family":"Smit","given":"Johannes H.","non-dropping-particle":"","parse-names":false,"suffix":""},{"dropping-particle":"","family":"Großmann","given":"Vera","non-dropping-particle":"","parse-names":false,"suffix":""},{"dropping-particle":"","family":"Sinisalo","given":"Juha","non-dropping-particle":"","parse-names":false,"suffix":""},{"dropping-particle":"","family":"Seppälä","given":"Ilkka","non-dropping-particle":"","parse-names":false,"suffix":""},{"dropping-particle":"","family":"Williams","given":"Stephen R.","non-dropping-particle":"","parse-names":false,"suffix":""},{"dropping-particle":"","family":"Holliday","given":"Elizabeth G.","non-dropping-particle":"","parse-names":false,"suffix":""},{"dropping-particle":"","family":"Moed","given":"Matthijs","non-dropping-particle":"","parse-names":false,"suffix":""},{"dropping-particle":"","family":"Langenberg","given":"Claudia","non-dropping-particle":"","parse-names":false,"suffix":""},{"dropping-particle":"","family":"Räikkönen","given":"Katri","non-dropping-particle":"","parse-names":false,"suffix":""},{"dropping-particle":"","family":"Ding","given":"Jingzhong","non-dropping-particle":"","parse-names":false,"suffix":""},{"dropping-particle":"","family":"Campbell","given":"Harry","non-dropping-particle":"","parse-names":false,"suffix":""},{"dropping-particle":"","family":"Sale","given":"Michele M.","non-dropping-particle":"","parse-names":false,"suffix":""},{"dropping-particle":"","family":"Chen","given":"Yii-Der I.","non-dropping-particle":"","parse-names":false,"suffix":""},{"dropping-particle":"","family":"James","given":"Alan L.","non-dropping-particle":"","parse-names":false,"suffix":""},{"dropping-particle":"","family":"Ruggiero","given":"Daniela","non-dropping-particle":"","parse-names":false,"suffix":""},{"dropping-particle":"","family":"Soranzo","given":"Nicole","non-dropping-particle":"","parse-names":false,"suffix":""},{"dropping-particle":"","family":"Hartman","given":"Catharina A.","non-dropping-particle":"","parse-names":false,"suffix":""},{"dropping-particle":"","family":"Smith","given":"Erin N.","non-dropping-particle":"","parse-names":false,"suffix":""},{"dropping-particle":"","family":"Berenson","given":"Gerald S.","non-dropping-particle":"","parse-names":false,"suffix":""},{"dropping-particle":"","family":"Fuchsberger","given":"Christian","non-dropping-particle":"","parse-names":false,"suffix":""},{"dropping-particle":"","family":"Hernandez","given":"Dena","non-dropping-particle":"","parse-names":false,"suffix":""},{"dropping-particle":"","family":"Tiesler","given":"Carla M.T.","non-dropping-particle":"","parse-names":false,"suffix":""},{"dropping-particle":"","family":"Giedraitis","given":"Vilmantas","non-dropping-particle":"","parse-names":false,"suffix":""},{"dropping-particle":"","family":"Liewald","given":"David","non-dropping-particle":"","parse-names":false,"suffix":""},{"dropping-particle":"","family":"Fischer","given":"Krista","non-dropping-particle":"","parse-names":false,"suffix":""},{"dropping-particle":"","family":"Mellström","given":"Dan","non-dropping-particle":"","parse-names":false,"suffix":""},{"dropping-particle":"","family":"Larsson","given":"Anders","non-dropping-particle":"","parse-names":false,"suffix":""},{"dropping-particle":"","family":"Wang","given":"Yunmei","non-dropping-particle":"","parse-names":false,"suffix":""},{"dropping-particle":"","family":"Scott","given":"William R.","non-dropping-particle":"","parse-names":false,"suffix":""},{"dropping-particle":"","family":"Lorentzon","given":"Matthias","non-dropping-particle":"","parse-names":false,"suffix":""},{"dropping-particle":"","family":"Beilby","given":"John","non-dropping-particle":"","parse-names":false,"suffix":""},{"dropping-particle":"","family":"Ryan","given":"Kathleen A.","non-dropping-particle":"","parse-names":false,"suffix":""},{"dropping-particle":"","family":"Pennell","given":"Craig E.","non-dropping-particle":"","parse-names":false,"suffix":""},{"dropping-particle":"","family":"Vuckovic","given":"Dragana","non-dropping-particle":"","parse-names":false,"suffix":""},{"dropping-particle":"","family":"Balkau","given":"Beverly","non-dropping-particle":"","parse-names":false,"suffix":""},{"dropping-particle":"","family":"Concas","given":"Maria Pina","non-dropping-particle":"","parse-names":false,"suffix":""},{"dropping-particle":"","family":"Schmidt","given":"Reinhold","non-dropping-particle":"","parse-names":false,"suffix":""},{"dropping-particle":"","family":"Mendes de Leon","given":"Carlos F.","non-dropping-particle":"","parse-names":false,"suffix":""},{"dropping-particle":"","family":"Bottinger","given":"Erwin P.","non-dropping-particle":"","parse-names":false,"suffix":""},{"dropping-particle":"","family":"Kloppenburg","given":"Margreet","non-dropping-particle":"","parse-names":false,"suffix":""},{"dropping-particle":"","family":"Paternoster","given":"Lavinia","non-dropping-particle":"","parse-names":false,"suffix":""},{"dropping-particle":"","family":"Boehnke","given":"Michael","non-dropping-particle":"","parse-names":false,"suffix":""},{"dropping-particle":"","family":"Musk","given":"A.W.","non-dropping-particle":"","parse-names":false,"suffix":""},{"dropping-particle":"","family":"Willemsen","given":"Gonneke","non-dropping-particle":"","parse-names":false,"suffix":""},{"dropping-particle":"","family":"Evans","given":"David M.","non-dropping-particle":"","parse-names":false,"suffix":""},{"dropping-particle":"","family":"Madden","given":"Pamela A.F.","non-dropping-particle":"","parse-names":false,"suffix":""},{"dropping-particle":"","family":"Kähönen","given":"Mika","non-dropping-particle":"","parse-names":false,"suffix":""},{"dropping-particle":"","family":"Kutalik","given":"Zoltán","non-dropping-particle":"","parse-names":false,"suffix":""},{"dropping-particle":"","family":"Zoledziewska","given":"Magdalena","non-dropping-particle":"","parse-names":false,"suffix":""},{"dropping-particle":"","family":"Karhunen","given":"Ville","non-dropping-particle":"","parse-names":false,"suffix":""},{"dropping-particle":"","family":"Kritchevsky","given":"Stephen B.","non-dropping-particle":"","parse-names":false,"suffix":""},{"dropping-particle":"","family":"Sattar","given":"Naveed","non-dropping-particle":"","parse-names":false,"suffix":""},{"dropping-particle":"","family":"Lachance","given":"Genevieve","non-dropping-particle":"","parse-names":false,"suffix":""},{"dropping-particle":"","family":"Clarke","given":"Robert","non-dropping-particle":"","parse-names":false,"suffix":""},{"dropping-particle":"","family":"Harris","given":"Tamara B.","non-dropping-particle":"","parse-names":false,"suffix":""},{"dropping-particle":"","family":"Raitakari","given":"Olli T.","non-dropping-particle":"","parse-names":false,"suffix":""},{"dropping-particle":"","family":"Attia","given":"John R.","non-dropping-particle":"","parse-names":false,"suffix":""},{"dropping-particle":"","family":"Heemst","given":"Diana","non-dropping-particle":"van","parse-names":false,"suffix":""},{"dropping-particle":"","family":"Kajantie","given":"Eero","non-dropping-particle":"","parse-names":false,"suffix":""},{"dropping-particle":"","family":"Sorice","given":"Rossella","non-dropping-particle":"","parse-names":false,"suffix":""},{"dropping-particle":"","family":"Gambaro","given":"Giovanni","non-dropping-particle":"","parse-names":false,"suffix":""},{"dropping-particle":"","family":"Scott","given":"Robert A.","non-dropping-particle":"","parse-names":false,"suffix":""},{"dropping-particle":"","family":"Hicks","given":"Andrew A.","non-dropping-particle":"","parse-names":false,"suffix":""},{"dropping-particle":"","family":"Ferrucci","given":"Luigi","non-dropping-particle":"","parse-names":false,"suffix":""},{"dropping-particle":"","family":"Standl","given":"Marie","non-dropping-particle":"","parse-names":false,"suffix":""},{"dropping-particle":"","family":"Lindgren","given":"Cecilia M.","non-dropping-particle":"","parse-names":false,"suffix":""},{"dropping-particle":"","family":"Starr","given":"John M.","non-dropping-particle":"","parse-names":false,"suffix":""},{"dropping-particle":"","family":"Karlsson","given":"Magnus","non-dropping-particle":"","parse-names":false,"suffix":""},{"dropping-particle":"","family":"Lind","given":"Lars","non-dropping-particle":"","parse-names":false,"suffix":""},{"dropping-particle":"","family":"Li","given":"Jun Z.","non-dropping-particle":"","parse-names":false,"suffix":""},{"dropping-particle":"","family":"Chambers","given":"John C.","non-dropping-particle":"","parse-names":false,"suffix":""},{"dropping-particle":"","family":"Mori","given":"Trevor A.","non-dropping-particle":"","parse-names":false,"suffix":""},{"dropping-particle":"","family":"Geus","given":"Eco J.C.N.","non-dropping-particle":"de","parse-names":false,"suffix":""},{"dropping-particle":"","family":"Heath","given":"Andrew C.","non-dropping-particle":"","parse-names":false,"suffix":""},{"dropping-particle":"","family":"Martin","given":"Nicholas G.","non-dropping-particle":"","parse-names":false,"suffix":""},{"dropping-particle":"","family":"Auvinen","given":"Juha","non-dropping-particle":"","parse-names":false,"suffix":""},{"dropping-particle":"","family":"Buckley","given":"Brendan M.","non-dropping-particle":"","parse-names":false,"suffix":""},{"dropping-particle":"","family":"Craen","given":"Anton J.M.","non-dropping-particle":"de","parse-names":false,"suffix":""},{"dropping-particle":"","family":"Waldenberger","given":"Melanie","non-dropping-particle":"","parse-names":false,"suffix":""},{"dropping-particle":"","family":"Strauch","given":"Konstantin","non-dropping-particle":"","parse-names":false,"suffix":""},{"dropping-particle":"","family":"Meitinger","given":"Thomas","non-dropping-particle":"","parse-names":false,"suffix":""},{"dropping-particle":"","family":"Scott","given":"Rodney J.","non-dropping-particle":"","parse-names":false,"suffix":""},{"dropping-particle":"","family":"McEvoy","given":"Mark","non-dropping-particle":"","parse-names":false,"suffix":""},{"dropping-particle":"","family":"Beekman","given":"Marian","non-dropping-particle":"","parse-names":false,"suffix":""},{"dropping-particle":"","family":"Bombieri","given":"Cristina","non-dropping-particle":"","parse-names":false,"suffix":""},{"dropping-particle":"","family":"Ridker","given":"Paul M.","non-dropping-particle":"","parse-names":false,"suffix":""},{"dropping-particle":"","family":"Mohlke","given":"Karen L.","non-dropping-particle":"","parse-names":false,"suffix":""},{"dropping-particle":"","family":"Pedersen","given":"Nancy L.","non-dropping-particle":"","parse-names":false,"suffix":""},{"dropping-particle":"","family":"Morrison","given":"Alanna C.","non-dropping-particle":"","parse-names":false,"suffix":""},{"dropping-particle":"","family":"Boomsma","given":"Dorret I.","non-dropping-particle":"","parse-names":false,"suffix":""},{"dropping-particle":"","family":"Whitfield","given":"John B.","non-dropping-particle":"","parse-names":false,"suffix":""},{"dropping-particle":"","family":"Strachan","given":"David P.","non-dropping-particle":"","parse-names":false,"suffix":""},{"dropping-particle":"","family":"Hofman","given":"Albert","non-dropping-particle":"","parse-names":false,"suffix":""},{"dropping-particle":"","family":"Vollenweider","given":"Peter","non-dropping-particle":"","parse-names":false,"suffix":""},{"dropping-particle":"","family":"Cucca","given":"Francesco","non-dropping-particle":"","parse-names":false,"suffix":""},{"dropping-particle":"","family":"Jarvelin","given":"Marjo-Riitta","non-dropping-particle":"","parse-names":false,"suffix":""},{"dropping-particle":"","family":"Jukema","given":"J. Wouter","non-dropping-particle":"","parse-names":false,"suffix":""},{"dropping-particle":"","family":"Spector","given":"Tim D.","non-dropping-particle":"","parse-names":false,"suffix":""},{"dropping-particle":"","family":"Hamsten","given":"Anders","non-dropping-particle":"","parse-names":false,"suffix":""},{"dropping-particle":"","family":"Zeller","given":"Tanja","non-dropping-particle":"","parse-names":false,"suffix":""},{"dropping-particle":"","family":"Uitterlinden","given":"André G.","non-dropping-particle":"","parse-names":false,"suffix":""},{"dropping-particle":"","family":"Nauck","given":"Matthias","non-dropping-particle":"","parse-names":false,"suffix":""},{"dropping-particle":"","family":"Gudnason","given":"Vilmundur","non-dropping-particle":"","parse-names":false,"suffix":""},{"dropping-particle":"","family":"Qi","given":"Lu","non-dropping-particle":"","parse-names":false,"suffix":""},{"dropping-particle":"","family":"Grallert","given":"Harald","non-dropping-particle":"","parse-names":false,"suffix":""},{"dropping-particle":"","family":"Borecki","given":"Ingrid B.","non-dropping-particle":"","parse-names":false,"suffix":""},{"dropping-particle":"","family":"Rotter","given":"Jerome I.","non-dropping-particle":"","parse-names":false,"suffix":""},{"dropping-particle":"","family":"März","given":"Winfried","non-dropping-particle":"","parse-names":false,"suffix":""},{"dropping-particle":"","family":"Wild","given":"Philipp S.","non-dropping-particle":"","parse-names":false,"suffix":""},{"dropping-particle":"","family":"Lokki","given":"Marja-Liisa","non-dropping-particle":"","parse-names":false,"suffix":""},{"dropping-particle":"","family":"Boyle","given":"Michael","non-dropping-particle":"","parse-names":false,"suffix":""},{"dropping-particle":"","family":"Salomaa","given":"Veikko","non-dropping-particle":"","parse-names":false,"suffix":""},{"dropping-particle":"","family":"Melbye","given":"Mads","non-dropping-particle":"","parse-names":false,"suffix":""},{"dropping-particle":"","family":"Eriksson","given":"Johan G.","non-dropping-particle":"","parse-names":false,"suffix":""},{"dropping-particle":"","family":"Wilson","given":"James F.","non-dropping-particle":"","parse-names":false,"suffix":""},{"dropping-particle":"","family":"Penninx","given":"Brenda W.J.H.","non-dropping-particle":"","parse-names":false,"suffix":""},{"dropping-particle":"","family":"Becker","given":"Diane M.","non-dropping-particle":"","parse-names":false,"suffix":""},{"dropping-particle":"","family":"Worrall","given":"Bradford B.","non-dropping-particle":"","parse-names":false,"suffix":""},{"dropping-particle":"","family":"Gibson","given":"Greg","non-dropping-particle":"","parse-names":false,"suffix":""},{"dropping-particle":"","family":"Krauss","given":"Ronald M.","non-dropping-particle":"","parse-names":false,"suffix":""},{"dropping-particle":"","family":"Ciullo","given":"Marina","non-dropping-particle":"","parse-names":false,"suffix":""},{"dropping-particle":"","family":"Zaza","given":"Gianluigi","non-dropping-particle":"","parse-names":false,"suffix":""},{"dropping-particle":"","family":"Wareham","given":"Nicholas J.","non-dropping-particle":"","parse-names":false,"suffix":""},{"dropping-particle":"","family":"Oldehinkel","given":"Albertine J.","non-dropping-particle":"","parse-names":false,"suffix":""},{"dropping-particle":"","family":"Palmer","given":"Lyle J.","non-dropping-particle":"","parse-names":false,"suffix":""},{"dropping-particle":"","family":"Murray","given":"Sarah S.","non-dropping-particle":"","parse-names":false,"suffix":""},{"dropping-particle":"","family":"Pramstaller","given":"Peter P.","non-dropping-particle":"","parse-names":false,"suffix":""},{"dropping-particle":"","family":"Bandinelli","given":"Stefania","non-dropping-particle":"","parse-names":false,"suffix":""},{"dropping-particle":"","family":"Heinrich","given":"Joachim","non-dropping-particle":"","parse-names":false,"suffix":""},{"dropping-particle":"","family":"Ingelsson","given":"Erik","non-dropping-particle":"","parse-names":false,"suffix":""},{"dropping-particle":"","family":"Deary","given":"Ian J.","non-dropping-particle":"","parse-names":false,"suffix":""},{"dropping-particle":"","family":"Mägi","given":"Reedik","non-dropping-particle":"","parse-names":false,"suffix":""},{"dropping-particle":"","family":"Vandenput","given":"Liesbeth","non-dropping-particle":"","parse-names":false,"suffix":""},{"dropping-particle":"","family":"Harst","given":"Pim","non-dropping-particle":"van der","parse-names":false,"suffix":""},{"dropping-particle":"","family":"Desch","given":"Karl C.","non-dropping-particle":"","parse-names":false,"suffix":""},{"dropping-particle":"","family":"Kooner","given":"Jaspal S.","non-dropping-particle":"","parse-names":false,"suffix":""},{"dropping-particle":"","family":"Ohlsson","given":"Claes","non-dropping-particle":"","parse-names":false,"suffix":""},{"dropping-particle":"","family":"Hayward","given":"Caroline","non-dropping-particle":"","parse-names":false,"suffix":""},{"dropping-particle":"","family":"Lehtimäki","given":"Terho","non-dropping-particle":"","parse-names":false,"suffix":""},{"dropping-particle":"","family":"Shuldiner","given":"Alan R.","non-dropping-particle":"","parse-names":false,"suffix":""},{"dropping-particle":"","family":"Arnett","given":"Donna K.","non-dropping-particle":"","parse-names":false,"suffix":""},{"dropping-particle":"","family":"Beilin","given":"Lawrence J.","non-dropping-particle":"","parse-names":false,"suffix":""},{"dropping-particle":"","family":"Robino","given":"Antonietta","non-dropping-particle":"","parse-names":false,"suffix":""},{"dropping-particle":"","family":"Froguel","given":"Philippe","non-dropping-particle":"","parse-names":false,"suffix":""},{"dropping-particle":"","family":"Pirastu","given":"Mario","non-dropping-particle":"","parse-names":false,"suffix":""},{"dropping-particle":"","family":"Jess","given":"Tine","non-dropping-particle":"","parse-names":false,"suffix":""},{"dropping-particle":"","family":"Koenig","given":"Wolfgang","non-dropping-particle":"","parse-names":false,"suffix":""},{"dropping-particle":"","family":"Loos","given":"Ruth J.F.","non-dropping-particle":"","parse-names":false,"suffix":""},{"dropping-particle":"","family":"Evans","given":"Denis A.","non-dropping-particle":"","parse-names":false,"suffix":""},{"dropping-particle":"","family":"Schmidt","given":"Helena","non-dropping-particle":"","parse-names":false,"suffix":""},{"dropping-particle":"","family":"Smith","given":"George Davey","non-dropping-particle":"","parse-names":false,"suffix":""},{"dropping-particle":"","family":"Slagboom","given":"P. Eline","non-dropping-particle":"","parse-names":false,"suffix":""},{"dropping-particle":"","family":"Eiriksdottir","given":"Gudny","non-dropping-particle":"","parse-names":false,"suffix":""},{"dropping-particle":"","family":"Morris","given":"Andrew P.","non-dropping-particle":"","parse-names":false,"suffix":""},{"dropping-particle":"","family":"Psaty","given":"Bruce M.","non-dropping-particle":"","parse-names":false,"suffix":""},{"dropping-particle":"","family":"Tracy","given":"Russell P.","non-dropping-particle":"","parse-names":false,"suffix":""},{"dropping-particle":"","family":"Nolte","given":"Ilja M.","non-dropping-particle":"","parse-names":false,"suffix":""},{"dropping-particle":"","family":"Boerwinkle","given":"Eric","non-dropping-particle":"","parse-names":false,"suffix":""},{"dropping-particle":"","family":"Visvikis-Siest","given":"Sophie","non-dropping-particle":"","parse-names":false,"suffix":""},{"dropping-particle":"","family":"Reiner","given":"Alex P.","non-dropping-particle":"","parse-names":false,"suffix":""},{"dropping-particle":"","family":"Gross","given":"Myron","non-dropping-particle":"","parse-names":false,"suffix":""},{"dropping-particle":"","family":"Bis","given":"Joshua C.","non-dropping-particle":"","parse-names":false,"suffix":""},{"dropping-particle":"","family":"Franke","given":"Lude","non-dropping-particle":"","parse-names":false,"suffix":""},{"dropping-particle":"","family":"Franco","given":"Oscar H.","non-dropping-particle":"","parse-names":false,"suffix":""},{"dropping-particle":"","family":"Benjamin","given":"Emelia J.","non-dropping-particle":"","parse-names":false,"suffix":""},{"dropping-particle":"","family":"Chasman","given":"Daniel I.","non-dropping-particle":"","parse-names":false,"suffix":""},{"dropping-particle":"","family":"Dupuis","given":"Josée","non-dropping-particle":"","parse-names":false,"suffix":""},{"dropping-particle":"","family":"Snieder","given":"Harold","non-dropping-particle":"","parse-names":false,"suffix":""},{"dropping-particle":"","family":"Dehghan","given":"Abbas","non-dropping-particle":"","parse-names":false,"suffix":""},{"dropping-particle":"","family":"Alizadeh","given":"Behrooz Z.","non-dropping-particle":"","parse-names":false,"suffix":""},{"dropping-particle":"","family":"Alizadeh","given":"Behrooz Z.","non-dropping-particle":"","parse-names":false,"suffix":""},{"dropping-particle":"","family":"Boezen","given":"H. Marike","non-dropping-particle":"","parse-names":false,"suffix":""},{"dropping-particle":"","family":"Franke","given":"Lude","non-dropping-particle":"","parse-names":false,"suffix":""},{"dropping-particle":"","family":"Harst","given":"Pim","non-dropping-particle":"van der","parse-names":false,"suffix":""},{"dropping-particle":"","family":"Navis","given":"Gerjan","non-dropping-particle":"","parse-names":false,"suffix":""},{"dropping-particle":"","family":"Rots","given":"Marianne","non-dropping-particle":"","parse-names":false,"suffix":""},{"dropping-particle":"","family":"Snieder","given":"Harold","non-dropping-particle":"","parse-names":false,"suffix":""},{"dropping-particle":"","family":"Swertz","given":"Morris","non-dropping-particle":"","parse-names":false,"suffix":""},{"dropping-particle":"","family":"Wolffenbuttel","given":"Bruce H.R.","non-dropping-particle":"","parse-names":false,"suffix":""},{"dropping-particle":"","family":"Wijmenga","given":"Cisca","non-dropping-particle":"","parse-names":false,"suffix":""},{"dropping-particle":"","family":"Benjamin","given":"Emelia","non-dropping-particle":"","parse-names":false,"suffix":""},{"dropping-particle":"","family":"Chasman","given":"Daniel I.","non-dropping-particle":"","parse-names":false,"suffix":""},{"dropping-particle":"","family":"Dehghan","given":"Abbas","non-dropping-particle":"","parse-names":false,"suffix":""},{"dropping-particle":"","family":"Ahluwalia","given":"Tarunveer Singh","non-dropping-particle":"","parse-names":false,"suffix":""},{"dropping-particle":"","family":"Meigs","given":"James","non-dropping-particle":"","parse-names":false,"suffix":""},{"dropping-particle":"","family":"Tracy","given":"Russell","non-dropping-particle":"","parse-names":false,"suffix":""},{"dropping-particle":"","family":"Alizadeh","given":"Behrooz Z.","non-dropping-particle":"","parse-names":false,"suffix":""},{"dropping-particle":"","family":"Ligthart","given":"Symen","non-dropping-particle":"","parse-names":false,"suffix":""},{"dropping-particle":"","family":"Bis","given":"Josh","non-dropping-particle":"","parse-names":false,"suffix":""},{"dropping-particle":"","family":"Eiriksdottir","given":"Gudny","non-dropping-particle":"","parse-names":false,"suffix":""},{"dropping-particle":"","family":"Pankratz","given":"Nathan","non-dropping-particle":"","parse-names":false,"suffix":""},{"dropping-particle":"","family":"Gross","given":"Myron","non-dropping-particle":"","parse-names":false,"suffix":""},{"dropping-particle":"","family":"Rainer","given":"Alex","non-dropping-particle":"","parse-names":false,"suffix":""},{"dropping-particle":"","family":"Snieder","given":"Harold","non-dropping-particle":"","parse-names":false,"suffix":""},{"dropping-particle":"","family":"Wilson","given":"James G.","non-dropping-particle":"","parse-names":false,"suffix":""},{"dropping-particle":"","family":"Psaty","given":"Bruce M.","non-dropping-particle":"","parse-names":false,"suffix":""},{"dropping-particle":"","family":"Dupuis","given":"Josee","non-dropping-particle":"","parse-names":false,"suffix":""},{"dropping-particle":"","family":"Prins","given":"Bram","non-dropping-particle":"","parse-names":false,"suffix":""},{"dropping-particle":"","family":"Vaso","given":"Urmo","non-dropping-particle":"","parse-names":false,"suffix":""},{"dropping-particle":"","family":"Stathopoulou","given":"Maria","non-dropping-particle":"","parse-names":false,"suffix":""},{"dropping-particle":"","family":"Franke","given":"Lude","non-dropping-particle":"","parse-names":false,"suffix":""},{"dropping-particle":"","family":"Lehtimaki","given":"Terho","non-dropping-particle":"","parse-names":false,"suffix":""},{"dropping-particle":"","family":"Koenig","given":"Wolfgang","non-dropping-particle":"","parse-names":false,"suffix":""},{"dropping-particle":"","family":"Jamshidi","given":"Yalda","non-dropping-particle":"","parse-names":false,"suffix":""},{"dropping-particle":"","family":"Siest","given":"Sophie","non-dropping-particle":"","parse-names":false,"suffix":""},{"dropping-particle":"","family":"Abbasi","given":"Ali","non-dropping-particle":"","parse-names":false,"suffix":""},{"dropping-particle":"","family":"Uitterlinden","given":"Andre G.","non-dropping-particle":"","parse-names":false,"suffix":""},{"dropping-particle":"","family":"Abdollahi","given":"Mohammadreza","non-dropping-particle":"","parse-names":false,"suffix":""},{"dropping-particle":"","family":"Schnabel","given":"Renate","non-dropping-particle":"","parse-names":false,"suffix":""},{"dropping-particle":"","family":"Schick","given":"Ursula M.","non-dropping-particle":"","parse-names":false,"suffix":""},{"dropping-particle":"","family":"Nolte","given":"Ilja M.","non-dropping-particle":"","parse-names":false,"suffix":""},{"dropping-particle":"","family":"Kraja","given":"Aldi","non-dropping-particle":"","parse-names":false,"suffix":""},{"dropping-particle":"","family":"Hsu","given":"Yi-Hsiang","non-dropping-particle":"","parse-names":false,"suffix":""},{"dropping-particle":"","family":"Tylee","given":"Daniel S.","non-dropping-particle":"","parse-names":false,"suffix":""},{"dropping-particle":"","family":"Zwicker","given":"Alyson","non-dropping-particle":"","parse-names":false,"suffix":""},{"dropping-particle":"","family":"Uher","given":"Rudolf","non-dropping-particle":"","parse-names":false,"suffix":""},{"dropping-particle":"","family":"Davey-Smith","given":"George","non-dropping-particle":"","parse-names":false,"suffix":""},{"dropping-particle":"","family":"Morrison","given":"Alanna C.","non-dropping-particle":"","parse-names":false,"suffix":""},{"dropping-particle":"","family":"Hicks","given":"Andrew","non-dropping-particle":"","parse-names":false,"suffix":""},{"dropping-particle":"","family":"Duijn","given":"Cornelia M.","non-dropping-particle":"van","parse-names":false,"suffix":""},{"dropping-particle":"","family":"Ward-Caviness","given":"Cavin","non-dropping-particle":"","parse-names":false,"suffix":""},{"dropping-particle":"","family":"Boerwinkle","given":"Eric","non-dropping-particle":"","parse-names":false,"suffix":""},{"dropping-particle":"","family":"Rotter","given":"J.","non-dropping-particle":"","parse-names":false,"suffix":""},{"dropping-particle":"","family":"Rice","given":"Ken","non-dropping-particle":"","parse-names":false,"suffix":""},{"dropping-particle":"","family":"Lange","given":"Leslie","non-dropping-particle":"","parse-names":false,"suffix":""},{"dropping-particle":"","family":"Perola","given":"Markus","non-dropping-particle":"","parse-names":false,"suffix":""},{"dropping-particle":"","family":"Geus","given":"Eco","non-dropping-particle":"de","parse-names":false,"suffix":""},{"dropping-particle":"","family":"Morris","given":"Andrew P.","non-dropping-particle":"","parse-names":false,"suffix":""},{"dropping-particle":"","family":"Makela","given":"Kari Matti","non-dropping-particle":"","parse-names":false,"suffix":""},{"dropping-particle":"","family":"Stacey","given":"David","non-dropping-particle":"","parse-names":false,"suffix":""},{"dropping-particle":"","family":"Eriksson","given":"Johan","non-dropping-particle":"","parse-names":false,"suffix":""},{"dropping-particle":"","family":"Frayling","given":"Tim M.","non-dropping-particle":"","parse-names":false,"suffix":""},{"dropping-particle":"","family":"Slagboom","given":"Eline P.","non-dropping-particle":"","parse-names":false,"suffix":""}],"container-title":"The American Journal of Human Genetics","id":"ITEM-1","issue":"5","issued":{"date-parts":[["2018"]]},"page":"691-706","title":"Genome Analyses of &amp;gt;200,000 Individuals Identify 58 Loci for Chronic Inflammation and Highlight Pathways that Link Inflammation and Complex Disorders","type":"article-journal","volume":"103"},"uris":["http://www.mendeley.com/documents/?uuid=d2258d0b-7a6a-4e9e-b75d-da3df487a85d"]},{"id":"ITEM-2","itemData":{"DOI":"10.1038/s41593-018-0326-7","ISSN":"1097-6256","abstract":"Major depression is a debilitating psychiatric illness that is typically associated with low mood, anhedonia and a range of comorbidities. Depression has a heritable component that has remained difficult to elucidate with current sample sizes due to the polygenic nature of the disorder. To maximise sample size, we meta-analysed data on 807,553 individuals (246,363 cases and 561,190 controls) from the three largest genome-wide association studies of depression. We identified 102 independent variants, 269 genes, and 15 gene-sets associated with depression, including both genes and gene-pathways associated with synaptic structure and neurotransmission. Further evidence of the importance of prefrontal brain regions in depression was provided by an enrichment analysis. In an independent replication sample of 1,306,354 individuals (414,055 cases and 892,299 controls), 87 of the 102 associated variants were significant following multiple testing correction. Based on the putative genes associated with depression this work also highlights several potential drug repositioning opportunities. These findings advance our understanding of the complex genetic architecture of depression and provide several future avenues for understanding aetiology and developing new treatment approaches.","author":[{"dropping-particle":"","family":"Howard","given":"David M.","non-dropping-particle":"","parse-names":false,"suffix":""},{"dropping-particle":"","family":"Adams","given":"Mark J.","non-dropping-particle":"","parse-names":false,"suffix":""},{"dropping-particle":"","family":"Clarke","given":"Toni-Kim","non-dropping-particle":"","parse-names":false,"suffix":""},{"dropping-particle":"","family":"Hafferty","given":"Jonathan D.","non-dropping-particle":"","parse-names":false,"suffix":""},{"dropping-particle":"","family":"Gibson","given":"Jude","non-dropping-particle":"","parse-names":false,"suffix":""},{"dropping-particle":"","family":"Shirali","given":"Masoud","non-dropping-particle":"","parse-names":false,"suffix":""},{"dropping-particle":"","family":"Coleman","given":"Jonathan R. I.","non-dropping-particle":"","parse-names":false,"suffix":""},{"dropping-particle":"","family":"Hagenaars","given":"Saskia P","non-dropping-particle":"","parse-names":false,"suffix":""},{"dropping-particle":"","family":"Ward","given":"Joey","non-dropping-particle":"","parse-names":false,"suffix":""},{"dropping-particle":"","family":"Wigmore","given":"Eleanor M.","non-dropping-particle":"","parse-names":false,"suffix":""},{"dropping-particle":"","family":"Alloza","given":"Clara","non-dropping-particle":"","parse-names":false,"suffix":""},{"dropping-particle":"","family":"Shen","given":"Xueyi","non-dropping-particle":"","parse-names":false,"suffix":""},{"dropping-particle":"","family":"Barbu","given":"Miruna C.","non-dropping-particle":"","parse-names":false,"suffix":""},{"dropping-particle":"","family":"Xu","given":"Eileen Y.","non-dropping-particle":"","parse-names":false,"suffix":""},{"dropping-particle":"","family":"Whalley","given":"Heather C.","non-dropping-particle":"","parse-names":false,"suffix":""},{"dropping-particle":"","family":"Marioni","given":"Riccardo E.","non-dropping-particle":"","parse-names":false,"suffix":""},{"dropping-particle":"","family":"Porteous","given":"David J.","non-dropping-particle":"","parse-names":false,"suffix":""},{"dropping-particle":"","family":"Davies","given":"Gail","non-dropping-particle":"","parse-names":false,"suffix":""},{"dropping-particle":"","family":"Deary","given":"Ian J.","non-dropping-particle":"","parse-names":false,"suffix":""},{"dropping-particle":"","family":"Hemani","given":"Gibran","non-dropping-particle":"","parse-names":false,"suffix":""},{"dropping-particle":"","family":"Berger","given":"Klaus","non-dropping-particle":"","parse-names":false,"suffix":""},{"dropping-particle":"","family":"Teismann","given":"Henning","non-dropping-particle":"","parse-names":false,"suffix":""},{"dropping-particle":"","family":"Rawal","given":"Rajesh","non-dropping-particle":"","parse-names":false,"suffix":""},{"dropping-particle":"","family":"Arolt","given":"Volker","non-dropping-particle":"","parse-names":false,"suffix":""},{"dropping-particle":"","family":"Baune","given":"Bernhard T","non-dropping-particle":"","parse-names":false,"suffix":""},{"dropping-particle":"","family":"Dannlowski","given":"Udo","non-dropping-particle":"","parse-names":false,"suffix":""},{"dropping-particle":"","family":"Domschke","given":"Katharina","non-dropping-particle":"","parse-names":false,"suffix":""},{"dropping-particle":"","family":"Tian","given":"Chao","non-dropping-particle":"","parse-names":false,"suffix":""},{"dropping-particle":"","family":"Hinds","given":"David A.","non-dropping-particle":"","parse-names":false,"suffix":""},{"dropping-particle":"","family":"Trzaskowski","given":"Maciej","non-dropping-particle":"","parse-names":false,"suffix":""},{"dropping-particle":"","family":"Byrne","given":"Enda M.","non-dropping-particle":"","parse-names":false,"suffix":""},{"dropping-particle":"","family":"Ripke","given":"Stephan","non-dropping-particle":"","parse-names":false,"suffix":""},{"dropping-particle":"","family":"Smith","given":"Daniel J.","non-dropping-particle":"","parse-names":false,"suffix":""},{"dropping-particle":"","family":"Sullivan","given":"Patrick F.","non-dropping-particle":"","parse-names":false,"suffix":""},{"dropping-particle":"","family":"Wray","given":"Naomi R.","non-dropping-particle":"","parse-names":false,"suffix":""},{"dropping-particle":"","family":"Breen","given":"Gerome","non-dropping-particle":"","parse-names":false,"suffix":""},{"dropping-particle":"","family":"Lewis","given":"Cathryn M.","non-dropping-particle":"","parse-names":false,"suffix":""},{"dropping-particle":"","family":"McIntosh","given":"Andrew M.","non-dropping-particle":"","parse-names":false,"suffix":""}],"container-title":"Nature Neuroscience","id":"ITEM-2","issued":{"date-parts":[["2019","2"]]},"page":"433367","publisher":"Springer US","title":"Genome-wide meta-analysis of depression identifies 102 independent variants and highlights the importance of the prefrontal brain regions","type":"article-journal"},"uris":["http://www.mendeley.com/documents/?uuid=000dae35-080f-4592-bc06-8fa3238b6850","http://www.mendeley.com/documents/?uuid=5299082e-0802-4a2b-888b-af4c38768e17"]}],"mendeley":{"formattedCitation":"[43, 44]","plainTextFormattedCitation":"[43, 44]","previouslyFormattedCitation":"[43, 44]"},"properties":{"noteIndex":0},"schema":"https://github.com/citation-style-language/schema/raw/master/csl-citation.json"}</w:instrText>
      </w:r>
      <w:r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[43, 44]</w:t>
      </w:r>
      <w:r w:rsidRPr="00571EA4">
        <w:rPr>
          <w:rFonts w:eastAsia="Times New Roman" w:cs="Times New Roman"/>
          <w:szCs w:val="24"/>
          <w:highlight w:val="white"/>
        </w:rPr>
        <w:fldChar w:fldCharType="end"/>
      </w:r>
      <w:r w:rsidR="00E77D66" w:rsidRPr="00571EA4">
        <w:rPr>
          <w:rFonts w:eastAsia="Times New Roman" w:cs="Times New Roman"/>
          <w:szCs w:val="24"/>
          <w:highlight w:val="white"/>
        </w:rPr>
        <w:t>;</w:t>
      </w:r>
      <w:r w:rsidRPr="00571EA4">
        <w:rPr>
          <w:rFonts w:eastAsia="Times New Roman" w:cs="Times New Roman"/>
          <w:szCs w:val="24"/>
          <w:highlight w:val="white"/>
          <w:lang w:val="en-GB"/>
        </w:rPr>
        <w:t xml:space="preserve"> this may create a configuration in which BMI is both a confounder and a collider (</w:t>
      </w:r>
      <w:r w:rsidR="00BF2220" w:rsidRPr="00571EA4">
        <w:rPr>
          <w:rFonts w:eastAsia="Times New Roman" w:cs="Times New Roman"/>
          <w:szCs w:val="24"/>
          <w:highlight w:val="white"/>
          <w:lang w:val="en-GB"/>
        </w:rPr>
        <w:t>Supplementary Figure</w:t>
      </w:r>
      <w:r w:rsidRPr="00571EA4">
        <w:rPr>
          <w:rFonts w:eastAsia="Times New Roman" w:cs="Times New Roman"/>
          <w:szCs w:val="24"/>
          <w:highlight w:val="white"/>
          <w:lang w:val="en-GB"/>
        </w:rPr>
        <w:t>3), whose adjustment or lack thereof may lead to biased estimates. Nevertheless, all associations with other symptoms remained statistically significant after BMI adjustment, although relatively reduced.</w:t>
      </w:r>
    </w:p>
    <w:p w14:paraId="4EDD9759" w14:textId="23DBC7E8" w:rsidR="0063704C" w:rsidRPr="00571EA4" w:rsidRDefault="00A24B87" w:rsidP="00B352A2">
      <w:pPr>
        <w:rPr>
          <w:highlight w:val="white"/>
        </w:rPr>
      </w:pPr>
      <w:r w:rsidRPr="00571EA4">
        <w:rPr>
          <w:highlight w:val="white"/>
          <w:lang w:val="en-GB"/>
        </w:rPr>
        <w:t xml:space="preserve">Findings from MR analyses also highlight divergence between inflammatory markers. IL-6 </w:t>
      </w:r>
      <w:r w:rsidR="00EE7BF7" w:rsidRPr="00571EA4">
        <w:rPr>
          <w:highlight w:val="white"/>
          <w:lang w:val="en-GB"/>
        </w:rPr>
        <w:t>seem</w:t>
      </w:r>
      <w:r w:rsidR="006F5977" w:rsidRPr="00571EA4">
        <w:rPr>
          <w:highlight w:val="white"/>
          <w:lang w:val="en-GB"/>
        </w:rPr>
        <w:t>s</w:t>
      </w:r>
      <w:r w:rsidR="00EE7BF7" w:rsidRPr="00571EA4">
        <w:rPr>
          <w:highlight w:val="white"/>
          <w:lang w:val="en-GB"/>
        </w:rPr>
        <w:t xml:space="preserve"> </w:t>
      </w:r>
      <w:r w:rsidRPr="00571EA4">
        <w:rPr>
          <w:highlight w:val="white"/>
          <w:lang w:val="en-GB"/>
        </w:rPr>
        <w:t xml:space="preserve">to have a potential causal effect in the development of fatigue and sleep </w:t>
      </w:r>
      <w:r w:rsidR="00F57558" w:rsidRPr="00571EA4">
        <w:rPr>
          <w:highlight w:val="white"/>
          <w:lang w:val="en-GB"/>
        </w:rPr>
        <w:t>problems</w:t>
      </w:r>
      <w:r w:rsidRPr="00571EA4">
        <w:rPr>
          <w:highlight w:val="white"/>
          <w:lang w:val="en-GB"/>
        </w:rPr>
        <w:t xml:space="preserve">, in line with evidence on the role of inflammation </w:t>
      </w:r>
      <w:r w:rsidR="00EE7BF7" w:rsidRPr="00571EA4">
        <w:rPr>
          <w:highlight w:val="white"/>
          <w:lang w:val="en-GB"/>
        </w:rPr>
        <w:t>i</w:t>
      </w:r>
      <w:r w:rsidRPr="00571EA4">
        <w:rPr>
          <w:highlight w:val="white"/>
          <w:lang w:val="en-GB"/>
        </w:rPr>
        <w:t>n “sickness behaviour”</w:t>
      </w:r>
      <w:r w:rsidR="00E77D66" w:rsidRPr="00571EA4">
        <w:rPr>
          <w:highlight w:val="white"/>
          <w:lang w:val="en-GB"/>
        </w:rPr>
        <w:t xml:space="preserve"> </w:t>
      </w:r>
      <w:r w:rsidR="00C83CD8" w:rsidRPr="00571EA4">
        <w:rPr>
          <w:rFonts w:eastAsia="Times New Roman" w:cs="Times New Roman"/>
          <w:szCs w:val="24"/>
          <w:highlight w:val="white"/>
        </w:rPr>
        <w:fldChar w:fldCharType="begin" w:fldLock="1"/>
      </w:r>
      <w:r w:rsidR="00D613B9" w:rsidRPr="00571EA4">
        <w:rPr>
          <w:rFonts w:eastAsia="Times New Roman" w:cs="Times New Roman"/>
          <w:szCs w:val="24"/>
          <w:highlight w:val="white"/>
          <w:lang w:val="en-GB"/>
        </w:rPr>
        <w:instrText>ADDIN CSL_CITATION {"citationItems":[{"id":"ITEM-1","itemData":{"DOI":"10.1038/nrn2297","ISBN":"1471-0048 (Electronic) 1471-003X (Linking)","PMID":"18073775","author":[{"dropping-particle":"","family":"Dantzer","given":"Robert","non-dropping-particle":"","parse-names":false,"suffix":""},{"dropping-particle":"","family":"O'Connor","given":"J C","non-dropping-particle":"","parse-names":false,"suffix":""},{"dropping-particle":"","family":"Freund","given":"G G","non-dropping-particle":"","parse-names":false,"suffix":""},{"dropping-particle":"","family":"Johnson","given":"R W","non-dropping-particle":"","parse-names":false,"suffix":""},{"dropping-particle":"","family":"Kelley","given":"K W","non-dropping-particle":"","parse-names":false,"suffix":""}],"container-title":"Nature Reviews Neuroscience","id":"ITEM-1","issue":"1","issued":{"date-parts":[["2008"]]},"page":"46-56","title":"From inflammation to sickness and depression: when the immune system subjugates the brain","type":"article-journal","volume":"9"},"uris":["http://www.mendeley.com/documents/?uuid=4dc5b294-151b-4d62-ba0a-8048bcec5d30","http://www.mendeley.com/documents/?uuid=e0d8376d-ae37-4e97-88f4-51d40de3eaac"]},{"id":"ITEM-2","itemData":{"DOI":"10.1016/j.biopsych.2020.01.014","ISSN":"18732402","PMID":"32247527","abstract":"Epidemiological evidence indicates the presence of dysregulated homeostatic biological pathways in depressed patients, such as increased inflammation and disrupted energy-regulating neuroendocrine signaling (e.g., leptin, insulin). Alterations in these biological pathways may explain the considerable comorbidity between depression and cardiometabolic conditions (e.g., obesity, metabolic syndrome, diabetes) and represent a promising target for intervention. This review describes how immunometabolic dysregulations vary as a function of depression heterogeneity by illustrating that such biological dysregulations map more consistently to atypical behavioral symptoms reflecting altered energy intake/expenditure balance (hyperphagia, weight gain, hypersomnia, fatigue, and leaden paralysis) and may moderate the antidepressant effects of standard or novel (e.g., anti-inflammatory) therapeutic approaches. These lines of evidence are integrated in a conceptual model of immunometabolic depression emerging from the clustering of immunometabolic biological dysregulations and specific behavioral symptoms. The review finally elicits questions to be answered by future research and describes how the immunometabolic depression dimension could be used to dissect the heterogeneity of depression and potentially to match subgroups of patients to specific treatments with higher likelihood of clinical success.","author":[{"dropping-particle":"","family":"Milaneschi","given":"Yuri","non-dropping-particle":"","parse-names":false,"suffix":""},{"dropping-particle":"","family":"Lamers","given":"Femke","non-dropping-particle":"","parse-names":false,"suffix":""},{"dropping-particle":"","family":"Berk","given":"Michael","non-dropping-particle":"","parse-names":false,"suffix":""},{"dropping-particle":"","family":"Penninx","given":"Brenda W.J.H.","non-dropping-particle":"","parse-names":false,"suffix":""}],"container-title":"Biological Psychiatry","id":"ITEM-2","issue":"5","issued":{"date-parts":[["2020"]]},"page":"369-380","publisher":"Elsevier Inc","title":"Depression Heterogeneity and Its Biological Underpinnings: Toward Immunometabolic Depression","type":"article-journal","volume":"88"},"uris":["http://www.mendeley.com/documents/?uuid=db750f1b-4b63-4907-9fb6-e908d3fcfa7c"]}],"mendeley":{"formattedCitation":"[37, 38]","plainTextFormattedCitation":"[37, 38]","previouslyFormattedCitation":"[37, 38]"},"properties":{"noteIndex":0},"schema":"https://github.com/citation-style-language/schema/raw/master/csl-citation.json"}</w:instrText>
      </w:r>
      <w:r w:rsidR="00C83CD8" w:rsidRPr="00571EA4">
        <w:rPr>
          <w:rFonts w:eastAsia="Times New Roman" w:cs="Times New Roman"/>
          <w:szCs w:val="24"/>
          <w:highlight w:val="white"/>
        </w:rPr>
        <w:fldChar w:fldCharType="separate"/>
      </w:r>
      <w:r w:rsidR="00AF5060" w:rsidRPr="00571EA4">
        <w:rPr>
          <w:rFonts w:eastAsia="Times New Roman" w:cs="Times New Roman"/>
          <w:noProof/>
          <w:szCs w:val="24"/>
          <w:highlight w:val="white"/>
          <w:lang w:val="en-GB"/>
        </w:rPr>
        <w:t>[37, 38]</w:t>
      </w:r>
      <w:r w:rsidR="00C83CD8" w:rsidRPr="00571EA4">
        <w:rPr>
          <w:rFonts w:eastAsia="Times New Roman" w:cs="Times New Roman"/>
          <w:szCs w:val="24"/>
          <w:highlight w:val="white"/>
        </w:rPr>
        <w:fldChar w:fldCharType="end"/>
      </w:r>
      <w:r w:rsidR="00E77D66" w:rsidRPr="00571EA4">
        <w:rPr>
          <w:rFonts w:eastAsia="Times New Roman" w:cs="Times New Roman"/>
          <w:szCs w:val="24"/>
          <w:highlight w:val="white"/>
        </w:rPr>
        <w:t>.</w:t>
      </w:r>
      <w:r w:rsidRPr="00571EA4">
        <w:rPr>
          <w:highlight w:val="white"/>
          <w:lang w:val="en-GB"/>
        </w:rPr>
        <w:t xml:space="preserve">  In </w:t>
      </w:r>
      <w:r w:rsidRPr="00571EA4">
        <w:rPr>
          <w:highlight w:val="white"/>
          <w:lang w:val="en-GB"/>
        </w:rPr>
        <w:lastRenderedPageBreak/>
        <w:t xml:space="preserve">contrast, CRP did not show significant MR estimates for the same symptoms, despite strong </w:t>
      </w:r>
      <w:r w:rsidR="00323882" w:rsidRPr="00571EA4">
        <w:rPr>
          <w:highlight w:val="white"/>
          <w:lang w:val="en-GB"/>
        </w:rPr>
        <w:t>associations</w:t>
      </w:r>
      <w:r w:rsidRPr="00571EA4">
        <w:rPr>
          <w:highlight w:val="white"/>
          <w:lang w:val="en-GB"/>
        </w:rPr>
        <w:t xml:space="preserve"> with circulating protein levels. These results suggest that </w:t>
      </w:r>
      <w:r w:rsidR="005A2598" w:rsidRPr="00571EA4">
        <w:rPr>
          <w:highlight w:val="white"/>
          <w:lang w:val="en-GB"/>
        </w:rPr>
        <w:t>the CRP-</w:t>
      </w:r>
      <w:r w:rsidRPr="00571EA4">
        <w:rPr>
          <w:highlight w:val="white"/>
          <w:lang w:val="en-GB"/>
        </w:rPr>
        <w:t xml:space="preserve">depressive symptom </w:t>
      </w:r>
      <w:r w:rsidR="00464145" w:rsidRPr="00571EA4">
        <w:rPr>
          <w:highlight w:val="white"/>
          <w:lang w:val="en-GB"/>
        </w:rPr>
        <w:t>associations</w:t>
      </w:r>
      <w:r w:rsidRPr="00571EA4">
        <w:rPr>
          <w:highlight w:val="white"/>
          <w:lang w:val="en-GB"/>
        </w:rPr>
        <w:t xml:space="preserve"> may represent epiphenomena emerging from common underlying factors</w:t>
      </w:r>
      <w:r w:rsidR="00605C54" w:rsidRPr="00571EA4">
        <w:rPr>
          <w:highlight w:val="white"/>
          <w:lang w:val="en-GB"/>
        </w:rPr>
        <w:t xml:space="preserve"> such as metabolic dysregulation</w:t>
      </w:r>
      <w:r w:rsidRPr="00571EA4">
        <w:rPr>
          <w:highlight w:val="white"/>
          <w:lang w:val="en-GB"/>
        </w:rPr>
        <w:t xml:space="preserve">. This </w:t>
      </w:r>
      <w:r w:rsidR="00323882" w:rsidRPr="00571EA4">
        <w:rPr>
          <w:highlight w:val="white"/>
          <w:lang w:val="en-GB"/>
        </w:rPr>
        <w:t>idea</w:t>
      </w:r>
      <w:r w:rsidRPr="00571EA4">
        <w:rPr>
          <w:highlight w:val="white"/>
          <w:lang w:val="en-GB"/>
        </w:rPr>
        <w:t xml:space="preserve"> is consistent with previous evidence s</w:t>
      </w:r>
      <w:r w:rsidR="00D3306B" w:rsidRPr="00571EA4">
        <w:rPr>
          <w:highlight w:val="white"/>
          <w:lang w:val="en-GB"/>
        </w:rPr>
        <w:t xml:space="preserve">uggesting </w:t>
      </w:r>
      <w:r w:rsidRPr="00571EA4">
        <w:rPr>
          <w:highlight w:val="white"/>
          <w:lang w:val="en-GB"/>
        </w:rPr>
        <w:t>shared genetic liability between CRP and symptoms of fatigue</w:t>
      </w:r>
      <w:r w:rsidR="00D3306B" w:rsidRPr="00571EA4">
        <w:rPr>
          <w:highlight w:val="white"/>
          <w:lang w:val="en-GB"/>
        </w:rPr>
        <w:t>,</w:t>
      </w:r>
      <w:r w:rsidRPr="00571EA4">
        <w:rPr>
          <w:highlight w:val="white"/>
          <w:lang w:val="en-GB"/>
        </w:rPr>
        <w:t xml:space="preserve"> altered sleep and appetite</w:t>
      </w:r>
      <w:r w:rsidR="00506135" w:rsidRPr="00571EA4">
        <w:rPr>
          <w:highlight w:val="white"/>
          <w:lang w:val="en-GB"/>
        </w:rPr>
        <w:t xml:space="preserve"> </w:t>
      </w:r>
      <w:r w:rsidR="00725729" w:rsidRPr="00571EA4">
        <w:rPr>
          <w:highlight w:val="white"/>
        </w:rPr>
        <w:fldChar w:fldCharType="begin" w:fldLock="1"/>
      </w:r>
      <w:r w:rsidR="002F5C4F">
        <w:rPr>
          <w:highlight w:val="white"/>
          <w:lang w:val="en-GB"/>
        </w:rPr>
        <w:instrText>ADDIN CSL_CITATION {"citationItems":[{"id":"ITEM-1","itemData":{"author":[{"dropping-particle":"","family":"Milaneschi","given":"Yuri","non-dropping-particle":"","parse-names":false,"suffix":""},{"dropping-particle":"","family":"Lamers","given":"Femke","non-dropping-particle":"","parse-names":false,"suffix":""},{"dropping-particle":"","family":"Peyrot","given":"Wouter J","non-dropping-particle":"","parse-names":false,"suffix":""},{"dropping-particle":"","family":"Baune","given":"Berhnard T","non-dropping-particle":"","parse-names":false,"suffix":""},{"dropping-particle":"","family":"Breen","given":"Gerome","non-dropping-particle":"","parse-names":false,"suffix":""},{"dropping-particle":"","family":"Dehghan","given":"Abbas","non-dropping-particle":"","parse-names":false,"suffix":""},{"dropping-particle":"","family":"Forstner","given":"Andreas J","non-dropping-particle":"","parse-names":false,"suffix":""},{"dropping-particle":"","family":"Grabe","given":"Hans J","non-dropping-particle":"","parse-names":false,"suffix":""},{"dropping-particle":"","family":"Homuth","given":"Georg","non-dropping-particle":"","parse-names":false,"suffix":""},{"dropping-particle":"","family":"Kan","given":"Carol","non-dropping-particle":"","parse-names":false,"suffix":""},{"dropping-particle":"","family":"Lewis","given":"Cathryn","non-dropping-particle":"","parse-names":false,"suffix":""},{"dropping-particle":"","family":"Mullins","given":"Niamh","non-dropping-particle":"","parse-names":false,"suffix":""},{"dropping-particle":"","family":"Nauck","given":"Matthias","non-dropping-particle":"","parse-names":false,"suffix":""},{"dropping-particle":"","family":"Pistis","given":"Giorgio","non-dropping-particle":"","parse-names":false,"suffix":""},{"dropping-particle":"","family":"Preisig","given":"Martin","non-dropping-particle":"","parse-names":false,"suffix":""},{"dropping-particle":"","family":"Rivera","given":"Margarita","non-dropping-particle":"","parse-names":false,"suffix":""},{"dropping-particle":"","family":"Rietschel","given":"Marcella","non-dropping-particle":"","parse-names":false,"suffix":""},{"dropping-particle":"","family":"Streit","given":"Fabian","non-dropping-particle":"","parse-names":false,"suffix":""},{"dropping-particle":"","family":"Strohmaier","given":"Jana","non-dropping-particle":"","parse-names":false,"suffix":""},{"dropping-particle":"","family":"Teumer","given":"Alexander","non-dropping-particle":"","parse-names":false,"suffix":""},{"dropping-particle":"","family":"Auwera","given":"Sandra","non-dropping-particle":"Van der","parse-names":false,"suffix":""},{"dropping-particle":"","family":"Wray","given":"Naomi R","non-dropping-particle":"","parse-names":false,"suffix":""},{"dropping-particle":"","family":"CHARGE Inflammation Working Group","given":"","non-dropping-particle":"","parse-names":false,"suffix":""},{"dropping-particle":"","family":"Major Depressive Disorder Working Group of the Psychiatric Genomics","given":"","non-dropping-particle":"","parse-names":false,"suffix":""},{"dropping-particle":"","family":"Consortium","given":"","non-dropping-particle":"","parse-names":false,"suffix":""},{"dropping-particle":"","family":"Boomsma","given":"Dorret I","non-dropping-particle":"","parse-names":false,"suffix":""},{"dropping-particle":"","family":"Penninx","given":"Brenda WJH","non-dropping-particle":"","parse-names":false,"suffix":""}],"container-title":"JAMA psychiatry","id":"ITEM-1","issued":{"date-parts":[["2017"]]},"page":"1214-1225","title":"Genetic Association of Major Depression With Atypical Features and Obesity-Related Immunometabolic Dysregulations","type":"article-journal","volume":"74"},"uris":["http://www.mendeley.com/documents/?uuid=5be208ed-2434-4d93-adea-8c0c2e6876e8"]},{"id":"ITEM-2","itemData":{"DOI":"10.1001/jamapsychiatry.2020.3436","ISSN":"2168-622X","abstract":"IMPORTANCE Observational studies highlight associations of C-reactive protein (CRP), a general marker of inflammation, and interleukin 6 (IL-6), a cytokine-stimulating CRP production, with individual depressive symptoms. However, it is unclear whether inflammatory activity is associated with individual depressive symptoms and to what extent metabolic dysregulation underlies the reported associations. OBJECTIVE To explore the genetic overlap and associations between inflammatory activity, metabolic dysregulation, and individual depressive symptoms. GWAS DATA SOURCES Genome-wide association study (GWAS) summary data of European individuals, including the following: CRP levels (204402 individuals); 9 individual depressive symptoms (3 of which did not differentiate between underlying diametrically opposite symptoms [eg, insomnia and hypersomnia]) as measured with the Patient Health Questionnaire 9 (up to 117 907 individuals); summary statistics for major depression, including and excluding UK Biobank participants, resulting in sample sizes of 500 199 and up to 230 214 individuals, respectively; insomnia (up to 386 533 individuals); body mass index (BMI) (up to 322 154 individuals); and height (up to 253 280 individuals). DESIGN In this genetic correlation and 2-sample mendelian randomization (MR) study, linkage disequilibrium score (LDSC) regression was applied to infer single-nucleotide variant–based heritability and genetic correlation estimates. Two-sample MR tested potential causal associations of genetic variants associated with CRP levels, IL-6 signaling, and BMI with depressive symptoms. The study dates were November 2019 to April 2020. RESULTS Based on large GWAS data sources, genetic correlation analyses revealed consistent false discovery rate (FDR)–controlled associations (genetic correlation range, 0.152-0.362; FDR P = .006 to P &lt; .001) between CRP levels and depressive symptoms that were similar in size to genetic correlations of BMI with depressive symptoms. Two-sample MR analyses suggested that genetic upregulation of IL-6 signaling was associated with suicidality (estimate [SE], 0.035 [0.010]; FDR plus Bonferroni correction P = .01), a finding that remained stable across statistical models and sensitivity analyses using alternative instrument selection strategies. Mendelian randomization analyses did not consistently show associations of higher CRP levels or IL-6 signaling with other depressive symptoms, but higher BMIwas associated with anh…","author":[{"dropping-particle":"","family":"Kappelmann","given":"Nils","non-dropping-particle":"","parse-names":false,"suffix":""},{"dropping-particle":"","family":"Arloth","given":"Janine","non-dropping-particle":"","parse-names":false,"suffix":""},{"dropping-particle":"","family":"Georgakis","given":"Marios K","non-dropping-particle":"","parse-names":false,"suffix":""},{"dropping-particle":"","family":"Czamara","given":"Darina","non-dropping-particle":"","parse-names":false,"suffix":""},{"dropping-particle":"","family":"Rost","given":"Nicolas","non-dropping-particle":"","parse-names":false,"suffix":""},{"dropping-particle":"","family":"Ligthart","given":"Symen","non-dropping-particle":"","parse-names":false,"suffix":""},{"dropping-particle":"","family":"Khandaker","given":"Golam M","non-dropping-particle":"","parse-names":false,"suffix":""},{"dropping-particle":"","family":"Binder","given":"Elisabeth B","non-dropping-particle":"","parse-names":false,"suffix":""}],"container-title":"JAMA Psychiatry","id":"ITEM-2","issue":"2","issued":{"date-parts":[["2021","10"]]},"page":"161-170","title":"Dissecting the Association Between Inflammation, Metabolic Dysregulation, and Specific Depressive Symptoms","type":"article-journal","volume":"78"},"uris":["http://www.mendeley.com/documents/?uuid=f6f6abd2-1048-4720-af33-59cc49864971","http://www.mendeley.com/documents/?uuid=b8985a82-79ce-49ca-be30-b9df00ad3d25","http://www.mendeley.com/documents/?uuid=5beafc47-3879-4a4f-b700-a4836f43441c"]},{"id":"ITEM-3","itemData":{"DOI":"10.1017/S0033291720002342","ISSN":"0033-2917","abstract":"Background: Depression is a highly prevalent and heterogenous disorder. This study aims to determine whether depression with atypical features shows different heritability and different degree of overlap with polygenic risk for psychiatric and immuno-metabolic traits than other depression subgroups. Methods: Data included 30,069 European ancestry individuals from the UK Biobank who met criteria for lifetime major depression. Participants reporting both weight gain and hypersomnia were classified as ↑WS depression (N = 1,854) and the others as non-↑WS depression (N = 28,215). Cases with non-↑WS depression were further classified as ↓WS depression (i.e. weight loss and insomnia; N = 10,142). Polygenic risk scores (PRS) for 22 traits were generated using genome-wide summary statistics (Bonferroni corrected p=2.1x10-4). Single nucleotide polymorphism (SNP)-based heritability of depression subgroups was estimated. Results: ↑WS depression had a higher polygenic risk for BMI (OR=1.20, [1.15-1.26], p=2.37e-14) and C-reactive protein (OR=1.11, [1.06-1.17], p=8.86e-06) vs. non-↑WS depression and ↓WS depression. Leptin PRS was close to the significance threshold (p=2.99e-04), but the effect disappeared when considering GWAS summary statistics of leptin adjusted for BMI. PRS for daily alcohol use was inversely associated with ↑WS depression (OR=0.88, [0.83-0.93], p=1.04e-05) vs. non-↑WS depression. SNP-based heritability was not significantly different between ↑WS depression and ↓WS depression (14.3% and 12.2%, respectively). Conclusions: ↑WS depression shows evidence of distinct genetic predisposition to immune-metabolic traits and alcohol consumption. These genetic signals suggest that biological targets including immune-cardiometabolic pathways may be relevant to therapies in individuals with ↑WS depression. ### Competing Interest Statement Cathryn Lewis is a member of the Scientific Advisory Board of Myriad Neurosciences. Matthew Hotopf is principal investigator of RADAR-CNS (funded by European Commission, Janssen, Biogen, UCB, MSD and Lundbeck). ### Funding Statement This research was supported by the UK Medical Research Council (MR/N015746 and MR/S0151132). This paper represents independent research part-funded by the National Institute for Health Research (NIHR) Biomedical Research Centre at South London and Maudsley NHS Foundation Trust and King's College London. The views expressed are those of the author(s) and not necessarily those of the NHS, the NIHR o…","author":[{"dropping-particle":"","family":"Badini","given":"Isabella","non-dropping-particle":"","parse-names":false,"suffix":""},{"dropping-particle":"","family":"Coleman","given":"Jonathan RI","non-dropping-particle":"","parse-names":false,"suffix":""},{"dropping-particle":"","family":"Hagenaars","given":"Saskia P.","non-dropping-particle":"","parse-names":false,"suffix":""},{"dropping-particle":"","family":"Hotopf","given":"Matthew","non-dropping-particle":"","parse-names":false,"suffix":""},{"dropping-particle":"","family":"Breen","given":"Gerome","non-dropping-particle":"","parse-names":false,"suffix":""},{"dropping-particle":"","family":"Lewis","given":"Cathryn M.","non-dropping-particle":"","parse-names":false,"suffix":""},{"dropping-particle":"","family":"Fabbri","given":"Chiara","non-dropping-particle":"","parse-names":false,"suffix":""}],"container-title":"Psychological Medicine","id":"ITEM-3","issued":{"date-parts":[["2020","7"]]},"page":"1-11","title":"Depression with atypical neurovegetative symptoms shares genetic predisposition with immuno-metabolic traits and alcohol consumption","type":"article-journal"},"uris":["http://www.mendeley.com/documents/?uuid=463f388a-204d-485c-ba85-ed005b100e6d","http://www.mendeley.com/documents/?uuid=322533f0-30ec-4772-9585-b97b952cf45e","http://www.mendeley.com/documents/?uuid=8e3c5e25-2746-4372-970d-3e065ebb6778"]}],"mendeley":{"formattedCitation":"[15, 18, 21]","plainTextFormattedCitation":"[15, 18, 21]","previouslyFormattedCitation":"[15, 18, 21]"},"properties":{"noteIndex":0},"schema":"https://github.com/citation-style-language/schema/raw/master/csl-citation.json"}</w:instrText>
      </w:r>
      <w:r w:rsidR="00725729" w:rsidRPr="00571EA4">
        <w:rPr>
          <w:highlight w:val="white"/>
        </w:rPr>
        <w:fldChar w:fldCharType="separate"/>
      </w:r>
      <w:r w:rsidR="00AF5060" w:rsidRPr="00571EA4">
        <w:rPr>
          <w:noProof/>
          <w:highlight w:val="white"/>
          <w:lang w:val="en-GB"/>
        </w:rPr>
        <w:t>[15, 18, 21]</w:t>
      </w:r>
      <w:r w:rsidR="00725729" w:rsidRPr="00571EA4">
        <w:rPr>
          <w:highlight w:val="white"/>
        </w:rPr>
        <w:fldChar w:fldCharType="end"/>
      </w:r>
      <w:r w:rsidR="00506135" w:rsidRPr="00571EA4">
        <w:rPr>
          <w:highlight w:val="white"/>
        </w:rPr>
        <w:t>.</w:t>
      </w:r>
      <w:r w:rsidRPr="00571EA4">
        <w:rPr>
          <w:highlight w:val="white"/>
          <w:lang w:val="en-GB"/>
        </w:rPr>
        <w:t xml:space="preserve"> </w:t>
      </w:r>
      <w:r w:rsidR="00F40553" w:rsidRPr="00571EA4">
        <w:rPr>
          <w:highlight w:val="white"/>
          <w:lang w:val="en-GB"/>
        </w:rPr>
        <w:t xml:space="preserve">Furthermore, genetically-elevated CRP levels </w:t>
      </w:r>
      <w:r w:rsidR="002F09F0" w:rsidRPr="00571EA4">
        <w:rPr>
          <w:highlight w:val="white"/>
          <w:lang w:val="en-GB"/>
        </w:rPr>
        <w:t xml:space="preserve">were associated with lower risk of </w:t>
      </w:r>
      <w:r w:rsidR="00F40553" w:rsidRPr="00571EA4">
        <w:rPr>
          <w:highlight w:val="white"/>
          <w:lang w:val="en-GB"/>
        </w:rPr>
        <w:t xml:space="preserve">psychological symptoms, cognitive problems and suicidality. </w:t>
      </w:r>
      <w:r w:rsidR="00B352A2" w:rsidRPr="00571EA4">
        <w:rPr>
          <w:highlight w:val="white"/>
          <w:lang w:val="en-GB"/>
        </w:rPr>
        <w:t>Similar divergent MR results have also been reported for schizophrenia</w:t>
      </w:r>
      <w:r w:rsidR="00625A4A" w:rsidRPr="00571EA4">
        <w:rPr>
          <w:highlight w:val="white"/>
          <w:lang w:val="en-GB"/>
        </w:rPr>
        <w:t xml:space="preserve"> and depression</w:t>
      </w:r>
      <w:r w:rsidR="00323882" w:rsidRPr="00571EA4">
        <w:rPr>
          <w:highlight w:val="white"/>
          <w:lang w:val="en-GB"/>
        </w:rPr>
        <w:t xml:space="preserve">, suggesting </w:t>
      </w:r>
      <w:r w:rsidR="00323882" w:rsidRPr="00571EA4">
        <w:rPr>
          <w:lang w:val="en-GB"/>
        </w:rPr>
        <w:t>a protective effect of CRP and a risk-increasing effect of soluble IL-6 receptor</w:t>
      </w:r>
      <w:r w:rsidR="00324F4F" w:rsidRPr="00571EA4">
        <w:rPr>
          <w:lang w:val="en-GB"/>
        </w:rPr>
        <w:t xml:space="preserve"> (IL-6R)</w:t>
      </w:r>
      <w:r w:rsidR="00323882" w:rsidRPr="00571EA4">
        <w:rPr>
          <w:lang w:val="en-GB"/>
        </w:rPr>
        <w:t xml:space="preserve"> on schizophrenia</w:t>
      </w:r>
      <w:r w:rsidR="00625A4A" w:rsidRPr="00571EA4">
        <w:rPr>
          <w:lang w:val="en-GB"/>
        </w:rPr>
        <w:t xml:space="preserve"> and depression</w:t>
      </w:r>
      <w:r w:rsidR="00323882" w:rsidRPr="00571EA4">
        <w:rPr>
          <w:lang w:val="en-GB"/>
        </w:rPr>
        <w:t xml:space="preserve"> risk</w:t>
      </w:r>
      <w:r w:rsidR="00625A4A" w:rsidRPr="00571EA4">
        <w:rPr>
          <w:lang w:val="en-GB"/>
        </w:rPr>
        <w:t>, respectively</w:t>
      </w:r>
      <w:r w:rsidR="00506135" w:rsidRPr="00571EA4">
        <w:rPr>
          <w:highlight w:val="white"/>
          <w:lang w:val="en-GB"/>
        </w:rPr>
        <w:t xml:space="preserve"> </w:t>
      </w:r>
      <w:r w:rsidR="00B352A2" w:rsidRPr="00571EA4">
        <w:rPr>
          <w:highlight w:val="white"/>
        </w:rPr>
        <w:fldChar w:fldCharType="begin" w:fldLock="1"/>
      </w:r>
      <w:r w:rsidR="00D613B9" w:rsidRPr="00571EA4">
        <w:rPr>
          <w:highlight w:val="white"/>
          <w:lang w:val="en-GB"/>
        </w:rPr>
        <w:instrText>ADDIN CSL_CITATION {"citationItems":[{"id":"ITEM-1","itemData":{"DOI":"10.1093/ije/dyz201","ISSN":"14643685","PMID":"31563954","author":[{"dropping-particle":"","family":"Khandaker","given":"Golam M.","non-dropping-particle":"","parse-names":false,"suffix":""}],"container-title":"International Journal of Epidemiology","id":"ITEM-1","issue":"5","issued":{"date-parts":[["2019"]]},"page":"1516-1518","title":"Commentary: Causal associations between inflammation, cardiometabolic markers and schizophrenia: The known unknowns","type":"article-journal","volume":"48"},"uris":["http://www.mendeley.com/documents/?uuid=39245916-258a-4d3d-9fc1-c0cab7efdde8"]},{"id":"ITEM-2","itemData":{"DOI":"10.1016/j.bbi.2021.02.019","ISSN":"08891591","author":[{"dropping-particle":"","family":"Kelly","given":"Kristen","non-dropping-particle":"","parse-names":false,"suffix":""},{"dropping-particle":"","family":"Smith","given":"Jennifer A","non-dropping-particle":"","parse-names":false,"suffix":""},{"dropping-particle":"","family":"Mezuk","given":"Briana","non-dropping-particle":"","parse-names":false,"suffix":""}],"container-title":"Brain, Behavior, and Immunity","id":"ITEM-2","issued":{"date-parts":[["2021","2"]]},"publisher":"Elsevier Inc.","title":"Depression and interleukin-6 signaling: A Mendelian Randomization Study","type":"article-journal"},"uris":["http://www.mendeley.com/documents/?uuid=4b51a55f-f083-46df-b710-c71f31f65f12","http://www.mendeley.com/documents/?uuid=973fbead-72b1-46f1-91b5-4c3b16a9b079"]}],"mendeley":{"formattedCitation":"[45, 46]","plainTextFormattedCitation":"[45, 46]","previouslyFormattedCitation":"[45, 46]"},"properties":{"noteIndex":0},"schema":"https://github.com/citation-style-language/schema/raw/master/csl-citation.json"}</w:instrText>
      </w:r>
      <w:r w:rsidR="00B352A2" w:rsidRPr="00571EA4">
        <w:rPr>
          <w:highlight w:val="white"/>
        </w:rPr>
        <w:fldChar w:fldCharType="separate"/>
      </w:r>
      <w:r w:rsidR="00625A4A" w:rsidRPr="00571EA4">
        <w:rPr>
          <w:noProof/>
          <w:highlight w:val="white"/>
          <w:lang w:val="en-GB"/>
        </w:rPr>
        <w:t>[45, 46]</w:t>
      </w:r>
      <w:r w:rsidR="00B352A2" w:rsidRPr="00571EA4">
        <w:rPr>
          <w:highlight w:val="white"/>
        </w:rPr>
        <w:fldChar w:fldCharType="end"/>
      </w:r>
      <w:r w:rsidR="00506135" w:rsidRPr="00571EA4">
        <w:rPr>
          <w:highlight w:val="white"/>
        </w:rPr>
        <w:t>.</w:t>
      </w:r>
      <w:r w:rsidR="00B352A2" w:rsidRPr="00571EA4">
        <w:rPr>
          <w:highlight w:val="white"/>
          <w:lang w:val="en-GB"/>
        </w:rPr>
        <w:t xml:space="preserve"> </w:t>
      </w:r>
      <w:r w:rsidR="003335F8" w:rsidRPr="00571EA4">
        <w:rPr>
          <w:highlight w:val="white"/>
          <w:lang w:val="en-GB"/>
        </w:rPr>
        <w:t xml:space="preserve">We have also previously reported that </w:t>
      </w:r>
      <w:r w:rsidR="003335F8" w:rsidRPr="00571EA4">
        <w:rPr>
          <w:i/>
          <w:highlight w:val="white"/>
          <w:lang w:val="en-GB"/>
        </w:rPr>
        <w:t xml:space="preserve">IL-6R </w:t>
      </w:r>
      <w:r w:rsidR="003335F8" w:rsidRPr="00571EA4">
        <w:rPr>
          <w:highlight w:val="white"/>
          <w:lang w:val="en-GB"/>
        </w:rPr>
        <w:t xml:space="preserve">variants associated with higher serum IL-6 levels (but decreased IL-6R activity) and </w:t>
      </w:r>
      <w:r w:rsidR="003335F8" w:rsidRPr="00571EA4">
        <w:rPr>
          <w:i/>
          <w:highlight w:val="white"/>
          <w:lang w:val="en-GB"/>
        </w:rPr>
        <w:t xml:space="preserve">CRP </w:t>
      </w:r>
      <w:r w:rsidR="003335F8" w:rsidRPr="00571EA4">
        <w:rPr>
          <w:highlight w:val="white"/>
          <w:lang w:val="en-GB"/>
        </w:rPr>
        <w:t xml:space="preserve">variants associated with higher CRP levels are </w:t>
      </w:r>
      <w:r w:rsidR="003335F8" w:rsidRPr="00571EA4">
        <w:rPr>
          <w:i/>
          <w:highlight w:val="white"/>
          <w:lang w:val="en-GB"/>
        </w:rPr>
        <w:t>both</w:t>
      </w:r>
      <w:r w:rsidR="003335F8" w:rsidRPr="00571EA4">
        <w:rPr>
          <w:highlight w:val="white"/>
          <w:lang w:val="en-GB"/>
        </w:rPr>
        <w:t xml:space="preserve"> associated with increased risk of depression in the UK Biobank</w:t>
      </w:r>
      <w:r w:rsidR="00506135" w:rsidRPr="00571EA4">
        <w:rPr>
          <w:highlight w:val="white"/>
          <w:lang w:val="en-GB"/>
        </w:rPr>
        <w:t xml:space="preserve"> </w:t>
      </w:r>
      <w:r w:rsidR="003335F8" w:rsidRPr="00571EA4">
        <w:rPr>
          <w:highlight w:val="white"/>
          <w:lang w:val="en-GB"/>
        </w:rPr>
        <w:fldChar w:fldCharType="begin" w:fldLock="1"/>
      </w:r>
      <w:r w:rsidR="0048155C">
        <w:rPr>
          <w:highlight w:val="white"/>
          <w:lang w:val="en-GB"/>
        </w:rPr>
        <w:instrText>ADDIN CSL_CITATION {"citationItems":[{"id":"ITEM-1","itemData":{"DOI":"10.1101/533828","ISSN":"1476-5578","abstract":"While comorbidity between coronary heart disease (CHD) and depression is evident, it is unclear whether the two diseases have shared underlying mechanisms. We performed a range of analyses in 367,703 unrelated middle-aged participants of European ancestry from UK Biobank, a population based cohort study, to assess whether comorbidity is primarily due to genetic or environmental factors, and to test whether cardiovascular risk factors and CHD are likely to be causally related to depression using Mendelian randomization. We showed family history of heart disease was associated with a 20% increase in depression risk (95% confidence interval [CI] 16% to 24%, p&lt;0.0001), but a genetic risk score that is strongly associated with CHD risk was not associated with depression. An increase of one standard deviation in the CHD genetic risk score was associated with 71% higher CHD risk, but 1% higher depression risk (95% CI 0% to 3%; p=0.11). Mendelian randomization analyses suggested that triglycerides, interleukin-6 (IL-6), and C-reactive protein (CRP) are likely causal risk factors for depression. The odds ratio for depression per standard deviation increase in genetically-predicted triglycerides was 1.18 (95% CI 1.09 to 1.27; p=2× 10-5); per unit increase in genetically-predicted log-transformed IL-6 was 0.74 (95% CI 0.62 to 0.89; p=0.0012); and per unit increase in genetically-predicted log-transformed CRP was 1.18 (95% CI 1.07 to 1.29; p=0.0009). Our analyses suggest that comorbidity between depression and CHD arises largely from shared environmental factors. IL-6, CRP and triglycerides, are likely to be causally linked with depression, so could be targets for treatment and prevention of depression.","author":[{"dropping-particle":"","family":"Khandaker","given":"Golam M","non-dropping-particle":"","parse-names":false,"suffix":""},{"dropping-particle":"","family":"Zuber","given":"Verena","non-dropping-particle":"","parse-names":false,"suffix":""},{"dropping-particle":"","family":"Rees","given":"Jessica MB","non-dropping-particle":"","parse-names":false,"suffix":""},{"dropping-particle":"","family":"Carvalho","given":"Livia","non-dropping-particle":"","parse-names":false,"suffix":""},{"dropping-particle":"","family":"Mason","given":"Amy M","non-dropping-particle":"","parse-names":false,"suffix":""},{"dropping-particle":"","family":"Foley","given":"Christopher N","non-dropping-particle":"","parse-names":false,"suffix":""},{"dropping-particle":"","family":"Gkatzionis","given":"Apostolos","non-dropping-particle":"","parse-names":false,"suffix":""},{"dropping-particle":"","family":"Jones","given":"Peter B","non-dropping-particle":"","parse-names":false,"suffix":""},{"dropping-particle":"","family":"Burgess","given":"Stephen","non-dropping-particle":"","parse-names":false,"suffix":""}],"container-title":"Molecular psychiatry","id":"ITEM-1","issued":{"date-parts":[["2020"]]},"page":"1477-1486","publisher":"Springer US","title":"Shared mechanisms between coronary heart disease and depression: findings from a large UK general population-based cohort","type":"article-journal","volume":"25"},"uris":["http://www.mendeley.com/documents/?uuid=aeb870fc-504d-44fa-9485-c75ae73ef051"]}],"mendeley":{"formattedCitation":"[47]","plainTextFormattedCitation":"[47]","previouslyFormattedCitation":"[47]"},"properties":{"noteIndex":0},"schema":"https://github.com/citation-style-language/schema/raw/master/csl-citation.json"}</w:instrText>
      </w:r>
      <w:r w:rsidR="003335F8" w:rsidRPr="00571EA4">
        <w:rPr>
          <w:highlight w:val="white"/>
          <w:lang w:val="en-GB"/>
        </w:rPr>
        <w:fldChar w:fldCharType="separate"/>
      </w:r>
      <w:r w:rsidR="00625A4A" w:rsidRPr="00571EA4">
        <w:rPr>
          <w:noProof/>
          <w:highlight w:val="white"/>
          <w:lang w:val="en-GB"/>
        </w:rPr>
        <w:t>[47]</w:t>
      </w:r>
      <w:r w:rsidR="003335F8" w:rsidRPr="00571EA4">
        <w:rPr>
          <w:highlight w:val="white"/>
          <w:lang w:val="en-GB"/>
        </w:rPr>
        <w:fldChar w:fldCharType="end"/>
      </w:r>
      <w:r w:rsidR="00506135" w:rsidRPr="00571EA4">
        <w:rPr>
          <w:highlight w:val="white"/>
          <w:lang w:val="en-GB"/>
        </w:rPr>
        <w:t>.</w:t>
      </w:r>
      <w:r w:rsidR="000175E9" w:rsidRPr="00571EA4">
        <w:rPr>
          <w:highlight w:val="white"/>
          <w:lang w:val="en-GB"/>
        </w:rPr>
        <w:t xml:space="preserve"> </w:t>
      </w:r>
      <w:r w:rsidR="003335F8" w:rsidRPr="00571EA4">
        <w:rPr>
          <w:highlight w:val="white"/>
          <w:lang w:val="en-GB"/>
        </w:rPr>
        <w:t>It could be hypothesized that the genetic instrument for CRP may partially capture the activity of IL-6 classic signalling that promotes regenerative and protective responses for neuronal function</w:t>
      </w:r>
      <w:r w:rsidR="00506135" w:rsidRPr="00571EA4">
        <w:rPr>
          <w:highlight w:val="white"/>
          <w:lang w:val="en-GB"/>
        </w:rPr>
        <w:t xml:space="preserve"> </w:t>
      </w:r>
      <w:r w:rsidR="003335F8" w:rsidRPr="00571EA4">
        <w:rPr>
          <w:highlight w:val="white"/>
          <w:lang w:val="en-GB"/>
        </w:rPr>
        <w:fldChar w:fldCharType="begin" w:fldLock="1"/>
      </w:r>
      <w:r w:rsidR="0048155C">
        <w:rPr>
          <w:highlight w:val="white"/>
          <w:lang w:val="en-GB"/>
        </w:rPr>
        <w:instrText>ADDIN CSL_CITATION {"citationItems":[{"id":"ITEM-1","itemData":{"DOI":"10.1016/j.bbi.2018.02.013","ISSN":"0889-1591","author":[{"dropping-particle":"Del","family":"Giudice","given":"Marco","non-dropping-particle":"","parse-names":false,"suffix":""},{"dropping-particle":"","family":"Gangestad","given":"Steven W","non-dropping-particle":"","parse-names":false,"suffix":""}],"container-title":"Brain Behavior and Immunity","id":"ITEM-1","issued":{"date-parts":[["2018"]]},"page":"61-75","publisher":"Elsevier Inc.","title":"Rethinking IL-6 and CRP : Why they are more than inflammatory biomarkers , and why it matters","type":"article-journal","volume":"70"},"uris":["http://www.mendeley.com/documents/?uuid=fc1aba78-1fac-477c-98c3-a86aec25a8d4"]}],"mendeley":{"formattedCitation":"[48]","plainTextFormattedCitation":"[48]","previouslyFormattedCitation":"[48]"},"properties":{"noteIndex":0},"schema":"https://github.com/citation-style-language/schema/raw/master/csl-citation.json"}</w:instrText>
      </w:r>
      <w:r w:rsidR="003335F8" w:rsidRPr="00571EA4">
        <w:rPr>
          <w:highlight w:val="white"/>
          <w:lang w:val="en-GB"/>
        </w:rPr>
        <w:fldChar w:fldCharType="separate"/>
      </w:r>
      <w:r w:rsidR="00625A4A" w:rsidRPr="00571EA4">
        <w:rPr>
          <w:noProof/>
          <w:highlight w:val="white"/>
          <w:lang w:val="en-GB"/>
        </w:rPr>
        <w:t>[48]</w:t>
      </w:r>
      <w:r w:rsidR="003335F8" w:rsidRPr="00571EA4">
        <w:rPr>
          <w:highlight w:val="white"/>
          <w:lang w:val="en-GB"/>
        </w:rPr>
        <w:fldChar w:fldCharType="end"/>
      </w:r>
      <w:r w:rsidR="00506135" w:rsidRPr="00571EA4">
        <w:rPr>
          <w:highlight w:val="white"/>
          <w:lang w:val="en-GB"/>
        </w:rPr>
        <w:t>.</w:t>
      </w:r>
      <w:r w:rsidR="003335F8" w:rsidRPr="00571EA4">
        <w:rPr>
          <w:highlight w:val="white"/>
        </w:rPr>
        <w:t xml:space="preserve"> </w:t>
      </w:r>
      <w:r w:rsidR="008A034E" w:rsidRPr="00571EA4">
        <w:rPr>
          <w:highlight w:val="white"/>
        </w:rPr>
        <w:t xml:space="preserve">Hence, IL-6 classic signalling may potentially underlie protective findings for schizophrenia and depression. </w:t>
      </w:r>
      <w:r w:rsidR="003335F8" w:rsidRPr="00571EA4">
        <w:rPr>
          <w:highlight w:val="white"/>
        </w:rPr>
        <w:t>Conversely, IL-6 trans-signalling</w:t>
      </w:r>
      <w:r w:rsidR="0018097A" w:rsidRPr="00571EA4">
        <w:rPr>
          <w:highlight w:val="white"/>
        </w:rPr>
        <w:t>, which has been implicated in chronic inflammatory conditions such as rheumatoid arthritis and is primarily responsible for the pro-inflammatory role of IL-6</w:t>
      </w:r>
      <w:r w:rsidR="00D8786A" w:rsidRPr="00571EA4">
        <w:rPr>
          <w:highlight w:val="white"/>
        </w:rPr>
        <w:t xml:space="preserve"> </w:t>
      </w:r>
      <w:r w:rsidR="00DD298D" w:rsidRPr="00571EA4">
        <w:rPr>
          <w:highlight w:val="white"/>
        </w:rPr>
        <w:fldChar w:fldCharType="begin" w:fldLock="1"/>
      </w:r>
      <w:r w:rsidR="00D613B9" w:rsidRPr="00571EA4">
        <w:rPr>
          <w:highlight w:val="white"/>
        </w:rPr>
        <w:instrText>ADDIN CSL_CITATION {"citationItems":[{"id":"ITEM-1","itemData":{"DOI":"10.1038/ni.3153","ISSN":"1529-2908","PMID":"25898198","abstract":"Interleukin 6 (IL-6) has a broad effect on cells of the immune system and those not of the immune system and often displays hormone-like characteristics that affect homeostatic processes. IL-6 has context-dependent pro- and anti-inflammatory properties and is now regarded as a prominent target for clinical intervention. However, the signaling cassette that controls the activity of IL-6 is complicated, and distinct intervention strategies can inhibit this pathway. Clinical experience with antagonists of IL-6 has raised new questions about how and when to block this cytokine to improve disease outcome and patient wellbeing. Here we discuss the effect of IL-6 on innate and adaptive immunity and the possible advantages of various antagonists of IL-6 and consider how the immunobiology of IL-6 may inform clinical decisions.","author":[{"dropping-particle":"","family":"Hunter","given":"Christopher A.","non-dropping-particle":"","parse-names":false,"suffix":""},{"dropping-particle":"","family":"Jones","given":"Simon A.","non-dropping-particle":"","parse-names":false,"suffix":""}],"container-title":"Nature Immunology","id":"ITEM-1","issue":"5","issued":{"date-parts":[["2015","5"]]},"page":"448-457","publisher":"Nature Publishing Group","title":"IL-6 as a keystone cytokine in health and disease","type":"article-journal","volume":"16"},"uris":["http://www.mendeley.com/documents/?uuid=f2c215d3-0713-4ed9-a759-3f1d673a1de8","http://www.mendeley.com/documents/?uuid=f7195512-c148-4cff-badc-2599ac42a8c7"]}],"mendeley":{"formattedCitation":"[49]","plainTextFormattedCitation":"[49]","previouslyFormattedCitation":"[49]"},"properties":{"noteIndex":0},"schema":"https://github.com/citation-style-language/schema/raw/master/csl-citation.json"}</w:instrText>
      </w:r>
      <w:r w:rsidR="00DD298D" w:rsidRPr="00571EA4">
        <w:rPr>
          <w:highlight w:val="white"/>
        </w:rPr>
        <w:fldChar w:fldCharType="separate"/>
      </w:r>
      <w:r w:rsidR="00625A4A" w:rsidRPr="00571EA4">
        <w:rPr>
          <w:noProof/>
          <w:highlight w:val="white"/>
        </w:rPr>
        <w:t>[49]</w:t>
      </w:r>
      <w:r w:rsidR="00DD298D" w:rsidRPr="00571EA4">
        <w:rPr>
          <w:highlight w:val="white"/>
        </w:rPr>
        <w:fldChar w:fldCharType="end"/>
      </w:r>
      <w:r w:rsidR="00D8786A" w:rsidRPr="00571EA4">
        <w:rPr>
          <w:highlight w:val="white"/>
        </w:rPr>
        <w:t>,</w:t>
      </w:r>
      <w:r w:rsidR="0018097A" w:rsidRPr="00571EA4">
        <w:rPr>
          <w:highlight w:val="white"/>
        </w:rPr>
        <w:t xml:space="preserve"> </w:t>
      </w:r>
      <w:r w:rsidR="008A034E" w:rsidRPr="00571EA4">
        <w:rPr>
          <w:highlight w:val="white"/>
        </w:rPr>
        <w:t xml:space="preserve">may be responsible for risk-increasing associations of </w:t>
      </w:r>
      <w:r w:rsidR="0018097A" w:rsidRPr="00571EA4">
        <w:rPr>
          <w:highlight w:val="white"/>
        </w:rPr>
        <w:t xml:space="preserve">genetic instruments for IL-6. </w:t>
      </w:r>
      <w:r w:rsidR="003335F8" w:rsidRPr="00571EA4">
        <w:rPr>
          <w:highlight w:val="white"/>
        </w:rPr>
        <w:t>Future analyses joinlty considering CRP and IL-6 genetic instruments may clarify the direct effect of each marker.</w:t>
      </w:r>
      <w:r w:rsidR="00DD298D" w:rsidRPr="00571EA4">
        <w:rPr>
          <w:highlight w:val="white"/>
        </w:rPr>
        <w:t xml:space="preserve"> </w:t>
      </w:r>
    </w:p>
    <w:p w14:paraId="2957CC6E" w14:textId="7EC53AFA" w:rsidR="00963212" w:rsidRPr="00571EA4" w:rsidRDefault="00625A4A" w:rsidP="00225096">
      <w:pPr>
        <w:rPr>
          <w:highlight w:val="white"/>
        </w:rPr>
      </w:pPr>
      <w:r w:rsidRPr="00571EA4">
        <w:rPr>
          <w:highlight w:val="white"/>
        </w:rPr>
        <w:t>I</w:t>
      </w:r>
      <w:r w:rsidR="00963212" w:rsidRPr="00571EA4">
        <w:rPr>
          <w:highlight w:val="white"/>
        </w:rPr>
        <w:t xml:space="preserve">t </w:t>
      </w:r>
      <w:r w:rsidRPr="00571EA4">
        <w:rPr>
          <w:highlight w:val="white"/>
        </w:rPr>
        <w:t>is</w:t>
      </w:r>
      <w:r w:rsidR="00963212" w:rsidRPr="00571EA4">
        <w:rPr>
          <w:highlight w:val="white"/>
        </w:rPr>
        <w:t xml:space="preserve"> also important to investigate if immunological markers </w:t>
      </w:r>
      <w:r w:rsidR="00D70276" w:rsidRPr="00571EA4">
        <w:rPr>
          <w:highlight w:val="white"/>
        </w:rPr>
        <w:t xml:space="preserve">beyond CRP and IL-6 </w:t>
      </w:r>
      <w:r w:rsidR="00963212" w:rsidRPr="00571EA4">
        <w:rPr>
          <w:highlight w:val="white"/>
        </w:rPr>
        <w:t>are potentially causally associated with depression</w:t>
      </w:r>
      <w:r w:rsidR="009953CE" w:rsidRPr="00571EA4">
        <w:rPr>
          <w:highlight w:val="white"/>
        </w:rPr>
        <w:t xml:space="preserve">, </w:t>
      </w:r>
      <w:r w:rsidR="009953CE" w:rsidRPr="00571EA4">
        <w:t>and to identify potential cellular drivers for IL-6 dysfunction.</w:t>
      </w:r>
      <w:r w:rsidR="00963212" w:rsidRPr="00571EA4">
        <w:rPr>
          <w:highlight w:val="white"/>
        </w:rPr>
        <w:t xml:space="preserve"> </w:t>
      </w:r>
      <w:r w:rsidR="00D70276" w:rsidRPr="00571EA4">
        <w:rPr>
          <w:highlight w:val="white"/>
        </w:rPr>
        <w:t xml:space="preserve">While </w:t>
      </w:r>
      <w:r w:rsidRPr="00571EA4">
        <w:rPr>
          <w:highlight w:val="white"/>
        </w:rPr>
        <w:t xml:space="preserve">CRP and IL-6 are commonly measured inflammatory markers, </w:t>
      </w:r>
      <w:r w:rsidR="00D70276" w:rsidRPr="00571EA4">
        <w:rPr>
          <w:highlight w:val="white"/>
        </w:rPr>
        <w:t xml:space="preserve">they </w:t>
      </w:r>
      <w:r w:rsidR="005A731D" w:rsidRPr="00571EA4">
        <w:rPr>
          <w:highlight w:val="white"/>
        </w:rPr>
        <w:t>have</w:t>
      </w:r>
      <w:r w:rsidRPr="00571EA4">
        <w:rPr>
          <w:highlight w:val="white"/>
        </w:rPr>
        <w:t xml:space="preserve"> </w:t>
      </w:r>
      <w:r w:rsidR="00D70276" w:rsidRPr="00571EA4">
        <w:rPr>
          <w:highlight w:val="white"/>
        </w:rPr>
        <w:t xml:space="preserve">multiple </w:t>
      </w:r>
      <w:r w:rsidRPr="00571EA4">
        <w:rPr>
          <w:highlight w:val="white"/>
        </w:rPr>
        <w:t xml:space="preserve">pro- and anti-inflammatory </w:t>
      </w:r>
      <w:r w:rsidR="005A731D" w:rsidRPr="00571EA4">
        <w:rPr>
          <w:highlight w:val="white"/>
        </w:rPr>
        <w:t>roles</w:t>
      </w:r>
      <w:r w:rsidRPr="00571EA4">
        <w:rPr>
          <w:highlight w:val="white"/>
        </w:rPr>
        <w:t xml:space="preserve"> such as </w:t>
      </w:r>
      <w:r w:rsidR="00D70276" w:rsidRPr="00571EA4">
        <w:rPr>
          <w:highlight w:val="white"/>
        </w:rPr>
        <w:t xml:space="preserve">those exerted through IL-6 classic and </w:t>
      </w:r>
      <w:r w:rsidR="00D70276" w:rsidRPr="00571EA4">
        <w:rPr>
          <w:highlight w:val="white"/>
        </w:rPr>
        <w:lastRenderedPageBreak/>
        <w:t xml:space="preserve">trans-signalling </w:t>
      </w:r>
      <w:r w:rsidR="00D70276" w:rsidRPr="00571EA4">
        <w:rPr>
          <w:highlight w:val="white"/>
        </w:rPr>
        <w:fldChar w:fldCharType="begin" w:fldLock="1"/>
      </w:r>
      <w:r w:rsidR="0048155C">
        <w:rPr>
          <w:highlight w:val="white"/>
        </w:rPr>
        <w:instrText>ADDIN CSL_CITATION {"citationItems":[{"id":"ITEM-1","itemData":{"DOI":"10.1016/j.bbi.2018.02.013","ISSN":"0889-1591","author":[{"dropping-particle":"Del","family":"Giudice","given":"Marco","non-dropping-particle":"","parse-names":false,"suffix":""},{"dropping-particle":"","family":"Gangestad","given":"Steven W","non-dropping-particle":"","parse-names":false,"suffix":""}],"container-title":"Brain Behavior and Immunity","id":"ITEM-1","issued":{"date-parts":[["2018"]]},"page":"61-75","publisher":"Elsevier Inc.","title":"Rethinking IL-6 and CRP : Why they are more than inflammatory biomarkers , and why it matters","type":"article-journal","volume":"70"},"uris":["http://www.mendeley.com/documents/?uuid=fc1aba78-1fac-477c-98c3-a86aec25a8d4"]}],"mendeley":{"formattedCitation":"[48]","plainTextFormattedCitation":"[48]","previouslyFormattedCitation":"[48]"},"properties":{"noteIndex":0},"schema":"https://github.com/citation-style-language/schema/raw/master/csl-citation.json"}</w:instrText>
      </w:r>
      <w:r w:rsidR="00D70276" w:rsidRPr="00571EA4">
        <w:rPr>
          <w:highlight w:val="white"/>
        </w:rPr>
        <w:fldChar w:fldCharType="separate"/>
      </w:r>
      <w:r w:rsidR="00D70276" w:rsidRPr="00571EA4">
        <w:rPr>
          <w:noProof/>
          <w:highlight w:val="white"/>
        </w:rPr>
        <w:t>[48]</w:t>
      </w:r>
      <w:r w:rsidR="00D70276" w:rsidRPr="00571EA4">
        <w:rPr>
          <w:highlight w:val="white"/>
        </w:rPr>
        <w:fldChar w:fldCharType="end"/>
      </w:r>
      <w:r w:rsidR="00D70276" w:rsidRPr="00571EA4">
        <w:rPr>
          <w:highlight w:val="white"/>
        </w:rPr>
        <w:t xml:space="preserve">, which complicates inferences about specific immunological mechanisms conferring risk for depression. </w:t>
      </w:r>
      <w:r w:rsidR="007E56CB" w:rsidRPr="00571EA4">
        <w:rPr>
          <w:highlight w:val="white"/>
        </w:rPr>
        <w:t>Case-control studies have implicated m</w:t>
      </w:r>
      <w:r w:rsidR="001675A8" w:rsidRPr="00571EA4">
        <w:rPr>
          <w:highlight w:val="white"/>
        </w:rPr>
        <w:t xml:space="preserve">ultiple </w:t>
      </w:r>
      <w:r w:rsidR="00DB450B" w:rsidRPr="00571EA4">
        <w:rPr>
          <w:highlight w:val="white"/>
        </w:rPr>
        <w:t xml:space="preserve">other </w:t>
      </w:r>
      <w:r w:rsidR="001675A8" w:rsidRPr="00571EA4">
        <w:rPr>
          <w:highlight w:val="white"/>
        </w:rPr>
        <w:t xml:space="preserve">pro- and anti-inflammatory markers in depression </w:t>
      </w:r>
      <w:r w:rsidR="00225096" w:rsidRPr="00571EA4">
        <w:rPr>
          <w:highlight w:val="white"/>
        </w:rPr>
        <w:fldChar w:fldCharType="begin" w:fldLock="1"/>
      </w:r>
      <w:r w:rsidR="00D613B9" w:rsidRPr="00571EA4">
        <w:rPr>
          <w:highlight w:val="white"/>
        </w:rPr>
        <w:instrText>ADDIN CSL_CITATION {"citationItems":[{"id":"ITEM-1","itemData":{"DOI":"10.1111/acps.12698","ISSN":"16000447","PMID":"28122130","abstract":"OBJECTIVE To conduct a systematic review and meta-analysis of studies that measured cytokine and chemokine levels in individuals with major depressive disorder (MDD) compared to healthy controls (HCs). METHOD The PubMed/MEDLINE, EMBASE, and PsycINFO databases were searched up until May 30, 2016. Effect sizes were estimated with random-effects models. RESULT Eighty-two studies comprising 3212 participants with MDD and 2798 HCs met inclusion criteria. Peripheral levels of interleukin-6 (IL-6), tumor necrosis factor (TNF)-alpha, IL-10, the soluble IL-2 receptor, C-C chemokine ligand 2, IL-13, IL-18, IL-12, the IL-1 receptor antagonist, and the soluble TNF receptor 2 were elevated in patients with MDD compared to HCs, whereas interferon-gamma levels were lower in MDD (Hedge's g = -0.477, P = 0.043). Levels of IL-1β, IL-2, IL-4, IL-8, the soluble IL-6 receptor (sIL-6R), IL-5, CCL-3, IL-17, and transforming growth factor-beta 1 were not significantly altered in individuals with MDD compared to HCs. Heterogeneity was large (I(2) : 51.6-97.7%), and sources of heterogeneity were explored (e.g., age, smoking status, and body mass index). CONCLUSION Our results further characterize a cytokine/chemokine profile associated with MDD. Future studies are warranted to further elucidate sources of heterogeneity, as well as biosignature cytokines secreted by other immune cells.","author":[{"dropping-particle":"","family":"Köhler","given":"C. A.","non-dropping-particle":"","parse-names":false,"suffix":""},{"dropping-particle":"","family":"Freitas","given":"T. H.","non-dropping-particle":"","parse-names":false,"suffix":""},{"dropping-particle":"","family":"Maes","given":"M.","non-dropping-particle":"","parse-names":false,"suffix":""},{"dropping-particle":"","family":"Andrade","given":"N. Q.","non-dropping-particle":"de","parse-names":false,"suffix":""},{"dropping-particle":"","family":"Liu","given":"C. S.","non-dropping-particle":"","parse-names":false,"suffix":""},{"dropping-particle":"","family":"Fernandes","given":"B. S.","non-dropping-particle":"","parse-names":false,"suffix":""},{"dropping-particle":"","family":"Stubbs","given":"B.","non-dropping-particle":"","parse-names":false,"suffix":""},{"dropping-particle":"","family":"Solmi","given":"M.","non-dropping-particle":"","parse-names":false,"suffix":""},{"dropping-particle":"","family":"Veronese","given":"N.","non-dropping-particle":"","parse-names":false,"suffix":""},{"dropping-particle":"","family":"Herrmann","given":"N.","non-dropping-particle":"","parse-names":false,"suffix":""},{"dropping-particle":"","family":"Raison","given":"C. L.","non-dropping-particle":"","parse-names":false,"suffix":""},{"dropping-particle":"","family":"Miller","given":"B. J.","non-dropping-particle":"","parse-names":false,"suffix":""},{"dropping-particle":"","family":"Lanctôt","given":"K. L.","non-dropping-particle":"","parse-names":false,"suffix":""},{"dropping-particle":"","family":"Carvalho","given":"A. F.","non-dropping-particle":"","parse-names":false,"suffix":""}],"container-title":"Acta Psychiatrica Scandinavica","id":"ITEM-1","issue":"5","issued":{"date-parts":[["2017"]]},"page":"373-387","title":"Peripheral cytokine and chemokine alterations in depression: a meta-analysis of 82 studies","type":"article-journal","volume":"135"},"uris":["http://www.mendeley.com/documents/?uuid=d5a081e4-ba91-4b54-b83e-8229683d7d62"]}],"mendeley":{"formattedCitation":"[6]","plainTextFormattedCitation":"[6]","previouslyFormattedCitation":"[6]"},"properties":{"noteIndex":0},"schema":"https://github.com/citation-style-language/schema/raw/master/csl-citation.json"}</w:instrText>
      </w:r>
      <w:r w:rsidR="00225096" w:rsidRPr="00571EA4">
        <w:rPr>
          <w:highlight w:val="white"/>
        </w:rPr>
        <w:fldChar w:fldCharType="separate"/>
      </w:r>
      <w:r w:rsidR="00225096" w:rsidRPr="00571EA4">
        <w:rPr>
          <w:noProof/>
          <w:highlight w:val="white"/>
        </w:rPr>
        <w:t>[6]</w:t>
      </w:r>
      <w:r w:rsidR="00225096" w:rsidRPr="00571EA4">
        <w:rPr>
          <w:highlight w:val="white"/>
        </w:rPr>
        <w:fldChar w:fldCharType="end"/>
      </w:r>
      <w:r w:rsidR="00225096" w:rsidRPr="00571EA4">
        <w:rPr>
          <w:highlight w:val="white"/>
        </w:rPr>
        <w:t xml:space="preserve"> </w:t>
      </w:r>
      <w:r w:rsidR="007E56CB" w:rsidRPr="00571EA4">
        <w:rPr>
          <w:highlight w:val="white"/>
        </w:rPr>
        <w:t>and immunophenotyping work suggests that patients exhibit increased monocyte, CD4</w:t>
      </w:r>
      <w:r w:rsidR="007E56CB" w:rsidRPr="00571EA4">
        <w:rPr>
          <w:highlight w:val="white"/>
          <w:vertAlign w:val="superscript"/>
        </w:rPr>
        <w:t>+</w:t>
      </w:r>
      <w:r w:rsidR="007E56CB" w:rsidRPr="00571EA4">
        <w:rPr>
          <w:highlight w:val="white"/>
        </w:rPr>
        <w:t xml:space="preserve"> T cell, and neutrophil counts </w:t>
      </w:r>
      <w:r w:rsidR="00225096" w:rsidRPr="00571EA4">
        <w:rPr>
          <w:highlight w:val="white"/>
        </w:rPr>
        <w:fldChar w:fldCharType="begin" w:fldLock="1"/>
      </w:r>
      <w:r w:rsidR="00D613B9" w:rsidRPr="00571EA4">
        <w:rPr>
          <w:highlight w:val="white"/>
        </w:rPr>
        <w:instrText>ADDIN CSL_CITATION {"citationItems":[{"id":"ITEM-1","itemData":{"DOI":"10.1016/j.biopsych.2019.11.017","ISSN":"00063223","abstract":"Depression has been associated with increased inflammatory proteins but changes in circulating immune cells are less well defined. We used multi-parametric flow cytometry to investigate 14 subsets of peripheral blood cells in 206 cases of major depressive disorder (MDD) and 77 age- and sex-matched controls. There were significant case-control differences, by univariate and multivariate analysis: cases showed increased immune cell counts, especially neutrophils, CD4+ T cells and monocytes, and increased inflammatory proteins (C-reactive protein and interleukin-6). Within-group analysis demonstrated significant association between the severity of depressive symptoms and increased myeloid and CD4+ cell counts. MDD cases could be partitioned into two groups by forced binary clustering of cell counts: the inflamed depression group (N=81 out of 206; 39%) had increased monocyte, CD4+ and neutrophil counts, increased C-reactive protein (CRP) and interleukin 6 (IL-6), and was more depressed than the uninflamed majority of cases. Relaxing the presumption of a binary classification, data-driven clustering identified four subgroups of MDD cases: two of these subgroups (N=38 and N=100; 67% collectively) were associated with increased inflammatory proteins and more severe depression, but differed from each other in the relative weighting of myeloid and lymphoid cell counts. Case-control and within-group results were robust to statistical control for the potentially confounding effects of age, sex, BMI, recent infection status, and tobacco use. Peripheral blood immunophenotyping can be used to identify a candidate cellular biomarker of inflamed depression, and to further decompose that binary partition, suggesting that there is more than one mechanistic pathway underlying inflamed depression. One Sentence Summary Two subgroups of depressed cases (about two-thirds of all 206 cases) were identified by peripheral blood biomarker evidence of distinctive cellular immunophenotypes, biased towards the myeloid or lymphoid lineages in different subgroups, but consistently associated with increased blood concentrations of inflammatory proteins and greater severity of depressive symptoms.","author":[{"dropping-particle":"","family":"Lynall","given":"Mary-Ellen","non-dropping-particle":"","parse-names":false,"suffix":""},{"dropping-particle":"","family":"Turner","given":"Lorinda","non-dropping-particle":"","parse-names":false,"suffix":""},{"dropping-particle":"","family":"Bhatti","given":"Junaid","non-dropping-particle":"","parse-names":false,"suffix":""},{"dropping-particle":"","family":"Cavanagh","given":"Jonathan","non-dropping-particle":"","parse-names":false,"suffix":""},{"dropping-particle":"","family":"Boer","given":"Peter","non-dropping-particle":"de","parse-names":false,"suffix":""},{"dropping-particle":"","family":"Mondelli","given":"Valeria","non-dropping-particle":"","parse-names":false,"suffix":""},{"dropping-particle":"","family":"Jones","given":"Declan","non-dropping-particle":"","parse-names":false,"suffix":""},{"dropping-particle":"","family":"Drevets","given":"Wayne C.","non-dropping-particle":"","parse-names":false,"suffix":""},{"dropping-particle":"","family":"Cowen","given":"Philip","non-dropping-particle":"","parse-names":false,"suffix":""},{"dropping-particle":"","family":"Harrison","given":"Neil A.","non-dropping-particle":"","parse-names":false,"suffix":""},{"dropping-particle":"","family":"Pariante","given":"Carmine M","non-dropping-particle":"","parse-names":false,"suffix":""},{"dropping-particle":"","family":"Pointon","given":"Linda","non-dropping-particle":"","parse-names":false,"suffix":""},{"dropping-particle":"","family":"Clatworthy","given":"Menna R.","non-dropping-particle":"","parse-names":false,"suffix":""},{"dropping-particle":"","family":"Bullmore","given":"Edward","non-dropping-particle":"","parse-names":false,"suffix":""}],"container-title":"Biological Psychiatry","id":"ITEM-1","issue":"2","issued":{"date-parts":[["2020","7"]]},"page":"185-196","publisher":"Society of Biological Psychiatry","title":"Peripheral Blood Cell–Stratified Subgroups of Inflamed Depression","type":"article-journal","volume":"88"},"uris":["http://www.mendeley.com/documents/?uuid=5c680f05-1925-4f4e-bbe9-4736636db96d","http://www.mendeley.com/documents/?uuid=f3630846-6b17-44e5-abfe-435055e00af6"]}],"mendeley":{"formattedCitation":"[50]","plainTextFormattedCitation":"[50]","previouslyFormattedCitation":"[50]"},"properties":{"noteIndex":0},"schema":"https://github.com/citation-style-language/schema/raw/master/csl-citation.json"}</w:instrText>
      </w:r>
      <w:r w:rsidR="00225096" w:rsidRPr="00571EA4">
        <w:rPr>
          <w:highlight w:val="white"/>
        </w:rPr>
        <w:fldChar w:fldCharType="separate"/>
      </w:r>
      <w:r w:rsidR="00225096" w:rsidRPr="00571EA4">
        <w:rPr>
          <w:noProof/>
          <w:highlight w:val="white"/>
        </w:rPr>
        <w:t>[50]</w:t>
      </w:r>
      <w:r w:rsidR="00225096" w:rsidRPr="00571EA4">
        <w:rPr>
          <w:highlight w:val="white"/>
        </w:rPr>
        <w:fldChar w:fldCharType="end"/>
      </w:r>
      <w:r w:rsidR="007E56CB" w:rsidRPr="00571EA4">
        <w:rPr>
          <w:highlight w:val="white"/>
        </w:rPr>
        <w:t>. Mechanistically,</w:t>
      </w:r>
      <w:r w:rsidR="00225096" w:rsidRPr="00571EA4">
        <w:rPr>
          <w:highlight w:val="white"/>
        </w:rPr>
        <w:t xml:space="preserve"> it has been suggested that</w:t>
      </w:r>
      <w:r w:rsidR="007E56CB" w:rsidRPr="00571EA4">
        <w:rPr>
          <w:highlight w:val="white"/>
        </w:rPr>
        <w:t xml:space="preserve"> these </w:t>
      </w:r>
      <w:r w:rsidR="00225096" w:rsidRPr="00571EA4">
        <w:rPr>
          <w:highlight w:val="white"/>
        </w:rPr>
        <w:t xml:space="preserve">dysregulations could contribute to depression risk via multiple processes such as kynurenine pathway activation, imbalances in T cell subsets towards a pro-inflammatory phenotype, and reduced neuroplasticity </w:t>
      </w:r>
      <w:r w:rsidR="00225096" w:rsidRPr="00571EA4">
        <w:rPr>
          <w:highlight w:val="white"/>
        </w:rPr>
        <w:fldChar w:fldCharType="begin" w:fldLock="1"/>
      </w:r>
      <w:r w:rsidR="0048155C">
        <w:rPr>
          <w:highlight w:val="white"/>
        </w:rPr>
        <w:instrText>ADDIN CSL_CITATION {"citationItems":[{"id":"ITEM-1","itemData":{"DOI":"10.1016/j.euroneuro.2020.11.016","ISSN":"18737862","abstract":"A growing number of studies are pointing out the need for a conceptual shift from a brain-centered to a body-inclusive approach in mental health research. In this perspective, the link between the immune and the nervous system, which are deeply interconnected and continuously interacting, is one of the most important novel theoretical framework to investigate the biological bases of major depressive disorder and, more in general, mental illness. Indeed, depressed patients show high levels of inflammatory markers, administration of pro-inflammatory drugs triggers a depressive symptomatology and antidepressant efficacy is reduced by excessive immune system activation. A number of molecular and cellular mechanisms have been hypothesized to act as a link between the immune and brain function, thus representing potential pharmacologically targetable processes for the development of novel and effective therapeutic strategies. These include the modulation of the kynurenine pathway, the crosstalk between metabolic and inflammatory processes, the imbalance in acquired immune responses, in particular T cell responses, and the interplay between neural plasticity and immune system activation. In the personalized medicine approach, the assessment and regulation of these processes have the potential to lead, respectively, to novel diagnostic approaches for the prediction of treatment outcome according to the patient's immunological profile, and to improved efficacy of antidepressant compounds through immune modulation.","author":[{"dropping-particle":"","family":"Branchi","given":"Igor","non-dropping-particle":"","parse-names":false,"suffix":""},{"dropping-particle":"","family":"Poggini","given":"Silvia","non-dropping-particle":"","parse-names":false,"suffix":""},{"dropping-particle":"","family":"Capuron","given":"Lucile","non-dropping-particle":"","parse-names":false,"suffix":""},{"dropping-particle":"","family":"Benedetti","given":"Francesco","non-dropping-particle":"","parse-names":false,"suffix":""},{"dropping-particle":"","family":"Poletti","given":"Sara","non-dropping-particle":"","parse-names":false,"suffix":""},{"dropping-particle":"","family":"Tamouza","given":"Ryad","non-dropping-particle":"","parse-names":false,"suffix":""},{"dropping-particle":"","family":"Drexhage","given":"Hemmo A.","non-dropping-particle":"","parse-names":false,"suffix":""},{"dropping-particle":"","family":"Penninx","given":"Brenda W.J.H.","non-dropping-particle":"","parse-names":false,"suffix":""},{"dropping-particle":"","family":"Pariante","given":"Carmine M.","non-dropping-particle":"","parse-names":false,"suffix":""}],"container-title":"European Neuropsychopharmacology","id":"ITEM-1","issued":{"date-parts":[["2021"]]},"page":"89-107","publisher":"Elsevier B.V.","title":"Brain-immune crosstalk in the treatment of major depressive disorder","type":"article-journal","volume":"45"},"uris":["http://www.mendeley.com/documents/?uuid=5fcd7ceb-fe92-40a7-8044-3206c29ae396"]}],"mendeley":{"formattedCitation":"[51]","plainTextFormattedCitation":"[51]","previouslyFormattedCitation":"[51]"},"properties":{"noteIndex":0},"schema":"https://github.com/citation-style-language/schema/raw/master/csl-citation.json"}</w:instrText>
      </w:r>
      <w:r w:rsidR="00225096" w:rsidRPr="00571EA4">
        <w:rPr>
          <w:highlight w:val="white"/>
        </w:rPr>
        <w:fldChar w:fldCharType="separate"/>
      </w:r>
      <w:r w:rsidR="00225096" w:rsidRPr="00571EA4">
        <w:rPr>
          <w:noProof/>
          <w:highlight w:val="white"/>
        </w:rPr>
        <w:t>[51]</w:t>
      </w:r>
      <w:r w:rsidR="00225096" w:rsidRPr="00571EA4">
        <w:rPr>
          <w:highlight w:val="white"/>
        </w:rPr>
        <w:fldChar w:fldCharType="end"/>
      </w:r>
      <w:r w:rsidR="00225096" w:rsidRPr="00571EA4">
        <w:rPr>
          <w:highlight w:val="white"/>
        </w:rPr>
        <w:t xml:space="preserve">. Distinguishing these processes requires further population-based studies and experimental animal and human </w:t>
      </w:r>
      <w:r w:rsidR="00453E28" w:rsidRPr="00571EA4">
        <w:rPr>
          <w:highlight w:val="white"/>
        </w:rPr>
        <w:t>studies including</w:t>
      </w:r>
      <w:r w:rsidR="00225096" w:rsidRPr="00571EA4">
        <w:rPr>
          <w:highlight w:val="white"/>
        </w:rPr>
        <w:t xml:space="preserve"> detailed immunophenotyping</w:t>
      </w:r>
      <w:r w:rsidR="00453E28" w:rsidRPr="00571EA4">
        <w:rPr>
          <w:highlight w:val="white"/>
        </w:rPr>
        <w:t xml:space="preserve"> of patients with depression</w:t>
      </w:r>
      <w:r w:rsidR="00225096" w:rsidRPr="00571EA4">
        <w:rPr>
          <w:highlight w:val="white"/>
        </w:rPr>
        <w:t>.</w:t>
      </w:r>
      <w:r w:rsidR="00354111" w:rsidRPr="00571EA4">
        <w:rPr>
          <w:highlight w:val="white"/>
        </w:rPr>
        <w:t xml:space="preserve"> </w:t>
      </w:r>
    </w:p>
    <w:p w14:paraId="4B0BBE52" w14:textId="3D9CBF1B" w:rsidR="00DB3877" w:rsidRPr="00571EA4" w:rsidRDefault="00963212" w:rsidP="00B352A2">
      <w:pPr>
        <w:rPr>
          <w:rFonts w:cs="Times New Roman"/>
          <w:highlight w:val="white"/>
          <w:lang w:val="en-GB"/>
        </w:rPr>
      </w:pPr>
      <w:r w:rsidRPr="00571EA4">
        <w:rPr>
          <w:rFonts w:cs="Times New Roman"/>
          <w:highlight w:val="white"/>
          <w:lang w:val="en-GB"/>
        </w:rPr>
        <w:t>Finally, w</w:t>
      </w:r>
      <w:r w:rsidR="003511BE" w:rsidRPr="00571EA4">
        <w:rPr>
          <w:rFonts w:cs="Times New Roman"/>
          <w:highlight w:val="white"/>
          <w:lang w:val="en-GB"/>
        </w:rPr>
        <w:t>hile MR analysis can provide evidence for causality, population genomic approaches alone are not sufficient to clarify pathophysiologic mechanisms fully</w:t>
      </w:r>
      <w:r w:rsidR="00DB3877" w:rsidRPr="00571EA4">
        <w:rPr>
          <w:rFonts w:cs="Times New Roman"/>
          <w:highlight w:val="white"/>
          <w:lang w:val="en-GB"/>
        </w:rPr>
        <w:t xml:space="preserve"> and t</w:t>
      </w:r>
      <w:r w:rsidR="003511BE" w:rsidRPr="00571EA4">
        <w:rPr>
          <w:rFonts w:cs="Times New Roman"/>
          <w:highlight w:val="white"/>
          <w:lang w:val="en-GB"/>
        </w:rPr>
        <w:t xml:space="preserve">riangulation of evidence </w:t>
      </w:r>
      <w:r w:rsidR="00DB3877" w:rsidRPr="00571EA4">
        <w:rPr>
          <w:rFonts w:cs="Times New Roman"/>
          <w:highlight w:val="white"/>
          <w:lang w:val="en-GB"/>
        </w:rPr>
        <w:t xml:space="preserve">from </w:t>
      </w:r>
      <w:r w:rsidR="003511BE" w:rsidRPr="00571EA4">
        <w:rPr>
          <w:rFonts w:cs="Times New Roman"/>
          <w:highlight w:val="white"/>
          <w:lang w:val="en-GB"/>
        </w:rPr>
        <w:t>different approaches</w:t>
      </w:r>
      <w:r w:rsidR="00703BE9" w:rsidRPr="00571EA4">
        <w:rPr>
          <w:rFonts w:cs="Times New Roman"/>
          <w:highlight w:val="white"/>
          <w:lang w:val="en-GB"/>
        </w:rPr>
        <w:t xml:space="preserve"> are required</w:t>
      </w:r>
      <w:r w:rsidR="00DB3877" w:rsidRPr="00571EA4">
        <w:rPr>
          <w:rFonts w:cs="Times New Roman"/>
          <w:highlight w:val="white"/>
          <w:lang w:val="en-GB"/>
        </w:rPr>
        <w:t>,</w:t>
      </w:r>
      <w:r w:rsidR="003511BE" w:rsidRPr="00571EA4">
        <w:rPr>
          <w:rFonts w:cs="Times New Roman"/>
          <w:highlight w:val="white"/>
          <w:lang w:val="en-GB"/>
        </w:rPr>
        <w:t xml:space="preserve"> including experimental studies of immune-modulation in humans</w:t>
      </w:r>
      <w:r w:rsidR="00DB3877" w:rsidRPr="00571EA4">
        <w:rPr>
          <w:rFonts w:cs="Times New Roman"/>
          <w:highlight w:val="white"/>
          <w:lang w:val="en-GB"/>
        </w:rPr>
        <w:t>.</w:t>
      </w:r>
      <w:r w:rsidR="003B5A0D" w:rsidRPr="00571EA4">
        <w:rPr>
          <w:rFonts w:cs="Times New Roman"/>
          <w:highlight w:val="white"/>
          <w:lang w:val="en-GB"/>
        </w:rPr>
        <w:t xml:space="preserve"> A potential pathophysiological role for inflammation is consistent with evidence from </w:t>
      </w:r>
      <w:r w:rsidR="003B5A0D" w:rsidRPr="00571EA4">
        <w:rPr>
          <w:rFonts w:ascii="Courier New" w:hAnsi="Courier New" w:cs="Courier New"/>
          <w:lang w:val="en-GB"/>
        </w:rPr>
        <w:t>﻿</w:t>
      </w:r>
      <w:r w:rsidR="003B5A0D" w:rsidRPr="00571EA4">
        <w:rPr>
          <w:rFonts w:cs="Times New Roman"/>
          <w:lang w:val="en-GB"/>
        </w:rPr>
        <w:t>meta-analyses showing antidepressant effects of anti-inflammatory agents</w:t>
      </w:r>
      <w:r w:rsidR="005B089F" w:rsidRPr="00571EA4">
        <w:rPr>
          <w:rFonts w:cs="Times New Roman"/>
          <w:lang w:val="en-GB"/>
        </w:rPr>
        <w:t xml:space="preserve"> </w:t>
      </w:r>
      <w:r w:rsidR="005B089F" w:rsidRPr="00571EA4">
        <w:rPr>
          <w:rFonts w:cs="Times New Roman"/>
          <w:lang w:val="en-GB"/>
        </w:rPr>
        <w:fldChar w:fldCharType="begin" w:fldLock="1"/>
      </w:r>
      <w:r w:rsidR="0048155C">
        <w:rPr>
          <w:rFonts w:cs="Times New Roman"/>
          <w:lang w:val="en-GB"/>
        </w:rPr>
        <w:instrText>ADDIN CSL_CITATION {"citationItems":[{"id":"ITEM-1","itemData":{"DOI":"10.1111/acps.13016","ISSN":"0001690X","PMID":"30834514","author":[{"dropping-particle":"","family":"Köhler-Forsberg","given":"Ole","non-dropping-particle":"","parse-names":false,"suffix":""},{"dropping-particle":"","family":"Nicolaisen Lydholm","given":"Cecilie","non-dropping-particle":"","parse-names":false,"suffix":""},{"dropping-particle":"","family":"Hjorthøj","given":"Carsten","non-dropping-particle":"","parse-names":false,"suffix":""},{"dropping-particle":"","family":"Nordentoft","given":"Merete","non-dropping-particle":"","parse-names":false,"suffix":""},{"dropping-particle":"","family":"Mors","given":"Ole","non-dropping-particle":"","parse-names":false,"suffix":""},{"dropping-particle":"","family":"Benros","given":"Michael Eriksen","non-dropping-particle":"","parse-names":false,"suffix":""}],"container-title":"Acta Psychiatrica Scandinavica","id":"ITEM-1","issued":{"date-parts":[["2019","3"]]},"page":"404-419","title":"Efficacy of anti-inflammatory treatment on major depressive disorder or depressive symptoms: Meta-analysis of clinical trials","type":"article-journal","volume":"139"},"uris":["http://www.mendeley.com/documents/?uuid=f75118b2-9f8e-4582-bf36-680e9491c834","http://www.mendeley.com/documents/?uuid=774d7610-c79a-4786-9773-5fd54f9c5bbb"]},{"id":"ITEM-2","itemData":{"DOI":"10.1038/mp.2016.167","ISBN":"1476-5578 (Electronic) 1359-4184 (Linking)","ISSN":"1359-4184","PMID":"27752078","abstract":"Inflammatory cytokines are commonly elevated in acute depression and are associated with resistance to monoaminergic treatment. To examine the potential role of cytokines in the pathogenesis and treatment of depression, we carried out a systematic review and meta-analysis of antidepressant activity of anti-cytokine treatment using clinical trials of chronic inflammatory conditions where depressive symptoms were measured as a secondary outcome. Systematic search of the PubMed, EMBASE, PsycINFO and Cochrane databases, search of reference lists and conference abstracts, followed by study selection process yielded 20 clinical trials. Random effect meta-analysis of seven randomised controlled trials (RCTs) involving 2370 participants showed a significant antidepressant effect of anti-cytokine treatment compared with placebo (standardised mean difference (SMD)=0.40, 95% confidence interval (CI), 0.22-0.59). Anti-tumour necrosis factor drugs were most commonly studied (five RCTs); SMD=0.33 (95% CI; 0.06-0.60). Separate meta-analyses of two RCTs of adjunctive treatment with anti-cytokine therapy and eight non-randomised and/or non-placebo studies yielded similar small-to-medium effect estimates favouring anti-cytokine therapy; SMD=0.19 (95% CI, 0.00-0.37) and 0.51 (95% CI, 0.34-0.67), respectively. Adalimumab, etanercept, infliximab and tocilizumab all showed statistically significant improvements in depressive symptoms. Meta-regression exploring predictors of response found that the antidepressant effect was associated with baseline symptom severity (P=0.018) but not with improvement in primary physical illness, sex, age or study duration. The findings indicate a potentially causal role for cytokines in depression and that cytokine modulators may be novel drugs for depression in chronically inflamed subjects. The field now requires RCTs of cytokine modulators using depression as the primary outcome in subjects with high inflammation who are free of other physical illnesses.Molecular Psychiatry advance online publication, 18 October 2016; doi:10.1038/mp.2016.167.","author":[{"dropping-particle":"","family":"Kappelmann","given":"Nils","non-dropping-particle":"","parse-names":false,"suffix":""},{"dropping-particle":"","family":"Lewis","given":"Glyn","non-dropping-particle":"","parse-names":false,"suffix":""},{"dropping-particle":"","family":"Dantzer","given":"Robert","non-dropping-particle":"","parse-names":false,"suffix":""},{"dropping-particle":"","family":"Jones","given":"Peter B","non-dropping-particle":"","parse-names":false,"suffix":""},{"dropping-particle":"","family":"Khandaker","given":"Golam M","non-dropping-particle":"","parse-names":false,"suffix":""}],"container-title":"Molecular Psychiatry","id":"ITEM-2","issue":"2","issued":{"date-parts":[["2018","2"]]},"page":"335-343","title":"Antidepressant activity of anti-cytokine treatment: a systematic review and meta-analysis of clinical trials of chronic inflammatory conditions","type":"article-journal","volume":"23"},"uris":["http://www.mendeley.com/documents/?uuid=0b5fe060-8ea7-495a-9888-64d5b71a89bf","http://www.mendeley.com/documents/?uuid=f1380e2e-73e6-4dae-ae4c-59ffff528eda"]},{"id":"ITEM-3","itemData":{"DOI":"10.1038/s41380-019-0471-8","ISSN":"1359-4184","author":[{"dropping-particle":"","family":"Wittenberg","given":"Gayle M","non-dropping-particle":"","parse-names":false,"suffix":""},{"dropping-particle":"","family":"Stylianou","given":"Annie","non-dropping-particle":"","parse-names":false,"suffix":""},{"dropping-particle":"","family":"Zhang","given":"Yun","non-dropping-particle":"","parse-names":false,"suffix":""},{"dropping-particle":"","family":"Sun","given":"Yu","non-dropping-particle":"","parse-names":false,"suffix":""},{"dropping-particle":"","family":"Gupta","given":"Ashutosh","non-dropping-particle":"","parse-names":false,"suffix":""},{"dropping-particle":"","family":"Jagannatha","given":"P. S.","non-dropping-particle":"","parse-names":false,"suffix":""},{"dropping-particle":"","family":"Wang","given":"Dai","non-dropping-particle":"","parse-names":false,"suffix":""},{"dropping-particle":"","family":"Hsu","given":"Benjamin","non-dropping-particle":"","parse-names":false,"suffix":""},{"dropping-particle":"","family":"Curran","given":"Mark E.","non-dropping-particle":"","parse-names":false,"suffix":""},{"dropping-particle":"","family":"Khan","given":"Shahid","non-dropping-particle":"","parse-names":false,"suffix":""},{"dropping-particle":"","family":"Chen","given":"Guang","non-dropping-particle":"","parse-names":false,"suffix":""},{"dropping-particle":"","family":"Bullmore","given":"Edward T","non-dropping-particle":"","parse-names":false,"suffix":""},{"dropping-particle":"","family":"Drevets","given":"Wayne C","non-dropping-particle":"","parse-names":false,"suffix":""}],"container-title":"Molecular Psychiatry","id":"ITEM-3","issue":"6","issued":{"date-parts":[["2020","6"]]},"page":"1275-1285","title":"Effects of immunomodulatory drugs on depressive symptoms: A mega-analysis of randomized, placebo-controlled clinical trials in inflammatory disorders","type":"article-journal","volume":"25"},"uris":["http://www.mendeley.com/documents/?uuid=3ba12b2a-1be7-47bf-8a35-c474c7b3112f","http://www.mendeley.com/documents/?uuid=d4c22c1d-f322-40cf-a7e2-70f50ab1ac4a"]}],"mendeley":{"formattedCitation":"[52–54]","plainTextFormattedCitation":"[52–54]","previouslyFormattedCitation":"[52–54]"},"properties":{"noteIndex":0},"schema":"https://github.com/citation-style-language/schema/raw/master/csl-citation.json"}</w:instrText>
      </w:r>
      <w:r w:rsidR="005B089F" w:rsidRPr="00571EA4">
        <w:rPr>
          <w:rFonts w:cs="Times New Roman"/>
          <w:lang w:val="en-GB"/>
        </w:rPr>
        <w:fldChar w:fldCharType="separate"/>
      </w:r>
      <w:r w:rsidR="00225096" w:rsidRPr="00571EA4">
        <w:rPr>
          <w:rFonts w:cs="Times New Roman"/>
          <w:noProof/>
          <w:lang w:val="en-GB"/>
        </w:rPr>
        <w:t>[52–54]</w:t>
      </w:r>
      <w:r w:rsidR="005B089F" w:rsidRPr="00571EA4">
        <w:rPr>
          <w:rFonts w:cs="Times New Roman"/>
          <w:lang w:val="en-GB"/>
        </w:rPr>
        <w:fldChar w:fldCharType="end"/>
      </w:r>
      <w:r w:rsidR="003B5A0D" w:rsidRPr="00571EA4">
        <w:rPr>
          <w:rFonts w:cs="Times New Roman"/>
          <w:lang w:val="en-GB"/>
        </w:rPr>
        <w:t>.</w:t>
      </w:r>
      <w:r w:rsidR="003B5A0D" w:rsidRPr="00571EA4">
        <w:rPr>
          <w:rFonts w:cs="Times New Roman"/>
          <w:highlight w:val="white"/>
          <w:lang w:val="en-GB"/>
        </w:rPr>
        <w:t xml:space="preserve"> </w:t>
      </w:r>
      <w:r w:rsidR="00C228C7" w:rsidRPr="00571EA4">
        <w:rPr>
          <w:rFonts w:cs="Times New Roman"/>
        </w:rPr>
        <w:t>However, some of the studies had small samples and/or were focused on patients with primary illnesses other than depression. A recent RCT</w:t>
      </w:r>
      <w:r w:rsidR="00D06046" w:rsidRPr="00571EA4">
        <w:rPr>
          <w:rFonts w:cs="Times New Roman"/>
          <w:i/>
        </w:rPr>
        <w:t xml:space="preserve"> </w:t>
      </w:r>
      <w:r w:rsidR="00D06046" w:rsidRPr="00571EA4">
        <w:rPr>
          <w:rFonts w:cs="Times New Roman"/>
          <w:i/>
        </w:rPr>
        <w:fldChar w:fldCharType="begin" w:fldLock="1"/>
      </w:r>
      <w:r w:rsidR="00116A5D" w:rsidRPr="00571EA4">
        <w:rPr>
          <w:rFonts w:cs="Times New Roman"/>
          <w:i/>
        </w:rPr>
        <w:instrText>ADDIN CSL_CITATION {"citationItems":[{"id":"ITEM-1","itemData":{"author":[{"dropping-particle":"","family":"ClinicalTrials.gov [Internet]","given":"","non-dropping-particle":"","parse-names":false,"suffix":""}],"id":"ITEM-1","issued":{"date-parts":[["2019"]]},"title":"Identifier NCT02473289, An Efficacy and Safety Study of Sirukumab in Participants With Major Depressive Disorder","type":"webpage"},"uris":["http://www.mendeley.com/documents/?uuid=07905926-b020-4ec8-a9f6-e78a28be23cc"]}],"mendeley":{"formattedCitation":"[55]","plainTextFormattedCitation":"[55]","previouslyFormattedCitation":"[55]"},"properties":{"noteIndex":0},"schema":"https://github.com/citation-style-language/schema/raw/master/csl-citation.json"}</w:instrText>
      </w:r>
      <w:r w:rsidR="00D06046" w:rsidRPr="00571EA4">
        <w:rPr>
          <w:rFonts w:cs="Times New Roman"/>
          <w:i/>
        </w:rPr>
        <w:fldChar w:fldCharType="separate"/>
      </w:r>
      <w:r w:rsidR="00D06046" w:rsidRPr="00571EA4">
        <w:rPr>
          <w:rFonts w:cs="Times New Roman"/>
          <w:noProof/>
        </w:rPr>
        <w:t>[55]</w:t>
      </w:r>
      <w:r w:rsidR="00D06046" w:rsidRPr="00571EA4">
        <w:rPr>
          <w:rFonts w:cs="Times New Roman"/>
          <w:i/>
        </w:rPr>
        <w:fldChar w:fldCharType="end"/>
      </w:r>
      <w:r w:rsidR="00D06046" w:rsidRPr="00571EA4">
        <w:rPr>
          <w:rFonts w:cs="Times New Roman"/>
          <w:lang w:val="en-GB"/>
        </w:rPr>
        <w:t xml:space="preserve"> </w:t>
      </w:r>
      <w:r w:rsidR="00C228C7" w:rsidRPr="00571EA4">
        <w:rPr>
          <w:rFonts w:cs="Times New Roman"/>
        </w:rPr>
        <w:t>of anti-IL-6 monoclonal antibody sirukumab showed improvement in anhedonia but did not report significant difference in overall depression severity. Although this study used elevated CRP as entry criteria, one off measurement of CRP may not be sufficient to identify patients with persistent inflammation.</w:t>
      </w:r>
      <w:r w:rsidR="00C228C7" w:rsidRPr="00571EA4">
        <w:rPr>
          <w:rFonts w:cs="Times New Roman"/>
          <w:i/>
        </w:rPr>
        <w:t xml:space="preserve"> </w:t>
      </w:r>
      <w:r w:rsidR="003B5A0D" w:rsidRPr="00571EA4">
        <w:rPr>
          <w:rFonts w:cs="Times New Roman"/>
          <w:lang w:val="en-GB"/>
        </w:rPr>
        <w:t xml:space="preserve"> </w:t>
      </w:r>
      <w:r w:rsidR="00D613B9" w:rsidRPr="00571EA4">
        <w:rPr>
          <w:rFonts w:cs="Times New Roman"/>
        </w:rPr>
        <w:t>A number of ongoing trials including small proof-of-concept studies are now testing potential clinical effects of immune-modulation on depression</w:t>
      </w:r>
      <w:r w:rsidR="00D613B9" w:rsidRPr="00571EA4">
        <w:rPr>
          <w:rFonts w:cs="Times New Roman"/>
          <w:i/>
        </w:rPr>
        <w:t xml:space="preserve"> </w:t>
      </w:r>
      <w:r w:rsidR="00591CD8" w:rsidRPr="00571EA4">
        <w:rPr>
          <w:rFonts w:cs="Times New Roman"/>
          <w:lang w:val="en-GB"/>
        </w:rPr>
        <w:fldChar w:fldCharType="begin" w:fldLock="1"/>
      </w:r>
      <w:r w:rsidR="000F2377">
        <w:rPr>
          <w:rFonts w:cs="Times New Roman"/>
          <w:lang w:val="en-GB"/>
        </w:rPr>
        <w:instrText>ADDIN CSL_CITATION {"citationItems":[{"id":"ITEM-1","itemData":{"DOI":"10.1136/bmjopen-2018-025333","ISSN":"2044-6055","abstract":"Introduction Observational studies indicate a potentially causal role for interleukin 6 (IL-6), a proinflammatory cytokine, in pathogenesis of depression, but interventional studies based on patients with depression have not been conducted. Tocilizumab, anti-inflammatory drug, is a humanised monoclonal antibody that inhibits IL-6 signalling and is licensed in the UK for treatment of rheumatoid arthritis. The main objectives of this study are to test whether IL-6 contributes to the pathogenesis of depression and to examine potential mechanisms by which IL-6 affects mood and cognition. A secondary objective is to compare depressed participants with and without evidence of low-grade systemic inflammation. Methods and analysis This is a proof-of-concept, randomised, parallel-group, double-blind, placebo- controlled clinical trial. Approximately 50 participants with International Classification of Diseases 10th revision (ICD-10) diagnosis of depression who have evidence of low-grade inflammation, defined as serum high-sensitivity C reactive protein (hs-CRP) level ≥3 mg/L, will receive either a single intravenous infusion of tocilizumab or normal saline. Blood samples, behavioural and cognitive measures will be collected at baseline and after infusion around day 7, 14 and 28. The primary outcome is somatic symptoms score around day 14 postinfusion. In addition, approximately, 50 depressed participants without low- grade inflammation (serum hs-CRP level &lt;3 mg/L) will complete the same baseline assessments as the randomised cohort.","author":[{"dropping-particle":"","family":"Khandaker","given":"Golam M","non-dropping-particle":"","parse-names":false,"suffix":""},{"dropping-particle":"","family":"Oltean","given":"Bianca P","non-dropping-particle":"","parse-names":false,"suffix":""},{"dropping-particle":"","family":"Kaser","given":"Muzaffer","non-dropping-particle":"","parse-names":false,"suffix":""},{"dropping-particle":"","family":"Dibben","given":"Claire R M","non-dropping-particle":"","parse-names":false,"suffix":""},{"dropping-particle":"","family":"Ramana","given":"Rajini","non-dropping-particle":"","parse-names":false,"suffix":""},{"dropping-particle":"","family":"Jadon","given":"Deepak R","non-dropping-particle":"","parse-names":false,"suffix":""},{"dropping-particle":"","family":"Dantzer","given":"Robert","non-dropping-particle":"","parse-names":false,"suffix":""},{"dropping-particle":"","family":"Coles","given":"Alasdair J","non-dropping-particle":"","parse-names":false,"suffix":""},{"dropping-particle":"","family":"Lewis","given":"Glyn","non-dropping-particle":"","parse-names":false,"suffix":""},{"dropping-particle":"","family":"Jones","given":"Peter B","non-dropping-particle":"","parse-names":false,"suffix":""}],"container-title":"BMJ Open","id":"ITEM-1","issue":"9","issued":{"date-parts":[["2018","9"]]},"page":"e025333","title":"Protocol for the insight study: a randomised controlled trial of single-dose tocilizumab in patients with depression and low-grade inflammation","type":"article-journal","volume":"8"},"uris":["http://www.mendeley.com/documents/?uuid=bb7d81a8-120c-3ee8-9620-089e0041b86c","http://www.mendeley.com/documents/?uuid=80fa9780-8823-4ed8-b1ee-e5f97b6eebfe"]},{"id":"ITEM-2","itemData":{"DOI":"10.1186/s13063-018-2829-7","ISSN":"17456215","abstract":"Background: In patients with major depressive disorder (MDD), antidepressant response and remission rates are low, highlighting the need for new treatment approaches. Recently, the abundant literature linking inflammatory processes and depressive symptoms have led to the hypothesis that selecting treatment for MDD based on the patient's inflammatory status could be a promising strategy to improve outcomes in patients suffering from MDD. The aim of the randomised control trial we propose is to investigate the antidepressant efficacy of the combined treatment of MDD with antidepressant medication plus anti-inflammatory medication in individuals with raised inflammation levels. For the first time, this study will prospectively test the efficacy of an antidepressant plus anti-inflammatory augmentation based on baseline inflammatory maker levels in MDD using a randomised controlled trial design. Methods: This study proposes to measure blood C-reactive protein (CRP) levels before the initiation of treatment in 200 participants with MDD. Study participants are then assigned into one of two study strata: either into the 'Depression with inflammation' stratum (CRP levels &gt; 3 mg/L); or into the 'Depression without inflammation' stratum (CRP levels ≤ 3 mg/L). Within each of the two study strata, participants randomly receive either antidepressant medication alone (vortioxetine) plus anti-inflammatory medication (celecoxib) or vortioxetine plus placebo for six weeks. At the end of the treatment period, participants have the opportunity to continue vortioxetine alone for a six-month post-trial period. Clinical outcomes are measured at baseline, fortnightly during the treatment period and at the three-month and six-month post-trial visits. The primary outcome is change in MADRS score, with a primary endpoint of a score reduction by 50% from baseline to six weeks (end of augmentation treatment with celecoxib). Secondary clinical outcomes are changes in the cognitive dimensions of depression (cognitive function, emotion processing and social cognition). Biological outcome measures (levels of CRP and other inflammatory markers) are measured at baseline, after six weeks of treatment and at the six-month post-trial visit. Discussion: The current study will generate novel evidence for biomarker-based personalised antidepressant treatment selection based on patient inflammatory status before treatment.","author":[{"dropping-particle":"","family":"Fourrier","given":"Célia","non-dropping-particle":"","parse-names":false,"suffix":""},{"dropping-particle":"","family":"Sampson","given":"Emma","non-dropping-particle":"","parse-names":false,"suffix":""},{"dropping-particle":"","family":"Mills","given":"Natalie T.","non-dropping-particle":"","parse-names":false,"suffix":""},{"dropping-particle":"","family":"Baune","given":"Bernhard T.","non-dropping-particle":"","parse-names":false,"suffix":""}],"container-title":"Trials","id":"ITEM-2","issue":"1","issued":{"date-parts":[["2018"]]},"page":"1-14","publisher":"Trials","title":"Anti-inflammatory treatment of depression: Study protocol for a randomised controlled trial of vortioxetine augmented with celecoxib or placebo","type":"article-journal","volume":"19"},"uris":["http://www.mendeley.com/documents/?uuid=09f91e98-2e92-4d4e-b210-3a57d1cf6f4c"]}],"mendeley":{"formattedCitation":"[56, 57]","plainTextFormattedCitation":"[56, 57]","previouslyFormattedCitation":"[56, 57]"},"properties":{"noteIndex":0},"schema":"https://github.com/citation-style-language/schema/raw/master/csl-citation.json"}</w:instrText>
      </w:r>
      <w:r w:rsidR="00591CD8" w:rsidRPr="00571EA4">
        <w:rPr>
          <w:rFonts w:cs="Times New Roman"/>
          <w:lang w:val="en-GB"/>
        </w:rPr>
        <w:fldChar w:fldCharType="separate"/>
      </w:r>
      <w:r w:rsidR="00116A5D" w:rsidRPr="00571EA4">
        <w:rPr>
          <w:rFonts w:cs="Times New Roman"/>
          <w:noProof/>
          <w:lang w:val="en-GB"/>
        </w:rPr>
        <w:t>[56, 57]</w:t>
      </w:r>
      <w:r w:rsidR="00591CD8" w:rsidRPr="00571EA4">
        <w:rPr>
          <w:rFonts w:cs="Times New Roman"/>
          <w:lang w:val="en-GB"/>
        </w:rPr>
        <w:fldChar w:fldCharType="end"/>
      </w:r>
      <w:r w:rsidR="00703BE9" w:rsidRPr="00571EA4">
        <w:rPr>
          <w:rFonts w:cs="Times New Roman"/>
          <w:lang w:val="en-GB"/>
        </w:rPr>
        <w:t xml:space="preserve">, </w:t>
      </w:r>
      <w:r w:rsidR="00D613B9" w:rsidRPr="00571EA4">
        <w:rPr>
          <w:rFonts w:cs="Times New Roman"/>
        </w:rPr>
        <w:t>especially in patients with signs of heightened and/or persistent inflammation. In future, adequately powered RCTs along with careful consideration of patient selection are required</w:t>
      </w:r>
      <w:r w:rsidR="00A41EE2" w:rsidRPr="00571EA4">
        <w:rPr>
          <w:rFonts w:cs="Times New Roman"/>
        </w:rPr>
        <w:t>.</w:t>
      </w:r>
    </w:p>
    <w:p w14:paraId="27E307F1" w14:textId="5F01BAB7" w:rsidR="00A961F7" w:rsidRPr="00571EA4" w:rsidRDefault="00A961F7" w:rsidP="00850904">
      <w:pPr>
        <w:ind w:firstLine="0"/>
        <w:rPr>
          <w:rFonts w:eastAsia="Times New Roman" w:cs="Times New Roman"/>
          <w:b/>
          <w:szCs w:val="24"/>
          <w:highlight w:val="white"/>
          <w:lang w:val="en-GB"/>
        </w:rPr>
      </w:pPr>
    </w:p>
    <w:p w14:paraId="27E307F2" w14:textId="6FA319E7" w:rsidR="00A961F7" w:rsidRPr="00571EA4" w:rsidRDefault="00A24B87" w:rsidP="009E17F4">
      <w:pPr>
        <w:pStyle w:val="Heading2"/>
        <w:rPr>
          <w:highlight w:val="white"/>
          <w:lang w:val="en-GB"/>
        </w:rPr>
      </w:pPr>
      <w:r w:rsidRPr="00571EA4">
        <w:rPr>
          <w:highlight w:val="white"/>
          <w:lang w:val="en-GB"/>
        </w:rPr>
        <w:lastRenderedPageBreak/>
        <w:t xml:space="preserve">Strengths </w:t>
      </w:r>
      <w:r w:rsidR="00882DCC" w:rsidRPr="00571EA4">
        <w:rPr>
          <w:highlight w:val="white"/>
          <w:lang w:val="en-GB"/>
        </w:rPr>
        <w:t>and</w:t>
      </w:r>
      <w:r w:rsidRPr="00571EA4">
        <w:rPr>
          <w:highlight w:val="white"/>
          <w:lang w:val="en-GB"/>
        </w:rPr>
        <w:t xml:space="preserve"> Limitations</w:t>
      </w:r>
    </w:p>
    <w:p w14:paraId="27E307F4" w14:textId="1D5F231D" w:rsidR="00A961F7" w:rsidRPr="00571EA4" w:rsidRDefault="00A022E5">
      <w:pPr>
        <w:rPr>
          <w:rFonts w:eastAsia="Times New Roman" w:cs="Times New Roman"/>
          <w:szCs w:val="24"/>
          <w:highlight w:val="white"/>
          <w:lang w:val="en-GB"/>
        </w:rPr>
      </w:pPr>
      <w:r w:rsidRPr="00571EA4">
        <w:rPr>
          <w:rFonts w:eastAsia="Times New Roman" w:cs="Times New Roman"/>
          <w:szCs w:val="24"/>
          <w:highlight w:val="white"/>
          <w:lang w:val="en-GB"/>
        </w:rPr>
        <w:t>S</w:t>
      </w:r>
      <w:r w:rsidR="00A24B87" w:rsidRPr="00571EA4">
        <w:rPr>
          <w:rFonts w:eastAsia="Times New Roman" w:cs="Times New Roman"/>
          <w:szCs w:val="24"/>
          <w:highlight w:val="white"/>
          <w:lang w:val="en-GB"/>
        </w:rPr>
        <w:t xml:space="preserve">trengths </w:t>
      </w:r>
      <w:r w:rsidRPr="00571EA4">
        <w:rPr>
          <w:rFonts w:eastAsia="Times New Roman" w:cs="Times New Roman"/>
          <w:szCs w:val="24"/>
          <w:highlight w:val="white"/>
          <w:lang w:val="en-GB"/>
        </w:rPr>
        <w:t xml:space="preserve">of the work </w:t>
      </w:r>
      <w:r w:rsidR="00A24B87" w:rsidRPr="00571EA4">
        <w:rPr>
          <w:rFonts w:eastAsia="Times New Roman" w:cs="Times New Roman"/>
          <w:szCs w:val="24"/>
          <w:highlight w:val="white"/>
          <w:lang w:val="en-GB"/>
        </w:rPr>
        <w:t>includ</w:t>
      </w:r>
      <w:r w:rsidRPr="00571EA4">
        <w:rPr>
          <w:rFonts w:eastAsia="Times New Roman" w:cs="Times New Roman"/>
          <w:szCs w:val="24"/>
          <w:highlight w:val="white"/>
          <w:lang w:val="en-GB"/>
        </w:rPr>
        <w:t>e</w:t>
      </w:r>
      <w:r w:rsidR="00A24B87" w:rsidRPr="00571EA4">
        <w:rPr>
          <w:rFonts w:eastAsia="Times New Roman" w:cs="Times New Roman"/>
          <w:szCs w:val="24"/>
          <w:highlight w:val="white"/>
          <w:lang w:val="en-GB"/>
        </w:rPr>
        <w:t xml:space="preserve"> </w:t>
      </w:r>
      <w:r w:rsidRPr="00571EA4">
        <w:rPr>
          <w:rFonts w:eastAsia="Times New Roman" w:cs="Times New Roman"/>
          <w:szCs w:val="24"/>
          <w:highlight w:val="white"/>
          <w:lang w:val="en-GB"/>
        </w:rPr>
        <w:t xml:space="preserve">use of </w:t>
      </w:r>
      <w:r w:rsidR="00A24B87" w:rsidRPr="00571EA4">
        <w:rPr>
          <w:rFonts w:eastAsia="Times New Roman" w:cs="Times New Roman"/>
          <w:szCs w:val="24"/>
          <w:highlight w:val="white"/>
          <w:lang w:val="en-GB"/>
        </w:rPr>
        <w:t>large samples</w:t>
      </w:r>
      <w:r w:rsidRPr="00571EA4">
        <w:rPr>
          <w:rFonts w:eastAsia="Times New Roman" w:cs="Times New Roman"/>
          <w:szCs w:val="24"/>
          <w:highlight w:val="white"/>
          <w:lang w:val="en-GB"/>
        </w:rPr>
        <w:t xml:space="preserve"> from two European cohorts allowing replication/v</w:t>
      </w:r>
      <w:r w:rsidR="00EC47B3" w:rsidRPr="00571EA4">
        <w:rPr>
          <w:rFonts w:eastAsia="Times New Roman" w:cs="Times New Roman"/>
          <w:szCs w:val="24"/>
          <w:highlight w:val="white"/>
          <w:lang w:val="en-GB"/>
        </w:rPr>
        <w:t>e</w:t>
      </w:r>
      <w:r w:rsidRPr="00571EA4">
        <w:rPr>
          <w:rFonts w:eastAsia="Times New Roman" w:cs="Times New Roman"/>
          <w:szCs w:val="24"/>
          <w:highlight w:val="white"/>
          <w:lang w:val="en-GB"/>
        </w:rPr>
        <w:t>rification</w:t>
      </w:r>
      <w:r w:rsidRPr="00571EA4" w:rsidDel="00A022E5">
        <w:rPr>
          <w:rFonts w:eastAsia="Times New Roman" w:cs="Times New Roman"/>
          <w:szCs w:val="24"/>
          <w:highlight w:val="white"/>
          <w:lang w:val="en-GB"/>
        </w:rPr>
        <w:t xml:space="preserve"> </w:t>
      </w:r>
      <w:r w:rsidR="00A24B87" w:rsidRPr="00571EA4">
        <w:rPr>
          <w:rFonts w:eastAsia="Times New Roman" w:cs="Times New Roman"/>
          <w:szCs w:val="24"/>
          <w:highlight w:val="white"/>
          <w:lang w:val="en-GB"/>
        </w:rPr>
        <w:t>of findings, combined phenotypic and genetic analyses</w:t>
      </w:r>
      <w:r w:rsidRPr="00571EA4">
        <w:rPr>
          <w:rFonts w:eastAsia="Times New Roman" w:cs="Times New Roman"/>
          <w:szCs w:val="24"/>
          <w:highlight w:val="white"/>
          <w:lang w:val="en-GB"/>
        </w:rPr>
        <w:t>,</w:t>
      </w:r>
      <w:r w:rsidR="00A24B87" w:rsidRPr="00571EA4">
        <w:rPr>
          <w:rFonts w:eastAsia="Times New Roman" w:cs="Times New Roman"/>
          <w:szCs w:val="24"/>
          <w:highlight w:val="white"/>
          <w:lang w:val="en-GB"/>
        </w:rPr>
        <w:t xml:space="preserve"> and evaluation of both depressive and anxiety symptoms. A limitation was the lack of more granular </w:t>
      </w:r>
      <w:r w:rsidR="001C1248" w:rsidRPr="00571EA4">
        <w:rPr>
          <w:rFonts w:eastAsia="Times New Roman" w:cs="Times New Roman"/>
          <w:szCs w:val="24"/>
          <w:highlight w:val="white"/>
          <w:lang w:val="en-GB"/>
        </w:rPr>
        <w:t xml:space="preserve">data on </w:t>
      </w:r>
      <w:r w:rsidR="00A24B87" w:rsidRPr="00571EA4">
        <w:rPr>
          <w:rFonts w:eastAsia="Times New Roman" w:cs="Times New Roman"/>
          <w:szCs w:val="24"/>
          <w:highlight w:val="white"/>
          <w:lang w:val="en-GB"/>
        </w:rPr>
        <w:t xml:space="preserve">specific vegetative depressive symptoms and IL-6 </w:t>
      </w:r>
      <w:r w:rsidR="001C1248" w:rsidRPr="00571EA4">
        <w:rPr>
          <w:rFonts w:eastAsia="Times New Roman" w:cs="Times New Roman"/>
          <w:szCs w:val="24"/>
          <w:highlight w:val="white"/>
          <w:lang w:val="en-GB"/>
        </w:rPr>
        <w:t xml:space="preserve">levels </w:t>
      </w:r>
      <w:r w:rsidR="00A24B87" w:rsidRPr="00571EA4">
        <w:rPr>
          <w:rFonts w:eastAsia="Times New Roman" w:cs="Times New Roman"/>
          <w:szCs w:val="24"/>
          <w:highlight w:val="white"/>
          <w:lang w:val="en-GB"/>
        </w:rPr>
        <w:t>in UK</w:t>
      </w:r>
      <w:r w:rsidR="00EC47B3" w:rsidRPr="00571EA4">
        <w:rPr>
          <w:rFonts w:eastAsia="Times New Roman" w:cs="Times New Roman"/>
          <w:szCs w:val="24"/>
          <w:highlight w:val="white"/>
          <w:lang w:val="en-GB"/>
        </w:rPr>
        <w:t>B</w:t>
      </w:r>
      <w:r w:rsidR="00A24B87" w:rsidRPr="00571EA4">
        <w:rPr>
          <w:rFonts w:eastAsia="Times New Roman" w:cs="Times New Roman"/>
          <w:szCs w:val="24"/>
          <w:highlight w:val="white"/>
          <w:lang w:val="en-GB"/>
        </w:rPr>
        <w:t xml:space="preserve">. Furthermore, as </w:t>
      </w:r>
      <w:r w:rsidR="00852A3D" w:rsidRPr="00571EA4">
        <w:rPr>
          <w:rFonts w:eastAsia="Times New Roman" w:cs="Times New Roman"/>
          <w:szCs w:val="24"/>
          <w:highlight w:val="white"/>
          <w:lang w:val="en-GB"/>
        </w:rPr>
        <w:t xml:space="preserve">participants in NESDA and UK Biobank studies were relatively old and </w:t>
      </w:r>
      <w:r w:rsidR="00A24B87" w:rsidRPr="00571EA4">
        <w:rPr>
          <w:rFonts w:eastAsia="Times New Roman" w:cs="Times New Roman"/>
          <w:szCs w:val="24"/>
          <w:highlight w:val="white"/>
          <w:lang w:val="en-GB"/>
        </w:rPr>
        <w:t>the overwhelming majority of subjects enrolled were of European ancestry</w:t>
      </w:r>
      <w:r w:rsidR="00852A3D" w:rsidRPr="00571EA4">
        <w:rPr>
          <w:rFonts w:eastAsia="Times New Roman" w:cs="Times New Roman"/>
          <w:szCs w:val="24"/>
          <w:highlight w:val="white"/>
          <w:lang w:val="en-GB"/>
        </w:rPr>
        <w:t xml:space="preserve">, </w:t>
      </w:r>
      <w:r w:rsidR="00A24B87" w:rsidRPr="00571EA4">
        <w:rPr>
          <w:rFonts w:eastAsia="Times New Roman" w:cs="Times New Roman"/>
          <w:szCs w:val="24"/>
          <w:highlight w:val="white"/>
          <w:lang w:val="en-GB"/>
        </w:rPr>
        <w:t xml:space="preserve">results cannot be generalized to </w:t>
      </w:r>
      <w:r w:rsidR="00852A3D" w:rsidRPr="00571EA4">
        <w:rPr>
          <w:rFonts w:eastAsia="Times New Roman" w:cs="Times New Roman"/>
          <w:szCs w:val="24"/>
          <w:highlight w:val="white"/>
          <w:lang w:val="en-GB"/>
        </w:rPr>
        <w:t xml:space="preserve">younger </w:t>
      </w:r>
      <w:r w:rsidR="00A24B87" w:rsidRPr="00571EA4">
        <w:rPr>
          <w:rFonts w:eastAsia="Times New Roman" w:cs="Times New Roman"/>
          <w:szCs w:val="24"/>
          <w:highlight w:val="white"/>
          <w:lang w:val="en-GB"/>
        </w:rPr>
        <w:t xml:space="preserve">populations </w:t>
      </w:r>
      <w:r w:rsidR="00852A3D" w:rsidRPr="00571EA4">
        <w:rPr>
          <w:rFonts w:eastAsia="Times New Roman" w:cs="Times New Roman"/>
          <w:szCs w:val="24"/>
          <w:highlight w:val="white"/>
          <w:lang w:val="en-GB"/>
        </w:rPr>
        <w:t xml:space="preserve">and populations </w:t>
      </w:r>
      <w:r w:rsidR="00A24B87" w:rsidRPr="00571EA4">
        <w:rPr>
          <w:rFonts w:eastAsia="Times New Roman" w:cs="Times New Roman"/>
          <w:szCs w:val="24"/>
          <w:highlight w:val="white"/>
          <w:lang w:val="en-GB"/>
        </w:rPr>
        <w:t xml:space="preserve">of other </w:t>
      </w:r>
      <w:r w:rsidR="000D11D1" w:rsidRPr="00571EA4">
        <w:rPr>
          <w:rFonts w:eastAsia="Times New Roman" w:cs="Times New Roman"/>
          <w:szCs w:val="24"/>
          <w:highlight w:val="white"/>
          <w:lang w:val="en-GB"/>
        </w:rPr>
        <w:t>ancestries</w:t>
      </w:r>
      <w:r w:rsidR="00A24B87" w:rsidRPr="00571EA4">
        <w:rPr>
          <w:rFonts w:eastAsia="Times New Roman" w:cs="Times New Roman"/>
          <w:szCs w:val="24"/>
          <w:highlight w:val="white"/>
          <w:lang w:val="en-GB"/>
        </w:rPr>
        <w:t xml:space="preserve">. </w:t>
      </w:r>
    </w:p>
    <w:p w14:paraId="32F902F9" w14:textId="77777777" w:rsidR="009E17F4" w:rsidRPr="00571EA4" w:rsidRDefault="009E17F4">
      <w:pPr>
        <w:rPr>
          <w:rFonts w:eastAsia="Times New Roman" w:cs="Times New Roman"/>
          <w:b/>
          <w:szCs w:val="24"/>
          <w:highlight w:val="white"/>
          <w:lang w:val="en-GB"/>
        </w:rPr>
      </w:pPr>
    </w:p>
    <w:p w14:paraId="27E307F5" w14:textId="0B6339A7" w:rsidR="00A961F7" w:rsidRPr="00571EA4" w:rsidRDefault="009E17F4" w:rsidP="009E17F4">
      <w:pPr>
        <w:pStyle w:val="Heading1"/>
        <w:rPr>
          <w:sz w:val="24"/>
          <w:highlight w:val="white"/>
          <w:lang w:val="en-GB"/>
        </w:rPr>
      </w:pPr>
      <w:r w:rsidRPr="00571EA4">
        <w:rPr>
          <w:highlight w:val="white"/>
          <w:lang w:val="en-GB"/>
        </w:rPr>
        <w:t>CONCLUSIONS</w:t>
      </w:r>
    </w:p>
    <w:p w14:paraId="27E307FE" w14:textId="7CFD25D3" w:rsidR="00A961F7" w:rsidRPr="00571EA4" w:rsidRDefault="00A666CD" w:rsidP="007768F3">
      <w:pPr>
        <w:rPr>
          <w:rFonts w:eastAsia="Times New Roman" w:cs="Times New Roman"/>
          <w:b/>
          <w:szCs w:val="24"/>
          <w:highlight w:val="white"/>
          <w:lang w:val="en-GB"/>
        </w:rPr>
      </w:pPr>
      <w:r w:rsidRPr="00571EA4">
        <w:rPr>
          <w:rFonts w:eastAsia="Times New Roman" w:cs="Times New Roman"/>
          <w:szCs w:val="24"/>
          <w:lang w:val="en-GB"/>
        </w:rPr>
        <w:t>In the current investigation of associations of inflammation with depression and anxiety, w</w:t>
      </w:r>
      <w:r w:rsidR="003C0B47" w:rsidRPr="00571EA4">
        <w:rPr>
          <w:rFonts w:eastAsia="Times New Roman" w:cs="Times New Roman"/>
          <w:szCs w:val="24"/>
          <w:lang w:val="en-GB"/>
        </w:rPr>
        <w:t xml:space="preserve">e provide evidence for specificity at several levels. First, systemic inflammation is mainly associated with depressive rather than anxiety symptoms. Second, within depression, </w:t>
      </w:r>
      <w:r w:rsidR="00EC47B3" w:rsidRPr="00571EA4">
        <w:rPr>
          <w:rFonts w:eastAsia="Times New Roman" w:cs="Times New Roman"/>
          <w:szCs w:val="24"/>
          <w:lang w:val="en-GB"/>
        </w:rPr>
        <w:t>inflammation</w:t>
      </w:r>
      <w:r w:rsidR="003C0B47" w:rsidRPr="00571EA4">
        <w:rPr>
          <w:rFonts w:eastAsia="Times New Roman" w:cs="Times New Roman"/>
          <w:szCs w:val="24"/>
          <w:lang w:val="en-GB"/>
        </w:rPr>
        <w:t xml:space="preserve"> is particularly associated with somatic/</w:t>
      </w:r>
      <w:proofErr w:type="spellStart"/>
      <w:r w:rsidR="003C0B47" w:rsidRPr="00571EA4">
        <w:rPr>
          <w:rFonts w:eastAsia="Times New Roman" w:cs="Times New Roman"/>
          <w:szCs w:val="24"/>
          <w:lang w:val="en-GB"/>
        </w:rPr>
        <w:t>neurovegetative</w:t>
      </w:r>
      <w:proofErr w:type="spellEnd"/>
      <w:r w:rsidR="003C0B47" w:rsidRPr="00571EA4">
        <w:rPr>
          <w:rFonts w:eastAsia="Times New Roman" w:cs="Times New Roman"/>
          <w:szCs w:val="24"/>
          <w:lang w:val="en-GB"/>
        </w:rPr>
        <w:t xml:space="preserve"> symptoms such as fatigue, altered sleep, appetite as well as </w:t>
      </w:r>
      <w:r w:rsidR="000B2B65" w:rsidRPr="00571EA4">
        <w:rPr>
          <w:rFonts w:eastAsia="Times New Roman" w:cs="Times New Roman"/>
          <w:szCs w:val="24"/>
          <w:lang w:val="en-GB"/>
        </w:rPr>
        <w:t xml:space="preserve">depressed </w:t>
      </w:r>
      <w:r w:rsidR="003C0B47" w:rsidRPr="00571EA4">
        <w:rPr>
          <w:rFonts w:eastAsia="Times New Roman" w:cs="Times New Roman"/>
          <w:szCs w:val="24"/>
          <w:lang w:val="en-GB"/>
        </w:rPr>
        <w:t>mood and anhedonia. Third, within symptom</w:t>
      </w:r>
      <w:r w:rsidR="00B1070F" w:rsidRPr="00571EA4">
        <w:rPr>
          <w:rFonts w:eastAsia="Times New Roman" w:cs="Times New Roman"/>
          <w:szCs w:val="24"/>
          <w:lang w:val="en-GB"/>
        </w:rPr>
        <w:t>s</w:t>
      </w:r>
      <w:r w:rsidR="003C0B47" w:rsidRPr="00571EA4">
        <w:rPr>
          <w:rFonts w:eastAsia="Times New Roman" w:cs="Times New Roman"/>
          <w:szCs w:val="24"/>
          <w:lang w:val="en-GB"/>
        </w:rPr>
        <w:t>, IL-6 and CRP have opposing effects on appetite but similar effects on fatigue. In addition, using MR analysis we provide evidence that the IL-6</w:t>
      </w:r>
      <w:r w:rsidR="004F6125" w:rsidRPr="00571EA4">
        <w:rPr>
          <w:rFonts w:eastAsia="Times New Roman" w:cs="Times New Roman"/>
          <w:szCs w:val="24"/>
          <w:lang w:val="en-GB"/>
        </w:rPr>
        <w:t>/IL-6R</w:t>
      </w:r>
      <w:r w:rsidR="001B3B0D" w:rsidRPr="00571EA4">
        <w:rPr>
          <w:rFonts w:eastAsia="Times New Roman" w:cs="Times New Roman"/>
          <w:szCs w:val="24"/>
          <w:lang w:val="en-GB"/>
        </w:rPr>
        <w:t xml:space="preserve"> </w:t>
      </w:r>
      <w:r w:rsidR="003C0B47" w:rsidRPr="00571EA4">
        <w:rPr>
          <w:rFonts w:eastAsia="Times New Roman" w:cs="Times New Roman"/>
          <w:szCs w:val="24"/>
          <w:lang w:val="en-GB"/>
        </w:rPr>
        <w:t xml:space="preserve">pathway could be causally linked with </w:t>
      </w:r>
      <w:r w:rsidR="007166B8" w:rsidRPr="00571EA4">
        <w:rPr>
          <w:rFonts w:eastAsia="Times New Roman" w:cs="Times New Roman"/>
          <w:szCs w:val="24"/>
          <w:lang w:val="en-GB"/>
        </w:rPr>
        <w:t>fatigue and sleeping problems</w:t>
      </w:r>
      <w:r w:rsidR="003C0B47" w:rsidRPr="00571EA4">
        <w:rPr>
          <w:rFonts w:eastAsia="Times New Roman" w:cs="Times New Roman"/>
          <w:szCs w:val="24"/>
          <w:lang w:val="en-GB"/>
        </w:rPr>
        <w:t>. The field now requires expe</w:t>
      </w:r>
      <w:r w:rsidR="006427E0" w:rsidRPr="00571EA4">
        <w:rPr>
          <w:rFonts w:eastAsia="Times New Roman" w:cs="Times New Roman"/>
          <w:szCs w:val="24"/>
          <w:lang w:val="en-GB"/>
        </w:rPr>
        <w:t>rimental studies of IL-6 modula</w:t>
      </w:r>
      <w:r w:rsidR="003C0B47" w:rsidRPr="00571EA4">
        <w:rPr>
          <w:rFonts w:eastAsia="Times New Roman" w:cs="Times New Roman"/>
          <w:szCs w:val="24"/>
          <w:lang w:val="en-GB"/>
        </w:rPr>
        <w:t>t</w:t>
      </w:r>
      <w:r w:rsidR="006427E0" w:rsidRPr="00571EA4">
        <w:rPr>
          <w:rFonts w:eastAsia="Times New Roman" w:cs="Times New Roman"/>
          <w:szCs w:val="24"/>
          <w:lang w:val="en-GB"/>
        </w:rPr>
        <w:t>i</w:t>
      </w:r>
      <w:r w:rsidR="003C0B47" w:rsidRPr="00571EA4">
        <w:rPr>
          <w:rFonts w:eastAsia="Times New Roman" w:cs="Times New Roman"/>
          <w:szCs w:val="24"/>
          <w:lang w:val="en-GB"/>
        </w:rPr>
        <w:t xml:space="preserve">on </w:t>
      </w:r>
      <w:r w:rsidR="004D545B" w:rsidRPr="00571EA4">
        <w:rPr>
          <w:rFonts w:eastAsia="Times New Roman" w:cs="Times New Roman"/>
          <w:szCs w:val="24"/>
          <w:lang w:val="en-GB"/>
        </w:rPr>
        <w:t>in humans and animal</w:t>
      </w:r>
      <w:r w:rsidR="00A57A66" w:rsidRPr="00571EA4">
        <w:rPr>
          <w:rFonts w:eastAsia="Times New Roman" w:cs="Times New Roman"/>
          <w:szCs w:val="24"/>
          <w:lang w:val="en-GB"/>
        </w:rPr>
        <w:t>s</w:t>
      </w:r>
      <w:r w:rsidR="00243E97" w:rsidRPr="00571EA4">
        <w:rPr>
          <w:rFonts w:eastAsia="Times New Roman" w:cs="Times New Roman"/>
          <w:szCs w:val="24"/>
          <w:lang w:val="en-GB"/>
        </w:rPr>
        <w:t xml:space="preserve"> </w:t>
      </w:r>
      <w:r w:rsidR="00A8648C" w:rsidRPr="00571EA4">
        <w:rPr>
          <w:rFonts w:eastAsia="Times New Roman" w:cs="Times New Roman"/>
          <w:szCs w:val="24"/>
          <w:lang w:val="en-GB"/>
        </w:rPr>
        <w:t>to further evaluat</w:t>
      </w:r>
      <w:r w:rsidR="003C0B47" w:rsidRPr="00571EA4">
        <w:rPr>
          <w:rFonts w:eastAsia="Times New Roman" w:cs="Times New Roman"/>
          <w:szCs w:val="24"/>
          <w:lang w:val="en-GB"/>
        </w:rPr>
        <w:t>e causality</w:t>
      </w:r>
      <w:r w:rsidR="00A8648C" w:rsidRPr="00571EA4">
        <w:rPr>
          <w:rFonts w:eastAsia="Times New Roman" w:cs="Times New Roman"/>
          <w:szCs w:val="24"/>
          <w:lang w:val="en-GB"/>
        </w:rPr>
        <w:t>, potential pathogenic mechanisms,</w:t>
      </w:r>
      <w:r w:rsidR="003C0B47" w:rsidRPr="00571EA4">
        <w:rPr>
          <w:rFonts w:eastAsia="Times New Roman" w:cs="Times New Roman"/>
          <w:szCs w:val="24"/>
          <w:lang w:val="en-GB"/>
        </w:rPr>
        <w:t xml:space="preserve"> and to assess potential usefulness of </w:t>
      </w:r>
      <w:r w:rsidR="0013647C" w:rsidRPr="00571EA4">
        <w:rPr>
          <w:rFonts w:eastAsia="Times New Roman" w:cs="Times New Roman"/>
          <w:szCs w:val="24"/>
          <w:lang w:val="en-GB"/>
        </w:rPr>
        <w:t xml:space="preserve">(add-on) </w:t>
      </w:r>
      <w:r w:rsidR="003C0B47" w:rsidRPr="00571EA4">
        <w:rPr>
          <w:rFonts w:eastAsia="Times New Roman" w:cs="Times New Roman"/>
          <w:szCs w:val="24"/>
          <w:lang w:val="en-GB"/>
        </w:rPr>
        <w:t>immunotherap</w:t>
      </w:r>
      <w:r w:rsidR="00EC47B3" w:rsidRPr="00571EA4">
        <w:rPr>
          <w:rFonts w:eastAsia="Times New Roman" w:cs="Times New Roman"/>
          <w:szCs w:val="24"/>
          <w:lang w:val="en-GB"/>
        </w:rPr>
        <w:t>i</w:t>
      </w:r>
      <w:r w:rsidR="003C0B47" w:rsidRPr="00571EA4">
        <w:rPr>
          <w:rFonts w:eastAsia="Times New Roman" w:cs="Times New Roman"/>
          <w:szCs w:val="24"/>
          <w:lang w:val="en-GB"/>
        </w:rPr>
        <w:t xml:space="preserve">es for </w:t>
      </w:r>
      <w:r w:rsidR="001D2F19" w:rsidRPr="00571EA4">
        <w:rPr>
          <w:rFonts w:eastAsia="Times New Roman" w:cs="Times New Roman"/>
          <w:szCs w:val="24"/>
          <w:lang w:val="en-GB"/>
        </w:rPr>
        <w:t>depress</w:t>
      </w:r>
      <w:r w:rsidR="003F5B8B" w:rsidRPr="00571EA4">
        <w:rPr>
          <w:rFonts w:eastAsia="Times New Roman" w:cs="Times New Roman"/>
          <w:szCs w:val="24"/>
          <w:lang w:val="en-GB"/>
        </w:rPr>
        <w:t>ion</w:t>
      </w:r>
      <w:r w:rsidR="002F09BC" w:rsidRPr="00571EA4">
        <w:rPr>
          <w:rFonts w:eastAsia="Times New Roman" w:cs="Times New Roman"/>
          <w:szCs w:val="24"/>
          <w:lang w:val="en-GB"/>
        </w:rPr>
        <w:t xml:space="preserve">. </w:t>
      </w:r>
    </w:p>
    <w:p w14:paraId="608676A2" w14:textId="77777777" w:rsidR="00A62C1D" w:rsidRPr="001664E0" w:rsidRDefault="00A62C1D" w:rsidP="00A62C1D">
      <w:pPr>
        <w:ind w:firstLine="0"/>
        <w:rPr>
          <w:rFonts w:eastAsia="Times New Roman" w:cs="Times New Roman"/>
          <w:b/>
          <w:szCs w:val="24"/>
          <w:highlight w:val="white"/>
          <w:lang w:val="en-GB"/>
        </w:rPr>
        <w:sectPr w:rsidR="00A62C1D" w:rsidRPr="001664E0">
          <w:pgSz w:w="11909" w:h="16834"/>
          <w:pgMar w:top="1440" w:right="1440" w:bottom="1440" w:left="1440" w:header="720" w:footer="720" w:gutter="0"/>
          <w:cols w:space="720"/>
        </w:sectPr>
      </w:pPr>
    </w:p>
    <w:p w14:paraId="27E307FF" w14:textId="278154AA" w:rsidR="00A961F7" w:rsidRPr="001664E0" w:rsidRDefault="00A62C1D" w:rsidP="00A62C1D">
      <w:pPr>
        <w:pStyle w:val="Heading1"/>
        <w:rPr>
          <w:sz w:val="24"/>
          <w:highlight w:val="white"/>
          <w:lang w:val="en-GB"/>
        </w:rPr>
      </w:pPr>
      <w:r w:rsidRPr="001664E0">
        <w:rPr>
          <w:highlight w:val="white"/>
          <w:lang w:val="en-GB"/>
        </w:rPr>
        <w:lastRenderedPageBreak/>
        <w:t>ACKNOWLEDGMENT</w:t>
      </w:r>
    </w:p>
    <w:p w14:paraId="27E30802" w14:textId="5D64703E" w:rsidR="00A961F7" w:rsidRDefault="001570B2" w:rsidP="00CC4BFF">
      <w:pPr>
        <w:spacing w:before="240" w:after="240"/>
        <w:rPr>
          <w:rFonts w:eastAsia="Times New Roman" w:cs="Times New Roman"/>
          <w:szCs w:val="24"/>
          <w:highlight w:val="white"/>
          <w:lang w:val="en-GB"/>
        </w:rPr>
      </w:pPr>
      <w:r w:rsidRPr="001664E0">
        <w:rPr>
          <w:rFonts w:eastAsia="Times New Roman" w:cs="Times New Roman"/>
          <w:szCs w:val="24"/>
          <w:highlight w:val="white"/>
          <w:lang w:val="en-GB"/>
        </w:rPr>
        <w:t xml:space="preserve">YM is partially supported by the Complex Trait Genetics programme of Amsterdam Neuroscience. NK and SM are supported by the International Max Planck Research School of Translational Psychiatry (IMPRS-TP). </w:t>
      </w:r>
      <w:r w:rsidR="00C675E6" w:rsidRPr="001664E0">
        <w:rPr>
          <w:rFonts w:eastAsia="Times New Roman" w:cs="Times New Roman"/>
          <w:szCs w:val="24"/>
          <w:highlight w:val="white"/>
          <w:lang w:val="en-GB"/>
        </w:rPr>
        <w:t xml:space="preserve">FL is supported by FP7–Marie Curie Career Integration Grant PCIG12-GA-2012-334065 from the European Union Seventh Framework Programme. </w:t>
      </w:r>
      <w:r w:rsidR="00A24B87" w:rsidRPr="001664E0">
        <w:rPr>
          <w:rFonts w:eastAsia="Times New Roman" w:cs="Times New Roman"/>
          <w:szCs w:val="24"/>
          <w:highlight w:val="white"/>
          <w:lang w:val="en-GB"/>
        </w:rPr>
        <w:t xml:space="preserve">GMK and PBJ acknowledge support from the MQ: Transforming Mental Health (Data Science Award; grant code: MQDS17/40), which also supported ZY. GMK also acknowledges funding support from the </w:t>
      </w:r>
      <w:proofErr w:type="spellStart"/>
      <w:r w:rsidR="00A24B87" w:rsidRPr="001664E0">
        <w:rPr>
          <w:rFonts w:eastAsia="Times New Roman" w:cs="Times New Roman"/>
          <w:szCs w:val="24"/>
          <w:highlight w:val="white"/>
          <w:lang w:val="en-GB"/>
        </w:rPr>
        <w:t>Wellcome</w:t>
      </w:r>
      <w:proofErr w:type="spellEnd"/>
      <w:r w:rsidR="00A24B87" w:rsidRPr="001664E0">
        <w:rPr>
          <w:rFonts w:eastAsia="Times New Roman" w:cs="Times New Roman"/>
          <w:szCs w:val="24"/>
          <w:highlight w:val="white"/>
          <w:lang w:val="en-GB"/>
        </w:rPr>
        <w:t xml:space="preserve"> Trust (grant code: 201486/Z/16/Z), the Medical Research Council UK (grant code: MC_PC_17213 and MR/S037675/1), and the BMA Foundation (J Moulton grant 2019). </w:t>
      </w:r>
    </w:p>
    <w:p w14:paraId="58E584D1" w14:textId="77777777" w:rsidR="00630A4D" w:rsidRDefault="00630A4D" w:rsidP="006033D2">
      <w:pPr>
        <w:rPr>
          <w:highlight w:val="white"/>
          <w:lang w:val="en-GB"/>
        </w:rPr>
      </w:pPr>
    </w:p>
    <w:p w14:paraId="1F616573" w14:textId="77777777" w:rsidR="00630A4D" w:rsidRPr="00630A4D" w:rsidRDefault="00630A4D" w:rsidP="00630A4D">
      <w:pPr>
        <w:pStyle w:val="Heading1"/>
        <w:rPr>
          <w:szCs w:val="28"/>
          <w:highlight w:val="white"/>
          <w:lang w:val="en-GB"/>
        </w:rPr>
      </w:pPr>
      <w:r w:rsidRPr="00630A4D">
        <w:rPr>
          <w:szCs w:val="28"/>
          <w:highlight w:val="white"/>
          <w:lang w:val="en-GB"/>
        </w:rPr>
        <w:t>Conflict of interests</w:t>
      </w:r>
    </w:p>
    <w:p w14:paraId="7132DC14" w14:textId="7A722E2B" w:rsidR="00630A4D" w:rsidRPr="00630A4D" w:rsidRDefault="00630A4D" w:rsidP="00630A4D">
      <w:pPr>
        <w:spacing w:before="240" w:after="240"/>
        <w:ind w:firstLine="0"/>
        <w:rPr>
          <w:rFonts w:eastAsia="Times New Roman" w:cs="Times New Roman"/>
          <w:szCs w:val="24"/>
          <w:highlight w:val="white"/>
          <w:lang w:val="en-GB"/>
        </w:rPr>
      </w:pPr>
      <w:r w:rsidRPr="00630A4D">
        <w:rPr>
          <w:rFonts w:eastAsia="Times New Roman" w:cs="Times New Roman"/>
          <w:szCs w:val="24"/>
          <w:highlight w:val="white"/>
          <w:lang w:val="en-GB"/>
        </w:rPr>
        <w:t xml:space="preserve">BWJHP has received research funding (unrelated to the work reported here) from Jansen Research and Boehringer Ingelheim. </w:t>
      </w:r>
      <w:r w:rsidRPr="00630A4D">
        <w:rPr>
          <w:rFonts w:ascii="Courier New" w:eastAsia="Times New Roman" w:hAnsi="Courier New" w:cs="Courier New"/>
          <w:szCs w:val="24"/>
          <w:lang w:val="en-GB"/>
        </w:rPr>
        <w:t>﻿</w:t>
      </w:r>
      <w:r w:rsidRPr="00630A4D">
        <w:rPr>
          <w:rFonts w:eastAsia="Times New Roman" w:cs="Times New Roman"/>
          <w:szCs w:val="24"/>
          <w:lang w:val="en-GB"/>
        </w:rPr>
        <w:t>The remaining authors declare that they have no conflict of interest.</w:t>
      </w:r>
    </w:p>
    <w:p w14:paraId="5B9F3628" w14:textId="767DB096" w:rsidR="00630A4D" w:rsidRPr="00630A4D" w:rsidRDefault="00630A4D" w:rsidP="006033D2">
      <w:pPr>
        <w:rPr>
          <w:highlight w:val="white"/>
          <w:lang w:val="en-GB"/>
        </w:rPr>
      </w:pPr>
      <w:r w:rsidRPr="00630A4D">
        <w:rPr>
          <w:highlight w:val="white"/>
          <w:lang w:val="en-GB"/>
        </w:rPr>
        <w:t xml:space="preserve"> </w:t>
      </w:r>
    </w:p>
    <w:p w14:paraId="3473DAD7" w14:textId="77777777" w:rsidR="00630A4D" w:rsidRPr="001664E0" w:rsidRDefault="00630A4D" w:rsidP="00630A4D">
      <w:pPr>
        <w:spacing w:before="240" w:after="240"/>
        <w:ind w:firstLine="0"/>
        <w:rPr>
          <w:rFonts w:eastAsia="Times New Roman" w:cs="Times New Roman"/>
          <w:szCs w:val="24"/>
          <w:highlight w:val="white"/>
          <w:lang w:val="en-GB"/>
        </w:rPr>
      </w:pPr>
    </w:p>
    <w:p w14:paraId="53506102" w14:textId="4DA675FF" w:rsidR="00E3247A" w:rsidRPr="001664E0" w:rsidRDefault="00E3247A">
      <w:pPr>
        <w:rPr>
          <w:rFonts w:eastAsia="Times New Roman" w:cs="Times New Roman"/>
          <w:szCs w:val="24"/>
          <w:highlight w:val="white"/>
          <w:lang w:val="en-GB"/>
        </w:rPr>
      </w:pPr>
    </w:p>
    <w:p w14:paraId="539C4524" w14:textId="77777777" w:rsidR="00E3247A" w:rsidRPr="001664E0" w:rsidRDefault="00E3247A">
      <w:pPr>
        <w:rPr>
          <w:rFonts w:eastAsia="Times New Roman" w:cs="Times New Roman"/>
          <w:szCs w:val="24"/>
          <w:highlight w:val="white"/>
          <w:lang w:val="en-GB"/>
        </w:rPr>
        <w:sectPr w:rsidR="00E3247A" w:rsidRPr="001664E0">
          <w:pgSz w:w="11909" w:h="16834"/>
          <w:pgMar w:top="1440" w:right="1440" w:bottom="1440" w:left="1440" w:header="720" w:footer="720" w:gutter="0"/>
          <w:cols w:space="720"/>
        </w:sectPr>
      </w:pPr>
    </w:p>
    <w:p w14:paraId="27E30803" w14:textId="5F9D2C8B" w:rsidR="00A961F7" w:rsidRPr="001664E0" w:rsidRDefault="00E3247A" w:rsidP="001664E0">
      <w:pPr>
        <w:pStyle w:val="Heading1"/>
        <w:rPr>
          <w:highlight w:val="white"/>
          <w:lang w:val="en-GB"/>
        </w:rPr>
      </w:pPr>
      <w:r w:rsidRPr="001664E0">
        <w:rPr>
          <w:highlight w:val="white"/>
          <w:lang w:val="en-GB"/>
        </w:rPr>
        <w:lastRenderedPageBreak/>
        <w:t>REFERENCES</w:t>
      </w:r>
    </w:p>
    <w:p w14:paraId="636D530A" w14:textId="2E46D942" w:rsidR="0048155C" w:rsidRPr="0048155C" w:rsidRDefault="001664E0" w:rsidP="0048155C">
      <w:pPr>
        <w:widowControl w:val="0"/>
        <w:autoSpaceDE w:val="0"/>
        <w:autoSpaceDN w:val="0"/>
        <w:adjustRightInd w:val="0"/>
        <w:ind w:left="640" w:hanging="640"/>
        <w:rPr>
          <w:rFonts w:cs="Times New Roman"/>
          <w:noProof/>
        </w:rPr>
      </w:pPr>
      <w:r>
        <w:rPr>
          <w:rFonts w:eastAsia="Times New Roman" w:cs="Times New Roman"/>
          <w:szCs w:val="24"/>
          <w:highlight w:val="white"/>
          <w:lang w:val="en-GB"/>
        </w:rPr>
        <w:fldChar w:fldCharType="begin" w:fldLock="1"/>
      </w:r>
      <w:r>
        <w:rPr>
          <w:rFonts w:eastAsia="Times New Roman" w:cs="Times New Roman"/>
          <w:szCs w:val="24"/>
          <w:highlight w:val="white"/>
          <w:lang w:val="en-GB"/>
        </w:rPr>
        <w:instrText xml:space="preserve">ADDIN Mendeley Bibliography CSL_BIBLIOGRAPHY </w:instrText>
      </w:r>
      <w:r>
        <w:rPr>
          <w:rFonts w:eastAsia="Times New Roman" w:cs="Times New Roman"/>
          <w:szCs w:val="24"/>
          <w:highlight w:val="white"/>
          <w:lang w:val="en-GB"/>
        </w:rPr>
        <w:fldChar w:fldCharType="separate"/>
      </w:r>
      <w:bookmarkStart w:id="20" w:name="_GoBack"/>
      <w:bookmarkEnd w:id="20"/>
      <w:r w:rsidR="0048155C" w:rsidRPr="0048155C">
        <w:rPr>
          <w:rFonts w:cs="Times New Roman"/>
          <w:noProof/>
        </w:rPr>
        <w:t xml:space="preserve">1. </w:t>
      </w:r>
      <w:r w:rsidR="0048155C" w:rsidRPr="0048155C">
        <w:rPr>
          <w:rFonts w:cs="Times New Roman"/>
          <w:noProof/>
        </w:rPr>
        <w:tab/>
        <w:t>Udina M, Castellvi P, Moreno-Espana J, Navines R, Valdes M, Forns X, et al. Interferon-induced depression in chronic hepatitis C: a systematic review and meta-analysis. J Clin Psychiatry. 2012;73:1128–1138.</w:t>
      </w:r>
    </w:p>
    <w:p w14:paraId="74179F44"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2. </w:t>
      </w:r>
      <w:r w:rsidRPr="0048155C">
        <w:rPr>
          <w:rFonts w:cs="Times New Roman"/>
          <w:noProof/>
        </w:rPr>
        <w:tab/>
        <w:t>Dowlati Y, Herrmann N, Swardfager W, Liu H, Sham L, Reim EK, et al. A Meta-Analysis of Cytokines in Major Depression. Biol Psychiatry. 2010;67:446–457.</w:t>
      </w:r>
    </w:p>
    <w:p w14:paraId="4945DE7A"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 </w:t>
      </w:r>
      <w:r w:rsidRPr="0048155C">
        <w:rPr>
          <w:rFonts w:cs="Times New Roman"/>
          <w:noProof/>
        </w:rPr>
        <w:tab/>
        <w:t>Howren MB, Lamkin DM, Suls J. Associations of depression with C-reactive protein, IL-1, and IL-6: a meta-analysis. Psychosom Med. 2009;71:171–186.</w:t>
      </w:r>
    </w:p>
    <w:p w14:paraId="1874C205"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4. </w:t>
      </w:r>
      <w:r w:rsidRPr="0048155C">
        <w:rPr>
          <w:rFonts w:cs="Times New Roman"/>
          <w:noProof/>
        </w:rPr>
        <w:tab/>
        <w:t>Goldsmith DR, Rapaport MH, Miller BJ. A meta-analysis of blood cytokine network alterations in psychiatric patients: comparisons between schizophrenia, bipolar disorder and depression. Mol Psychiatry. 2016;21:1–14.</w:t>
      </w:r>
    </w:p>
    <w:p w14:paraId="5243E92C"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5. </w:t>
      </w:r>
      <w:r w:rsidRPr="0048155C">
        <w:rPr>
          <w:rFonts w:cs="Times New Roman"/>
          <w:noProof/>
        </w:rPr>
        <w:tab/>
        <w:t>Haapakoski R, Mathieu J, Ebmeier KP, Alenius H, Kivimäki M. Cumulative meta-analysis of interleukins 6 and 1β, tumour necrosis factor α and C-reactive protein in patients with major depressive disorder. Brain Behav Immun. 2015;49:206–215.</w:t>
      </w:r>
    </w:p>
    <w:p w14:paraId="12550F09"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6. </w:t>
      </w:r>
      <w:r w:rsidRPr="0048155C">
        <w:rPr>
          <w:rFonts w:cs="Times New Roman"/>
          <w:noProof/>
        </w:rPr>
        <w:tab/>
        <w:t>Köhler CA, Freitas TH, Maes M, de Andrade NQ, Liu CS, Fernandes BS, et al. Peripheral cytokine and chemokine alterations in depression: a meta-analysis of 82 studies. Acta Psychiatr Scand. 2017;135:373–387.</w:t>
      </w:r>
    </w:p>
    <w:p w14:paraId="642E7BC6"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7. </w:t>
      </w:r>
      <w:r w:rsidRPr="0048155C">
        <w:rPr>
          <w:rFonts w:cs="Times New Roman"/>
          <w:noProof/>
        </w:rPr>
        <w:tab/>
        <w:t>Giollabhui N Mac, Ng T, Ellman LM, Alloy LB. The Longitudinal Associations of Inflammatory Biomarkers and Depression Revisited: Systematic Review, Meta-Analysis and Meta-Regression. Biol Psychiatry. 2020;87:S450.</w:t>
      </w:r>
    </w:p>
    <w:p w14:paraId="664F3AE9"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8. </w:t>
      </w:r>
      <w:r w:rsidRPr="0048155C">
        <w:rPr>
          <w:rFonts w:cs="Times New Roman"/>
          <w:noProof/>
        </w:rPr>
        <w:tab/>
        <w:t>Osimo EF, Baxter LJ, Lewis G, Jones PB, Khandaker GM. Prevalence of low-grade inflammation in depression: A systematic review and meta-Analysis of CRP levels. Psychol Med. 2019;49:1958–1970.</w:t>
      </w:r>
    </w:p>
    <w:p w14:paraId="0893F0A3"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9. </w:t>
      </w:r>
      <w:r w:rsidRPr="0048155C">
        <w:rPr>
          <w:rFonts w:cs="Times New Roman"/>
          <w:noProof/>
        </w:rPr>
        <w:tab/>
        <w:t xml:space="preserve">Costello H, Gould RL, Abrol E, Howard R. Systematic review and meta-analysis of </w:t>
      </w:r>
      <w:r w:rsidRPr="0048155C">
        <w:rPr>
          <w:rFonts w:cs="Times New Roman"/>
          <w:noProof/>
        </w:rPr>
        <w:lastRenderedPageBreak/>
        <w:t>the association between peripheral inflammatory cytokines and generalised anxiety disorder. BMJ Open. 2019;9:e027925.</w:t>
      </w:r>
    </w:p>
    <w:p w14:paraId="2E835796"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10. </w:t>
      </w:r>
      <w:r w:rsidRPr="0048155C">
        <w:rPr>
          <w:rFonts w:cs="Times New Roman"/>
          <w:noProof/>
        </w:rPr>
        <w:tab/>
        <w:t>Jokela M, Virtanen M, Batty G, Kivimäki M. Inflammation and specific symptoms of depression. JAMA Psychiatry. 2016;73:87–88.</w:t>
      </w:r>
    </w:p>
    <w:p w14:paraId="7FC3DC12"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11. </w:t>
      </w:r>
      <w:r w:rsidRPr="0048155C">
        <w:rPr>
          <w:rFonts w:cs="Times New Roman"/>
          <w:noProof/>
        </w:rPr>
        <w:tab/>
        <w:t>Lamers F, Milaneschi Y, de Jonge P, Giltay EJ, Penninx BWJH. Metabolic and inflammatory markers: associations with individual depressive symptoms. Psychol Med. 2018;48:1102–1110.</w:t>
      </w:r>
    </w:p>
    <w:p w14:paraId="17DEA2CA"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12. </w:t>
      </w:r>
      <w:r w:rsidRPr="0048155C">
        <w:rPr>
          <w:rFonts w:cs="Times New Roman"/>
          <w:noProof/>
        </w:rPr>
        <w:tab/>
        <w:t>Fried EI, von Stockert S, Haslbeck JMB, Lamers F, Schoevers RA, Penninx BWJH. Using network analysis to examine links between individual depressive symptoms, inflammatory markers, and covariates. Psychol Med. 2019:1–9.</w:t>
      </w:r>
    </w:p>
    <w:p w14:paraId="5317E9C9"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13. </w:t>
      </w:r>
      <w:r w:rsidRPr="0048155C">
        <w:rPr>
          <w:rFonts w:cs="Times New Roman"/>
          <w:noProof/>
        </w:rPr>
        <w:tab/>
        <w:t>Simmons WK, Burrows K, Avery JA, Kerr KL, Taylor A, Bodurka J, et al. Appetite changes reveal depression subgroups with distinct endocrine, metabolic, and immune states. Mol Psychiatry. 2020;25:1457–1468.</w:t>
      </w:r>
    </w:p>
    <w:p w14:paraId="5770AC05"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14. </w:t>
      </w:r>
      <w:r w:rsidRPr="0048155C">
        <w:rPr>
          <w:rFonts w:cs="Times New Roman"/>
          <w:noProof/>
        </w:rPr>
        <w:tab/>
        <w:t>Moriarity DP, Horn SR, Kautz MM, Haslbeck JMB, Alloy LB. How handling extreme C-reactive protein (CRP) values and regularization influences CRP and depression criteria associations in network analyses. Brain Behav Immun. 2021;91:393–403.</w:t>
      </w:r>
    </w:p>
    <w:p w14:paraId="18841A27"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15. </w:t>
      </w:r>
      <w:r w:rsidRPr="0048155C">
        <w:rPr>
          <w:rFonts w:cs="Times New Roman"/>
          <w:noProof/>
        </w:rPr>
        <w:tab/>
        <w:t>Badini I, Coleman JR, Hagenaars SP, Hotopf M, Breen G, Lewis CM, et al. Depression with atypical neurovegetative symptoms shares genetic predisposition with immuno-metabolic traits and alcohol consumption. Psychol Med. 2020:1–11.</w:t>
      </w:r>
    </w:p>
    <w:p w14:paraId="1EEC17F2"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16. </w:t>
      </w:r>
      <w:r w:rsidRPr="0048155C">
        <w:rPr>
          <w:rFonts w:cs="Times New Roman"/>
          <w:noProof/>
        </w:rPr>
        <w:tab/>
        <w:t>Köhler-Forsberg O, Buttenschøn HN, Tansey KE, Maier W, Hauser J, Dernovsek MZ, et al. Association between C-reactive protein (CRP) with depression symptom severity and specific depressive symptoms in major depression. Brain Behav Immun. 2017;62:344–350.</w:t>
      </w:r>
    </w:p>
    <w:p w14:paraId="625F6738"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17. </w:t>
      </w:r>
      <w:r w:rsidRPr="0048155C">
        <w:rPr>
          <w:rFonts w:cs="Times New Roman"/>
          <w:noProof/>
        </w:rPr>
        <w:tab/>
        <w:t xml:space="preserve">Milaneschi Y, Lamers F, Peyrot WJ, Abdellaoui A, Willemsen G, Hottenga J-J, et al. </w:t>
      </w:r>
      <w:r w:rsidRPr="0048155C">
        <w:rPr>
          <w:rFonts w:cs="Times New Roman"/>
          <w:noProof/>
        </w:rPr>
        <w:lastRenderedPageBreak/>
        <w:t>Polygenic dissection of major depression clinical heterogeneity. Mol Psychiatry. 2016;21:516–522.</w:t>
      </w:r>
    </w:p>
    <w:p w14:paraId="0107B40D"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18. </w:t>
      </w:r>
      <w:r w:rsidRPr="0048155C">
        <w:rPr>
          <w:rFonts w:cs="Times New Roman"/>
          <w:noProof/>
        </w:rPr>
        <w:tab/>
        <w:t>Milaneschi Y, Lamers F, Peyrot WJ, Baune BT, Breen G, Dehghan A, et al. Genetic Association of Major Depression With Atypical Features and Obesity-Related Immunometabolic Dysregulations. JAMA Psychiatry. 2017;74:1214–1225.</w:t>
      </w:r>
    </w:p>
    <w:p w14:paraId="1F930EFF"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19. </w:t>
      </w:r>
      <w:r w:rsidRPr="0048155C">
        <w:rPr>
          <w:rFonts w:cs="Times New Roman"/>
          <w:noProof/>
        </w:rPr>
        <w:tab/>
        <w:t>Lamers F, Milaneschi Y, Vinkers CH, Schoevers RA, Giltay EJ, Penninx BWJH. Depression profilers and immuno-metabolic dysregulation: Longitudinal results from  the NESDA study. Brain Behav Immun. 2020;88:174–183.</w:t>
      </w:r>
    </w:p>
    <w:p w14:paraId="67B30FEC"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20. </w:t>
      </w:r>
      <w:r w:rsidRPr="0048155C">
        <w:rPr>
          <w:rFonts w:cs="Times New Roman"/>
          <w:noProof/>
        </w:rPr>
        <w:tab/>
        <w:t>Lawlor DA, Harbord RM, Sterne JAC, Timpson N, Davey Smith G. Mendelian randomization: Using genes as instruments for making causal inferences in epidemiology. Stat Med. 2008;27:1133–1163.</w:t>
      </w:r>
    </w:p>
    <w:p w14:paraId="5B76BA6B"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21. </w:t>
      </w:r>
      <w:r w:rsidRPr="0048155C">
        <w:rPr>
          <w:rFonts w:cs="Times New Roman"/>
          <w:noProof/>
        </w:rPr>
        <w:tab/>
        <w:t>Kappelmann N, Arloth J, Georgakis MK, Czamara D, Rost N, Ligthart S, et al. Dissecting the Association Between Inflammation, Metabolic Dysregulation, and Specific Depressive Symptoms. JAMA Psychiatry. 2021;78:161–170.</w:t>
      </w:r>
    </w:p>
    <w:p w14:paraId="74DA8FC2"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22. </w:t>
      </w:r>
      <w:r w:rsidRPr="0048155C">
        <w:rPr>
          <w:rFonts w:cs="Times New Roman"/>
          <w:noProof/>
        </w:rPr>
        <w:tab/>
        <w:t>Sudlow C, Gallacher J, Allen N, Beral V, Burton P, Danesh J, et al. UK Biobank: An Open Access Resource for Identifying the Causes of a Wide Range of Complex Diseases of Middle and Old Age. PLOS Med. 2015;12:e1001779.</w:t>
      </w:r>
    </w:p>
    <w:p w14:paraId="7FC9ED19"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23. </w:t>
      </w:r>
      <w:r w:rsidRPr="0048155C">
        <w:rPr>
          <w:rFonts w:cs="Times New Roman"/>
          <w:noProof/>
        </w:rPr>
        <w:tab/>
        <w:t>Penninx BWJH, Beekman ATF, Smit JH, Zitman FG, Nolen WA, Spinhoven P, et al. The Netherlands Study of Depression and Anxiety (NESDA): rationale, objectives and methods. Int J Methods Psychiatr Res. 2008;17:121–140.</w:t>
      </w:r>
    </w:p>
    <w:p w14:paraId="0099E061"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24. </w:t>
      </w:r>
      <w:r w:rsidRPr="0048155C">
        <w:rPr>
          <w:rFonts w:cs="Times New Roman"/>
          <w:noProof/>
        </w:rPr>
        <w:tab/>
        <w:t>Davis KAS, Coleman JRI, Adams M, Allen N, Breen G, Cullen B, et al. Mental health in UK Biobank – development, implementation and results from an online questionnaire completed by 157 366 participants: a reanalysis. BJPsych Open. 2020;6:e18.</w:t>
      </w:r>
    </w:p>
    <w:p w14:paraId="2A41AC4D"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lastRenderedPageBreak/>
        <w:t xml:space="preserve">25. </w:t>
      </w:r>
      <w:r w:rsidRPr="0048155C">
        <w:rPr>
          <w:rFonts w:cs="Times New Roman"/>
          <w:noProof/>
        </w:rPr>
        <w:tab/>
        <w:t>Thorp JG, Marees AT, Ong J-S, An J, MacGregor S, Derks EM. Genetic heterogeneity in self-reported depressive symptoms identified through genetic analyses of the PHQ-9. Psychol Med. 2019;9:1–12.</w:t>
      </w:r>
    </w:p>
    <w:p w14:paraId="347BCF41"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26. </w:t>
      </w:r>
      <w:r w:rsidRPr="0048155C">
        <w:rPr>
          <w:rFonts w:cs="Times New Roman"/>
          <w:noProof/>
        </w:rPr>
        <w:tab/>
        <w:t>Townsend P, Phillimore P, Beattie A. Health and deprivation: inequality and the North. Routledge; 1988.</w:t>
      </w:r>
    </w:p>
    <w:p w14:paraId="0CCAC852"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27. </w:t>
      </w:r>
      <w:r w:rsidRPr="0048155C">
        <w:rPr>
          <w:rFonts w:cs="Times New Roman"/>
          <w:noProof/>
        </w:rPr>
        <w:tab/>
        <w:t>DerSimonian R, Laird N. Meta-analysis in clinical trials. Control Clin Trials. 1986;7:177–188.</w:t>
      </w:r>
    </w:p>
    <w:p w14:paraId="5A73A97F"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28. </w:t>
      </w:r>
      <w:r w:rsidRPr="0048155C">
        <w:rPr>
          <w:rFonts w:cs="Times New Roman"/>
          <w:noProof/>
        </w:rPr>
        <w:tab/>
        <w:t>Georgakis MK, Malik R, Gill D, Franceschini N, Sudlow CLM, Dichgans M. Interleukin-6 Signaling Effects on Ischemic Stroke and Other Cardiovascular Outcomes: A Mendelian Randomization Study. Circ Genomic Precis Med. 2020:168–171.</w:t>
      </w:r>
    </w:p>
    <w:p w14:paraId="223A5C12"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29. </w:t>
      </w:r>
      <w:r w:rsidRPr="0048155C">
        <w:rPr>
          <w:rFonts w:cs="Times New Roman"/>
          <w:noProof/>
        </w:rPr>
        <w:tab/>
        <w:t>C Reactive Protein Coronary Heart Disease Genetics Collaboration (CCGC). Association between C reactive protein and coronary heart disease: mendelian randomisation analysis based on individual participant data. BMJ. 2011;342:d548.</w:t>
      </w:r>
    </w:p>
    <w:p w14:paraId="33EAE220"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30. </w:t>
      </w:r>
      <w:r w:rsidRPr="0048155C">
        <w:rPr>
          <w:rFonts w:cs="Times New Roman"/>
          <w:noProof/>
        </w:rPr>
        <w:tab/>
        <w:t>Collaboration IGC and ERF. Interleukin-6 receptor pathways in coronary heart disease: a collaborative meta-analysis of 82 studies. Lancet. 2012;379:1205–1213.</w:t>
      </w:r>
    </w:p>
    <w:p w14:paraId="54F1B952"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31. </w:t>
      </w:r>
      <w:r w:rsidRPr="0048155C">
        <w:rPr>
          <w:rFonts w:cs="Times New Roman"/>
          <w:noProof/>
        </w:rPr>
        <w:tab/>
        <w:t>The Interleukin-6 Receptor Mendelian Randomisation Analysis (IL6R MR) Consortium. The interleukin-6 receptor as a target for prevention of coronary heart disease: a mendelian randomisation analysis. Lancet. 2012;379:1214–1224.</w:t>
      </w:r>
    </w:p>
    <w:p w14:paraId="585F5482"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32. </w:t>
      </w:r>
      <w:r w:rsidRPr="0048155C">
        <w:rPr>
          <w:rFonts w:cs="Times New Roman"/>
          <w:noProof/>
        </w:rPr>
        <w:tab/>
        <w:t>Burgess S, Davey Smith G, Davies NM, Dudbridge F, Gill D, Glymour MM, et al. Guidelines for performing Mendelian randomization investigations. Wellcome Open Res. 2020;4.</w:t>
      </w:r>
    </w:p>
    <w:p w14:paraId="5C39D146"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33. </w:t>
      </w:r>
      <w:r w:rsidRPr="0048155C">
        <w:rPr>
          <w:rFonts w:cs="Times New Roman"/>
          <w:noProof/>
        </w:rPr>
        <w:tab/>
        <w:t xml:space="preserve">Greco M F Del, Minelli C, Sheehan NA, Thompson JR. Detecting pleiotropy in Mendelian randomisation studies with summary data and a continuous outcome. Stat </w:t>
      </w:r>
      <w:r w:rsidRPr="0048155C">
        <w:rPr>
          <w:rFonts w:cs="Times New Roman"/>
          <w:noProof/>
        </w:rPr>
        <w:lastRenderedPageBreak/>
        <w:t>Med. 2015;34:2926–2940.</w:t>
      </w:r>
    </w:p>
    <w:p w14:paraId="311E404C"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34. </w:t>
      </w:r>
      <w:r w:rsidRPr="0048155C">
        <w:rPr>
          <w:rFonts w:cs="Times New Roman"/>
          <w:noProof/>
        </w:rPr>
        <w:tab/>
        <w:t>Lamers F, Milaneschi Y, Smit JH, Schoevers RA, Wittenberg G, Penninx BWJH. Longitudinal Association Between Depression and Inflammatory Markers: Results From the Netherlands Study of Depression and Anxiety. Biol Psychiatry. 2019;85:829–837.</w:t>
      </w:r>
    </w:p>
    <w:p w14:paraId="70958397"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35. </w:t>
      </w:r>
      <w:r w:rsidRPr="0048155C">
        <w:rPr>
          <w:rFonts w:cs="Times New Roman"/>
          <w:noProof/>
        </w:rPr>
        <w:tab/>
        <w:t>Chu AL, Stochl J, Lewis G, Zammit S, Jones PB, Khandaker M. Longitudinal Association between Inflammatory Markers and Specific Symptoms of Depression in a Prospective Birth Cohort. Brain Behav Immun. 2019;76:74–81.</w:t>
      </w:r>
    </w:p>
    <w:p w14:paraId="32E62BD8"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36. </w:t>
      </w:r>
      <w:r w:rsidRPr="0048155C">
        <w:rPr>
          <w:rFonts w:cs="Times New Roman"/>
          <w:noProof/>
        </w:rPr>
        <w:tab/>
        <w:t>Khandaker GM, Pearson RM, Zammit S, Lewis G, Jones PB. Association of serum interleukin 6 and C-reactive protein in childhood with depression and psychosis in young adult life: a population-based longitudinal study. JAMA Psychiatry. 2014;71:1121–1128.</w:t>
      </w:r>
    </w:p>
    <w:p w14:paraId="432CDE34"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37. </w:t>
      </w:r>
      <w:r w:rsidRPr="0048155C">
        <w:rPr>
          <w:rFonts w:cs="Times New Roman"/>
          <w:noProof/>
        </w:rPr>
        <w:tab/>
        <w:t>Dantzer R, O’Connor JC, Freund GG, Johnson RW, Kelley KW. From inflammation to sickness and depression: when the immune system subjugates the brain. Nat Rev Neurosci. 2008;9:46–56.</w:t>
      </w:r>
    </w:p>
    <w:p w14:paraId="2B55377A"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38. </w:t>
      </w:r>
      <w:r w:rsidRPr="0048155C">
        <w:rPr>
          <w:rFonts w:cs="Times New Roman"/>
          <w:noProof/>
        </w:rPr>
        <w:tab/>
        <w:t>Milaneschi Y, Lamers F, Berk M, Penninx BWJH. Depression Heterogeneity and Its Biological Underpinnings: Toward Immunometabolic Depression. Biol Psychiatry. 2020;88:369–380.</w:t>
      </w:r>
    </w:p>
    <w:p w14:paraId="7F3DFAD7"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39. </w:t>
      </w:r>
      <w:r w:rsidRPr="0048155C">
        <w:rPr>
          <w:rFonts w:cs="Times New Roman"/>
          <w:noProof/>
        </w:rPr>
        <w:tab/>
        <w:t>Chen K, Li F, Li J, Cai H, Strom S, Bisello A, et al. Induction of leptin resistance through direct interaction of C-reactive protein with leptin. Nat Med. 2006;12:425–432.</w:t>
      </w:r>
    </w:p>
    <w:p w14:paraId="07CCFACD"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40. </w:t>
      </w:r>
      <w:r w:rsidRPr="0048155C">
        <w:rPr>
          <w:rFonts w:cs="Times New Roman"/>
          <w:noProof/>
        </w:rPr>
        <w:tab/>
        <w:t>Timper K, Denson JL, Steculorum SM, Heilinger C, Engström-Ruud L, Wunderlich CM, et al. IL-6 Improves Energy and Glucose Homeostasis in Obesity via Enhanced Central IL-6 trans-Signaling. Cell Rep. 2017;19:267–280.</w:t>
      </w:r>
    </w:p>
    <w:p w14:paraId="5DBE4524"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lastRenderedPageBreak/>
        <w:t xml:space="preserve">41. </w:t>
      </w:r>
      <w:r w:rsidRPr="0048155C">
        <w:rPr>
          <w:rFonts w:cs="Times New Roman"/>
          <w:noProof/>
        </w:rPr>
        <w:tab/>
        <w:t>Timpson NJ, Nordestgaard BG, Harbord RM, Zacho J, Frayling TM, Tybjærg-Hansen A, et al. C-reactive protein levels and body mass index: elucidating direction of causation through reciprocal Mendelian randomization. Int J Obes. 2011;35:300–308.</w:t>
      </w:r>
    </w:p>
    <w:p w14:paraId="676F5888"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42. </w:t>
      </w:r>
      <w:r w:rsidRPr="0048155C">
        <w:rPr>
          <w:rFonts w:cs="Times New Roman"/>
          <w:noProof/>
        </w:rPr>
        <w:tab/>
        <w:t>Milaneschi Y, Lamers F, Penninx BWJH. Dissecting Depression Biological and Clinical Heterogeneity-The Importance of Symptom Assessment Resolution. JAMA Psychiatry. 2021;78:341.</w:t>
      </w:r>
    </w:p>
    <w:p w14:paraId="35A44D2C"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43. </w:t>
      </w:r>
      <w:r w:rsidRPr="0048155C">
        <w:rPr>
          <w:rFonts w:cs="Times New Roman"/>
          <w:noProof/>
        </w:rPr>
        <w:tab/>
        <w:t>Ligthart S, Vaez A, Võsa U, Stathopoulou MG, de Vries PS, Prins BP, et al. Genome Analyses of &amp;gt;200,000 Individuals Identify 58 Loci for Chronic Inflammation and Highlight Pathways that Link Inflammation and Complex Disorders. Am J Hum Genet. 2018;103:691–706.</w:t>
      </w:r>
    </w:p>
    <w:p w14:paraId="7B315CCF"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44. </w:t>
      </w:r>
      <w:r w:rsidRPr="0048155C">
        <w:rPr>
          <w:rFonts w:cs="Times New Roman"/>
          <w:noProof/>
        </w:rPr>
        <w:tab/>
        <w:t>Howard DM, Adams MJ, Clarke T-K, Hafferty JD, Gibson J, Shirali M, et al. Genome-wide meta-analysis of depression identifies 102 independent variants and highlights the importance of the prefrontal brain regions. Nat Neurosci. 2019:433367.</w:t>
      </w:r>
    </w:p>
    <w:p w14:paraId="2FC26A82"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45. </w:t>
      </w:r>
      <w:r w:rsidRPr="0048155C">
        <w:rPr>
          <w:rFonts w:cs="Times New Roman"/>
          <w:noProof/>
        </w:rPr>
        <w:tab/>
        <w:t>Khandaker GM. Commentary: Causal associations between inflammation, cardiometabolic markers and schizophrenia: The known unknowns. Int J Epidemiol. 2019;48:1516–1518.</w:t>
      </w:r>
    </w:p>
    <w:p w14:paraId="507CDA10"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46. </w:t>
      </w:r>
      <w:r w:rsidRPr="0048155C">
        <w:rPr>
          <w:rFonts w:cs="Times New Roman"/>
          <w:noProof/>
        </w:rPr>
        <w:tab/>
        <w:t>Kelly K, Smith JA, Mezuk B. Depression and interleukin-6 signaling: A Mendelian Randomization Study. Brain Behav Immun. 2021. February 2021. https://doi.org/10.1016/j.bbi.2021.02.019.</w:t>
      </w:r>
    </w:p>
    <w:p w14:paraId="60C673AC"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47. </w:t>
      </w:r>
      <w:r w:rsidRPr="0048155C">
        <w:rPr>
          <w:rFonts w:cs="Times New Roman"/>
          <w:noProof/>
        </w:rPr>
        <w:tab/>
        <w:t>Khandaker GM, Zuber V, Rees JM, Carvalho L, Mason AM, Foley CN, et al. Shared mechanisms between coronary heart disease and depression: findings from a large UK general population-based cohort. Mol Psychiatry. 2020;25:1477–1486.</w:t>
      </w:r>
    </w:p>
    <w:p w14:paraId="385081D9"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48. </w:t>
      </w:r>
      <w:r w:rsidRPr="0048155C">
        <w:rPr>
          <w:rFonts w:cs="Times New Roman"/>
          <w:noProof/>
        </w:rPr>
        <w:tab/>
        <w:t>Giudice M Del, Gangestad SW. Rethinking IL-6 and CRP : Why they are more than inflammatory biomarkers , and why it matters. Brain Behav Immun. 2018;70:61–75.</w:t>
      </w:r>
    </w:p>
    <w:p w14:paraId="03923F0C"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lastRenderedPageBreak/>
        <w:t xml:space="preserve">49. </w:t>
      </w:r>
      <w:r w:rsidRPr="0048155C">
        <w:rPr>
          <w:rFonts w:cs="Times New Roman"/>
          <w:noProof/>
        </w:rPr>
        <w:tab/>
        <w:t>Hunter CA, Jones SA. IL-6 as a keystone cytokine in health and disease. Nat Immunol. 2015;16:448–457.</w:t>
      </w:r>
    </w:p>
    <w:p w14:paraId="1C896157"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50. </w:t>
      </w:r>
      <w:r w:rsidRPr="0048155C">
        <w:rPr>
          <w:rFonts w:cs="Times New Roman"/>
          <w:noProof/>
        </w:rPr>
        <w:tab/>
        <w:t>Lynall M-E, Turner L, Bhatti J, Cavanagh J, de Boer P, Mondelli V, et al. Peripheral Blood Cell–Stratified Subgroups of Inflamed Depression. Biol Psychiatry. 2020;88:185–196.</w:t>
      </w:r>
    </w:p>
    <w:p w14:paraId="5D680000"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51. </w:t>
      </w:r>
      <w:r w:rsidRPr="0048155C">
        <w:rPr>
          <w:rFonts w:cs="Times New Roman"/>
          <w:noProof/>
        </w:rPr>
        <w:tab/>
        <w:t>Branchi I, Poggini S, Capuron L, Benedetti F, Poletti S, Tamouza R, et al. Brain-immune crosstalk in the treatment of major depressive disorder. Eur Neuropsychopharmacol. 2021;45:89–107.</w:t>
      </w:r>
    </w:p>
    <w:p w14:paraId="79D4DF15"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52. </w:t>
      </w:r>
      <w:r w:rsidRPr="0048155C">
        <w:rPr>
          <w:rFonts w:cs="Times New Roman"/>
          <w:noProof/>
        </w:rPr>
        <w:tab/>
        <w:t>Köhler-Forsberg O, Nicolaisen Lydholm C, Hjorthøj C, Nordentoft M, Mors O, Benros ME. Efficacy of anti-inflammatory treatment on major depressive disorder or depressive symptoms: Meta-analysis of clinical trials. Acta Psychiatr Scand. 2019;139:404–419.</w:t>
      </w:r>
    </w:p>
    <w:p w14:paraId="767F15B9"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53. </w:t>
      </w:r>
      <w:r w:rsidRPr="0048155C">
        <w:rPr>
          <w:rFonts w:cs="Times New Roman"/>
          <w:noProof/>
        </w:rPr>
        <w:tab/>
        <w:t>Kappelmann N, Lewis G, Dantzer R, Jones PB, Khandaker GM. Antidepressant activity of anti-cytokine treatment: a systematic review and meta-analysis of clinical trials of chronic inflammatory conditions. Mol Psychiatry. 2018;23:335–343.</w:t>
      </w:r>
    </w:p>
    <w:p w14:paraId="04714608"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54. </w:t>
      </w:r>
      <w:r w:rsidRPr="0048155C">
        <w:rPr>
          <w:rFonts w:cs="Times New Roman"/>
          <w:noProof/>
        </w:rPr>
        <w:tab/>
        <w:t>Wittenberg GM, Stylianou A, Zhang Y, Sun Y, Gupta A, Jagannatha PS, et al. Effects of immunomodulatory drugs on depressive symptoms: A mega-analysis of randomized, placebo-controlled clinical trials in inflammatory disorders. Mol Psychiatry. 2020;25:1275–1285.</w:t>
      </w:r>
    </w:p>
    <w:p w14:paraId="08986312"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55. </w:t>
      </w:r>
      <w:r w:rsidRPr="0048155C">
        <w:rPr>
          <w:rFonts w:cs="Times New Roman"/>
          <w:noProof/>
        </w:rPr>
        <w:tab/>
        <w:t>ClinicalTrials.gov [Internet]. Identifier NCT02473289, An Efficacy and Safety Study of Sirukumab in Participants With Major Depressive Disorder. 2019.</w:t>
      </w:r>
    </w:p>
    <w:p w14:paraId="591D6BED"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t xml:space="preserve">56. </w:t>
      </w:r>
      <w:r w:rsidRPr="0048155C">
        <w:rPr>
          <w:rFonts w:cs="Times New Roman"/>
          <w:noProof/>
        </w:rPr>
        <w:tab/>
        <w:t>Khandaker GM, Oltean BP, Kaser M, Dibben CRM, Ramana R, Jadon DR, et al. Protocol for the insight study: a randomised controlled trial of single-dose tocilizumab in patients with depression and low-grade inflammation. BMJ Open. 2018;8:e025333.</w:t>
      </w:r>
    </w:p>
    <w:p w14:paraId="58C23A63" w14:textId="77777777" w:rsidR="0048155C" w:rsidRPr="0048155C" w:rsidRDefault="0048155C" w:rsidP="0048155C">
      <w:pPr>
        <w:widowControl w:val="0"/>
        <w:autoSpaceDE w:val="0"/>
        <w:autoSpaceDN w:val="0"/>
        <w:adjustRightInd w:val="0"/>
        <w:ind w:left="640" w:hanging="640"/>
        <w:rPr>
          <w:rFonts w:cs="Times New Roman"/>
          <w:noProof/>
        </w:rPr>
      </w:pPr>
      <w:r w:rsidRPr="0048155C">
        <w:rPr>
          <w:rFonts w:cs="Times New Roman"/>
          <w:noProof/>
        </w:rPr>
        <w:lastRenderedPageBreak/>
        <w:t xml:space="preserve">57. </w:t>
      </w:r>
      <w:r w:rsidRPr="0048155C">
        <w:rPr>
          <w:rFonts w:cs="Times New Roman"/>
          <w:noProof/>
        </w:rPr>
        <w:tab/>
        <w:t>Fourrier C, Sampson E, Mills NT, Baune BT. Anti-inflammatory treatment of depression: Study protocol for a randomised controlled trial of vortioxetine augmented with celecoxib or placebo. Trials. 2018;19:1–14.</w:t>
      </w:r>
    </w:p>
    <w:p w14:paraId="46A66EAE" w14:textId="415C382A" w:rsidR="00B17A09" w:rsidRPr="001664E0" w:rsidRDefault="001664E0" w:rsidP="0048155C">
      <w:pPr>
        <w:widowControl w:val="0"/>
        <w:autoSpaceDE w:val="0"/>
        <w:autoSpaceDN w:val="0"/>
        <w:adjustRightInd w:val="0"/>
        <w:ind w:left="640" w:hanging="640"/>
        <w:rPr>
          <w:rFonts w:eastAsia="Times New Roman" w:cs="Times New Roman"/>
          <w:szCs w:val="24"/>
          <w:highlight w:val="white"/>
          <w:lang w:val="en-GB"/>
        </w:rPr>
        <w:sectPr w:rsidR="00B17A09" w:rsidRPr="001664E0">
          <w:pgSz w:w="11909" w:h="16834"/>
          <w:pgMar w:top="1440" w:right="1440" w:bottom="1440" w:left="1440" w:header="720" w:footer="720" w:gutter="0"/>
          <w:cols w:space="720"/>
        </w:sectPr>
      </w:pPr>
      <w:r>
        <w:rPr>
          <w:rFonts w:eastAsia="Times New Roman" w:cs="Times New Roman"/>
          <w:szCs w:val="24"/>
          <w:highlight w:val="white"/>
          <w:lang w:val="en-GB"/>
        </w:rPr>
        <w:fldChar w:fldCharType="end"/>
      </w:r>
    </w:p>
    <w:p w14:paraId="7314AA9C" w14:textId="77777777" w:rsidR="00B17A09" w:rsidRPr="001664E0" w:rsidRDefault="00B17A09" w:rsidP="00B17A09">
      <w:pPr>
        <w:pStyle w:val="Heading1"/>
        <w:rPr>
          <w:lang w:val="en-GB"/>
        </w:rPr>
      </w:pPr>
      <w:r w:rsidRPr="001664E0">
        <w:rPr>
          <w:lang w:val="en-GB"/>
        </w:rPr>
        <w:lastRenderedPageBreak/>
        <w:t>Figure Titles and Legends</w:t>
      </w:r>
    </w:p>
    <w:p w14:paraId="7AE2299D" w14:textId="77777777" w:rsidR="00B17A09" w:rsidRPr="001664E0" w:rsidRDefault="00B17A09" w:rsidP="00B17A09">
      <w:pPr>
        <w:pStyle w:val="Heading2"/>
        <w:rPr>
          <w:lang w:val="en-GB"/>
        </w:rPr>
      </w:pPr>
      <w:r w:rsidRPr="001664E0">
        <w:rPr>
          <w:lang w:val="en-GB"/>
        </w:rPr>
        <w:t xml:space="preserve">Figure 1 </w:t>
      </w:r>
    </w:p>
    <w:p w14:paraId="5163717B" w14:textId="4B92EB01" w:rsidR="00B17A09" w:rsidRPr="001664E0" w:rsidRDefault="00B17A09" w:rsidP="00B17A09">
      <w:pPr>
        <w:ind w:firstLine="0"/>
        <w:rPr>
          <w:rFonts w:cs="Times New Roman"/>
          <w:szCs w:val="24"/>
          <w:lang w:val="en-GB"/>
        </w:rPr>
      </w:pPr>
      <w:r w:rsidRPr="001664E0">
        <w:rPr>
          <w:rFonts w:cs="Times New Roman"/>
          <w:i/>
          <w:szCs w:val="24"/>
          <w:lang w:val="en-GB"/>
        </w:rPr>
        <w:t>Title</w:t>
      </w:r>
      <w:r w:rsidRPr="001664E0">
        <w:rPr>
          <w:rFonts w:cs="Times New Roman"/>
          <w:szCs w:val="24"/>
          <w:lang w:val="en-GB"/>
        </w:rPr>
        <w:t xml:space="preserve">: </w:t>
      </w:r>
      <w:r w:rsidR="00853746">
        <w:rPr>
          <w:rFonts w:cs="Times New Roman"/>
          <w:szCs w:val="24"/>
          <w:lang w:val="en-GB"/>
        </w:rPr>
        <w:t>A</w:t>
      </w:r>
      <w:r w:rsidR="00587BB4" w:rsidRPr="001664E0">
        <w:rPr>
          <w:rFonts w:cs="Times New Roman"/>
          <w:szCs w:val="24"/>
          <w:lang w:val="en-GB"/>
        </w:rPr>
        <w:t>ssociation estimates of CRP with depressive and anxiety symptoms</w:t>
      </w:r>
      <w:r w:rsidR="004C5130">
        <w:rPr>
          <w:rFonts w:cs="Times New Roman"/>
          <w:szCs w:val="24"/>
          <w:lang w:val="en-GB"/>
        </w:rPr>
        <w:t xml:space="preserve"> from UKB and NESDA cohorts</w:t>
      </w:r>
      <w:r w:rsidRPr="001664E0">
        <w:rPr>
          <w:rFonts w:cs="Times New Roman"/>
          <w:szCs w:val="24"/>
          <w:lang w:val="en-GB"/>
        </w:rPr>
        <w:t>.</w:t>
      </w:r>
    </w:p>
    <w:p w14:paraId="2E9B3EE7" w14:textId="4EE6A12D" w:rsidR="00B17A09" w:rsidRPr="001664E0" w:rsidRDefault="00B17A09" w:rsidP="00E54021">
      <w:pPr>
        <w:ind w:firstLine="0"/>
        <w:rPr>
          <w:highlight w:val="white"/>
          <w:lang w:val="en-GB"/>
        </w:rPr>
      </w:pPr>
      <w:r w:rsidRPr="001664E0">
        <w:rPr>
          <w:rFonts w:cs="Times New Roman"/>
          <w:i/>
          <w:szCs w:val="24"/>
          <w:lang w:val="en-GB"/>
        </w:rPr>
        <w:t>Legend</w:t>
      </w:r>
      <w:r w:rsidRPr="001664E0">
        <w:rPr>
          <w:rFonts w:cs="Times New Roman"/>
          <w:szCs w:val="24"/>
          <w:lang w:val="en-GB"/>
        </w:rPr>
        <w:t xml:space="preserve">: </w:t>
      </w:r>
      <w:r w:rsidR="00D5744B" w:rsidRPr="001664E0">
        <w:rPr>
          <w:rFonts w:cs="Times New Roman"/>
          <w:szCs w:val="24"/>
          <w:lang w:val="en-GB"/>
        </w:rPr>
        <w:t xml:space="preserve">Association estimates are shown with individual depressive and anxiety </w:t>
      </w:r>
      <w:r w:rsidR="0030761B" w:rsidRPr="001664E0">
        <w:rPr>
          <w:rFonts w:cs="Times New Roman"/>
          <w:szCs w:val="24"/>
          <w:lang w:val="en-GB"/>
        </w:rPr>
        <w:t>symptoms</w:t>
      </w:r>
      <w:r w:rsidR="00D5744B" w:rsidRPr="001664E0">
        <w:rPr>
          <w:rFonts w:cs="Times New Roman"/>
          <w:szCs w:val="24"/>
          <w:lang w:val="en-GB"/>
        </w:rPr>
        <w:t xml:space="preserve"> (A) and depressive summary scores (B)</w:t>
      </w:r>
      <w:r w:rsidRPr="001664E0">
        <w:rPr>
          <w:rFonts w:cs="Times New Roman"/>
          <w:color w:val="000000"/>
          <w:szCs w:val="24"/>
          <w:lang w:val="en-GB"/>
        </w:rPr>
        <w:t>.</w:t>
      </w:r>
      <w:r w:rsidR="008C3DB4" w:rsidRPr="001664E0">
        <w:rPr>
          <w:highlight w:val="white"/>
          <w:lang w:val="en-GB"/>
        </w:rPr>
        <w:t xml:space="preserve"> Models have been adjusted for age, sex and SES (Model 1), additionally adjusted for </w:t>
      </w:r>
      <w:r w:rsidR="008C3DB4" w:rsidRPr="001664E0">
        <w:rPr>
          <w:lang w:val="en-GB"/>
        </w:rPr>
        <w:t xml:space="preserve">smoking, alcohol consumption, physical activity and </w:t>
      </w:r>
      <w:r w:rsidR="008C3DB4" w:rsidRPr="001664E0">
        <w:rPr>
          <w:highlight w:val="white"/>
          <w:lang w:val="en-GB"/>
        </w:rPr>
        <w:t>T2D/CVD (Model 2), and additionally adjusted for BMI (Model 3).</w:t>
      </w:r>
    </w:p>
    <w:p w14:paraId="630C54A9" w14:textId="08DAE718" w:rsidR="00E54021" w:rsidRPr="00953A48" w:rsidRDefault="00E54021" w:rsidP="00E54021">
      <w:pPr>
        <w:pStyle w:val="Heading2"/>
        <w:rPr>
          <w:lang w:val="en-GB"/>
        </w:rPr>
      </w:pPr>
      <w:r w:rsidRPr="00953A48">
        <w:rPr>
          <w:lang w:val="en-GB"/>
        </w:rPr>
        <w:t xml:space="preserve">Figure 2 </w:t>
      </w:r>
    </w:p>
    <w:p w14:paraId="029F05E0" w14:textId="29739750" w:rsidR="008C3DB4" w:rsidRPr="00953A48" w:rsidRDefault="008C3DB4" w:rsidP="008C3DB4">
      <w:pPr>
        <w:ind w:firstLine="0"/>
        <w:rPr>
          <w:rFonts w:cs="Times New Roman"/>
          <w:szCs w:val="24"/>
          <w:lang w:val="en-GB"/>
        </w:rPr>
      </w:pPr>
      <w:r w:rsidRPr="00953A48">
        <w:rPr>
          <w:rFonts w:cs="Times New Roman"/>
          <w:i/>
          <w:szCs w:val="24"/>
          <w:lang w:val="en-GB"/>
        </w:rPr>
        <w:t>Title</w:t>
      </w:r>
      <w:r w:rsidRPr="00953A48">
        <w:rPr>
          <w:rFonts w:cs="Times New Roman"/>
          <w:szCs w:val="24"/>
          <w:lang w:val="en-GB"/>
        </w:rPr>
        <w:t>: NESDA association estimates of CRP and IL-6 with depressive and anxiety symptoms.</w:t>
      </w:r>
    </w:p>
    <w:p w14:paraId="29B10D63" w14:textId="55784576" w:rsidR="008C3DB4" w:rsidRPr="00953A48" w:rsidRDefault="008C3DB4" w:rsidP="008C3DB4">
      <w:pPr>
        <w:ind w:firstLine="0"/>
        <w:rPr>
          <w:highlight w:val="white"/>
          <w:lang w:val="en-GB"/>
        </w:rPr>
      </w:pPr>
      <w:r w:rsidRPr="00953A48">
        <w:rPr>
          <w:rFonts w:cs="Times New Roman"/>
          <w:i/>
          <w:szCs w:val="24"/>
          <w:lang w:val="en-GB"/>
        </w:rPr>
        <w:t>Legend</w:t>
      </w:r>
      <w:r w:rsidRPr="00953A48">
        <w:rPr>
          <w:rFonts w:cs="Times New Roman"/>
          <w:szCs w:val="24"/>
          <w:lang w:val="en-GB"/>
        </w:rPr>
        <w:t xml:space="preserve">: Association estimates are shown with individual depressive and anxiety </w:t>
      </w:r>
      <w:r w:rsidR="0030761B" w:rsidRPr="00953A48">
        <w:rPr>
          <w:rFonts w:cs="Times New Roman"/>
          <w:szCs w:val="24"/>
          <w:lang w:val="en-GB"/>
        </w:rPr>
        <w:t>symptoms</w:t>
      </w:r>
      <w:r w:rsidRPr="00953A48">
        <w:rPr>
          <w:rFonts w:cs="Times New Roman"/>
          <w:szCs w:val="24"/>
          <w:lang w:val="en-GB"/>
        </w:rPr>
        <w:t xml:space="preserve"> (A) and depressive summary scores (B)</w:t>
      </w:r>
      <w:r w:rsidRPr="00953A48">
        <w:rPr>
          <w:rFonts w:cs="Times New Roman"/>
          <w:color w:val="000000"/>
          <w:szCs w:val="24"/>
          <w:lang w:val="en-GB"/>
        </w:rPr>
        <w:t>.</w:t>
      </w:r>
      <w:r w:rsidRPr="00953A48">
        <w:rPr>
          <w:highlight w:val="white"/>
          <w:lang w:val="en-GB"/>
        </w:rPr>
        <w:t xml:space="preserve"> Models have been adjusted for age, sex and SES (Model 1), additionally adjusted for </w:t>
      </w:r>
      <w:r w:rsidRPr="00953A48">
        <w:rPr>
          <w:lang w:val="en-GB"/>
        </w:rPr>
        <w:t xml:space="preserve">smoking, alcohol consumption, physical activity and </w:t>
      </w:r>
      <w:r w:rsidRPr="00953A48">
        <w:rPr>
          <w:highlight w:val="white"/>
          <w:lang w:val="en-GB"/>
        </w:rPr>
        <w:t>T2D/CVD (Model 2), and additionally adjusted for BMI (Model 3).</w:t>
      </w:r>
    </w:p>
    <w:p w14:paraId="533AC6F2" w14:textId="1962DBC5" w:rsidR="00E54021" w:rsidRPr="00953A48" w:rsidRDefault="00E54021" w:rsidP="00E54021">
      <w:pPr>
        <w:pStyle w:val="Heading2"/>
        <w:rPr>
          <w:lang w:val="en-GB"/>
        </w:rPr>
      </w:pPr>
      <w:r w:rsidRPr="00953A48">
        <w:rPr>
          <w:lang w:val="en-GB"/>
        </w:rPr>
        <w:t xml:space="preserve">Figure </w:t>
      </w:r>
      <w:r w:rsidR="008121EC" w:rsidRPr="00953A48">
        <w:rPr>
          <w:lang w:val="en-GB"/>
        </w:rPr>
        <w:t>3</w:t>
      </w:r>
      <w:r w:rsidRPr="00953A48">
        <w:rPr>
          <w:lang w:val="en-GB"/>
        </w:rPr>
        <w:t xml:space="preserve"> </w:t>
      </w:r>
    </w:p>
    <w:p w14:paraId="3A340F46" w14:textId="7856D640" w:rsidR="0025001C" w:rsidRPr="00953A48" w:rsidRDefault="0025001C" w:rsidP="0025001C">
      <w:pPr>
        <w:ind w:firstLine="0"/>
        <w:rPr>
          <w:rFonts w:cs="Times New Roman"/>
          <w:szCs w:val="24"/>
          <w:lang w:val="en-GB"/>
        </w:rPr>
      </w:pPr>
      <w:r w:rsidRPr="00953A48">
        <w:rPr>
          <w:rFonts w:cs="Times New Roman"/>
          <w:i/>
          <w:szCs w:val="24"/>
          <w:lang w:val="en-GB"/>
        </w:rPr>
        <w:t>Title</w:t>
      </w:r>
      <w:r w:rsidRPr="00953A48">
        <w:rPr>
          <w:rFonts w:cs="Times New Roman"/>
          <w:szCs w:val="24"/>
          <w:lang w:val="en-GB"/>
        </w:rPr>
        <w:t>: Mendelian randomisation results of CRP</w:t>
      </w:r>
      <w:r w:rsidR="00E118E1" w:rsidRPr="00953A48">
        <w:rPr>
          <w:rFonts w:cs="Times New Roman"/>
          <w:szCs w:val="24"/>
          <w:lang w:val="en-GB"/>
        </w:rPr>
        <w:t xml:space="preserve"> and IL-6</w:t>
      </w:r>
      <w:r w:rsidRPr="00953A48">
        <w:rPr>
          <w:rFonts w:cs="Times New Roman"/>
          <w:szCs w:val="24"/>
          <w:lang w:val="en-GB"/>
        </w:rPr>
        <w:t xml:space="preserve"> with depressive and anxiety symptoms.</w:t>
      </w:r>
    </w:p>
    <w:p w14:paraId="7A3AC64B" w14:textId="1732A076" w:rsidR="0025001C" w:rsidRDefault="0025001C" w:rsidP="0025001C">
      <w:pPr>
        <w:ind w:firstLine="0"/>
        <w:rPr>
          <w:highlight w:val="white"/>
        </w:rPr>
      </w:pPr>
      <w:r w:rsidRPr="00953A48">
        <w:rPr>
          <w:rFonts w:cs="Times New Roman"/>
          <w:i/>
          <w:szCs w:val="24"/>
          <w:lang w:val="en-GB"/>
        </w:rPr>
        <w:t>Legend</w:t>
      </w:r>
      <w:r w:rsidRPr="00953A48">
        <w:rPr>
          <w:rFonts w:cs="Times New Roman"/>
          <w:szCs w:val="24"/>
          <w:lang w:val="en-GB"/>
        </w:rPr>
        <w:t>: MR association estimates are shown with individual depressive and anxiety estimates (A) and depressi</w:t>
      </w:r>
      <w:r w:rsidR="005B12C1" w:rsidRPr="00953A48">
        <w:rPr>
          <w:rFonts w:cs="Times New Roman"/>
          <w:szCs w:val="24"/>
          <w:lang w:val="en-GB"/>
        </w:rPr>
        <w:t>on</w:t>
      </w:r>
      <w:r w:rsidRPr="00953A48">
        <w:rPr>
          <w:rFonts w:cs="Times New Roman"/>
          <w:szCs w:val="24"/>
          <w:lang w:val="en-GB"/>
        </w:rPr>
        <w:t xml:space="preserve"> summary scores (B)</w:t>
      </w:r>
      <w:r w:rsidRPr="00953A48">
        <w:rPr>
          <w:rFonts w:cs="Times New Roman"/>
          <w:color w:val="000000"/>
          <w:szCs w:val="24"/>
          <w:lang w:val="en-GB"/>
        </w:rPr>
        <w:t>.</w:t>
      </w:r>
      <w:r w:rsidRPr="00953A48">
        <w:rPr>
          <w:highlight w:val="white"/>
          <w:lang w:val="en-GB"/>
        </w:rPr>
        <w:t xml:space="preserve"> </w:t>
      </w:r>
      <w:r w:rsidR="005B12C1" w:rsidRPr="00953A48">
        <w:rPr>
          <w:highlight w:val="white"/>
          <w:lang w:val="en-GB"/>
        </w:rPr>
        <w:t xml:space="preserve">Results reflect MR IVW estimates based on Georgakis </w:t>
      </w:r>
      <w:r w:rsidR="005B12C1" w:rsidRPr="00953A48">
        <w:rPr>
          <w:i/>
          <w:highlight w:val="white"/>
          <w:lang w:val="en-GB"/>
        </w:rPr>
        <w:t>et al.</w:t>
      </w:r>
      <w:r w:rsidR="005B12C1">
        <w:rPr>
          <w:highlight w:val="white"/>
        </w:rPr>
        <w:fldChar w:fldCharType="begin" w:fldLock="1"/>
      </w:r>
      <w:r w:rsidR="00D613B9">
        <w:rPr>
          <w:highlight w:val="white"/>
          <w:lang w:val="en-GB"/>
        </w:rPr>
        <w:instrText>ADDIN CSL_CITATION {"citationItems":[{"id":"ITEM-1","itemData":{"DOI":"10.1161/CIRCGEN.119.002872","ISSN":"25748300","PMID":"32397738","author":[{"dropping-particle":"","family":"Georgakis","given":"Marios K.","non-dropping-particle":"","parse-names":false,"suffix":""},{"dropping-particle":"","family":"Malik","given":"Rainer","non-dropping-particle":"","parse-names":false,"suffix":""},{"dropping-particle":"","family":"Gill","given":"Dipender","non-dropping-particle":"","parse-names":false,"suffix":""},{"dropping-particle":"","family":"Franceschini","given":"Nora","non-dropping-particle":"","parse-names":false,"suffix":""},{"dropping-particle":"","family":"Sudlow","given":"Cathie L.M.","non-dropping-particle":"","parse-names":false,"suffix":""},{"dropping-particle":"","family":"Dichgans","given":"Martin","non-dropping-particle":"","parse-names":false,"suffix":""}],"container-title":"Circulation: Genomic and Precision Medicine","id":"ITEM-1","issue":"June","issued":{"date-parts":[["2020"]]},"page":"168-171","title":"Interleukin-6 Signaling Effects on Ischemic Stroke and Other Cardiovascular Outcomes: A Mendelian Randomization Study","type":"article-journal"},"uris":["http://www.mendeley.com/documents/?uuid=4d214cd6-d3eb-4ae1-ad96-4834799e96f2"]}],"mendeley":{"formattedCitation":"[28]","plainTextFormattedCitation":"[28]","previouslyFormattedCitation":"[28]"},"properties":{"noteIndex":0},"schema":"https://github.com/citation-style-language/schema/raw/master/csl-citation.json"}</w:instrText>
      </w:r>
      <w:r w:rsidR="005B12C1">
        <w:rPr>
          <w:highlight w:val="white"/>
        </w:rPr>
        <w:fldChar w:fldCharType="separate"/>
      </w:r>
      <w:r w:rsidR="00AF5060" w:rsidRPr="00AF5060">
        <w:rPr>
          <w:noProof/>
          <w:highlight w:val="white"/>
        </w:rPr>
        <w:t>[28]</w:t>
      </w:r>
      <w:r w:rsidR="005B12C1">
        <w:rPr>
          <w:highlight w:val="white"/>
        </w:rPr>
        <w:fldChar w:fldCharType="end"/>
      </w:r>
      <w:r w:rsidR="005B12C1">
        <w:rPr>
          <w:highlight w:val="white"/>
        </w:rPr>
        <w:t xml:space="preserve"> instruments; exact numeric values are presented in </w:t>
      </w:r>
      <w:r w:rsidR="00BF2220">
        <w:rPr>
          <w:highlight w:val="white"/>
        </w:rPr>
        <w:t>Supplementary Table</w:t>
      </w:r>
      <w:r w:rsidR="005B12C1">
        <w:rPr>
          <w:highlight w:val="white"/>
        </w:rPr>
        <w:t>s 11 &amp; 12.</w:t>
      </w:r>
    </w:p>
    <w:p w14:paraId="4E62AA82" w14:textId="77777777" w:rsidR="0025001C" w:rsidRDefault="0025001C" w:rsidP="00E54021">
      <w:pPr>
        <w:ind w:firstLine="0"/>
        <w:rPr>
          <w:highlight w:val="white"/>
        </w:rPr>
      </w:pPr>
    </w:p>
    <w:p w14:paraId="1131BA82" w14:textId="77777777" w:rsidR="00E54021" w:rsidRDefault="00E54021" w:rsidP="008C5514">
      <w:pPr>
        <w:rPr>
          <w:highlight w:val="white"/>
        </w:rPr>
      </w:pPr>
    </w:p>
    <w:p w14:paraId="4A3F29D1" w14:textId="445B581E" w:rsidR="00F3342C" w:rsidRPr="00F3342C" w:rsidRDefault="00F3342C" w:rsidP="00F3342C">
      <w:pPr>
        <w:rPr>
          <w:highlight w:val="white"/>
        </w:rPr>
        <w:sectPr w:rsidR="00F3342C" w:rsidRPr="00F3342C">
          <w:pgSz w:w="11909" w:h="16834"/>
          <w:pgMar w:top="1440" w:right="1440" w:bottom="1440" w:left="1440" w:header="720" w:footer="720" w:gutter="0"/>
          <w:cols w:space="720"/>
        </w:sectPr>
      </w:pPr>
    </w:p>
    <w:p w14:paraId="27E30804" w14:textId="6A834D73" w:rsidR="00A961F7" w:rsidRPr="00953A48" w:rsidRDefault="00B17A09" w:rsidP="00B17A09">
      <w:pPr>
        <w:pStyle w:val="Heading1"/>
        <w:rPr>
          <w:highlight w:val="white"/>
          <w:lang w:val="en-GB"/>
        </w:rPr>
      </w:pPr>
      <w:r w:rsidRPr="00953A48">
        <w:rPr>
          <w:highlight w:val="white"/>
          <w:lang w:val="en-GB"/>
        </w:rPr>
        <w:lastRenderedPageBreak/>
        <w:t>TABLES</w:t>
      </w:r>
    </w:p>
    <w:p w14:paraId="6E4046FB" w14:textId="766595EF" w:rsidR="00B17A09" w:rsidRPr="00953A48" w:rsidRDefault="00D362C1" w:rsidP="00D362C1">
      <w:pPr>
        <w:pStyle w:val="Heading2"/>
        <w:rPr>
          <w:lang w:val="en-GB"/>
        </w:rPr>
      </w:pPr>
      <w:r w:rsidRPr="00953A48">
        <w:rPr>
          <w:lang w:val="en-GB"/>
        </w:rPr>
        <w:t xml:space="preserve">Table 1. Main variables of </w:t>
      </w:r>
      <w:r w:rsidR="00953A48" w:rsidRPr="00953A48">
        <w:rPr>
          <w:lang w:val="en-GB"/>
        </w:rPr>
        <w:t>interest</w:t>
      </w:r>
      <w:r w:rsidRPr="00953A48">
        <w:rPr>
          <w:lang w:val="en-GB"/>
        </w:rPr>
        <w:t xml:space="preserve"> in the two cohorts</w:t>
      </w:r>
    </w:p>
    <w:tbl>
      <w:tblPr>
        <w:tblW w:w="9120" w:type="dxa"/>
        <w:tblLook w:val="04A0" w:firstRow="1" w:lastRow="0" w:firstColumn="1" w:lastColumn="0" w:noHBand="0" w:noVBand="1"/>
      </w:tblPr>
      <w:tblGrid>
        <w:gridCol w:w="4600"/>
        <w:gridCol w:w="322"/>
        <w:gridCol w:w="1938"/>
        <w:gridCol w:w="322"/>
        <w:gridCol w:w="1938"/>
      </w:tblGrid>
      <w:tr w:rsidR="00D362C1" w:rsidRPr="00D362C1" w14:paraId="3CCBC0B9" w14:textId="77777777" w:rsidTr="00103B92">
        <w:trPr>
          <w:trHeight w:val="291"/>
        </w:trPr>
        <w:tc>
          <w:tcPr>
            <w:tcW w:w="4600" w:type="dxa"/>
            <w:tcBorders>
              <w:top w:val="nil"/>
              <w:left w:val="nil"/>
              <w:bottom w:val="nil"/>
              <w:right w:val="nil"/>
            </w:tcBorders>
            <w:shd w:val="clear" w:color="auto" w:fill="auto"/>
            <w:noWrap/>
            <w:vAlign w:val="bottom"/>
            <w:hideMark/>
          </w:tcPr>
          <w:p w14:paraId="4ED4292F" w14:textId="77777777" w:rsidR="00D362C1" w:rsidRPr="00D362C1" w:rsidRDefault="00D362C1" w:rsidP="00D362C1">
            <w:pPr>
              <w:spacing w:after="0" w:line="240" w:lineRule="auto"/>
              <w:ind w:firstLine="0"/>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3C3CC0C6"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01BC3776"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UK Biobank</w:t>
            </w:r>
          </w:p>
        </w:tc>
        <w:tc>
          <w:tcPr>
            <w:tcW w:w="322" w:type="dxa"/>
            <w:tcBorders>
              <w:top w:val="nil"/>
              <w:left w:val="nil"/>
              <w:bottom w:val="nil"/>
              <w:right w:val="nil"/>
            </w:tcBorders>
            <w:shd w:val="clear" w:color="auto" w:fill="auto"/>
            <w:noWrap/>
            <w:vAlign w:val="bottom"/>
            <w:hideMark/>
          </w:tcPr>
          <w:p w14:paraId="2CA860F1"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529BC46F"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NESDA</w:t>
            </w:r>
          </w:p>
        </w:tc>
      </w:tr>
      <w:tr w:rsidR="00D362C1" w:rsidRPr="00D362C1" w14:paraId="602DDEF6" w14:textId="77777777" w:rsidTr="00103B92">
        <w:trPr>
          <w:trHeight w:val="279"/>
        </w:trPr>
        <w:tc>
          <w:tcPr>
            <w:tcW w:w="4600" w:type="dxa"/>
            <w:tcBorders>
              <w:top w:val="nil"/>
              <w:left w:val="nil"/>
              <w:bottom w:val="single" w:sz="8" w:space="0" w:color="000000"/>
              <w:right w:val="nil"/>
            </w:tcBorders>
            <w:shd w:val="clear" w:color="auto" w:fill="auto"/>
            <w:noWrap/>
            <w:vAlign w:val="bottom"/>
            <w:hideMark/>
          </w:tcPr>
          <w:p w14:paraId="6FAD5059"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 </w:t>
            </w:r>
          </w:p>
        </w:tc>
        <w:tc>
          <w:tcPr>
            <w:tcW w:w="322" w:type="dxa"/>
            <w:tcBorders>
              <w:top w:val="nil"/>
              <w:left w:val="nil"/>
              <w:bottom w:val="single" w:sz="8" w:space="0" w:color="000000"/>
              <w:right w:val="nil"/>
            </w:tcBorders>
            <w:shd w:val="clear" w:color="auto" w:fill="auto"/>
            <w:noWrap/>
            <w:vAlign w:val="bottom"/>
            <w:hideMark/>
          </w:tcPr>
          <w:p w14:paraId="66F049AF"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 </w:t>
            </w:r>
          </w:p>
        </w:tc>
        <w:tc>
          <w:tcPr>
            <w:tcW w:w="1938" w:type="dxa"/>
            <w:tcBorders>
              <w:top w:val="nil"/>
              <w:left w:val="nil"/>
              <w:bottom w:val="single" w:sz="8" w:space="0" w:color="000000"/>
              <w:right w:val="nil"/>
            </w:tcBorders>
            <w:shd w:val="clear" w:color="auto" w:fill="auto"/>
            <w:noWrap/>
            <w:vAlign w:val="center"/>
            <w:hideMark/>
          </w:tcPr>
          <w:p w14:paraId="2B47B962" w14:textId="77777777" w:rsidR="00D362C1" w:rsidRPr="00D362C1" w:rsidRDefault="00D362C1" w:rsidP="00D362C1">
            <w:pPr>
              <w:spacing w:after="0" w:line="240" w:lineRule="auto"/>
              <w:ind w:firstLine="0"/>
              <w:jc w:val="center"/>
              <w:rPr>
                <w:rFonts w:eastAsia="Times New Roman" w:cs="Times New Roman"/>
                <w:b/>
                <w:bCs/>
                <w:i/>
                <w:iCs/>
                <w:color w:val="000000"/>
                <w:szCs w:val="24"/>
                <w:lang w:val="en-GB"/>
              </w:rPr>
            </w:pPr>
            <w:r w:rsidRPr="00D362C1">
              <w:rPr>
                <w:rFonts w:eastAsia="Times New Roman" w:cs="Times New Roman"/>
                <w:b/>
                <w:bCs/>
                <w:i/>
                <w:iCs/>
                <w:color w:val="000000"/>
                <w:szCs w:val="24"/>
                <w:lang w:val="en-GB"/>
              </w:rPr>
              <w:t>N = 143,465</w:t>
            </w:r>
          </w:p>
        </w:tc>
        <w:tc>
          <w:tcPr>
            <w:tcW w:w="322" w:type="dxa"/>
            <w:tcBorders>
              <w:top w:val="nil"/>
              <w:left w:val="nil"/>
              <w:bottom w:val="single" w:sz="8" w:space="0" w:color="000000"/>
              <w:right w:val="nil"/>
            </w:tcBorders>
            <w:shd w:val="clear" w:color="auto" w:fill="auto"/>
            <w:noWrap/>
            <w:vAlign w:val="bottom"/>
            <w:hideMark/>
          </w:tcPr>
          <w:p w14:paraId="799FB346"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 </w:t>
            </w:r>
          </w:p>
        </w:tc>
        <w:tc>
          <w:tcPr>
            <w:tcW w:w="1938" w:type="dxa"/>
            <w:tcBorders>
              <w:top w:val="nil"/>
              <w:left w:val="nil"/>
              <w:bottom w:val="single" w:sz="8" w:space="0" w:color="000000"/>
              <w:right w:val="nil"/>
            </w:tcBorders>
            <w:shd w:val="clear" w:color="auto" w:fill="auto"/>
            <w:noWrap/>
            <w:vAlign w:val="center"/>
            <w:hideMark/>
          </w:tcPr>
          <w:p w14:paraId="7EAD79FD" w14:textId="77777777" w:rsidR="00D362C1" w:rsidRPr="00D362C1" w:rsidRDefault="00D362C1" w:rsidP="00D362C1">
            <w:pPr>
              <w:spacing w:after="0" w:line="240" w:lineRule="auto"/>
              <w:ind w:firstLine="0"/>
              <w:jc w:val="center"/>
              <w:rPr>
                <w:rFonts w:eastAsia="Times New Roman" w:cs="Times New Roman"/>
                <w:b/>
                <w:bCs/>
                <w:i/>
                <w:iCs/>
                <w:color w:val="000000"/>
                <w:szCs w:val="24"/>
                <w:lang w:val="en-GB"/>
              </w:rPr>
            </w:pPr>
            <w:r w:rsidRPr="00D362C1">
              <w:rPr>
                <w:rFonts w:eastAsia="Times New Roman" w:cs="Times New Roman"/>
                <w:b/>
                <w:bCs/>
                <w:i/>
                <w:iCs/>
                <w:color w:val="000000"/>
                <w:szCs w:val="24"/>
                <w:lang w:val="en-GB"/>
              </w:rPr>
              <w:t>N = 2,905</w:t>
            </w:r>
          </w:p>
        </w:tc>
      </w:tr>
      <w:tr w:rsidR="00D362C1" w:rsidRPr="00D362C1" w14:paraId="2DE324AD" w14:textId="77777777" w:rsidTr="00103B92">
        <w:trPr>
          <w:trHeight w:val="116"/>
        </w:trPr>
        <w:tc>
          <w:tcPr>
            <w:tcW w:w="4600" w:type="dxa"/>
            <w:tcBorders>
              <w:top w:val="nil"/>
              <w:left w:val="nil"/>
              <w:bottom w:val="nil"/>
              <w:right w:val="nil"/>
            </w:tcBorders>
            <w:shd w:val="clear" w:color="auto" w:fill="auto"/>
            <w:noWrap/>
            <w:vAlign w:val="bottom"/>
            <w:hideMark/>
          </w:tcPr>
          <w:p w14:paraId="5ACF6D8A" w14:textId="77777777" w:rsidR="00D362C1" w:rsidRPr="00D362C1" w:rsidRDefault="00D362C1" w:rsidP="00D362C1">
            <w:pPr>
              <w:spacing w:after="0" w:line="240" w:lineRule="auto"/>
              <w:ind w:firstLine="0"/>
              <w:jc w:val="center"/>
              <w:rPr>
                <w:rFonts w:eastAsia="Times New Roman" w:cs="Times New Roman"/>
                <w:b/>
                <w:bCs/>
                <w:i/>
                <w:iCs/>
                <w:color w:val="000000"/>
                <w:szCs w:val="24"/>
                <w:lang w:val="en-GB"/>
              </w:rPr>
            </w:pPr>
          </w:p>
        </w:tc>
        <w:tc>
          <w:tcPr>
            <w:tcW w:w="322" w:type="dxa"/>
            <w:tcBorders>
              <w:top w:val="nil"/>
              <w:left w:val="nil"/>
              <w:bottom w:val="nil"/>
              <w:right w:val="nil"/>
            </w:tcBorders>
            <w:shd w:val="clear" w:color="auto" w:fill="auto"/>
            <w:noWrap/>
            <w:vAlign w:val="bottom"/>
            <w:hideMark/>
          </w:tcPr>
          <w:p w14:paraId="62AA2FBB"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35F608A7"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3AB6C1D7"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10372069" w14:textId="77777777" w:rsidR="00D362C1" w:rsidRPr="00D362C1" w:rsidRDefault="00D362C1" w:rsidP="00D362C1">
            <w:pPr>
              <w:spacing w:after="0" w:line="240" w:lineRule="auto"/>
              <w:ind w:firstLine="0"/>
              <w:jc w:val="center"/>
              <w:rPr>
                <w:rFonts w:eastAsia="Times New Roman" w:cs="Times New Roman"/>
                <w:szCs w:val="24"/>
                <w:lang w:val="en-GB"/>
              </w:rPr>
            </w:pPr>
          </w:p>
        </w:tc>
      </w:tr>
      <w:tr w:rsidR="00D362C1" w:rsidRPr="00D362C1" w14:paraId="15AB4A95" w14:textId="77777777" w:rsidTr="00103B92">
        <w:trPr>
          <w:trHeight w:val="291"/>
        </w:trPr>
        <w:tc>
          <w:tcPr>
            <w:tcW w:w="4600" w:type="dxa"/>
            <w:tcBorders>
              <w:top w:val="nil"/>
              <w:left w:val="nil"/>
              <w:bottom w:val="nil"/>
              <w:right w:val="nil"/>
            </w:tcBorders>
            <w:shd w:val="clear" w:color="auto" w:fill="auto"/>
            <w:noWrap/>
            <w:vAlign w:val="bottom"/>
            <w:hideMark/>
          </w:tcPr>
          <w:p w14:paraId="7E02D417" w14:textId="77777777" w:rsidR="00D362C1" w:rsidRPr="00D362C1" w:rsidRDefault="00D362C1" w:rsidP="00D362C1">
            <w:pPr>
              <w:spacing w:after="0" w:line="240" w:lineRule="auto"/>
              <w:ind w:firstLine="0"/>
              <w:rPr>
                <w:rFonts w:eastAsia="Times New Roman" w:cs="Times New Roman"/>
                <w:i/>
                <w:iCs/>
                <w:color w:val="000000"/>
                <w:szCs w:val="24"/>
                <w:lang w:val="en-GB"/>
              </w:rPr>
            </w:pPr>
            <w:proofErr w:type="spellStart"/>
            <w:r w:rsidRPr="00D362C1">
              <w:rPr>
                <w:rFonts w:eastAsia="Times New Roman" w:cs="Times New Roman"/>
                <w:i/>
                <w:iCs/>
                <w:color w:val="000000"/>
                <w:szCs w:val="24"/>
                <w:lang w:val="en-GB"/>
              </w:rPr>
              <w:t>Sociodemographics</w:t>
            </w:r>
            <w:proofErr w:type="spellEnd"/>
          </w:p>
        </w:tc>
        <w:tc>
          <w:tcPr>
            <w:tcW w:w="322" w:type="dxa"/>
            <w:tcBorders>
              <w:top w:val="nil"/>
              <w:left w:val="nil"/>
              <w:bottom w:val="nil"/>
              <w:right w:val="nil"/>
            </w:tcBorders>
            <w:shd w:val="clear" w:color="auto" w:fill="auto"/>
            <w:noWrap/>
            <w:vAlign w:val="bottom"/>
            <w:hideMark/>
          </w:tcPr>
          <w:p w14:paraId="4D8F6EFD" w14:textId="77777777" w:rsidR="00D362C1" w:rsidRPr="00D362C1" w:rsidRDefault="00D362C1" w:rsidP="00D362C1">
            <w:pPr>
              <w:spacing w:after="0" w:line="240" w:lineRule="auto"/>
              <w:ind w:firstLine="0"/>
              <w:rPr>
                <w:rFonts w:eastAsia="Times New Roman" w:cs="Times New Roman"/>
                <w:i/>
                <w:iCs/>
                <w:color w:val="000000"/>
                <w:szCs w:val="24"/>
                <w:lang w:val="en-GB"/>
              </w:rPr>
            </w:pPr>
          </w:p>
        </w:tc>
        <w:tc>
          <w:tcPr>
            <w:tcW w:w="1938" w:type="dxa"/>
            <w:tcBorders>
              <w:top w:val="nil"/>
              <w:left w:val="nil"/>
              <w:bottom w:val="nil"/>
              <w:right w:val="nil"/>
            </w:tcBorders>
            <w:shd w:val="clear" w:color="auto" w:fill="auto"/>
            <w:noWrap/>
            <w:vAlign w:val="bottom"/>
            <w:hideMark/>
          </w:tcPr>
          <w:p w14:paraId="12A1CAD6"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63EF2EEF"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69E873B1" w14:textId="77777777" w:rsidR="00D362C1" w:rsidRPr="00D362C1" w:rsidRDefault="00D362C1" w:rsidP="00D362C1">
            <w:pPr>
              <w:spacing w:after="0" w:line="240" w:lineRule="auto"/>
              <w:ind w:firstLine="0"/>
              <w:jc w:val="center"/>
              <w:rPr>
                <w:rFonts w:eastAsia="Times New Roman" w:cs="Times New Roman"/>
                <w:szCs w:val="24"/>
                <w:lang w:val="en-GB"/>
              </w:rPr>
            </w:pPr>
          </w:p>
        </w:tc>
      </w:tr>
      <w:tr w:rsidR="00D362C1" w:rsidRPr="00D362C1" w14:paraId="486223D2" w14:textId="77777777" w:rsidTr="00103B92">
        <w:trPr>
          <w:trHeight w:val="291"/>
        </w:trPr>
        <w:tc>
          <w:tcPr>
            <w:tcW w:w="4600" w:type="dxa"/>
            <w:tcBorders>
              <w:top w:val="nil"/>
              <w:left w:val="nil"/>
              <w:bottom w:val="nil"/>
              <w:right w:val="nil"/>
            </w:tcBorders>
            <w:shd w:val="clear" w:color="auto" w:fill="auto"/>
            <w:noWrap/>
            <w:vAlign w:val="bottom"/>
            <w:hideMark/>
          </w:tcPr>
          <w:p w14:paraId="67590494"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 xml:space="preserve">Age </w:t>
            </w:r>
            <w:r w:rsidRPr="00D362C1">
              <w:rPr>
                <w:rFonts w:eastAsia="Times New Roman" w:cs="Times New Roman"/>
                <w:i/>
                <w:iCs/>
                <w:color w:val="000000"/>
                <w:szCs w:val="24"/>
                <w:lang w:val="en-GB"/>
              </w:rPr>
              <w:t>years (mean ± SD)</w:t>
            </w:r>
          </w:p>
        </w:tc>
        <w:tc>
          <w:tcPr>
            <w:tcW w:w="322" w:type="dxa"/>
            <w:tcBorders>
              <w:top w:val="nil"/>
              <w:left w:val="nil"/>
              <w:bottom w:val="nil"/>
              <w:right w:val="nil"/>
            </w:tcBorders>
            <w:shd w:val="clear" w:color="auto" w:fill="auto"/>
            <w:noWrap/>
            <w:vAlign w:val="bottom"/>
            <w:hideMark/>
          </w:tcPr>
          <w:p w14:paraId="5D11826C"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03C54F37"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55.9 (7.7)</w:t>
            </w:r>
          </w:p>
        </w:tc>
        <w:tc>
          <w:tcPr>
            <w:tcW w:w="322" w:type="dxa"/>
            <w:tcBorders>
              <w:top w:val="nil"/>
              <w:left w:val="nil"/>
              <w:bottom w:val="nil"/>
              <w:right w:val="nil"/>
            </w:tcBorders>
            <w:shd w:val="clear" w:color="auto" w:fill="auto"/>
            <w:noWrap/>
            <w:vAlign w:val="bottom"/>
            <w:hideMark/>
          </w:tcPr>
          <w:p w14:paraId="437CACA0"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20F74015"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41.9 (13.1)</w:t>
            </w:r>
          </w:p>
        </w:tc>
      </w:tr>
      <w:tr w:rsidR="00D362C1" w:rsidRPr="00D362C1" w14:paraId="2FB22BDD" w14:textId="77777777" w:rsidTr="00103B92">
        <w:trPr>
          <w:trHeight w:val="279"/>
        </w:trPr>
        <w:tc>
          <w:tcPr>
            <w:tcW w:w="4600" w:type="dxa"/>
            <w:tcBorders>
              <w:top w:val="nil"/>
              <w:left w:val="nil"/>
              <w:bottom w:val="nil"/>
              <w:right w:val="nil"/>
            </w:tcBorders>
            <w:shd w:val="clear" w:color="auto" w:fill="auto"/>
            <w:noWrap/>
            <w:vAlign w:val="bottom"/>
            <w:hideMark/>
          </w:tcPr>
          <w:p w14:paraId="7804FFFC"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 xml:space="preserve">Sex (F) </w:t>
            </w:r>
            <w:r w:rsidRPr="00D362C1">
              <w:rPr>
                <w:rFonts w:eastAsia="Times New Roman" w:cs="Times New Roman"/>
                <w:i/>
                <w:iCs/>
                <w:color w:val="000000"/>
                <w:szCs w:val="24"/>
                <w:lang w:val="en-GB"/>
              </w:rPr>
              <w:t>(%)</w:t>
            </w:r>
          </w:p>
        </w:tc>
        <w:tc>
          <w:tcPr>
            <w:tcW w:w="322" w:type="dxa"/>
            <w:tcBorders>
              <w:top w:val="nil"/>
              <w:left w:val="nil"/>
              <w:bottom w:val="nil"/>
              <w:right w:val="nil"/>
            </w:tcBorders>
            <w:shd w:val="clear" w:color="auto" w:fill="auto"/>
            <w:noWrap/>
            <w:vAlign w:val="bottom"/>
            <w:hideMark/>
          </w:tcPr>
          <w:p w14:paraId="72DD586F"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30969E20"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56.2</w:t>
            </w:r>
          </w:p>
        </w:tc>
        <w:tc>
          <w:tcPr>
            <w:tcW w:w="322" w:type="dxa"/>
            <w:tcBorders>
              <w:top w:val="nil"/>
              <w:left w:val="nil"/>
              <w:bottom w:val="nil"/>
              <w:right w:val="nil"/>
            </w:tcBorders>
            <w:shd w:val="clear" w:color="auto" w:fill="auto"/>
            <w:noWrap/>
            <w:vAlign w:val="bottom"/>
            <w:hideMark/>
          </w:tcPr>
          <w:p w14:paraId="1D3CF896"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4719467E"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66.5</w:t>
            </w:r>
          </w:p>
        </w:tc>
      </w:tr>
      <w:tr w:rsidR="00D362C1" w:rsidRPr="00D362C1" w14:paraId="3D0838AD" w14:textId="77777777" w:rsidTr="00103B92">
        <w:trPr>
          <w:trHeight w:val="116"/>
        </w:trPr>
        <w:tc>
          <w:tcPr>
            <w:tcW w:w="4600" w:type="dxa"/>
            <w:tcBorders>
              <w:top w:val="nil"/>
              <w:left w:val="nil"/>
              <w:bottom w:val="nil"/>
              <w:right w:val="nil"/>
            </w:tcBorders>
            <w:shd w:val="clear" w:color="auto" w:fill="auto"/>
            <w:noWrap/>
            <w:vAlign w:val="bottom"/>
            <w:hideMark/>
          </w:tcPr>
          <w:p w14:paraId="614979D3"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322" w:type="dxa"/>
            <w:tcBorders>
              <w:top w:val="nil"/>
              <w:left w:val="nil"/>
              <w:bottom w:val="nil"/>
              <w:right w:val="nil"/>
            </w:tcBorders>
            <w:shd w:val="clear" w:color="auto" w:fill="auto"/>
            <w:noWrap/>
            <w:vAlign w:val="bottom"/>
            <w:hideMark/>
          </w:tcPr>
          <w:p w14:paraId="5AD38ADD"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008319C1"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407FAFF2"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7D8D9E8B" w14:textId="77777777" w:rsidR="00D362C1" w:rsidRPr="00D362C1" w:rsidRDefault="00D362C1" w:rsidP="00D362C1">
            <w:pPr>
              <w:spacing w:after="0" w:line="240" w:lineRule="auto"/>
              <w:ind w:firstLine="0"/>
              <w:jc w:val="center"/>
              <w:rPr>
                <w:rFonts w:eastAsia="Times New Roman" w:cs="Times New Roman"/>
                <w:szCs w:val="24"/>
                <w:lang w:val="en-GB"/>
              </w:rPr>
            </w:pPr>
          </w:p>
        </w:tc>
      </w:tr>
      <w:tr w:rsidR="00D362C1" w:rsidRPr="00D362C1" w14:paraId="6DFFF9D9" w14:textId="77777777" w:rsidTr="00103B92">
        <w:trPr>
          <w:trHeight w:val="279"/>
        </w:trPr>
        <w:tc>
          <w:tcPr>
            <w:tcW w:w="4600" w:type="dxa"/>
            <w:tcBorders>
              <w:top w:val="nil"/>
              <w:left w:val="nil"/>
              <w:bottom w:val="nil"/>
              <w:right w:val="nil"/>
            </w:tcBorders>
            <w:shd w:val="clear" w:color="auto" w:fill="auto"/>
            <w:noWrap/>
            <w:vAlign w:val="bottom"/>
            <w:hideMark/>
          </w:tcPr>
          <w:p w14:paraId="7F731A30" w14:textId="2949845F" w:rsidR="00D362C1" w:rsidRPr="00D362C1" w:rsidRDefault="00D362C1" w:rsidP="00D362C1">
            <w:pPr>
              <w:spacing w:after="0" w:line="240" w:lineRule="auto"/>
              <w:ind w:firstLine="0"/>
              <w:rPr>
                <w:rFonts w:eastAsia="Times New Roman" w:cs="Times New Roman"/>
                <w:i/>
                <w:iCs/>
                <w:color w:val="000000"/>
                <w:szCs w:val="24"/>
                <w:lang w:val="en-GB"/>
              </w:rPr>
            </w:pPr>
            <w:r w:rsidRPr="00D362C1">
              <w:rPr>
                <w:rFonts w:eastAsia="Times New Roman" w:cs="Times New Roman"/>
                <w:i/>
                <w:iCs/>
                <w:color w:val="000000"/>
                <w:szCs w:val="24"/>
                <w:lang w:val="en-GB"/>
              </w:rPr>
              <w:t>Symptom endors</w:t>
            </w:r>
            <w:r w:rsidR="006628CE">
              <w:rPr>
                <w:rFonts w:eastAsia="Times New Roman" w:cs="Times New Roman"/>
                <w:i/>
                <w:iCs/>
                <w:color w:val="000000"/>
                <w:szCs w:val="24"/>
                <w:lang w:val="en-GB"/>
              </w:rPr>
              <w:t>e</w:t>
            </w:r>
            <w:r w:rsidRPr="00D362C1">
              <w:rPr>
                <w:rFonts w:eastAsia="Times New Roman" w:cs="Times New Roman"/>
                <w:i/>
                <w:iCs/>
                <w:color w:val="000000"/>
                <w:szCs w:val="24"/>
                <w:lang w:val="en-GB"/>
              </w:rPr>
              <w:t>ment - Depression (%)</w:t>
            </w:r>
          </w:p>
        </w:tc>
        <w:tc>
          <w:tcPr>
            <w:tcW w:w="322" w:type="dxa"/>
            <w:tcBorders>
              <w:top w:val="nil"/>
              <w:left w:val="nil"/>
              <w:bottom w:val="nil"/>
              <w:right w:val="nil"/>
            </w:tcBorders>
            <w:shd w:val="clear" w:color="auto" w:fill="auto"/>
            <w:noWrap/>
            <w:vAlign w:val="bottom"/>
            <w:hideMark/>
          </w:tcPr>
          <w:p w14:paraId="7DC09F5E" w14:textId="77777777" w:rsidR="00D362C1" w:rsidRPr="00D362C1" w:rsidRDefault="00D362C1" w:rsidP="00D362C1">
            <w:pPr>
              <w:spacing w:after="0" w:line="240" w:lineRule="auto"/>
              <w:ind w:firstLine="0"/>
              <w:rPr>
                <w:rFonts w:eastAsia="Times New Roman" w:cs="Times New Roman"/>
                <w:i/>
                <w:iCs/>
                <w:color w:val="000000"/>
                <w:szCs w:val="24"/>
                <w:lang w:val="en-GB"/>
              </w:rPr>
            </w:pPr>
          </w:p>
        </w:tc>
        <w:tc>
          <w:tcPr>
            <w:tcW w:w="1938" w:type="dxa"/>
            <w:tcBorders>
              <w:top w:val="nil"/>
              <w:left w:val="nil"/>
              <w:bottom w:val="nil"/>
              <w:right w:val="nil"/>
            </w:tcBorders>
            <w:shd w:val="clear" w:color="auto" w:fill="auto"/>
            <w:noWrap/>
            <w:vAlign w:val="bottom"/>
            <w:hideMark/>
          </w:tcPr>
          <w:p w14:paraId="61AEC3C5"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089948B1"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7B8665E5" w14:textId="77777777" w:rsidR="00D362C1" w:rsidRPr="00D362C1" w:rsidRDefault="00D362C1" w:rsidP="00D362C1">
            <w:pPr>
              <w:spacing w:after="0" w:line="240" w:lineRule="auto"/>
              <w:ind w:firstLine="0"/>
              <w:jc w:val="center"/>
              <w:rPr>
                <w:rFonts w:eastAsia="Times New Roman" w:cs="Times New Roman"/>
                <w:szCs w:val="24"/>
                <w:lang w:val="en-GB"/>
              </w:rPr>
            </w:pPr>
          </w:p>
        </w:tc>
      </w:tr>
      <w:tr w:rsidR="00D362C1" w:rsidRPr="00D362C1" w14:paraId="2607DCC7" w14:textId="77777777" w:rsidTr="00103B92">
        <w:trPr>
          <w:trHeight w:val="279"/>
        </w:trPr>
        <w:tc>
          <w:tcPr>
            <w:tcW w:w="4600" w:type="dxa"/>
            <w:tcBorders>
              <w:top w:val="nil"/>
              <w:left w:val="nil"/>
              <w:bottom w:val="nil"/>
              <w:right w:val="nil"/>
            </w:tcBorders>
            <w:shd w:val="clear" w:color="auto" w:fill="auto"/>
            <w:vAlign w:val="center"/>
            <w:hideMark/>
          </w:tcPr>
          <w:p w14:paraId="1020FD2F"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D.1 Anhedonia</w:t>
            </w:r>
          </w:p>
        </w:tc>
        <w:tc>
          <w:tcPr>
            <w:tcW w:w="322" w:type="dxa"/>
            <w:tcBorders>
              <w:top w:val="nil"/>
              <w:left w:val="nil"/>
              <w:bottom w:val="nil"/>
              <w:right w:val="nil"/>
            </w:tcBorders>
            <w:shd w:val="clear" w:color="auto" w:fill="auto"/>
            <w:noWrap/>
            <w:vAlign w:val="bottom"/>
            <w:hideMark/>
          </w:tcPr>
          <w:p w14:paraId="5C9DB795"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2998C238"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18.5</w:t>
            </w:r>
          </w:p>
        </w:tc>
        <w:tc>
          <w:tcPr>
            <w:tcW w:w="322" w:type="dxa"/>
            <w:tcBorders>
              <w:top w:val="nil"/>
              <w:left w:val="nil"/>
              <w:bottom w:val="nil"/>
              <w:right w:val="nil"/>
            </w:tcBorders>
            <w:shd w:val="clear" w:color="auto" w:fill="auto"/>
            <w:noWrap/>
            <w:vAlign w:val="bottom"/>
            <w:hideMark/>
          </w:tcPr>
          <w:p w14:paraId="645FB82E"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4729B4BF"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13.9</w:t>
            </w:r>
          </w:p>
        </w:tc>
      </w:tr>
      <w:tr w:rsidR="00D362C1" w:rsidRPr="00D362C1" w14:paraId="0AFC41FD" w14:textId="77777777" w:rsidTr="00103B92">
        <w:trPr>
          <w:trHeight w:val="279"/>
        </w:trPr>
        <w:tc>
          <w:tcPr>
            <w:tcW w:w="4600" w:type="dxa"/>
            <w:tcBorders>
              <w:top w:val="nil"/>
              <w:left w:val="nil"/>
              <w:bottom w:val="nil"/>
              <w:right w:val="nil"/>
            </w:tcBorders>
            <w:shd w:val="clear" w:color="auto" w:fill="auto"/>
            <w:vAlign w:val="center"/>
            <w:hideMark/>
          </w:tcPr>
          <w:p w14:paraId="16AD8C85"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D.2 Depressed mood</w:t>
            </w:r>
          </w:p>
        </w:tc>
        <w:tc>
          <w:tcPr>
            <w:tcW w:w="322" w:type="dxa"/>
            <w:tcBorders>
              <w:top w:val="nil"/>
              <w:left w:val="nil"/>
              <w:bottom w:val="nil"/>
              <w:right w:val="nil"/>
            </w:tcBorders>
            <w:shd w:val="clear" w:color="auto" w:fill="auto"/>
            <w:noWrap/>
            <w:vAlign w:val="bottom"/>
            <w:hideMark/>
          </w:tcPr>
          <w:p w14:paraId="1AF49612"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342DFC84"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21.9</w:t>
            </w:r>
          </w:p>
        </w:tc>
        <w:tc>
          <w:tcPr>
            <w:tcW w:w="322" w:type="dxa"/>
            <w:tcBorders>
              <w:top w:val="nil"/>
              <w:left w:val="nil"/>
              <w:bottom w:val="nil"/>
              <w:right w:val="nil"/>
            </w:tcBorders>
            <w:shd w:val="clear" w:color="auto" w:fill="auto"/>
            <w:noWrap/>
            <w:vAlign w:val="bottom"/>
            <w:hideMark/>
          </w:tcPr>
          <w:p w14:paraId="633D34D5"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3E20CA43"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21.6</w:t>
            </w:r>
          </w:p>
        </w:tc>
      </w:tr>
      <w:tr w:rsidR="00D362C1" w:rsidRPr="00D362C1" w14:paraId="68DA19F5" w14:textId="77777777" w:rsidTr="00103B92">
        <w:trPr>
          <w:trHeight w:val="279"/>
        </w:trPr>
        <w:tc>
          <w:tcPr>
            <w:tcW w:w="4600" w:type="dxa"/>
            <w:tcBorders>
              <w:top w:val="nil"/>
              <w:left w:val="nil"/>
              <w:bottom w:val="nil"/>
              <w:right w:val="nil"/>
            </w:tcBorders>
            <w:shd w:val="clear" w:color="auto" w:fill="auto"/>
            <w:vAlign w:val="center"/>
            <w:hideMark/>
          </w:tcPr>
          <w:p w14:paraId="0A7C2BA1"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D.3 Sleep problem</w:t>
            </w:r>
          </w:p>
        </w:tc>
        <w:tc>
          <w:tcPr>
            <w:tcW w:w="322" w:type="dxa"/>
            <w:tcBorders>
              <w:top w:val="nil"/>
              <w:left w:val="nil"/>
              <w:bottom w:val="nil"/>
              <w:right w:val="nil"/>
            </w:tcBorders>
            <w:shd w:val="clear" w:color="auto" w:fill="auto"/>
            <w:noWrap/>
            <w:vAlign w:val="bottom"/>
            <w:hideMark/>
          </w:tcPr>
          <w:p w14:paraId="58A2731D"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6B26FF24"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48.7</w:t>
            </w:r>
          </w:p>
        </w:tc>
        <w:tc>
          <w:tcPr>
            <w:tcW w:w="322" w:type="dxa"/>
            <w:tcBorders>
              <w:top w:val="nil"/>
              <w:left w:val="nil"/>
              <w:bottom w:val="nil"/>
              <w:right w:val="nil"/>
            </w:tcBorders>
            <w:shd w:val="clear" w:color="auto" w:fill="auto"/>
            <w:noWrap/>
            <w:vAlign w:val="bottom"/>
            <w:hideMark/>
          </w:tcPr>
          <w:p w14:paraId="5216FF97"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575812E7"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25.9</w:t>
            </w:r>
          </w:p>
        </w:tc>
      </w:tr>
      <w:tr w:rsidR="00D362C1" w:rsidRPr="00D362C1" w14:paraId="57834614" w14:textId="77777777" w:rsidTr="00103B92">
        <w:trPr>
          <w:trHeight w:val="279"/>
        </w:trPr>
        <w:tc>
          <w:tcPr>
            <w:tcW w:w="4600" w:type="dxa"/>
            <w:tcBorders>
              <w:top w:val="nil"/>
              <w:left w:val="nil"/>
              <w:bottom w:val="nil"/>
              <w:right w:val="nil"/>
            </w:tcBorders>
            <w:shd w:val="clear" w:color="auto" w:fill="auto"/>
            <w:vAlign w:val="center"/>
            <w:hideMark/>
          </w:tcPr>
          <w:p w14:paraId="1222B761"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D.4 Fatigues</w:t>
            </w:r>
          </w:p>
        </w:tc>
        <w:tc>
          <w:tcPr>
            <w:tcW w:w="322" w:type="dxa"/>
            <w:tcBorders>
              <w:top w:val="nil"/>
              <w:left w:val="nil"/>
              <w:bottom w:val="nil"/>
              <w:right w:val="nil"/>
            </w:tcBorders>
            <w:shd w:val="clear" w:color="auto" w:fill="auto"/>
            <w:noWrap/>
            <w:vAlign w:val="bottom"/>
            <w:hideMark/>
          </w:tcPr>
          <w:p w14:paraId="58E1C2E1"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67FE05E1"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49.9</w:t>
            </w:r>
          </w:p>
        </w:tc>
        <w:tc>
          <w:tcPr>
            <w:tcW w:w="322" w:type="dxa"/>
            <w:tcBorders>
              <w:top w:val="nil"/>
              <w:left w:val="nil"/>
              <w:bottom w:val="nil"/>
              <w:right w:val="nil"/>
            </w:tcBorders>
            <w:shd w:val="clear" w:color="auto" w:fill="auto"/>
            <w:noWrap/>
            <w:vAlign w:val="bottom"/>
            <w:hideMark/>
          </w:tcPr>
          <w:p w14:paraId="17348845"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555C7863"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36.5</w:t>
            </w:r>
          </w:p>
        </w:tc>
      </w:tr>
      <w:tr w:rsidR="00D362C1" w:rsidRPr="00D362C1" w14:paraId="492527E3" w14:textId="77777777" w:rsidTr="00103B92">
        <w:trPr>
          <w:trHeight w:val="279"/>
        </w:trPr>
        <w:tc>
          <w:tcPr>
            <w:tcW w:w="4600" w:type="dxa"/>
            <w:tcBorders>
              <w:top w:val="nil"/>
              <w:left w:val="nil"/>
              <w:bottom w:val="nil"/>
              <w:right w:val="nil"/>
            </w:tcBorders>
            <w:shd w:val="clear" w:color="auto" w:fill="auto"/>
            <w:noWrap/>
            <w:vAlign w:val="bottom"/>
            <w:hideMark/>
          </w:tcPr>
          <w:p w14:paraId="62245E7B"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D.5 Appetite change</w:t>
            </w:r>
          </w:p>
        </w:tc>
        <w:tc>
          <w:tcPr>
            <w:tcW w:w="322" w:type="dxa"/>
            <w:tcBorders>
              <w:top w:val="nil"/>
              <w:left w:val="nil"/>
              <w:bottom w:val="nil"/>
              <w:right w:val="nil"/>
            </w:tcBorders>
            <w:shd w:val="clear" w:color="auto" w:fill="auto"/>
            <w:noWrap/>
            <w:vAlign w:val="bottom"/>
            <w:hideMark/>
          </w:tcPr>
          <w:p w14:paraId="28498022"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26C55DF6"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18.2</w:t>
            </w:r>
          </w:p>
        </w:tc>
        <w:tc>
          <w:tcPr>
            <w:tcW w:w="322" w:type="dxa"/>
            <w:tcBorders>
              <w:top w:val="nil"/>
              <w:left w:val="nil"/>
              <w:bottom w:val="nil"/>
              <w:right w:val="nil"/>
            </w:tcBorders>
            <w:shd w:val="clear" w:color="auto" w:fill="auto"/>
            <w:noWrap/>
            <w:vAlign w:val="bottom"/>
            <w:hideMark/>
          </w:tcPr>
          <w:p w14:paraId="7CB27663"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6574B3DE"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7.7</w:t>
            </w:r>
          </w:p>
        </w:tc>
      </w:tr>
      <w:tr w:rsidR="00D362C1" w:rsidRPr="00D362C1" w14:paraId="77752643" w14:textId="77777777" w:rsidTr="00103B92">
        <w:trPr>
          <w:trHeight w:val="279"/>
        </w:trPr>
        <w:tc>
          <w:tcPr>
            <w:tcW w:w="4600" w:type="dxa"/>
            <w:tcBorders>
              <w:top w:val="nil"/>
              <w:left w:val="nil"/>
              <w:bottom w:val="nil"/>
              <w:right w:val="nil"/>
            </w:tcBorders>
            <w:shd w:val="clear" w:color="auto" w:fill="auto"/>
            <w:noWrap/>
            <w:vAlign w:val="bottom"/>
            <w:hideMark/>
          </w:tcPr>
          <w:p w14:paraId="3177F9F2"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D.6 Feelings of inadequacy</w:t>
            </w:r>
          </w:p>
        </w:tc>
        <w:tc>
          <w:tcPr>
            <w:tcW w:w="322" w:type="dxa"/>
            <w:tcBorders>
              <w:top w:val="nil"/>
              <w:left w:val="nil"/>
              <w:bottom w:val="nil"/>
              <w:right w:val="nil"/>
            </w:tcBorders>
            <w:shd w:val="clear" w:color="auto" w:fill="auto"/>
            <w:noWrap/>
            <w:vAlign w:val="bottom"/>
            <w:hideMark/>
          </w:tcPr>
          <w:p w14:paraId="62BC8185"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74C1A587"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19.2</w:t>
            </w:r>
          </w:p>
        </w:tc>
        <w:tc>
          <w:tcPr>
            <w:tcW w:w="322" w:type="dxa"/>
            <w:tcBorders>
              <w:top w:val="nil"/>
              <w:left w:val="nil"/>
              <w:bottom w:val="nil"/>
              <w:right w:val="nil"/>
            </w:tcBorders>
            <w:shd w:val="clear" w:color="auto" w:fill="auto"/>
            <w:noWrap/>
            <w:vAlign w:val="bottom"/>
            <w:hideMark/>
          </w:tcPr>
          <w:p w14:paraId="43F8208E"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2105D2CF"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24.2</w:t>
            </w:r>
          </w:p>
        </w:tc>
      </w:tr>
      <w:tr w:rsidR="00D362C1" w:rsidRPr="00D362C1" w14:paraId="1096991B" w14:textId="77777777" w:rsidTr="00103B92">
        <w:trPr>
          <w:trHeight w:val="279"/>
        </w:trPr>
        <w:tc>
          <w:tcPr>
            <w:tcW w:w="4600" w:type="dxa"/>
            <w:tcBorders>
              <w:top w:val="nil"/>
              <w:left w:val="nil"/>
              <w:bottom w:val="nil"/>
              <w:right w:val="nil"/>
            </w:tcBorders>
            <w:shd w:val="clear" w:color="auto" w:fill="auto"/>
            <w:vAlign w:val="center"/>
            <w:hideMark/>
          </w:tcPr>
          <w:p w14:paraId="6449DB16"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D.7 Cognitive problems</w:t>
            </w:r>
          </w:p>
        </w:tc>
        <w:tc>
          <w:tcPr>
            <w:tcW w:w="322" w:type="dxa"/>
            <w:tcBorders>
              <w:top w:val="nil"/>
              <w:left w:val="nil"/>
              <w:bottom w:val="nil"/>
              <w:right w:val="nil"/>
            </w:tcBorders>
            <w:shd w:val="clear" w:color="auto" w:fill="auto"/>
            <w:noWrap/>
            <w:vAlign w:val="bottom"/>
            <w:hideMark/>
          </w:tcPr>
          <w:p w14:paraId="0066D9DA"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04C0212B"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17.9</w:t>
            </w:r>
          </w:p>
        </w:tc>
        <w:tc>
          <w:tcPr>
            <w:tcW w:w="322" w:type="dxa"/>
            <w:tcBorders>
              <w:top w:val="nil"/>
              <w:left w:val="nil"/>
              <w:bottom w:val="nil"/>
              <w:right w:val="nil"/>
            </w:tcBorders>
            <w:shd w:val="clear" w:color="auto" w:fill="auto"/>
            <w:noWrap/>
            <w:vAlign w:val="bottom"/>
            <w:hideMark/>
          </w:tcPr>
          <w:p w14:paraId="59C51F1A"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7A46FE4C"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21.9</w:t>
            </w:r>
          </w:p>
        </w:tc>
      </w:tr>
      <w:tr w:rsidR="00D362C1" w:rsidRPr="00D362C1" w14:paraId="7D17DB84" w14:textId="77777777" w:rsidTr="00103B92">
        <w:trPr>
          <w:trHeight w:val="279"/>
        </w:trPr>
        <w:tc>
          <w:tcPr>
            <w:tcW w:w="4600" w:type="dxa"/>
            <w:tcBorders>
              <w:top w:val="nil"/>
              <w:left w:val="nil"/>
              <w:bottom w:val="nil"/>
              <w:right w:val="nil"/>
            </w:tcBorders>
            <w:shd w:val="clear" w:color="auto" w:fill="auto"/>
            <w:vAlign w:val="center"/>
            <w:hideMark/>
          </w:tcPr>
          <w:p w14:paraId="7C7C5F12"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D.8 Psychomotor change</w:t>
            </w:r>
          </w:p>
        </w:tc>
        <w:tc>
          <w:tcPr>
            <w:tcW w:w="322" w:type="dxa"/>
            <w:tcBorders>
              <w:top w:val="nil"/>
              <w:left w:val="nil"/>
              <w:bottom w:val="nil"/>
              <w:right w:val="nil"/>
            </w:tcBorders>
            <w:shd w:val="clear" w:color="auto" w:fill="auto"/>
            <w:noWrap/>
            <w:vAlign w:val="bottom"/>
            <w:hideMark/>
          </w:tcPr>
          <w:p w14:paraId="4A583391"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34BF2F99"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5.5</w:t>
            </w:r>
          </w:p>
        </w:tc>
        <w:tc>
          <w:tcPr>
            <w:tcW w:w="322" w:type="dxa"/>
            <w:tcBorders>
              <w:top w:val="nil"/>
              <w:left w:val="nil"/>
              <w:bottom w:val="nil"/>
              <w:right w:val="nil"/>
            </w:tcBorders>
            <w:shd w:val="clear" w:color="auto" w:fill="auto"/>
            <w:noWrap/>
            <w:vAlign w:val="bottom"/>
            <w:hideMark/>
          </w:tcPr>
          <w:p w14:paraId="2591C5F8"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64647636"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18.1</w:t>
            </w:r>
          </w:p>
        </w:tc>
      </w:tr>
      <w:tr w:rsidR="00D362C1" w:rsidRPr="00D362C1" w14:paraId="2E2EEAC8" w14:textId="77777777" w:rsidTr="00103B92">
        <w:trPr>
          <w:trHeight w:val="279"/>
        </w:trPr>
        <w:tc>
          <w:tcPr>
            <w:tcW w:w="4600" w:type="dxa"/>
            <w:tcBorders>
              <w:top w:val="nil"/>
              <w:left w:val="nil"/>
              <w:bottom w:val="nil"/>
              <w:right w:val="nil"/>
            </w:tcBorders>
            <w:shd w:val="clear" w:color="auto" w:fill="auto"/>
            <w:vAlign w:val="center"/>
            <w:hideMark/>
          </w:tcPr>
          <w:p w14:paraId="174D585B"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D.9 Suicidal ideation</w:t>
            </w:r>
          </w:p>
        </w:tc>
        <w:tc>
          <w:tcPr>
            <w:tcW w:w="322" w:type="dxa"/>
            <w:tcBorders>
              <w:top w:val="nil"/>
              <w:left w:val="nil"/>
              <w:bottom w:val="nil"/>
              <w:right w:val="nil"/>
            </w:tcBorders>
            <w:shd w:val="clear" w:color="auto" w:fill="auto"/>
            <w:noWrap/>
            <w:vAlign w:val="bottom"/>
            <w:hideMark/>
          </w:tcPr>
          <w:p w14:paraId="0D436936"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6E280166"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4.3</w:t>
            </w:r>
          </w:p>
        </w:tc>
        <w:tc>
          <w:tcPr>
            <w:tcW w:w="322" w:type="dxa"/>
            <w:tcBorders>
              <w:top w:val="nil"/>
              <w:left w:val="nil"/>
              <w:bottom w:val="nil"/>
              <w:right w:val="nil"/>
            </w:tcBorders>
            <w:shd w:val="clear" w:color="auto" w:fill="auto"/>
            <w:noWrap/>
            <w:vAlign w:val="bottom"/>
            <w:hideMark/>
          </w:tcPr>
          <w:p w14:paraId="0FCA9C85"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6AE35489"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12.2</w:t>
            </w:r>
          </w:p>
        </w:tc>
      </w:tr>
      <w:tr w:rsidR="00D362C1" w:rsidRPr="00D362C1" w14:paraId="0F99FF24" w14:textId="77777777" w:rsidTr="00103B92">
        <w:trPr>
          <w:trHeight w:val="131"/>
        </w:trPr>
        <w:tc>
          <w:tcPr>
            <w:tcW w:w="4600" w:type="dxa"/>
            <w:tcBorders>
              <w:top w:val="nil"/>
              <w:left w:val="nil"/>
              <w:bottom w:val="nil"/>
              <w:right w:val="nil"/>
            </w:tcBorders>
            <w:shd w:val="clear" w:color="auto" w:fill="auto"/>
            <w:noWrap/>
            <w:vAlign w:val="bottom"/>
            <w:hideMark/>
          </w:tcPr>
          <w:p w14:paraId="58F1BA6B"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322" w:type="dxa"/>
            <w:tcBorders>
              <w:top w:val="nil"/>
              <w:left w:val="nil"/>
              <w:bottom w:val="nil"/>
              <w:right w:val="nil"/>
            </w:tcBorders>
            <w:shd w:val="clear" w:color="auto" w:fill="auto"/>
            <w:noWrap/>
            <w:vAlign w:val="bottom"/>
            <w:hideMark/>
          </w:tcPr>
          <w:p w14:paraId="4C898AD0"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539F35A3"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1DD99385"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3EFD1EF9" w14:textId="77777777" w:rsidR="00D362C1" w:rsidRPr="00D362C1" w:rsidRDefault="00D362C1" w:rsidP="00D362C1">
            <w:pPr>
              <w:spacing w:after="0" w:line="240" w:lineRule="auto"/>
              <w:ind w:firstLine="0"/>
              <w:jc w:val="center"/>
              <w:rPr>
                <w:rFonts w:eastAsia="Times New Roman" w:cs="Times New Roman"/>
                <w:szCs w:val="24"/>
                <w:lang w:val="en-GB"/>
              </w:rPr>
            </w:pPr>
          </w:p>
        </w:tc>
      </w:tr>
      <w:tr w:rsidR="00D362C1" w:rsidRPr="00D362C1" w14:paraId="4D087C4C" w14:textId="77777777" w:rsidTr="00103B92">
        <w:trPr>
          <w:trHeight w:val="279"/>
        </w:trPr>
        <w:tc>
          <w:tcPr>
            <w:tcW w:w="4600" w:type="dxa"/>
            <w:tcBorders>
              <w:top w:val="nil"/>
              <w:left w:val="nil"/>
              <w:bottom w:val="nil"/>
              <w:right w:val="nil"/>
            </w:tcBorders>
            <w:shd w:val="clear" w:color="auto" w:fill="auto"/>
            <w:noWrap/>
            <w:vAlign w:val="bottom"/>
            <w:hideMark/>
          </w:tcPr>
          <w:p w14:paraId="21DDC2E6" w14:textId="77777777" w:rsidR="00D362C1" w:rsidRPr="00D362C1" w:rsidRDefault="00D362C1" w:rsidP="00D362C1">
            <w:pPr>
              <w:spacing w:after="0" w:line="240" w:lineRule="auto"/>
              <w:ind w:firstLine="0"/>
              <w:jc w:val="center"/>
              <w:rPr>
                <w:rFonts w:eastAsia="Times New Roman" w:cs="Times New Roman"/>
                <w:i/>
                <w:iCs/>
                <w:color w:val="000000"/>
                <w:szCs w:val="24"/>
                <w:lang w:val="en-GB"/>
              </w:rPr>
            </w:pPr>
            <w:r w:rsidRPr="00D362C1">
              <w:rPr>
                <w:rFonts w:eastAsia="Times New Roman" w:cs="Times New Roman"/>
                <w:i/>
                <w:iCs/>
                <w:color w:val="000000"/>
                <w:szCs w:val="24"/>
                <w:lang w:val="en-GB"/>
              </w:rPr>
              <w:t>Symptom summary scales</w:t>
            </w:r>
          </w:p>
        </w:tc>
        <w:tc>
          <w:tcPr>
            <w:tcW w:w="322" w:type="dxa"/>
            <w:tcBorders>
              <w:top w:val="nil"/>
              <w:left w:val="nil"/>
              <w:bottom w:val="nil"/>
              <w:right w:val="nil"/>
            </w:tcBorders>
            <w:shd w:val="clear" w:color="auto" w:fill="auto"/>
            <w:noWrap/>
            <w:vAlign w:val="bottom"/>
            <w:hideMark/>
          </w:tcPr>
          <w:p w14:paraId="538ABB95" w14:textId="77777777" w:rsidR="00D362C1" w:rsidRPr="00D362C1" w:rsidRDefault="00D362C1" w:rsidP="00D362C1">
            <w:pPr>
              <w:spacing w:after="0" w:line="240" w:lineRule="auto"/>
              <w:ind w:firstLine="0"/>
              <w:jc w:val="center"/>
              <w:rPr>
                <w:rFonts w:eastAsia="Times New Roman" w:cs="Times New Roman"/>
                <w:i/>
                <w:iCs/>
                <w:color w:val="000000"/>
                <w:szCs w:val="24"/>
                <w:lang w:val="en-GB"/>
              </w:rPr>
            </w:pPr>
          </w:p>
        </w:tc>
        <w:tc>
          <w:tcPr>
            <w:tcW w:w="1938" w:type="dxa"/>
            <w:tcBorders>
              <w:top w:val="nil"/>
              <w:left w:val="nil"/>
              <w:bottom w:val="nil"/>
              <w:right w:val="nil"/>
            </w:tcBorders>
            <w:shd w:val="clear" w:color="auto" w:fill="auto"/>
            <w:noWrap/>
            <w:vAlign w:val="bottom"/>
            <w:hideMark/>
          </w:tcPr>
          <w:p w14:paraId="0C4B2EA8"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3B49893F"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0F2301CB" w14:textId="77777777" w:rsidR="00D362C1" w:rsidRPr="00D362C1" w:rsidRDefault="00D362C1" w:rsidP="00D362C1">
            <w:pPr>
              <w:spacing w:after="0" w:line="240" w:lineRule="auto"/>
              <w:ind w:firstLine="0"/>
              <w:jc w:val="center"/>
              <w:rPr>
                <w:rFonts w:eastAsia="Times New Roman" w:cs="Times New Roman"/>
                <w:szCs w:val="24"/>
                <w:lang w:val="en-GB"/>
              </w:rPr>
            </w:pPr>
          </w:p>
        </w:tc>
      </w:tr>
      <w:tr w:rsidR="00D362C1" w:rsidRPr="00D362C1" w14:paraId="07473A0C" w14:textId="77777777" w:rsidTr="00103B92">
        <w:trPr>
          <w:trHeight w:val="279"/>
        </w:trPr>
        <w:tc>
          <w:tcPr>
            <w:tcW w:w="4600" w:type="dxa"/>
            <w:tcBorders>
              <w:top w:val="nil"/>
              <w:left w:val="nil"/>
              <w:bottom w:val="nil"/>
              <w:right w:val="nil"/>
            </w:tcBorders>
            <w:shd w:val="clear" w:color="auto" w:fill="auto"/>
            <w:noWrap/>
            <w:vAlign w:val="bottom"/>
            <w:hideMark/>
          </w:tcPr>
          <w:p w14:paraId="59954840"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Psychological symptoms</w:t>
            </w:r>
            <w:r w:rsidRPr="00D362C1">
              <w:rPr>
                <w:rFonts w:eastAsia="Times New Roman" w:cs="Times New Roman"/>
                <w:szCs w:val="24"/>
                <w:lang w:val="en-GB"/>
              </w:rPr>
              <w:t xml:space="preserve"> </w:t>
            </w:r>
            <w:r w:rsidRPr="00D362C1">
              <w:rPr>
                <w:rFonts w:eastAsia="Times New Roman" w:cs="Times New Roman"/>
                <w:i/>
                <w:iCs/>
                <w:szCs w:val="24"/>
                <w:lang w:val="en-GB"/>
              </w:rPr>
              <w:t>(mean ± SD)</w:t>
            </w:r>
          </w:p>
        </w:tc>
        <w:tc>
          <w:tcPr>
            <w:tcW w:w="322" w:type="dxa"/>
            <w:tcBorders>
              <w:top w:val="nil"/>
              <w:left w:val="nil"/>
              <w:bottom w:val="nil"/>
              <w:right w:val="nil"/>
            </w:tcBorders>
            <w:shd w:val="clear" w:color="auto" w:fill="auto"/>
            <w:noWrap/>
            <w:vAlign w:val="bottom"/>
            <w:hideMark/>
          </w:tcPr>
          <w:p w14:paraId="4F019485"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0AAB80EB"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0.74 (1.51)</w:t>
            </w:r>
          </w:p>
        </w:tc>
        <w:tc>
          <w:tcPr>
            <w:tcW w:w="322" w:type="dxa"/>
            <w:tcBorders>
              <w:top w:val="nil"/>
              <w:left w:val="nil"/>
              <w:bottom w:val="nil"/>
              <w:right w:val="nil"/>
            </w:tcBorders>
            <w:shd w:val="clear" w:color="auto" w:fill="auto"/>
            <w:noWrap/>
            <w:vAlign w:val="bottom"/>
            <w:hideMark/>
          </w:tcPr>
          <w:p w14:paraId="707D7F99"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199514AF"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0.721 (1.04)</w:t>
            </w:r>
          </w:p>
        </w:tc>
      </w:tr>
      <w:tr w:rsidR="00D362C1" w:rsidRPr="00D362C1" w14:paraId="431C750D" w14:textId="77777777" w:rsidTr="00103B92">
        <w:trPr>
          <w:trHeight w:val="306"/>
        </w:trPr>
        <w:tc>
          <w:tcPr>
            <w:tcW w:w="4600" w:type="dxa"/>
            <w:tcBorders>
              <w:top w:val="nil"/>
              <w:left w:val="nil"/>
              <w:bottom w:val="nil"/>
              <w:right w:val="nil"/>
            </w:tcBorders>
            <w:shd w:val="clear" w:color="auto" w:fill="auto"/>
            <w:noWrap/>
            <w:vAlign w:val="bottom"/>
            <w:hideMark/>
          </w:tcPr>
          <w:p w14:paraId="528A81E0"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 xml:space="preserve">Somatic symptoms </w:t>
            </w:r>
            <w:r w:rsidRPr="00D362C1">
              <w:rPr>
                <w:rFonts w:eastAsia="Times New Roman" w:cs="Times New Roman"/>
                <w:i/>
                <w:iCs/>
                <w:szCs w:val="24"/>
                <w:lang w:val="en-GB"/>
              </w:rPr>
              <w:t>(mean ± SD)</w:t>
            </w:r>
          </w:p>
        </w:tc>
        <w:tc>
          <w:tcPr>
            <w:tcW w:w="322" w:type="dxa"/>
            <w:tcBorders>
              <w:top w:val="nil"/>
              <w:left w:val="nil"/>
              <w:bottom w:val="nil"/>
              <w:right w:val="nil"/>
            </w:tcBorders>
            <w:shd w:val="clear" w:color="auto" w:fill="auto"/>
            <w:noWrap/>
            <w:vAlign w:val="bottom"/>
            <w:hideMark/>
          </w:tcPr>
          <w:p w14:paraId="26A54BF6"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2E5FF130"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1.65 (2.03)</w:t>
            </w:r>
          </w:p>
        </w:tc>
        <w:tc>
          <w:tcPr>
            <w:tcW w:w="322" w:type="dxa"/>
            <w:tcBorders>
              <w:top w:val="nil"/>
              <w:left w:val="nil"/>
              <w:bottom w:val="nil"/>
              <w:right w:val="nil"/>
            </w:tcBorders>
            <w:shd w:val="clear" w:color="auto" w:fill="auto"/>
            <w:noWrap/>
            <w:vAlign w:val="bottom"/>
            <w:hideMark/>
          </w:tcPr>
          <w:p w14:paraId="31B48997"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760F46CF"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1.09 (1.30)</w:t>
            </w:r>
          </w:p>
        </w:tc>
      </w:tr>
      <w:tr w:rsidR="00D362C1" w:rsidRPr="00D362C1" w14:paraId="3C0FC39C" w14:textId="77777777" w:rsidTr="00103B92">
        <w:trPr>
          <w:trHeight w:val="116"/>
        </w:trPr>
        <w:tc>
          <w:tcPr>
            <w:tcW w:w="4600" w:type="dxa"/>
            <w:tcBorders>
              <w:top w:val="nil"/>
              <w:left w:val="nil"/>
              <w:bottom w:val="nil"/>
              <w:right w:val="nil"/>
            </w:tcBorders>
            <w:shd w:val="clear" w:color="auto" w:fill="auto"/>
            <w:noWrap/>
            <w:vAlign w:val="bottom"/>
            <w:hideMark/>
          </w:tcPr>
          <w:p w14:paraId="35C34552"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322" w:type="dxa"/>
            <w:tcBorders>
              <w:top w:val="nil"/>
              <w:left w:val="nil"/>
              <w:bottom w:val="nil"/>
              <w:right w:val="nil"/>
            </w:tcBorders>
            <w:shd w:val="clear" w:color="auto" w:fill="auto"/>
            <w:noWrap/>
            <w:vAlign w:val="bottom"/>
            <w:hideMark/>
          </w:tcPr>
          <w:p w14:paraId="1F472D36" w14:textId="77777777" w:rsidR="00D362C1" w:rsidRPr="00D362C1" w:rsidRDefault="00D362C1" w:rsidP="00D362C1">
            <w:pPr>
              <w:spacing w:after="0" w:line="240" w:lineRule="auto"/>
              <w:ind w:firstLine="0"/>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089E42F8"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3A7BC91C"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39DF06AC" w14:textId="77777777" w:rsidR="00D362C1" w:rsidRPr="00D362C1" w:rsidRDefault="00D362C1" w:rsidP="00D362C1">
            <w:pPr>
              <w:spacing w:after="0" w:line="240" w:lineRule="auto"/>
              <w:ind w:firstLine="0"/>
              <w:jc w:val="center"/>
              <w:rPr>
                <w:rFonts w:eastAsia="Times New Roman" w:cs="Times New Roman"/>
                <w:szCs w:val="24"/>
                <w:lang w:val="en-GB"/>
              </w:rPr>
            </w:pPr>
          </w:p>
        </w:tc>
      </w:tr>
      <w:tr w:rsidR="00D362C1" w:rsidRPr="00D362C1" w14:paraId="75894843" w14:textId="77777777" w:rsidTr="00103B92">
        <w:trPr>
          <w:trHeight w:val="306"/>
        </w:trPr>
        <w:tc>
          <w:tcPr>
            <w:tcW w:w="4600" w:type="dxa"/>
            <w:tcBorders>
              <w:top w:val="nil"/>
              <w:left w:val="nil"/>
              <w:bottom w:val="nil"/>
              <w:right w:val="nil"/>
            </w:tcBorders>
            <w:shd w:val="clear" w:color="auto" w:fill="auto"/>
            <w:noWrap/>
            <w:vAlign w:val="bottom"/>
            <w:hideMark/>
          </w:tcPr>
          <w:p w14:paraId="43D00A51" w14:textId="74E1DFFA" w:rsidR="00D362C1" w:rsidRPr="00D362C1" w:rsidRDefault="00D362C1" w:rsidP="00D362C1">
            <w:pPr>
              <w:spacing w:after="0" w:line="240" w:lineRule="auto"/>
              <w:ind w:firstLine="0"/>
              <w:rPr>
                <w:rFonts w:eastAsia="Times New Roman" w:cs="Times New Roman"/>
                <w:i/>
                <w:iCs/>
                <w:color w:val="000000"/>
                <w:szCs w:val="24"/>
                <w:lang w:val="en-GB"/>
              </w:rPr>
            </w:pPr>
            <w:r w:rsidRPr="00D362C1">
              <w:rPr>
                <w:rFonts w:eastAsia="Times New Roman" w:cs="Times New Roman"/>
                <w:i/>
                <w:iCs/>
                <w:color w:val="000000"/>
                <w:szCs w:val="24"/>
                <w:lang w:val="en-GB"/>
              </w:rPr>
              <w:t>Symptom endors</w:t>
            </w:r>
            <w:r w:rsidR="00D27090">
              <w:rPr>
                <w:rFonts w:eastAsia="Times New Roman" w:cs="Times New Roman"/>
                <w:i/>
                <w:iCs/>
                <w:color w:val="000000"/>
                <w:szCs w:val="24"/>
                <w:lang w:val="en-GB"/>
              </w:rPr>
              <w:t>e</w:t>
            </w:r>
            <w:r w:rsidRPr="00D362C1">
              <w:rPr>
                <w:rFonts w:eastAsia="Times New Roman" w:cs="Times New Roman"/>
                <w:i/>
                <w:iCs/>
                <w:color w:val="000000"/>
                <w:szCs w:val="24"/>
                <w:lang w:val="en-GB"/>
              </w:rPr>
              <w:t>ment - Anxiety (%)</w:t>
            </w:r>
          </w:p>
        </w:tc>
        <w:tc>
          <w:tcPr>
            <w:tcW w:w="322" w:type="dxa"/>
            <w:tcBorders>
              <w:top w:val="nil"/>
              <w:left w:val="nil"/>
              <w:bottom w:val="nil"/>
              <w:right w:val="nil"/>
            </w:tcBorders>
            <w:shd w:val="clear" w:color="auto" w:fill="auto"/>
            <w:noWrap/>
            <w:vAlign w:val="bottom"/>
            <w:hideMark/>
          </w:tcPr>
          <w:p w14:paraId="1F28ACAE" w14:textId="77777777" w:rsidR="00D362C1" w:rsidRPr="00D362C1" w:rsidRDefault="00D362C1" w:rsidP="00D362C1">
            <w:pPr>
              <w:spacing w:after="0" w:line="240" w:lineRule="auto"/>
              <w:ind w:firstLine="0"/>
              <w:rPr>
                <w:rFonts w:eastAsia="Times New Roman" w:cs="Times New Roman"/>
                <w:i/>
                <w:iCs/>
                <w:color w:val="000000"/>
                <w:szCs w:val="24"/>
                <w:lang w:val="en-GB"/>
              </w:rPr>
            </w:pPr>
          </w:p>
        </w:tc>
        <w:tc>
          <w:tcPr>
            <w:tcW w:w="1938" w:type="dxa"/>
            <w:tcBorders>
              <w:top w:val="nil"/>
              <w:left w:val="nil"/>
              <w:bottom w:val="nil"/>
              <w:right w:val="nil"/>
            </w:tcBorders>
            <w:shd w:val="clear" w:color="auto" w:fill="auto"/>
            <w:noWrap/>
            <w:vAlign w:val="bottom"/>
            <w:hideMark/>
          </w:tcPr>
          <w:p w14:paraId="76754E39"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0D46D7B2"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71CD8C39" w14:textId="77777777" w:rsidR="00D362C1" w:rsidRPr="00D362C1" w:rsidRDefault="00D362C1" w:rsidP="00D362C1">
            <w:pPr>
              <w:spacing w:after="0" w:line="240" w:lineRule="auto"/>
              <w:ind w:firstLine="0"/>
              <w:jc w:val="center"/>
              <w:rPr>
                <w:rFonts w:eastAsia="Times New Roman" w:cs="Times New Roman"/>
                <w:szCs w:val="24"/>
                <w:lang w:val="en-GB"/>
              </w:rPr>
            </w:pPr>
          </w:p>
        </w:tc>
      </w:tr>
      <w:tr w:rsidR="00D362C1" w:rsidRPr="00D362C1" w14:paraId="602EC302" w14:textId="77777777" w:rsidTr="00103B92">
        <w:trPr>
          <w:trHeight w:val="306"/>
        </w:trPr>
        <w:tc>
          <w:tcPr>
            <w:tcW w:w="4600" w:type="dxa"/>
            <w:tcBorders>
              <w:top w:val="nil"/>
              <w:left w:val="nil"/>
              <w:bottom w:val="nil"/>
              <w:right w:val="nil"/>
            </w:tcBorders>
            <w:shd w:val="clear" w:color="auto" w:fill="auto"/>
            <w:vAlign w:val="center"/>
            <w:hideMark/>
          </w:tcPr>
          <w:p w14:paraId="2EA61F5D"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A.1 Anxiety</w:t>
            </w:r>
          </w:p>
        </w:tc>
        <w:tc>
          <w:tcPr>
            <w:tcW w:w="322" w:type="dxa"/>
            <w:tcBorders>
              <w:top w:val="nil"/>
              <w:left w:val="nil"/>
              <w:bottom w:val="nil"/>
              <w:right w:val="nil"/>
            </w:tcBorders>
            <w:shd w:val="clear" w:color="auto" w:fill="auto"/>
            <w:noWrap/>
            <w:vAlign w:val="bottom"/>
            <w:hideMark/>
          </w:tcPr>
          <w:p w14:paraId="360DF15A"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4FF0D6DF"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28.0</w:t>
            </w:r>
          </w:p>
        </w:tc>
        <w:tc>
          <w:tcPr>
            <w:tcW w:w="322" w:type="dxa"/>
            <w:tcBorders>
              <w:top w:val="nil"/>
              <w:left w:val="nil"/>
              <w:bottom w:val="nil"/>
              <w:right w:val="nil"/>
            </w:tcBorders>
            <w:shd w:val="clear" w:color="auto" w:fill="auto"/>
            <w:noWrap/>
            <w:vAlign w:val="bottom"/>
            <w:hideMark/>
          </w:tcPr>
          <w:p w14:paraId="6570064C"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15AE70EC"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24.5</w:t>
            </w:r>
          </w:p>
        </w:tc>
      </w:tr>
      <w:tr w:rsidR="00D362C1" w:rsidRPr="00D362C1" w14:paraId="71F28451" w14:textId="77777777" w:rsidTr="00103B92">
        <w:trPr>
          <w:trHeight w:val="306"/>
        </w:trPr>
        <w:tc>
          <w:tcPr>
            <w:tcW w:w="4600" w:type="dxa"/>
            <w:tcBorders>
              <w:top w:val="nil"/>
              <w:left w:val="nil"/>
              <w:bottom w:val="nil"/>
              <w:right w:val="nil"/>
            </w:tcBorders>
            <w:shd w:val="clear" w:color="auto" w:fill="auto"/>
            <w:vAlign w:val="center"/>
            <w:hideMark/>
          </w:tcPr>
          <w:p w14:paraId="7CFC032F"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A.2 Worrying control</w:t>
            </w:r>
          </w:p>
        </w:tc>
        <w:tc>
          <w:tcPr>
            <w:tcW w:w="322" w:type="dxa"/>
            <w:tcBorders>
              <w:top w:val="nil"/>
              <w:left w:val="nil"/>
              <w:bottom w:val="nil"/>
              <w:right w:val="nil"/>
            </w:tcBorders>
            <w:shd w:val="clear" w:color="auto" w:fill="auto"/>
            <w:noWrap/>
            <w:vAlign w:val="bottom"/>
            <w:hideMark/>
          </w:tcPr>
          <w:p w14:paraId="6B130BA5"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54B2B698"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23.4</w:t>
            </w:r>
          </w:p>
        </w:tc>
        <w:tc>
          <w:tcPr>
            <w:tcW w:w="322" w:type="dxa"/>
            <w:tcBorders>
              <w:top w:val="nil"/>
              <w:left w:val="nil"/>
              <w:bottom w:val="nil"/>
              <w:right w:val="nil"/>
            </w:tcBorders>
            <w:shd w:val="clear" w:color="auto" w:fill="auto"/>
            <w:noWrap/>
            <w:vAlign w:val="bottom"/>
            <w:hideMark/>
          </w:tcPr>
          <w:p w14:paraId="6713D695"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7F1C0B82"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24.8</w:t>
            </w:r>
          </w:p>
        </w:tc>
      </w:tr>
      <w:tr w:rsidR="00D362C1" w:rsidRPr="00D362C1" w14:paraId="5C26DBDA" w14:textId="77777777" w:rsidTr="00103B92">
        <w:trPr>
          <w:trHeight w:val="306"/>
        </w:trPr>
        <w:tc>
          <w:tcPr>
            <w:tcW w:w="4600" w:type="dxa"/>
            <w:tcBorders>
              <w:top w:val="nil"/>
              <w:left w:val="nil"/>
              <w:bottom w:val="nil"/>
              <w:right w:val="nil"/>
            </w:tcBorders>
            <w:shd w:val="clear" w:color="auto" w:fill="auto"/>
            <w:vAlign w:val="center"/>
            <w:hideMark/>
          </w:tcPr>
          <w:p w14:paraId="7FCB0EA2" w14:textId="5D09EF7E" w:rsidR="00D362C1" w:rsidRPr="00D362C1" w:rsidRDefault="00D362C1" w:rsidP="002347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A.3 Generalized worry</w:t>
            </w:r>
            <w:r w:rsidR="00340A8F">
              <w:rPr>
                <w:rFonts w:eastAsia="Times New Roman" w:cs="Times New Roman"/>
                <w:b/>
                <w:bCs/>
                <w:color w:val="000000"/>
                <w:szCs w:val="24"/>
                <w:lang w:val="en-GB"/>
              </w:rPr>
              <w:t>ing</w:t>
            </w:r>
            <w:r w:rsidRPr="00D362C1">
              <w:rPr>
                <w:rFonts w:eastAsia="Times New Roman" w:cs="Times New Roman"/>
                <w:b/>
                <w:bCs/>
                <w:color w:val="000000"/>
                <w:szCs w:val="24"/>
                <w:lang w:val="en-GB"/>
              </w:rPr>
              <w:t xml:space="preserve"> </w:t>
            </w:r>
          </w:p>
        </w:tc>
        <w:tc>
          <w:tcPr>
            <w:tcW w:w="322" w:type="dxa"/>
            <w:tcBorders>
              <w:top w:val="nil"/>
              <w:left w:val="nil"/>
              <w:bottom w:val="nil"/>
              <w:right w:val="nil"/>
            </w:tcBorders>
            <w:shd w:val="clear" w:color="auto" w:fill="auto"/>
            <w:noWrap/>
            <w:vAlign w:val="bottom"/>
            <w:hideMark/>
          </w:tcPr>
          <w:p w14:paraId="2BFD5CC1"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31DC345A"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31.6</w:t>
            </w:r>
          </w:p>
        </w:tc>
        <w:tc>
          <w:tcPr>
            <w:tcW w:w="322" w:type="dxa"/>
            <w:tcBorders>
              <w:top w:val="nil"/>
              <w:left w:val="nil"/>
              <w:bottom w:val="nil"/>
              <w:right w:val="nil"/>
            </w:tcBorders>
            <w:shd w:val="clear" w:color="auto" w:fill="auto"/>
            <w:noWrap/>
            <w:vAlign w:val="bottom"/>
            <w:hideMark/>
          </w:tcPr>
          <w:p w14:paraId="67D12B2C"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5E7225F4"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31.5</w:t>
            </w:r>
          </w:p>
        </w:tc>
      </w:tr>
      <w:tr w:rsidR="00D362C1" w:rsidRPr="00D362C1" w14:paraId="30412808" w14:textId="77777777" w:rsidTr="00103B92">
        <w:trPr>
          <w:trHeight w:val="306"/>
        </w:trPr>
        <w:tc>
          <w:tcPr>
            <w:tcW w:w="4600" w:type="dxa"/>
            <w:tcBorders>
              <w:top w:val="nil"/>
              <w:left w:val="nil"/>
              <w:bottom w:val="nil"/>
              <w:right w:val="nil"/>
            </w:tcBorders>
            <w:shd w:val="clear" w:color="auto" w:fill="auto"/>
            <w:vAlign w:val="center"/>
            <w:hideMark/>
          </w:tcPr>
          <w:p w14:paraId="59CD2EB5"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A.4 Lack of relaxation</w:t>
            </w:r>
          </w:p>
        </w:tc>
        <w:tc>
          <w:tcPr>
            <w:tcW w:w="322" w:type="dxa"/>
            <w:tcBorders>
              <w:top w:val="nil"/>
              <w:left w:val="nil"/>
              <w:bottom w:val="nil"/>
              <w:right w:val="nil"/>
            </w:tcBorders>
            <w:shd w:val="clear" w:color="auto" w:fill="auto"/>
            <w:noWrap/>
            <w:vAlign w:val="bottom"/>
            <w:hideMark/>
          </w:tcPr>
          <w:p w14:paraId="2F85C0E7"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39462E04"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28.3</w:t>
            </w:r>
          </w:p>
        </w:tc>
        <w:tc>
          <w:tcPr>
            <w:tcW w:w="322" w:type="dxa"/>
            <w:tcBorders>
              <w:top w:val="nil"/>
              <w:left w:val="nil"/>
              <w:bottom w:val="nil"/>
              <w:right w:val="nil"/>
            </w:tcBorders>
            <w:shd w:val="clear" w:color="auto" w:fill="auto"/>
            <w:noWrap/>
            <w:vAlign w:val="bottom"/>
            <w:hideMark/>
          </w:tcPr>
          <w:p w14:paraId="54602FF6"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091CC869"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32.3</w:t>
            </w:r>
          </w:p>
        </w:tc>
      </w:tr>
      <w:tr w:rsidR="00D362C1" w:rsidRPr="00D362C1" w14:paraId="09BAE89A" w14:textId="77777777" w:rsidTr="00103B92">
        <w:trPr>
          <w:trHeight w:val="306"/>
        </w:trPr>
        <w:tc>
          <w:tcPr>
            <w:tcW w:w="4600" w:type="dxa"/>
            <w:tcBorders>
              <w:top w:val="nil"/>
              <w:left w:val="nil"/>
              <w:bottom w:val="nil"/>
              <w:right w:val="nil"/>
            </w:tcBorders>
            <w:shd w:val="clear" w:color="auto" w:fill="auto"/>
            <w:vAlign w:val="center"/>
            <w:hideMark/>
          </w:tcPr>
          <w:p w14:paraId="4EA9841C"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A.5 Restlessness</w:t>
            </w:r>
          </w:p>
        </w:tc>
        <w:tc>
          <w:tcPr>
            <w:tcW w:w="322" w:type="dxa"/>
            <w:tcBorders>
              <w:top w:val="nil"/>
              <w:left w:val="nil"/>
              <w:bottom w:val="nil"/>
              <w:right w:val="nil"/>
            </w:tcBorders>
            <w:shd w:val="clear" w:color="auto" w:fill="auto"/>
            <w:noWrap/>
            <w:vAlign w:val="bottom"/>
            <w:hideMark/>
          </w:tcPr>
          <w:p w14:paraId="583E11C5"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603C861C"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11.8</w:t>
            </w:r>
          </w:p>
        </w:tc>
        <w:tc>
          <w:tcPr>
            <w:tcW w:w="322" w:type="dxa"/>
            <w:tcBorders>
              <w:top w:val="nil"/>
              <w:left w:val="nil"/>
              <w:bottom w:val="nil"/>
              <w:right w:val="nil"/>
            </w:tcBorders>
            <w:shd w:val="clear" w:color="auto" w:fill="auto"/>
            <w:noWrap/>
            <w:vAlign w:val="bottom"/>
            <w:hideMark/>
          </w:tcPr>
          <w:p w14:paraId="0CF1CE52"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3384D3B7"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25.7</w:t>
            </w:r>
          </w:p>
        </w:tc>
      </w:tr>
      <w:tr w:rsidR="00D362C1" w:rsidRPr="00D362C1" w14:paraId="5B1EC7AB" w14:textId="77777777" w:rsidTr="00103B92">
        <w:trPr>
          <w:trHeight w:val="306"/>
        </w:trPr>
        <w:tc>
          <w:tcPr>
            <w:tcW w:w="4600" w:type="dxa"/>
            <w:tcBorders>
              <w:top w:val="nil"/>
              <w:left w:val="nil"/>
              <w:bottom w:val="nil"/>
              <w:right w:val="nil"/>
            </w:tcBorders>
            <w:shd w:val="clear" w:color="auto" w:fill="auto"/>
            <w:vAlign w:val="center"/>
            <w:hideMark/>
          </w:tcPr>
          <w:p w14:paraId="627A1C9B"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A.6 Irritability</w:t>
            </w:r>
          </w:p>
        </w:tc>
        <w:tc>
          <w:tcPr>
            <w:tcW w:w="322" w:type="dxa"/>
            <w:tcBorders>
              <w:top w:val="nil"/>
              <w:left w:val="nil"/>
              <w:bottom w:val="nil"/>
              <w:right w:val="nil"/>
            </w:tcBorders>
            <w:shd w:val="clear" w:color="auto" w:fill="auto"/>
            <w:noWrap/>
            <w:vAlign w:val="bottom"/>
            <w:hideMark/>
          </w:tcPr>
          <w:p w14:paraId="01A85D26"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330A316E"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27.2</w:t>
            </w:r>
          </w:p>
        </w:tc>
        <w:tc>
          <w:tcPr>
            <w:tcW w:w="322" w:type="dxa"/>
            <w:tcBorders>
              <w:top w:val="nil"/>
              <w:left w:val="nil"/>
              <w:bottom w:val="nil"/>
              <w:right w:val="nil"/>
            </w:tcBorders>
            <w:shd w:val="clear" w:color="auto" w:fill="auto"/>
            <w:noWrap/>
            <w:vAlign w:val="bottom"/>
            <w:hideMark/>
          </w:tcPr>
          <w:p w14:paraId="29170C66"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74437650"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21.0</w:t>
            </w:r>
          </w:p>
        </w:tc>
      </w:tr>
      <w:tr w:rsidR="00D362C1" w:rsidRPr="00D362C1" w14:paraId="1718F4D8" w14:textId="77777777" w:rsidTr="00103B92">
        <w:trPr>
          <w:trHeight w:val="306"/>
        </w:trPr>
        <w:tc>
          <w:tcPr>
            <w:tcW w:w="4600" w:type="dxa"/>
            <w:tcBorders>
              <w:top w:val="nil"/>
              <w:left w:val="nil"/>
              <w:bottom w:val="nil"/>
              <w:right w:val="nil"/>
            </w:tcBorders>
            <w:shd w:val="clear" w:color="auto" w:fill="auto"/>
            <w:vAlign w:val="center"/>
            <w:hideMark/>
          </w:tcPr>
          <w:p w14:paraId="46DEE33B"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A.7 Foreboding</w:t>
            </w:r>
          </w:p>
        </w:tc>
        <w:tc>
          <w:tcPr>
            <w:tcW w:w="322" w:type="dxa"/>
            <w:tcBorders>
              <w:top w:val="nil"/>
              <w:left w:val="nil"/>
              <w:bottom w:val="nil"/>
              <w:right w:val="nil"/>
            </w:tcBorders>
            <w:shd w:val="clear" w:color="auto" w:fill="auto"/>
            <w:noWrap/>
            <w:vAlign w:val="bottom"/>
            <w:hideMark/>
          </w:tcPr>
          <w:p w14:paraId="6FC02ECA"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3ACFEBDA"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16.6</w:t>
            </w:r>
          </w:p>
        </w:tc>
        <w:tc>
          <w:tcPr>
            <w:tcW w:w="322" w:type="dxa"/>
            <w:tcBorders>
              <w:top w:val="nil"/>
              <w:left w:val="nil"/>
              <w:bottom w:val="nil"/>
              <w:right w:val="nil"/>
            </w:tcBorders>
            <w:shd w:val="clear" w:color="auto" w:fill="auto"/>
            <w:noWrap/>
            <w:vAlign w:val="bottom"/>
            <w:hideMark/>
          </w:tcPr>
          <w:p w14:paraId="5597D665"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3D08D67B"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20.4</w:t>
            </w:r>
          </w:p>
        </w:tc>
      </w:tr>
      <w:tr w:rsidR="00D362C1" w:rsidRPr="00D362C1" w14:paraId="771146BF" w14:textId="77777777" w:rsidTr="00103B92">
        <w:trPr>
          <w:trHeight w:val="116"/>
        </w:trPr>
        <w:tc>
          <w:tcPr>
            <w:tcW w:w="4600" w:type="dxa"/>
            <w:tcBorders>
              <w:top w:val="nil"/>
              <w:left w:val="nil"/>
              <w:bottom w:val="nil"/>
              <w:right w:val="nil"/>
            </w:tcBorders>
            <w:shd w:val="clear" w:color="auto" w:fill="auto"/>
            <w:noWrap/>
            <w:vAlign w:val="bottom"/>
            <w:hideMark/>
          </w:tcPr>
          <w:p w14:paraId="3375B2E0"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322" w:type="dxa"/>
            <w:tcBorders>
              <w:top w:val="nil"/>
              <w:left w:val="nil"/>
              <w:bottom w:val="nil"/>
              <w:right w:val="nil"/>
            </w:tcBorders>
            <w:shd w:val="clear" w:color="auto" w:fill="auto"/>
            <w:noWrap/>
            <w:vAlign w:val="bottom"/>
            <w:hideMark/>
          </w:tcPr>
          <w:p w14:paraId="455BFBE3" w14:textId="77777777" w:rsidR="00D362C1" w:rsidRPr="00D362C1" w:rsidRDefault="00D362C1" w:rsidP="00D362C1">
            <w:pPr>
              <w:spacing w:after="0" w:line="240" w:lineRule="auto"/>
              <w:ind w:firstLine="0"/>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74DB1C5D"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14DC0104"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571FB937" w14:textId="77777777" w:rsidR="00D362C1" w:rsidRPr="00D362C1" w:rsidRDefault="00D362C1" w:rsidP="00D362C1">
            <w:pPr>
              <w:spacing w:after="0" w:line="240" w:lineRule="auto"/>
              <w:ind w:firstLine="0"/>
              <w:jc w:val="center"/>
              <w:rPr>
                <w:rFonts w:eastAsia="Times New Roman" w:cs="Times New Roman"/>
                <w:szCs w:val="24"/>
                <w:lang w:val="en-GB"/>
              </w:rPr>
            </w:pPr>
          </w:p>
        </w:tc>
      </w:tr>
      <w:tr w:rsidR="00D362C1" w:rsidRPr="00D362C1" w14:paraId="346483D1" w14:textId="77777777" w:rsidTr="00103B92">
        <w:trPr>
          <w:trHeight w:val="306"/>
        </w:trPr>
        <w:tc>
          <w:tcPr>
            <w:tcW w:w="4600" w:type="dxa"/>
            <w:tcBorders>
              <w:top w:val="nil"/>
              <w:left w:val="nil"/>
              <w:bottom w:val="nil"/>
              <w:right w:val="nil"/>
            </w:tcBorders>
            <w:shd w:val="clear" w:color="auto" w:fill="auto"/>
            <w:noWrap/>
            <w:vAlign w:val="bottom"/>
            <w:hideMark/>
          </w:tcPr>
          <w:p w14:paraId="6CD4106F" w14:textId="28A2F9D4" w:rsidR="00D362C1" w:rsidRPr="00D362C1" w:rsidRDefault="00D362C1" w:rsidP="00D27090">
            <w:pPr>
              <w:spacing w:after="0" w:line="240" w:lineRule="auto"/>
              <w:ind w:firstLine="0"/>
              <w:rPr>
                <w:rFonts w:eastAsia="Times New Roman" w:cs="Times New Roman"/>
                <w:i/>
                <w:iCs/>
                <w:color w:val="000000"/>
                <w:szCs w:val="24"/>
                <w:lang w:val="en-GB"/>
              </w:rPr>
            </w:pPr>
            <w:r w:rsidRPr="00D362C1">
              <w:rPr>
                <w:rFonts w:eastAsia="Times New Roman" w:cs="Times New Roman"/>
                <w:i/>
                <w:iCs/>
                <w:color w:val="000000"/>
                <w:szCs w:val="24"/>
                <w:lang w:val="en-GB"/>
              </w:rPr>
              <w:t xml:space="preserve">Inflammatory markers </w:t>
            </w:r>
          </w:p>
        </w:tc>
        <w:tc>
          <w:tcPr>
            <w:tcW w:w="322" w:type="dxa"/>
            <w:tcBorders>
              <w:top w:val="nil"/>
              <w:left w:val="nil"/>
              <w:bottom w:val="nil"/>
              <w:right w:val="nil"/>
            </w:tcBorders>
            <w:shd w:val="clear" w:color="auto" w:fill="auto"/>
            <w:noWrap/>
            <w:vAlign w:val="bottom"/>
            <w:hideMark/>
          </w:tcPr>
          <w:p w14:paraId="1E8766B1" w14:textId="77777777" w:rsidR="00D362C1" w:rsidRPr="00D362C1" w:rsidRDefault="00D362C1" w:rsidP="00D362C1">
            <w:pPr>
              <w:spacing w:after="0" w:line="240" w:lineRule="auto"/>
              <w:ind w:firstLine="0"/>
              <w:rPr>
                <w:rFonts w:eastAsia="Times New Roman" w:cs="Times New Roman"/>
                <w:i/>
                <w:iCs/>
                <w:color w:val="000000"/>
                <w:szCs w:val="24"/>
                <w:lang w:val="en-GB"/>
              </w:rPr>
            </w:pPr>
          </w:p>
        </w:tc>
        <w:tc>
          <w:tcPr>
            <w:tcW w:w="1938" w:type="dxa"/>
            <w:tcBorders>
              <w:top w:val="nil"/>
              <w:left w:val="nil"/>
              <w:bottom w:val="nil"/>
              <w:right w:val="nil"/>
            </w:tcBorders>
            <w:shd w:val="clear" w:color="auto" w:fill="auto"/>
            <w:noWrap/>
            <w:vAlign w:val="bottom"/>
            <w:hideMark/>
          </w:tcPr>
          <w:p w14:paraId="4B7B4B39"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322" w:type="dxa"/>
            <w:tcBorders>
              <w:top w:val="nil"/>
              <w:left w:val="nil"/>
              <w:bottom w:val="nil"/>
              <w:right w:val="nil"/>
            </w:tcBorders>
            <w:shd w:val="clear" w:color="auto" w:fill="auto"/>
            <w:noWrap/>
            <w:vAlign w:val="bottom"/>
            <w:hideMark/>
          </w:tcPr>
          <w:p w14:paraId="5401A904" w14:textId="77777777" w:rsidR="00D362C1" w:rsidRPr="00D362C1" w:rsidRDefault="00D362C1" w:rsidP="00D362C1">
            <w:pPr>
              <w:spacing w:after="0" w:line="240" w:lineRule="auto"/>
              <w:ind w:firstLine="0"/>
              <w:jc w:val="center"/>
              <w:rPr>
                <w:rFonts w:eastAsia="Times New Roman" w:cs="Times New Roman"/>
                <w:szCs w:val="24"/>
                <w:lang w:val="en-GB"/>
              </w:rPr>
            </w:pPr>
          </w:p>
        </w:tc>
        <w:tc>
          <w:tcPr>
            <w:tcW w:w="1938" w:type="dxa"/>
            <w:tcBorders>
              <w:top w:val="nil"/>
              <w:left w:val="nil"/>
              <w:bottom w:val="nil"/>
              <w:right w:val="nil"/>
            </w:tcBorders>
            <w:shd w:val="clear" w:color="auto" w:fill="auto"/>
            <w:noWrap/>
            <w:vAlign w:val="bottom"/>
            <w:hideMark/>
          </w:tcPr>
          <w:p w14:paraId="5EBDDA17" w14:textId="77777777" w:rsidR="00D362C1" w:rsidRPr="00D362C1" w:rsidRDefault="00D362C1" w:rsidP="00D362C1">
            <w:pPr>
              <w:spacing w:after="0" w:line="240" w:lineRule="auto"/>
              <w:ind w:firstLine="0"/>
              <w:jc w:val="center"/>
              <w:rPr>
                <w:rFonts w:eastAsia="Times New Roman" w:cs="Times New Roman"/>
                <w:szCs w:val="24"/>
                <w:lang w:val="en-GB"/>
              </w:rPr>
            </w:pPr>
          </w:p>
        </w:tc>
      </w:tr>
      <w:tr w:rsidR="00D362C1" w:rsidRPr="00D362C1" w14:paraId="673A46B6" w14:textId="77777777" w:rsidTr="00103B92">
        <w:trPr>
          <w:trHeight w:val="306"/>
        </w:trPr>
        <w:tc>
          <w:tcPr>
            <w:tcW w:w="4600" w:type="dxa"/>
            <w:tcBorders>
              <w:top w:val="nil"/>
              <w:left w:val="nil"/>
              <w:bottom w:val="nil"/>
              <w:right w:val="nil"/>
            </w:tcBorders>
            <w:shd w:val="clear" w:color="auto" w:fill="auto"/>
            <w:vAlign w:val="center"/>
            <w:hideMark/>
          </w:tcPr>
          <w:p w14:paraId="0F21AC24"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 xml:space="preserve">CRP </w:t>
            </w:r>
            <w:r w:rsidRPr="00D362C1">
              <w:rPr>
                <w:rFonts w:eastAsia="Times New Roman" w:cs="Times New Roman"/>
                <w:i/>
                <w:iCs/>
                <w:szCs w:val="24"/>
                <w:lang w:val="en-GB"/>
              </w:rPr>
              <w:t>(mg/L) (median, IQR)</w:t>
            </w:r>
          </w:p>
        </w:tc>
        <w:tc>
          <w:tcPr>
            <w:tcW w:w="322" w:type="dxa"/>
            <w:tcBorders>
              <w:top w:val="nil"/>
              <w:left w:val="nil"/>
              <w:bottom w:val="nil"/>
              <w:right w:val="nil"/>
            </w:tcBorders>
            <w:shd w:val="clear" w:color="auto" w:fill="auto"/>
            <w:noWrap/>
            <w:vAlign w:val="bottom"/>
            <w:hideMark/>
          </w:tcPr>
          <w:p w14:paraId="19D591EF"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314C41C9"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1.15 (0.58-2.37)</w:t>
            </w:r>
          </w:p>
        </w:tc>
        <w:tc>
          <w:tcPr>
            <w:tcW w:w="322" w:type="dxa"/>
            <w:tcBorders>
              <w:top w:val="nil"/>
              <w:left w:val="nil"/>
              <w:bottom w:val="nil"/>
              <w:right w:val="nil"/>
            </w:tcBorders>
            <w:shd w:val="clear" w:color="auto" w:fill="auto"/>
            <w:noWrap/>
            <w:vAlign w:val="bottom"/>
            <w:hideMark/>
          </w:tcPr>
          <w:p w14:paraId="55848C31"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59031B47"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1.22 (054 - 3.00)</w:t>
            </w:r>
          </w:p>
        </w:tc>
      </w:tr>
      <w:tr w:rsidR="00D362C1" w:rsidRPr="00D362C1" w14:paraId="0B8AD7DE" w14:textId="77777777" w:rsidTr="00103B92">
        <w:trPr>
          <w:trHeight w:val="306"/>
        </w:trPr>
        <w:tc>
          <w:tcPr>
            <w:tcW w:w="4600" w:type="dxa"/>
            <w:tcBorders>
              <w:top w:val="nil"/>
              <w:left w:val="nil"/>
              <w:bottom w:val="nil"/>
              <w:right w:val="nil"/>
            </w:tcBorders>
            <w:shd w:val="clear" w:color="auto" w:fill="auto"/>
            <w:vAlign w:val="center"/>
            <w:hideMark/>
          </w:tcPr>
          <w:p w14:paraId="41B79EBE"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 xml:space="preserve">IL-6 </w:t>
            </w:r>
            <w:r w:rsidRPr="00D362C1">
              <w:rPr>
                <w:rFonts w:eastAsia="Times New Roman" w:cs="Times New Roman"/>
                <w:i/>
                <w:iCs/>
                <w:szCs w:val="24"/>
                <w:lang w:val="en-GB"/>
              </w:rPr>
              <w:t>(</w:t>
            </w:r>
            <w:proofErr w:type="spellStart"/>
            <w:r w:rsidRPr="00D362C1">
              <w:rPr>
                <w:rFonts w:eastAsia="Times New Roman" w:cs="Times New Roman"/>
                <w:i/>
                <w:iCs/>
                <w:szCs w:val="24"/>
                <w:lang w:val="en-GB"/>
              </w:rPr>
              <w:t>pg</w:t>
            </w:r>
            <w:proofErr w:type="spellEnd"/>
            <w:r w:rsidRPr="00D362C1">
              <w:rPr>
                <w:rFonts w:eastAsia="Times New Roman" w:cs="Times New Roman"/>
                <w:i/>
                <w:iCs/>
                <w:szCs w:val="24"/>
                <w:lang w:val="en-GB"/>
              </w:rPr>
              <w:t>/mL) (median, IQR)</w:t>
            </w:r>
          </w:p>
        </w:tc>
        <w:tc>
          <w:tcPr>
            <w:tcW w:w="322" w:type="dxa"/>
            <w:tcBorders>
              <w:top w:val="nil"/>
              <w:left w:val="nil"/>
              <w:bottom w:val="nil"/>
              <w:right w:val="nil"/>
            </w:tcBorders>
            <w:shd w:val="clear" w:color="auto" w:fill="auto"/>
            <w:noWrap/>
            <w:vAlign w:val="bottom"/>
            <w:hideMark/>
          </w:tcPr>
          <w:p w14:paraId="3C51A4B5"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p>
        </w:tc>
        <w:tc>
          <w:tcPr>
            <w:tcW w:w="1938" w:type="dxa"/>
            <w:tcBorders>
              <w:top w:val="nil"/>
              <w:left w:val="nil"/>
              <w:bottom w:val="nil"/>
              <w:right w:val="nil"/>
            </w:tcBorders>
            <w:shd w:val="clear" w:color="auto" w:fill="auto"/>
            <w:noWrap/>
            <w:vAlign w:val="bottom"/>
            <w:hideMark/>
          </w:tcPr>
          <w:p w14:paraId="23288ABF"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NA</w:t>
            </w:r>
          </w:p>
        </w:tc>
        <w:tc>
          <w:tcPr>
            <w:tcW w:w="322" w:type="dxa"/>
            <w:tcBorders>
              <w:top w:val="nil"/>
              <w:left w:val="nil"/>
              <w:bottom w:val="nil"/>
              <w:right w:val="nil"/>
            </w:tcBorders>
            <w:shd w:val="clear" w:color="auto" w:fill="auto"/>
            <w:noWrap/>
            <w:vAlign w:val="bottom"/>
            <w:hideMark/>
          </w:tcPr>
          <w:p w14:paraId="655F96CE" w14:textId="77777777" w:rsidR="00D362C1" w:rsidRPr="00D362C1" w:rsidRDefault="00D362C1" w:rsidP="00D362C1">
            <w:pPr>
              <w:spacing w:after="0" w:line="240" w:lineRule="auto"/>
              <w:ind w:firstLine="0"/>
              <w:jc w:val="center"/>
              <w:rPr>
                <w:rFonts w:eastAsia="Times New Roman" w:cs="Times New Roman"/>
                <w:color w:val="000000"/>
                <w:szCs w:val="24"/>
                <w:lang w:val="en-GB"/>
              </w:rPr>
            </w:pPr>
          </w:p>
        </w:tc>
        <w:tc>
          <w:tcPr>
            <w:tcW w:w="1938" w:type="dxa"/>
            <w:tcBorders>
              <w:top w:val="nil"/>
              <w:left w:val="nil"/>
              <w:bottom w:val="nil"/>
              <w:right w:val="nil"/>
            </w:tcBorders>
            <w:shd w:val="clear" w:color="auto" w:fill="auto"/>
            <w:noWrap/>
            <w:vAlign w:val="bottom"/>
            <w:hideMark/>
          </w:tcPr>
          <w:p w14:paraId="1F293960"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0.75 (0.49 - 1.25)</w:t>
            </w:r>
          </w:p>
        </w:tc>
      </w:tr>
      <w:tr w:rsidR="00D362C1" w:rsidRPr="00D362C1" w14:paraId="39EB1D92" w14:textId="77777777" w:rsidTr="00103B92">
        <w:trPr>
          <w:trHeight w:val="116"/>
        </w:trPr>
        <w:tc>
          <w:tcPr>
            <w:tcW w:w="4600" w:type="dxa"/>
            <w:tcBorders>
              <w:top w:val="nil"/>
              <w:left w:val="nil"/>
              <w:bottom w:val="single" w:sz="8" w:space="0" w:color="000000"/>
              <w:right w:val="nil"/>
            </w:tcBorders>
            <w:shd w:val="clear" w:color="auto" w:fill="auto"/>
            <w:noWrap/>
            <w:vAlign w:val="bottom"/>
            <w:hideMark/>
          </w:tcPr>
          <w:p w14:paraId="688817C5" w14:textId="77777777" w:rsidR="00D362C1" w:rsidRPr="00D362C1" w:rsidRDefault="00D362C1" w:rsidP="00D362C1">
            <w:pPr>
              <w:spacing w:after="0" w:line="240" w:lineRule="auto"/>
              <w:ind w:firstLine="0"/>
              <w:jc w:val="center"/>
              <w:rPr>
                <w:rFonts w:eastAsia="Times New Roman" w:cs="Times New Roman"/>
                <w:b/>
                <w:bCs/>
                <w:color w:val="000000"/>
                <w:szCs w:val="24"/>
                <w:lang w:val="en-GB"/>
              </w:rPr>
            </w:pPr>
            <w:r w:rsidRPr="00D362C1">
              <w:rPr>
                <w:rFonts w:eastAsia="Times New Roman" w:cs="Times New Roman"/>
                <w:b/>
                <w:bCs/>
                <w:color w:val="000000"/>
                <w:szCs w:val="24"/>
                <w:lang w:val="en-GB"/>
              </w:rPr>
              <w:t> </w:t>
            </w:r>
          </w:p>
        </w:tc>
        <w:tc>
          <w:tcPr>
            <w:tcW w:w="322" w:type="dxa"/>
            <w:tcBorders>
              <w:top w:val="nil"/>
              <w:left w:val="nil"/>
              <w:bottom w:val="single" w:sz="8" w:space="0" w:color="000000"/>
              <w:right w:val="nil"/>
            </w:tcBorders>
            <w:shd w:val="clear" w:color="auto" w:fill="auto"/>
            <w:noWrap/>
            <w:vAlign w:val="bottom"/>
            <w:hideMark/>
          </w:tcPr>
          <w:p w14:paraId="4804BC47"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 </w:t>
            </w:r>
          </w:p>
        </w:tc>
        <w:tc>
          <w:tcPr>
            <w:tcW w:w="1938" w:type="dxa"/>
            <w:tcBorders>
              <w:top w:val="nil"/>
              <w:left w:val="nil"/>
              <w:bottom w:val="single" w:sz="8" w:space="0" w:color="000000"/>
              <w:right w:val="nil"/>
            </w:tcBorders>
            <w:shd w:val="clear" w:color="auto" w:fill="auto"/>
            <w:noWrap/>
            <w:vAlign w:val="bottom"/>
            <w:hideMark/>
          </w:tcPr>
          <w:p w14:paraId="78B7D638"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 </w:t>
            </w:r>
          </w:p>
        </w:tc>
        <w:tc>
          <w:tcPr>
            <w:tcW w:w="322" w:type="dxa"/>
            <w:tcBorders>
              <w:top w:val="nil"/>
              <w:left w:val="nil"/>
              <w:bottom w:val="single" w:sz="8" w:space="0" w:color="000000"/>
              <w:right w:val="nil"/>
            </w:tcBorders>
            <w:shd w:val="clear" w:color="auto" w:fill="auto"/>
            <w:noWrap/>
            <w:vAlign w:val="bottom"/>
            <w:hideMark/>
          </w:tcPr>
          <w:p w14:paraId="3FA207CC"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 </w:t>
            </w:r>
          </w:p>
        </w:tc>
        <w:tc>
          <w:tcPr>
            <w:tcW w:w="1938" w:type="dxa"/>
            <w:tcBorders>
              <w:top w:val="nil"/>
              <w:left w:val="nil"/>
              <w:bottom w:val="single" w:sz="8" w:space="0" w:color="000000"/>
              <w:right w:val="nil"/>
            </w:tcBorders>
            <w:shd w:val="clear" w:color="auto" w:fill="auto"/>
            <w:noWrap/>
            <w:vAlign w:val="bottom"/>
            <w:hideMark/>
          </w:tcPr>
          <w:p w14:paraId="4611F4DA" w14:textId="77777777" w:rsidR="00D362C1" w:rsidRPr="00D362C1" w:rsidRDefault="00D362C1" w:rsidP="00D362C1">
            <w:pPr>
              <w:spacing w:after="0" w:line="240" w:lineRule="auto"/>
              <w:ind w:firstLine="0"/>
              <w:jc w:val="center"/>
              <w:rPr>
                <w:rFonts w:eastAsia="Times New Roman" w:cs="Times New Roman"/>
                <w:color w:val="000000"/>
                <w:szCs w:val="24"/>
                <w:lang w:val="en-GB"/>
              </w:rPr>
            </w:pPr>
            <w:r w:rsidRPr="00D362C1">
              <w:rPr>
                <w:rFonts w:eastAsia="Times New Roman" w:cs="Times New Roman"/>
                <w:color w:val="000000"/>
                <w:szCs w:val="24"/>
                <w:lang w:val="en-GB"/>
              </w:rPr>
              <w:t> </w:t>
            </w:r>
          </w:p>
        </w:tc>
      </w:tr>
    </w:tbl>
    <w:p w14:paraId="25F5D712" w14:textId="0B40DA49" w:rsidR="00D362C1" w:rsidRPr="00953A48" w:rsidRDefault="00D362C1" w:rsidP="00D362C1">
      <w:pPr>
        <w:spacing w:line="240" w:lineRule="auto"/>
        <w:ind w:firstLine="0"/>
        <w:rPr>
          <w:lang w:val="en-GB"/>
        </w:rPr>
      </w:pPr>
      <w:r w:rsidRPr="00953A48">
        <w:rPr>
          <w:i/>
          <w:highlight w:val="white"/>
          <w:lang w:val="en-GB"/>
        </w:rPr>
        <w:t>Note</w:t>
      </w:r>
      <w:r w:rsidRPr="00953A48">
        <w:rPr>
          <w:highlight w:val="white"/>
          <w:lang w:val="en-GB"/>
        </w:rPr>
        <w:t>: U</w:t>
      </w:r>
      <w:r w:rsidRPr="00953A48">
        <w:rPr>
          <w:lang w:val="en-GB"/>
        </w:rPr>
        <w:t>K Biobank sample size reflects all individuals with complete symptom and CRP data. For NESDA baseline values are reported</w:t>
      </w:r>
      <w:r w:rsidR="007D5706">
        <w:rPr>
          <w:lang w:val="en-GB"/>
        </w:rPr>
        <w:t>;</w:t>
      </w:r>
      <w:r w:rsidR="00103B92" w:rsidRPr="00953A48">
        <w:rPr>
          <w:lang w:val="en-GB"/>
        </w:rPr>
        <w:t xml:space="preserve"> </w:t>
      </w:r>
      <w:r w:rsidR="007D5706" w:rsidRPr="006629C4">
        <w:rPr>
          <w:rFonts w:eastAsia="Times New Roman" w:cs="Times New Roman"/>
          <w:szCs w:val="24"/>
          <w:highlight w:val="white"/>
          <w:lang w:val="en-GB"/>
        </w:rPr>
        <w:t>measures</w:t>
      </w:r>
      <w:r w:rsidR="007D5706">
        <w:rPr>
          <w:rFonts w:eastAsia="Times New Roman" w:cs="Times New Roman"/>
          <w:szCs w:val="24"/>
          <w:highlight w:val="white"/>
          <w:lang w:val="en-GB"/>
        </w:rPr>
        <w:t xml:space="preserve"> at 2-</w:t>
      </w:r>
      <w:r w:rsidR="007D5706" w:rsidRPr="006629C4">
        <w:rPr>
          <w:rFonts w:eastAsia="Times New Roman" w:cs="Times New Roman"/>
          <w:szCs w:val="24"/>
          <w:highlight w:val="white"/>
          <w:lang w:val="en-GB"/>
        </w:rPr>
        <w:t xml:space="preserve"> </w:t>
      </w:r>
      <w:r w:rsidR="007D5706">
        <w:rPr>
          <w:rFonts w:eastAsia="Times New Roman" w:cs="Times New Roman"/>
          <w:szCs w:val="24"/>
          <w:highlight w:val="white"/>
          <w:lang w:val="en-GB"/>
        </w:rPr>
        <w:t xml:space="preserve">and 6-year follow-up are reported </w:t>
      </w:r>
      <w:r w:rsidR="007D5706" w:rsidRPr="006629C4">
        <w:rPr>
          <w:rFonts w:eastAsia="Times New Roman" w:cs="Times New Roman"/>
          <w:szCs w:val="24"/>
          <w:highlight w:val="white"/>
          <w:lang w:val="en-GB"/>
        </w:rPr>
        <w:t xml:space="preserve">in </w:t>
      </w:r>
      <w:r w:rsidR="00BF2220">
        <w:rPr>
          <w:rFonts w:eastAsia="Times New Roman" w:cs="Times New Roman"/>
          <w:szCs w:val="24"/>
          <w:highlight w:val="white"/>
          <w:lang w:val="en-GB"/>
        </w:rPr>
        <w:t>Supplementary Table</w:t>
      </w:r>
      <w:r w:rsidR="007D5706" w:rsidRPr="006629C4">
        <w:rPr>
          <w:rFonts w:eastAsia="Times New Roman" w:cs="Times New Roman"/>
          <w:szCs w:val="24"/>
          <w:highlight w:val="white"/>
          <w:lang w:val="en-GB"/>
        </w:rPr>
        <w:t xml:space="preserve"> </w:t>
      </w:r>
      <w:r w:rsidR="00960D15">
        <w:rPr>
          <w:rFonts w:eastAsia="Times New Roman" w:cs="Times New Roman"/>
          <w:szCs w:val="24"/>
          <w:highlight w:val="white"/>
          <w:lang w:val="en-GB"/>
        </w:rPr>
        <w:t>5</w:t>
      </w:r>
      <w:r w:rsidR="007D5706" w:rsidRPr="006629C4">
        <w:rPr>
          <w:rFonts w:eastAsia="Times New Roman" w:cs="Times New Roman"/>
          <w:szCs w:val="24"/>
          <w:highlight w:val="white"/>
          <w:lang w:val="en-GB"/>
        </w:rPr>
        <w:t xml:space="preserve"> and </w:t>
      </w:r>
      <w:r w:rsidR="00BF2220">
        <w:rPr>
          <w:rFonts w:eastAsia="Times New Roman" w:cs="Times New Roman"/>
          <w:szCs w:val="24"/>
          <w:highlight w:val="white"/>
          <w:lang w:val="en-GB"/>
        </w:rPr>
        <w:t>Supplementary Figure</w:t>
      </w:r>
      <w:r w:rsidR="007D5706" w:rsidRPr="006629C4">
        <w:rPr>
          <w:rFonts w:eastAsia="Times New Roman" w:cs="Times New Roman"/>
          <w:szCs w:val="24"/>
          <w:highlight w:val="white"/>
          <w:lang w:val="en-GB"/>
        </w:rPr>
        <w:t>s 1 &amp; 2</w:t>
      </w:r>
      <w:r w:rsidR="007D5706">
        <w:rPr>
          <w:rFonts w:eastAsia="Times New Roman" w:cs="Times New Roman"/>
          <w:szCs w:val="24"/>
          <w:highlight w:val="white"/>
          <w:lang w:val="en-GB"/>
        </w:rPr>
        <w:t xml:space="preserve">. </w:t>
      </w:r>
      <w:r w:rsidR="00103B92" w:rsidRPr="00953A48">
        <w:rPr>
          <w:lang w:val="en-GB"/>
        </w:rPr>
        <w:t>NA=not applicable.</w:t>
      </w:r>
    </w:p>
    <w:p w14:paraId="7C2217EC" w14:textId="42FCC526" w:rsidR="00D362C1" w:rsidRPr="00953A48" w:rsidRDefault="00D362C1" w:rsidP="00D362C1">
      <w:pPr>
        <w:spacing w:line="240" w:lineRule="auto"/>
        <w:ind w:firstLine="0"/>
        <w:rPr>
          <w:highlight w:val="white"/>
          <w:lang w:val="en-GB"/>
        </w:rPr>
      </w:pPr>
    </w:p>
    <w:p w14:paraId="6EFB123A" w14:textId="7791D090" w:rsidR="00D362C1" w:rsidRDefault="00D362C1" w:rsidP="003964AE">
      <w:pPr>
        <w:tabs>
          <w:tab w:val="left" w:pos="2976"/>
        </w:tabs>
        <w:ind w:firstLine="0"/>
        <w:rPr>
          <w:highlight w:val="white"/>
          <w:lang w:val="en-GB"/>
        </w:rPr>
      </w:pPr>
    </w:p>
    <w:p w14:paraId="2FFB2CC2" w14:textId="51F0DF79" w:rsidR="0096417A" w:rsidRDefault="0096417A" w:rsidP="003964AE">
      <w:pPr>
        <w:tabs>
          <w:tab w:val="left" w:pos="2976"/>
        </w:tabs>
        <w:ind w:firstLine="0"/>
        <w:rPr>
          <w:highlight w:val="white"/>
          <w:lang w:val="en-GB"/>
        </w:rPr>
      </w:pPr>
    </w:p>
    <w:p w14:paraId="0A5C2A67" w14:textId="77777777" w:rsidR="00E96B9F" w:rsidRDefault="00E96B9F" w:rsidP="003964AE">
      <w:pPr>
        <w:tabs>
          <w:tab w:val="left" w:pos="2976"/>
        </w:tabs>
        <w:ind w:firstLine="0"/>
        <w:rPr>
          <w:highlight w:val="white"/>
          <w:lang w:val="en-GB"/>
        </w:rPr>
        <w:sectPr w:rsidR="00E96B9F">
          <w:pgSz w:w="11909" w:h="16834"/>
          <w:pgMar w:top="1440" w:right="1440" w:bottom="1440" w:left="1440" w:header="720" w:footer="720" w:gutter="0"/>
          <w:cols w:space="720"/>
        </w:sectPr>
      </w:pPr>
    </w:p>
    <w:p w14:paraId="0CD37741" w14:textId="58B68EA1" w:rsidR="00E96B9F" w:rsidRPr="00CC6C0F" w:rsidRDefault="00E96B9F" w:rsidP="00E96B9F">
      <w:pPr>
        <w:pStyle w:val="Heading2"/>
        <w:rPr>
          <w:highlight w:val="white"/>
          <w:lang w:val="en-GB"/>
        </w:rPr>
      </w:pPr>
      <w:bookmarkStart w:id="21" w:name="_Toc58498659"/>
      <w:r w:rsidRPr="00CC6C0F">
        <w:rPr>
          <w:highlight w:val="white"/>
          <w:lang w:val="en-GB"/>
        </w:rPr>
        <w:lastRenderedPageBreak/>
        <w:t xml:space="preserve">Table </w:t>
      </w:r>
      <w:r>
        <w:rPr>
          <w:highlight w:val="white"/>
          <w:lang w:val="en-GB"/>
        </w:rPr>
        <w:t>2</w:t>
      </w:r>
      <w:r w:rsidRPr="00CC6C0F">
        <w:rPr>
          <w:highlight w:val="white"/>
          <w:lang w:val="en-GB"/>
        </w:rPr>
        <w:t>. Pooled Association Results</w:t>
      </w:r>
      <w:r w:rsidRPr="00CC6C0F">
        <w:rPr>
          <w:lang w:val="en-GB"/>
        </w:rPr>
        <w:t xml:space="preserve"> between CRP and Depressive/Anxiety Symptoms</w:t>
      </w:r>
      <w:bookmarkEnd w:id="2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2"/>
        <w:gridCol w:w="1557"/>
        <w:gridCol w:w="1098"/>
        <w:gridCol w:w="1098"/>
        <w:gridCol w:w="1630"/>
        <w:gridCol w:w="1134"/>
        <w:gridCol w:w="990"/>
        <w:gridCol w:w="1561"/>
        <w:gridCol w:w="1097"/>
        <w:gridCol w:w="1097"/>
      </w:tblGrid>
      <w:tr w:rsidR="00E96B9F" w:rsidRPr="00CC6C0F" w14:paraId="26C1B8CA" w14:textId="77777777" w:rsidTr="006C2BA9">
        <w:tc>
          <w:tcPr>
            <w:tcW w:w="2694" w:type="dxa"/>
            <w:tcBorders>
              <w:top w:val="single" w:sz="4" w:space="0" w:color="auto"/>
            </w:tcBorders>
          </w:tcPr>
          <w:p w14:paraId="2792B72E" w14:textId="77777777" w:rsidR="00E96B9F" w:rsidRPr="00CC6C0F" w:rsidRDefault="00E96B9F" w:rsidP="006C2BA9">
            <w:pPr>
              <w:spacing w:after="0"/>
              <w:ind w:firstLine="0"/>
              <w:rPr>
                <w:rFonts w:cs="Times New Roman"/>
                <w:b/>
                <w:sz w:val="20"/>
                <w:szCs w:val="20"/>
                <w:highlight w:val="white"/>
              </w:rPr>
            </w:pPr>
          </w:p>
        </w:tc>
        <w:tc>
          <w:tcPr>
            <w:tcW w:w="1559" w:type="dxa"/>
            <w:tcBorders>
              <w:top w:val="single" w:sz="4" w:space="0" w:color="auto"/>
              <w:bottom w:val="single" w:sz="4" w:space="0" w:color="auto"/>
            </w:tcBorders>
          </w:tcPr>
          <w:p w14:paraId="428A2CE3" w14:textId="77777777" w:rsidR="00E96B9F" w:rsidRPr="00CC6C0F" w:rsidRDefault="00E96B9F" w:rsidP="006C2BA9">
            <w:pPr>
              <w:spacing w:after="0"/>
              <w:ind w:firstLine="0"/>
              <w:rPr>
                <w:rFonts w:cs="Times New Roman"/>
                <w:b/>
                <w:sz w:val="20"/>
                <w:szCs w:val="20"/>
                <w:highlight w:val="white"/>
              </w:rPr>
            </w:pPr>
          </w:p>
        </w:tc>
        <w:tc>
          <w:tcPr>
            <w:tcW w:w="1098" w:type="dxa"/>
            <w:tcBorders>
              <w:top w:val="single" w:sz="4" w:space="0" w:color="auto"/>
              <w:bottom w:val="single" w:sz="4" w:space="0" w:color="auto"/>
            </w:tcBorders>
          </w:tcPr>
          <w:p w14:paraId="49E8DDC0"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Model 1</w:t>
            </w:r>
          </w:p>
        </w:tc>
        <w:tc>
          <w:tcPr>
            <w:tcW w:w="1098" w:type="dxa"/>
            <w:tcBorders>
              <w:top w:val="single" w:sz="4" w:space="0" w:color="auto"/>
              <w:bottom w:val="single" w:sz="4" w:space="0" w:color="auto"/>
            </w:tcBorders>
          </w:tcPr>
          <w:p w14:paraId="058FEE10" w14:textId="77777777" w:rsidR="00E96B9F" w:rsidRPr="00CC6C0F" w:rsidRDefault="00E96B9F" w:rsidP="006C2BA9">
            <w:pPr>
              <w:spacing w:after="0"/>
              <w:ind w:firstLine="0"/>
              <w:rPr>
                <w:rFonts w:cs="Times New Roman"/>
                <w:b/>
                <w:sz w:val="20"/>
                <w:szCs w:val="20"/>
                <w:highlight w:val="white"/>
              </w:rPr>
            </w:pPr>
          </w:p>
        </w:tc>
        <w:tc>
          <w:tcPr>
            <w:tcW w:w="1631" w:type="dxa"/>
            <w:tcBorders>
              <w:top w:val="single" w:sz="4" w:space="0" w:color="auto"/>
              <w:bottom w:val="single" w:sz="4" w:space="0" w:color="auto"/>
            </w:tcBorders>
          </w:tcPr>
          <w:p w14:paraId="7DAC9115" w14:textId="77777777" w:rsidR="00E96B9F" w:rsidRPr="00CC6C0F" w:rsidRDefault="00E96B9F" w:rsidP="006C2BA9">
            <w:pPr>
              <w:spacing w:after="0"/>
              <w:ind w:firstLine="0"/>
              <w:rPr>
                <w:rFonts w:cs="Times New Roman"/>
                <w:b/>
                <w:sz w:val="20"/>
                <w:szCs w:val="20"/>
                <w:highlight w:val="white"/>
              </w:rPr>
            </w:pPr>
          </w:p>
        </w:tc>
        <w:tc>
          <w:tcPr>
            <w:tcW w:w="1134" w:type="dxa"/>
            <w:tcBorders>
              <w:top w:val="single" w:sz="4" w:space="0" w:color="auto"/>
              <w:bottom w:val="single" w:sz="4" w:space="0" w:color="auto"/>
            </w:tcBorders>
          </w:tcPr>
          <w:p w14:paraId="6046D873"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Model 2</w:t>
            </w:r>
          </w:p>
        </w:tc>
        <w:tc>
          <w:tcPr>
            <w:tcW w:w="990" w:type="dxa"/>
            <w:tcBorders>
              <w:top w:val="single" w:sz="4" w:space="0" w:color="auto"/>
              <w:bottom w:val="single" w:sz="4" w:space="0" w:color="auto"/>
            </w:tcBorders>
          </w:tcPr>
          <w:p w14:paraId="18EA9D81" w14:textId="77777777" w:rsidR="00E96B9F" w:rsidRPr="00CC6C0F" w:rsidRDefault="00E96B9F" w:rsidP="006C2BA9">
            <w:pPr>
              <w:spacing w:after="0"/>
              <w:ind w:firstLine="0"/>
              <w:rPr>
                <w:rFonts w:cs="Times New Roman"/>
                <w:b/>
                <w:sz w:val="20"/>
                <w:szCs w:val="20"/>
                <w:highlight w:val="white"/>
              </w:rPr>
            </w:pPr>
          </w:p>
        </w:tc>
        <w:tc>
          <w:tcPr>
            <w:tcW w:w="1562" w:type="dxa"/>
            <w:tcBorders>
              <w:top w:val="single" w:sz="4" w:space="0" w:color="auto"/>
              <w:bottom w:val="single" w:sz="4" w:space="0" w:color="auto"/>
            </w:tcBorders>
          </w:tcPr>
          <w:p w14:paraId="7BA91CA6" w14:textId="77777777" w:rsidR="00E96B9F" w:rsidRPr="00CC6C0F" w:rsidRDefault="00E96B9F" w:rsidP="006C2BA9">
            <w:pPr>
              <w:spacing w:after="0"/>
              <w:ind w:firstLine="0"/>
              <w:rPr>
                <w:rFonts w:cs="Times New Roman"/>
                <w:b/>
                <w:sz w:val="20"/>
                <w:szCs w:val="20"/>
                <w:highlight w:val="white"/>
              </w:rPr>
            </w:pPr>
          </w:p>
        </w:tc>
        <w:tc>
          <w:tcPr>
            <w:tcW w:w="1097" w:type="dxa"/>
            <w:tcBorders>
              <w:top w:val="single" w:sz="4" w:space="0" w:color="auto"/>
              <w:bottom w:val="single" w:sz="4" w:space="0" w:color="auto"/>
            </w:tcBorders>
          </w:tcPr>
          <w:p w14:paraId="21BD14C0"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Model 3</w:t>
            </w:r>
          </w:p>
        </w:tc>
        <w:tc>
          <w:tcPr>
            <w:tcW w:w="1097" w:type="dxa"/>
            <w:tcBorders>
              <w:top w:val="single" w:sz="4" w:space="0" w:color="auto"/>
              <w:bottom w:val="single" w:sz="4" w:space="0" w:color="auto"/>
            </w:tcBorders>
          </w:tcPr>
          <w:p w14:paraId="6DD1DABF" w14:textId="77777777" w:rsidR="00E96B9F" w:rsidRPr="00CC6C0F" w:rsidRDefault="00E96B9F" w:rsidP="006C2BA9">
            <w:pPr>
              <w:spacing w:after="0"/>
              <w:ind w:firstLine="0"/>
              <w:rPr>
                <w:rFonts w:cs="Times New Roman"/>
                <w:b/>
                <w:sz w:val="20"/>
                <w:szCs w:val="20"/>
                <w:highlight w:val="white"/>
              </w:rPr>
            </w:pPr>
          </w:p>
        </w:tc>
      </w:tr>
      <w:tr w:rsidR="00E96B9F" w:rsidRPr="00CC6C0F" w14:paraId="622FCAC1" w14:textId="77777777" w:rsidTr="006C2BA9">
        <w:tc>
          <w:tcPr>
            <w:tcW w:w="2694" w:type="dxa"/>
            <w:tcBorders>
              <w:bottom w:val="single" w:sz="4" w:space="0" w:color="auto"/>
            </w:tcBorders>
          </w:tcPr>
          <w:p w14:paraId="70DAEA55"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Symptom</w:t>
            </w:r>
          </w:p>
        </w:tc>
        <w:tc>
          <w:tcPr>
            <w:tcW w:w="1559" w:type="dxa"/>
            <w:tcBorders>
              <w:top w:val="single" w:sz="4" w:space="0" w:color="auto"/>
              <w:bottom w:val="single" w:sz="4" w:space="0" w:color="auto"/>
            </w:tcBorders>
          </w:tcPr>
          <w:p w14:paraId="195CADA0"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OR (95% CI)</w:t>
            </w:r>
          </w:p>
        </w:tc>
        <w:tc>
          <w:tcPr>
            <w:tcW w:w="1098" w:type="dxa"/>
            <w:tcBorders>
              <w:top w:val="single" w:sz="4" w:space="0" w:color="auto"/>
              <w:bottom w:val="single" w:sz="4" w:space="0" w:color="auto"/>
            </w:tcBorders>
          </w:tcPr>
          <w:p w14:paraId="137D9896"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P</w:t>
            </w:r>
          </w:p>
        </w:tc>
        <w:tc>
          <w:tcPr>
            <w:tcW w:w="1098" w:type="dxa"/>
            <w:tcBorders>
              <w:top w:val="single" w:sz="4" w:space="0" w:color="auto"/>
              <w:bottom w:val="single" w:sz="4" w:space="0" w:color="auto"/>
            </w:tcBorders>
          </w:tcPr>
          <w:p w14:paraId="54537494"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Q</w:t>
            </w:r>
          </w:p>
        </w:tc>
        <w:tc>
          <w:tcPr>
            <w:tcW w:w="1631" w:type="dxa"/>
            <w:tcBorders>
              <w:top w:val="single" w:sz="4" w:space="0" w:color="auto"/>
              <w:bottom w:val="single" w:sz="4" w:space="0" w:color="auto"/>
            </w:tcBorders>
          </w:tcPr>
          <w:p w14:paraId="20AC338D"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OR (95% CI)</w:t>
            </w:r>
          </w:p>
        </w:tc>
        <w:tc>
          <w:tcPr>
            <w:tcW w:w="1134" w:type="dxa"/>
            <w:tcBorders>
              <w:top w:val="single" w:sz="4" w:space="0" w:color="auto"/>
              <w:bottom w:val="single" w:sz="4" w:space="0" w:color="auto"/>
            </w:tcBorders>
          </w:tcPr>
          <w:p w14:paraId="09425D47"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P</w:t>
            </w:r>
          </w:p>
        </w:tc>
        <w:tc>
          <w:tcPr>
            <w:tcW w:w="990" w:type="dxa"/>
            <w:tcBorders>
              <w:top w:val="single" w:sz="4" w:space="0" w:color="auto"/>
              <w:bottom w:val="single" w:sz="4" w:space="0" w:color="auto"/>
            </w:tcBorders>
          </w:tcPr>
          <w:p w14:paraId="520110FC"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Q</w:t>
            </w:r>
          </w:p>
        </w:tc>
        <w:tc>
          <w:tcPr>
            <w:tcW w:w="1562" w:type="dxa"/>
            <w:tcBorders>
              <w:top w:val="single" w:sz="4" w:space="0" w:color="auto"/>
              <w:bottom w:val="single" w:sz="4" w:space="0" w:color="auto"/>
            </w:tcBorders>
          </w:tcPr>
          <w:p w14:paraId="0DF56320"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OR (95% CI)</w:t>
            </w:r>
          </w:p>
        </w:tc>
        <w:tc>
          <w:tcPr>
            <w:tcW w:w="1097" w:type="dxa"/>
            <w:tcBorders>
              <w:top w:val="single" w:sz="4" w:space="0" w:color="auto"/>
              <w:bottom w:val="single" w:sz="4" w:space="0" w:color="auto"/>
            </w:tcBorders>
          </w:tcPr>
          <w:p w14:paraId="19E8725B"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P</w:t>
            </w:r>
          </w:p>
        </w:tc>
        <w:tc>
          <w:tcPr>
            <w:tcW w:w="1097" w:type="dxa"/>
            <w:tcBorders>
              <w:top w:val="single" w:sz="4" w:space="0" w:color="auto"/>
              <w:bottom w:val="single" w:sz="4" w:space="0" w:color="auto"/>
            </w:tcBorders>
          </w:tcPr>
          <w:p w14:paraId="0577DB96" w14:textId="77777777" w:rsidR="00E96B9F" w:rsidRPr="00CC6C0F" w:rsidRDefault="00E96B9F" w:rsidP="006C2BA9">
            <w:pPr>
              <w:spacing w:after="0"/>
              <w:ind w:firstLine="0"/>
              <w:rPr>
                <w:rFonts w:cs="Times New Roman"/>
                <w:b/>
                <w:sz w:val="20"/>
                <w:szCs w:val="20"/>
                <w:highlight w:val="white"/>
              </w:rPr>
            </w:pPr>
            <w:r w:rsidRPr="00CC6C0F">
              <w:rPr>
                <w:rFonts w:cs="Times New Roman"/>
                <w:b/>
                <w:sz w:val="20"/>
                <w:szCs w:val="20"/>
                <w:highlight w:val="white"/>
              </w:rPr>
              <w:t>Q</w:t>
            </w:r>
          </w:p>
        </w:tc>
      </w:tr>
      <w:tr w:rsidR="00E96B9F" w:rsidRPr="00CC6C0F" w14:paraId="33487D93" w14:textId="77777777" w:rsidTr="006C2BA9">
        <w:tc>
          <w:tcPr>
            <w:tcW w:w="2694" w:type="dxa"/>
            <w:tcBorders>
              <w:top w:val="single" w:sz="4" w:space="0" w:color="auto"/>
            </w:tcBorders>
          </w:tcPr>
          <w:p w14:paraId="5E822FF8" w14:textId="77777777" w:rsidR="00E96B9F" w:rsidRPr="00CC6C0F" w:rsidRDefault="00E96B9F" w:rsidP="006C2BA9">
            <w:pPr>
              <w:spacing w:after="0"/>
              <w:ind w:firstLine="0"/>
              <w:rPr>
                <w:rFonts w:cs="Times New Roman"/>
                <w:b/>
                <w:i/>
                <w:sz w:val="20"/>
                <w:szCs w:val="20"/>
                <w:highlight w:val="white"/>
              </w:rPr>
            </w:pPr>
            <w:r w:rsidRPr="00CC6C0F">
              <w:rPr>
                <w:rFonts w:cs="Times New Roman"/>
                <w:b/>
                <w:i/>
                <w:sz w:val="20"/>
                <w:szCs w:val="20"/>
                <w:highlight w:val="white"/>
              </w:rPr>
              <w:t>Depressive symptoms</w:t>
            </w:r>
          </w:p>
        </w:tc>
        <w:tc>
          <w:tcPr>
            <w:tcW w:w="1559" w:type="dxa"/>
            <w:tcBorders>
              <w:top w:val="single" w:sz="4" w:space="0" w:color="auto"/>
            </w:tcBorders>
          </w:tcPr>
          <w:p w14:paraId="43771F7A" w14:textId="77777777" w:rsidR="00E96B9F" w:rsidRPr="00CC6C0F" w:rsidRDefault="00E96B9F" w:rsidP="006C2BA9">
            <w:pPr>
              <w:spacing w:after="0"/>
              <w:ind w:firstLine="0"/>
              <w:rPr>
                <w:rFonts w:cs="Times New Roman"/>
                <w:sz w:val="20"/>
                <w:szCs w:val="20"/>
                <w:highlight w:val="white"/>
              </w:rPr>
            </w:pPr>
          </w:p>
        </w:tc>
        <w:tc>
          <w:tcPr>
            <w:tcW w:w="1098" w:type="dxa"/>
            <w:tcBorders>
              <w:top w:val="single" w:sz="4" w:space="0" w:color="auto"/>
            </w:tcBorders>
          </w:tcPr>
          <w:p w14:paraId="4BFF51C1" w14:textId="77777777" w:rsidR="00E96B9F" w:rsidRPr="00CC6C0F" w:rsidRDefault="00E96B9F" w:rsidP="006C2BA9">
            <w:pPr>
              <w:spacing w:after="0"/>
              <w:ind w:firstLine="0"/>
              <w:rPr>
                <w:rFonts w:cs="Times New Roman"/>
                <w:sz w:val="20"/>
                <w:szCs w:val="20"/>
                <w:highlight w:val="white"/>
              </w:rPr>
            </w:pPr>
          </w:p>
        </w:tc>
        <w:tc>
          <w:tcPr>
            <w:tcW w:w="1098" w:type="dxa"/>
            <w:tcBorders>
              <w:top w:val="single" w:sz="4" w:space="0" w:color="auto"/>
            </w:tcBorders>
          </w:tcPr>
          <w:p w14:paraId="1CF02910" w14:textId="77777777" w:rsidR="00E96B9F" w:rsidRPr="00CC6C0F" w:rsidRDefault="00E96B9F" w:rsidP="006C2BA9">
            <w:pPr>
              <w:spacing w:after="0"/>
              <w:ind w:firstLine="0"/>
              <w:rPr>
                <w:rFonts w:cs="Times New Roman"/>
                <w:sz w:val="20"/>
                <w:szCs w:val="20"/>
                <w:highlight w:val="white"/>
              </w:rPr>
            </w:pPr>
          </w:p>
        </w:tc>
        <w:tc>
          <w:tcPr>
            <w:tcW w:w="1631" w:type="dxa"/>
            <w:tcBorders>
              <w:top w:val="single" w:sz="4" w:space="0" w:color="auto"/>
            </w:tcBorders>
          </w:tcPr>
          <w:p w14:paraId="44641D62" w14:textId="77777777" w:rsidR="00E96B9F" w:rsidRPr="00CC6C0F" w:rsidRDefault="00E96B9F" w:rsidP="006C2BA9">
            <w:pPr>
              <w:spacing w:after="0"/>
              <w:ind w:firstLine="0"/>
              <w:rPr>
                <w:rFonts w:cs="Times New Roman"/>
                <w:sz w:val="20"/>
                <w:szCs w:val="20"/>
                <w:highlight w:val="white"/>
              </w:rPr>
            </w:pPr>
          </w:p>
        </w:tc>
        <w:tc>
          <w:tcPr>
            <w:tcW w:w="1134" w:type="dxa"/>
            <w:tcBorders>
              <w:top w:val="single" w:sz="4" w:space="0" w:color="auto"/>
            </w:tcBorders>
          </w:tcPr>
          <w:p w14:paraId="4FC818E2" w14:textId="77777777" w:rsidR="00E96B9F" w:rsidRPr="00CC6C0F" w:rsidRDefault="00E96B9F" w:rsidP="006C2BA9">
            <w:pPr>
              <w:spacing w:after="0"/>
              <w:ind w:firstLine="0"/>
              <w:rPr>
                <w:rFonts w:cs="Times New Roman"/>
                <w:sz w:val="20"/>
                <w:szCs w:val="20"/>
                <w:highlight w:val="white"/>
              </w:rPr>
            </w:pPr>
          </w:p>
        </w:tc>
        <w:tc>
          <w:tcPr>
            <w:tcW w:w="990" w:type="dxa"/>
            <w:tcBorders>
              <w:top w:val="single" w:sz="4" w:space="0" w:color="auto"/>
            </w:tcBorders>
          </w:tcPr>
          <w:p w14:paraId="4A6F7F9A" w14:textId="77777777" w:rsidR="00E96B9F" w:rsidRPr="00CC6C0F" w:rsidRDefault="00E96B9F" w:rsidP="006C2BA9">
            <w:pPr>
              <w:spacing w:after="0"/>
              <w:ind w:firstLine="0"/>
              <w:rPr>
                <w:rFonts w:cs="Times New Roman"/>
                <w:sz w:val="20"/>
                <w:szCs w:val="20"/>
                <w:highlight w:val="white"/>
              </w:rPr>
            </w:pPr>
          </w:p>
        </w:tc>
        <w:tc>
          <w:tcPr>
            <w:tcW w:w="1562" w:type="dxa"/>
            <w:tcBorders>
              <w:top w:val="single" w:sz="4" w:space="0" w:color="auto"/>
            </w:tcBorders>
          </w:tcPr>
          <w:p w14:paraId="327F0732" w14:textId="77777777" w:rsidR="00E96B9F" w:rsidRPr="00CC6C0F" w:rsidRDefault="00E96B9F" w:rsidP="006C2BA9">
            <w:pPr>
              <w:spacing w:after="0"/>
              <w:ind w:firstLine="0"/>
              <w:rPr>
                <w:rFonts w:cs="Times New Roman"/>
                <w:sz w:val="20"/>
                <w:szCs w:val="20"/>
                <w:highlight w:val="white"/>
              </w:rPr>
            </w:pPr>
          </w:p>
        </w:tc>
        <w:tc>
          <w:tcPr>
            <w:tcW w:w="1097" w:type="dxa"/>
            <w:tcBorders>
              <w:top w:val="single" w:sz="4" w:space="0" w:color="auto"/>
            </w:tcBorders>
          </w:tcPr>
          <w:p w14:paraId="4E43D13F" w14:textId="77777777" w:rsidR="00E96B9F" w:rsidRPr="00CC6C0F" w:rsidRDefault="00E96B9F" w:rsidP="006C2BA9">
            <w:pPr>
              <w:spacing w:after="0"/>
              <w:ind w:firstLine="0"/>
              <w:rPr>
                <w:rFonts w:cs="Times New Roman"/>
                <w:sz w:val="20"/>
                <w:szCs w:val="20"/>
                <w:highlight w:val="white"/>
              </w:rPr>
            </w:pPr>
          </w:p>
        </w:tc>
        <w:tc>
          <w:tcPr>
            <w:tcW w:w="1097" w:type="dxa"/>
            <w:tcBorders>
              <w:top w:val="single" w:sz="4" w:space="0" w:color="auto"/>
            </w:tcBorders>
          </w:tcPr>
          <w:p w14:paraId="1ABF2DB0" w14:textId="77777777" w:rsidR="00E96B9F" w:rsidRPr="00CC6C0F" w:rsidRDefault="00E96B9F" w:rsidP="006C2BA9">
            <w:pPr>
              <w:spacing w:after="0"/>
              <w:ind w:firstLine="0"/>
              <w:rPr>
                <w:rFonts w:cs="Times New Roman"/>
                <w:sz w:val="20"/>
                <w:szCs w:val="20"/>
                <w:highlight w:val="white"/>
              </w:rPr>
            </w:pPr>
          </w:p>
        </w:tc>
      </w:tr>
      <w:tr w:rsidR="00E96B9F" w:rsidRPr="00CC6C0F" w14:paraId="2624D620" w14:textId="77777777" w:rsidTr="006C2BA9">
        <w:tc>
          <w:tcPr>
            <w:tcW w:w="2694" w:type="dxa"/>
          </w:tcPr>
          <w:p w14:paraId="7F06328F"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Anhedonia</w:t>
            </w:r>
          </w:p>
        </w:tc>
        <w:tc>
          <w:tcPr>
            <w:tcW w:w="1559" w:type="dxa"/>
            <w:vAlign w:val="bottom"/>
          </w:tcPr>
          <w:p w14:paraId="2BCEA710"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1.13 (1.03-1.23)</w:t>
            </w:r>
          </w:p>
        </w:tc>
        <w:tc>
          <w:tcPr>
            <w:tcW w:w="1098" w:type="dxa"/>
            <w:vAlign w:val="bottom"/>
          </w:tcPr>
          <w:p w14:paraId="31EBE841"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0.01</w:t>
            </w:r>
          </w:p>
        </w:tc>
        <w:tc>
          <w:tcPr>
            <w:tcW w:w="1098" w:type="dxa"/>
            <w:vAlign w:val="bottom"/>
          </w:tcPr>
          <w:p w14:paraId="4239DE7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0.02</w:t>
            </w:r>
          </w:p>
        </w:tc>
        <w:tc>
          <w:tcPr>
            <w:tcW w:w="1631" w:type="dxa"/>
            <w:vAlign w:val="bottom"/>
          </w:tcPr>
          <w:p w14:paraId="4118D87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1.08 (0.99-1.18)</w:t>
            </w:r>
          </w:p>
        </w:tc>
        <w:tc>
          <w:tcPr>
            <w:tcW w:w="1134" w:type="dxa"/>
            <w:vAlign w:val="bottom"/>
          </w:tcPr>
          <w:p w14:paraId="7136425F"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0.101</w:t>
            </w:r>
          </w:p>
        </w:tc>
        <w:tc>
          <w:tcPr>
            <w:tcW w:w="990" w:type="dxa"/>
            <w:vAlign w:val="bottom"/>
          </w:tcPr>
          <w:p w14:paraId="499D263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0.203</w:t>
            </w:r>
          </w:p>
        </w:tc>
        <w:tc>
          <w:tcPr>
            <w:tcW w:w="1562" w:type="dxa"/>
            <w:vAlign w:val="bottom"/>
          </w:tcPr>
          <w:p w14:paraId="2CD078A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1.03 (0.96-1.11)</w:t>
            </w:r>
          </w:p>
        </w:tc>
        <w:tc>
          <w:tcPr>
            <w:tcW w:w="1097" w:type="dxa"/>
            <w:vAlign w:val="bottom"/>
          </w:tcPr>
          <w:p w14:paraId="54B27D7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0.423</w:t>
            </w:r>
          </w:p>
        </w:tc>
        <w:tc>
          <w:tcPr>
            <w:tcW w:w="1097" w:type="dxa"/>
            <w:vAlign w:val="bottom"/>
          </w:tcPr>
          <w:p w14:paraId="5E84C274"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0.789</w:t>
            </w:r>
          </w:p>
        </w:tc>
      </w:tr>
      <w:tr w:rsidR="00E96B9F" w:rsidRPr="00CC6C0F" w14:paraId="4B7A4234" w14:textId="77777777" w:rsidTr="006C2BA9">
        <w:tc>
          <w:tcPr>
            <w:tcW w:w="2694" w:type="dxa"/>
          </w:tcPr>
          <w:p w14:paraId="6E37585F"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Depressed mood</w:t>
            </w:r>
          </w:p>
        </w:tc>
        <w:tc>
          <w:tcPr>
            <w:tcW w:w="1559" w:type="dxa"/>
            <w:vAlign w:val="bottom"/>
          </w:tcPr>
          <w:p w14:paraId="5C46310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1.1 (1.07-1.13)</w:t>
            </w:r>
          </w:p>
        </w:tc>
        <w:tc>
          <w:tcPr>
            <w:tcW w:w="1098" w:type="dxa"/>
            <w:vAlign w:val="bottom"/>
          </w:tcPr>
          <w:p w14:paraId="0BD448A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8" w:type="dxa"/>
            <w:vAlign w:val="bottom"/>
          </w:tcPr>
          <w:p w14:paraId="69F386A7"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631" w:type="dxa"/>
            <w:vAlign w:val="bottom"/>
          </w:tcPr>
          <w:p w14:paraId="3E81B50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1.06 (1.05-1.08)</w:t>
            </w:r>
          </w:p>
        </w:tc>
        <w:tc>
          <w:tcPr>
            <w:tcW w:w="1134" w:type="dxa"/>
            <w:vAlign w:val="bottom"/>
          </w:tcPr>
          <w:p w14:paraId="110A606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990" w:type="dxa"/>
            <w:vAlign w:val="bottom"/>
          </w:tcPr>
          <w:p w14:paraId="562206B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562" w:type="dxa"/>
            <w:vAlign w:val="bottom"/>
          </w:tcPr>
          <w:p w14:paraId="72699C5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1.03 (1.01-1.04)</w:t>
            </w:r>
          </w:p>
        </w:tc>
        <w:tc>
          <w:tcPr>
            <w:tcW w:w="1097" w:type="dxa"/>
            <w:vAlign w:val="bottom"/>
          </w:tcPr>
          <w:p w14:paraId="58A0607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7" w:type="dxa"/>
            <w:vAlign w:val="bottom"/>
          </w:tcPr>
          <w:p w14:paraId="1BA2B15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0.002</w:t>
            </w:r>
          </w:p>
        </w:tc>
      </w:tr>
      <w:tr w:rsidR="00E96B9F" w:rsidRPr="00CC6C0F" w14:paraId="5DFAF84D" w14:textId="77777777" w:rsidTr="006C2BA9">
        <w:tc>
          <w:tcPr>
            <w:tcW w:w="2694" w:type="dxa"/>
          </w:tcPr>
          <w:p w14:paraId="2C4A9870"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Sleeping problems</w:t>
            </w:r>
          </w:p>
        </w:tc>
        <w:tc>
          <w:tcPr>
            <w:tcW w:w="1559" w:type="dxa"/>
            <w:vAlign w:val="bottom"/>
          </w:tcPr>
          <w:p w14:paraId="44C6C87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1.07 (1.06-1.08)</w:t>
            </w:r>
          </w:p>
        </w:tc>
        <w:tc>
          <w:tcPr>
            <w:tcW w:w="1098" w:type="dxa"/>
            <w:vAlign w:val="bottom"/>
          </w:tcPr>
          <w:p w14:paraId="19057DE3"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8" w:type="dxa"/>
            <w:vAlign w:val="bottom"/>
          </w:tcPr>
          <w:p w14:paraId="02BB1C3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631" w:type="dxa"/>
            <w:vAlign w:val="bottom"/>
          </w:tcPr>
          <w:p w14:paraId="5F36775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1.05 (1.04-1.06)</w:t>
            </w:r>
          </w:p>
        </w:tc>
        <w:tc>
          <w:tcPr>
            <w:tcW w:w="1134" w:type="dxa"/>
            <w:vAlign w:val="bottom"/>
          </w:tcPr>
          <w:p w14:paraId="478E47FD"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990" w:type="dxa"/>
            <w:vAlign w:val="bottom"/>
          </w:tcPr>
          <w:p w14:paraId="386C828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562" w:type="dxa"/>
            <w:vAlign w:val="bottom"/>
          </w:tcPr>
          <w:p w14:paraId="35D8A281"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1.02 (1.01-1.03)</w:t>
            </w:r>
          </w:p>
        </w:tc>
        <w:tc>
          <w:tcPr>
            <w:tcW w:w="1097" w:type="dxa"/>
            <w:vAlign w:val="bottom"/>
          </w:tcPr>
          <w:p w14:paraId="52DEF572"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7" w:type="dxa"/>
            <w:vAlign w:val="bottom"/>
          </w:tcPr>
          <w:p w14:paraId="4E7AF44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0.003</w:t>
            </w:r>
          </w:p>
        </w:tc>
      </w:tr>
      <w:tr w:rsidR="00E96B9F" w:rsidRPr="00CC6C0F" w14:paraId="1DC323F3" w14:textId="77777777" w:rsidTr="006C2BA9">
        <w:tc>
          <w:tcPr>
            <w:tcW w:w="2694" w:type="dxa"/>
          </w:tcPr>
          <w:p w14:paraId="00148302"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Fatigue</w:t>
            </w:r>
          </w:p>
        </w:tc>
        <w:tc>
          <w:tcPr>
            <w:tcW w:w="1559" w:type="dxa"/>
            <w:vAlign w:val="bottom"/>
          </w:tcPr>
          <w:p w14:paraId="2DF29FD2"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1.17 (1.15-1.18)</w:t>
            </w:r>
          </w:p>
        </w:tc>
        <w:tc>
          <w:tcPr>
            <w:tcW w:w="1098" w:type="dxa"/>
            <w:vAlign w:val="bottom"/>
          </w:tcPr>
          <w:p w14:paraId="4FEA08B1"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8" w:type="dxa"/>
            <w:vAlign w:val="bottom"/>
          </w:tcPr>
          <w:p w14:paraId="605C47C3"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631" w:type="dxa"/>
            <w:vAlign w:val="bottom"/>
          </w:tcPr>
          <w:p w14:paraId="4F39FF6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1.12 (1.11-1.14)</w:t>
            </w:r>
          </w:p>
        </w:tc>
        <w:tc>
          <w:tcPr>
            <w:tcW w:w="1134" w:type="dxa"/>
            <w:vAlign w:val="bottom"/>
          </w:tcPr>
          <w:p w14:paraId="7F07B3AF"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990" w:type="dxa"/>
            <w:vAlign w:val="bottom"/>
          </w:tcPr>
          <w:p w14:paraId="6585334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562" w:type="dxa"/>
            <w:vAlign w:val="bottom"/>
          </w:tcPr>
          <w:p w14:paraId="420D7B52"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1.06 (1.05-1.07)</w:t>
            </w:r>
          </w:p>
        </w:tc>
        <w:tc>
          <w:tcPr>
            <w:tcW w:w="1097" w:type="dxa"/>
            <w:vAlign w:val="bottom"/>
          </w:tcPr>
          <w:p w14:paraId="1A40BFAD"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7" w:type="dxa"/>
            <w:vAlign w:val="bottom"/>
          </w:tcPr>
          <w:p w14:paraId="4105FCE1"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r>
      <w:tr w:rsidR="00E96B9F" w:rsidRPr="00CC6C0F" w14:paraId="20141228" w14:textId="77777777" w:rsidTr="006C2BA9">
        <w:tc>
          <w:tcPr>
            <w:tcW w:w="2694" w:type="dxa"/>
          </w:tcPr>
          <w:p w14:paraId="6246DD71"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Appetite changes</w:t>
            </w:r>
          </w:p>
        </w:tc>
        <w:tc>
          <w:tcPr>
            <w:tcW w:w="1559" w:type="dxa"/>
            <w:vAlign w:val="bottom"/>
          </w:tcPr>
          <w:p w14:paraId="53AA32C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1.3 (1.2-1.4)</w:t>
            </w:r>
          </w:p>
        </w:tc>
        <w:tc>
          <w:tcPr>
            <w:tcW w:w="1098" w:type="dxa"/>
            <w:vAlign w:val="bottom"/>
          </w:tcPr>
          <w:p w14:paraId="436B10B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8" w:type="dxa"/>
            <w:vAlign w:val="bottom"/>
          </w:tcPr>
          <w:p w14:paraId="7D6D82E3"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631" w:type="dxa"/>
            <w:vAlign w:val="bottom"/>
          </w:tcPr>
          <w:p w14:paraId="6D433E11"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1.25 (1.23-1.28)</w:t>
            </w:r>
          </w:p>
        </w:tc>
        <w:tc>
          <w:tcPr>
            <w:tcW w:w="1134" w:type="dxa"/>
            <w:vAlign w:val="bottom"/>
          </w:tcPr>
          <w:p w14:paraId="47B0F8E7"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990" w:type="dxa"/>
            <w:vAlign w:val="bottom"/>
          </w:tcPr>
          <w:p w14:paraId="6B4990F4"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562" w:type="dxa"/>
            <w:vAlign w:val="bottom"/>
          </w:tcPr>
          <w:p w14:paraId="004AD51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1.02 (0.96-1.1)</w:t>
            </w:r>
          </w:p>
        </w:tc>
        <w:tc>
          <w:tcPr>
            <w:tcW w:w="1097" w:type="dxa"/>
            <w:vAlign w:val="bottom"/>
          </w:tcPr>
          <w:p w14:paraId="51DD449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0.499</w:t>
            </w:r>
          </w:p>
        </w:tc>
        <w:tc>
          <w:tcPr>
            <w:tcW w:w="1097" w:type="dxa"/>
            <w:vAlign w:val="bottom"/>
          </w:tcPr>
          <w:p w14:paraId="309D5D61"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0.789</w:t>
            </w:r>
          </w:p>
        </w:tc>
      </w:tr>
      <w:tr w:rsidR="00E96B9F" w:rsidRPr="00CC6C0F" w14:paraId="7B71AE69" w14:textId="77777777" w:rsidTr="006C2BA9">
        <w:tc>
          <w:tcPr>
            <w:tcW w:w="2694" w:type="dxa"/>
          </w:tcPr>
          <w:p w14:paraId="3D0939AF"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Feelings of inadequacy</w:t>
            </w:r>
          </w:p>
        </w:tc>
        <w:tc>
          <w:tcPr>
            <w:tcW w:w="1559" w:type="dxa"/>
            <w:vAlign w:val="bottom"/>
          </w:tcPr>
          <w:p w14:paraId="25F6CE6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1.02 (0.91-1.14)</w:t>
            </w:r>
          </w:p>
        </w:tc>
        <w:tc>
          <w:tcPr>
            <w:tcW w:w="1098" w:type="dxa"/>
            <w:vAlign w:val="bottom"/>
          </w:tcPr>
          <w:p w14:paraId="085951D6"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0.734</w:t>
            </w:r>
          </w:p>
        </w:tc>
        <w:tc>
          <w:tcPr>
            <w:tcW w:w="1098" w:type="dxa"/>
            <w:vAlign w:val="bottom"/>
          </w:tcPr>
          <w:p w14:paraId="65A5415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0.777</w:t>
            </w:r>
          </w:p>
        </w:tc>
        <w:tc>
          <w:tcPr>
            <w:tcW w:w="1631" w:type="dxa"/>
            <w:vAlign w:val="bottom"/>
          </w:tcPr>
          <w:p w14:paraId="0FC905E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 (0.9-1.1)</w:t>
            </w:r>
          </w:p>
        </w:tc>
        <w:tc>
          <w:tcPr>
            <w:tcW w:w="1134" w:type="dxa"/>
            <w:vAlign w:val="bottom"/>
          </w:tcPr>
          <w:p w14:paraId="2DF3E0C2"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0.925</w:t>
            </w:r>
          </w:p>
        </w:tc>
        <w:tc>
          <w:tcPr>
            <w:tcW w:w="990" w:type="dxa"/>
            <w:vAlign w:val="bottom"/>
          </w:tcPr>
          <w:p w14:paraId="00023FA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0.979</w:t>
            </w:r>
          </w:p>
        </w:tc>
        <w:tc>
          <w:tcPr>
            <w:tcW w:w="1562" w:type="dxa"/>
            <w:vAlign w:val="bottom"/>
          </w:tcPr>
          <w:p w14:paraId="7150C6F3"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0.98 (0.92-1.05)</w:t>
            </w:r>
          </w:p>
        </w:tc>
        <w:tc>
          <w:tcPr>
            <w:tcW w:w="1097" w:type="dxa"/>
            <w:vAlign w:val="bottom"/>
          </w:tcPr>
          <w:p w14:paraId="42ED5DF3"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0.564</w:t>
            </w:r>
          </w:p>
        </w:tc>
        <w:tc>
          <w:tcPr>
            <w:tcW w:w="1097" w:type="dxa"/>
            <w:vAlign w:val="bottom"/>
          </w:tcPr>
          <w:p w14:paraId="273A1CD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0.789</w:t>
            </w:r>
          </w:p>
        </w:tc>
      </w:tr>
      <w:tr w:rsidR="00E96B9F" w:rsidRPr="00CC6C0F" w14:paraId="3876ED45" w14:textId="77777777" w:rsidTr="006C2BA9">
        <w:tc>
          <w:tcPr>
            <w:tcW w:w="2694" w:type="dxa"/>
          </w:tcPr>
          <w:p w14:paraId="533CDC78"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Cognitive problems</w:t>
            </w:r>
          </w:p>
        </w:tc>
        <w:tc>
          <w:tcPr>
            <w:tcW w:w="1559" w:type="dxa"/>
            <w:vAlign w:val="bottom"/>
          </w:tcPr>
          <w:p w14:paraId="60E2B7D7"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1.08 (1.01-1.16)</w:t>
            </w:r>
          </w:p>
        </w:tc>
        <w:tc>
          <w:tcPr>
            <w:tcW w:w="1098" w:type="dxa"/>
            <w:vAlign w:val="bottom"/>
          </w:tcPr>
          <w:p w14:paraId="74B3A18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0.034</w:t>
            </w:r>
          </w:p>
        </w:tc>
        <w:tc>
          <w:tcPr>
            <w:tcW w:w="1098" w:type="dxa"/>
            <w:vAlign w:val="bottom"/>
          </w:tcPr>
          <w:p w14:paraId="2A496E06"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0.055</w:t>
            </w:r>
          </w:p>
        </w:tc>
        <w:tc>
          <w:tcPr>
            <w:tcW w:w="1631" w:type="dxa"/>
            <w:vAlign w:val="bottom"/>
          </w:tcPr>
          <w:p w14:paraId="5E0EA0E3"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1.05 (0.99-1.11)</w:t>
            </w:r>
          </w:p>
        </w:tc>
        <w:tc>
          <w:tcPr>
            <w:tcW w:w="1134" w:type="dxa"/>
            <w:vAlign w:val="bottom"/>
          </w:tcPr>
          <w:p w14:paraId="723F13F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0.092</w:t>
            </w:r>
          </w:p>
        </w:tc>
        <w:tc>
          <w:tcPr>
            <w:tcW w:w="990" w:type="dxa"/>
            <w:vAlign w:val="bottom"/>
          </w:tcPr>
          <w:p w14:paraId="78ED82A1"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0.203</w:t>
            </w:r>
          </w:p>
        </w:tc>
        <w:tc>
          <w:tcPr>
            <w:tcW w:w="1562" w:type="dxa"/>
            <w:vAlign w:val="bottom"/>
          </w:tcPr>
          <w:p w14:paraId="4AB9589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1.02 (1-1.03)</w:t>
            </w:r>
          </w:p>
        </w:tc>
        <w:tc>
          <w:tcPr>
            <w:tcW w:w="1097" w:type="dxa"/>
            <w:vAlign w:val="bottom"/>
          </w:tcPr>
          <w:p w14:paraId="43888DA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0.043</w:t>
            </w:r>
          </w:p>
        </w:tc>
        <w:tc>
          <w:tcPr>
            <w:tcW w:w="1097" w:type="dxa"/>
            <w:vAlign w:val="bottom"/>
          </w:tcPr>
          <w:p w14:paraId="68AFB9C7"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0.128</w:t>
            </w:r>
          </w:p>
        </w:tc>
      </w:tr>
      <w:tr w:rsidR="00E96B9F" w:rsidRPr="00CC6C0F" w14:paraId="6726B8A9" w14:textId="77777777" w:rsidTr="006C2BA9">
        <w:tc>
          <w:tcPr>
            <w:tcW w:w="2694" w:type="dxa"/>
          </w:tcPr>
          <w:p w14:paraId="45795213"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Psychomotor changes</w:t>
            </w:r>
          </w:p>
        </w:tc>
        <w:tc>
          <w:tcPr>
            <w:tcW w:w="1559" w:type="dxa"/>
            <w:vAlign w:val="bottom"/>
          </w:tcPr>
          <w:p w14:paraId="5A4E6CD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1.07 (0.87-1.3)</w:t>
            </w:r>
          </w:p>
        </w:tc>
        <w:tc>
          <w:tcPr>
            <w:tcW w:w="1098" w:type="dxa"/>
            <w:vAlign w:val="bottom"/>
          </w:tcPr>
          <w:p w14:paraId="0DB2F21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0.537</w:t>
            </w:r>
          </w:p>
        </w:tc>
        <w:tc>
          <w:tcPr>
            <w:tcW w:w="1098" w:type="dxa"/>
            <w:vAlign w:val="bottom"/>
          </w:tcPr>
          <w:p w14:paraId="24FF133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0.644</w:t>
            </w:r>
          </w:p>
        </w:tc>
        <w:tc>
          <w:tcPr>
            <w:tcW w:w="1631" w:type="dxa"/>
            <w:vAlign w:val="bottom"/>
          </w:tcPr>
          <w:p w14:paraId="6891B053"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1.03 (0.86-1.22)</w:t>
            </w:r>
          </w:p>
        </w:tc>
        <w:tc>
          <w:tcPr>
            <w:tcW w:w="1134" w:type="dxa"/>
            <w:vAlign w:val="bottom"/>
          </w:tcPr>
          <w:p w14:paraId="38263D97"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0.778</w:t>
            </w:r>
          </w:p>
        </w:tc>
        <w:tc>
          <w:tcPr>
            <w:tcW w:w="990" w:type="dxa"/>
            <w:vAlign w:val="bottom"/>
          </w:tcPr>
          <w:p w14:paraId="2E1590BD"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0.875</w:t>
            </w:r>
          </w:p>
        </w:tc>
        <w:tc>
          <w:tcPr>
            <w:tcW w:w="1562" w:type="dxa"/>
            <w:vAlign w:val="bottom"/>
          </w:tcPr>
          <w:p w14:paraId="0C5E760F"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0.99 (0.86-1.13)</w:t>
            </w:r>
          </w:p>
        </w:tc>
        <w:tc>
          <w:tcPr>
            <w:tcW w:w="1097" w:type="dxa"/>
            <w:vAlign w:val="bottom"/>
          </w:tcPr>
          <w:p w14:paraId="1EE3D74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0.859</w:t>
            </w:r>
          </w:p>
        </w:tc>
        <w:tc>
          <w:tcPr>
            <w:tcW w:w="1097" w:type="dxa"/>
            <w:vAlign w:val="bottom"/>
          </w:tcPr>
          <w:p w14:paraId="25C73AC7"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0.859</w:t>
            </w:r>
          </w:p>
        </w:tc>
      </w:tr>
      <w:tr w:rsidR="00E96B9F" w:rsidRPr="00CC6C0F" w14:paraId="1355252A" w14:textId="77777777" w:rsidTr="006C2BA9">
        <w:tc>
          <w:tcPr>
            <w:tcW w:w="2694" w:type="dxa"/>
          </w:tcPr>
          <w:p w14:paraId="53871977"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Suicidal ideation</w:t>
            </w:r>
          </w:p>
        </w:tc>
        <w:tc>
          <w:tcPr>
            <w:tcW w:w="1559" w:type="dxa"/>
            <w:vAlign w:val="bottom"/>
          </w:tcPr>
          <w:p w14:paraId="00E8BD8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1.04 (0.86-1.26)</w:t>
            </w:r>
          </w:p>
        </w:tc>
        <w:tc>
          <w:tcPr>
            <w:tcW w:w="1098" w:type="dxa"/>
            <w:vAlign w:val="bottom"/>
          </w:tcPr>
          <w:p w14:paraId="7BBCA37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0.683</w:t>
            </w:r>
          </w:p>
        </w:tc>
        <w:tc>
          <w:tcPr>
            <w:tcW w:w="1098" w:type="dxa"/>
            <w:vAlign w:val="bottom"/>
          </w:tcPr>
          <w:p w14:paraId="0ED7CC86"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0.768</w:t>
            </w:r>
          </w:p>
        </w:tc>
        <w:tc>
          <w:tcPr>
            <w:tcW w:w="1631" w:type="dxa"/>
            <w:vAlign w:val="bottom"/>
          </w:tcPr>
          <w:p w14:paraId="07CDE9D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 (0.86-1.17)</w:t>
            </w:r>
          </w:p>
        </w:tc>
        <w:tc>
          <w:tcPr>
            <w:tcW w:w="1134" w:type="dxa"/>
            <w:vAlign w:val="bottom"/>
          </w:tcPr>
          <w:p w14:paraId="01911A61"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0.991</w:t>
            </w:r>
          </w:p>
        </w:tc>
        <w:tc>
          <w:tcPr>
            <w:tcW w:w="990" w:type="dxa"/>
            <w:vAlign w:val="bottom"/>
          </w:tcPr>
          <w:p w14:paraId="36ADA7F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0.991</w:t>
            </w:r>
          </w:p>
        </w:tc>
        <w:tc>
          <w:tcPr>
            <w:tcW w:w="1562" w:type="dxa"/>
            <w:vAlign w:val="bottom"/>
          </w:tcPr>
          <w:p w14:paraId="3F11BFC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0.99 (0.91-1.09)</w:t>
            </w:r>
          </w:p>
        </w:tc>
        <w:tc>
          <w:tcPr>
            <w:tcW w:w="1097" w:type="dxa"/>
            <w:vAlign w:val="bottom"/>
          </w:tcPr>
          <w:p w14:paraId="26F7A6DD"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0.856</w:t>
            </w:r>
          </w:p>
        </w:tc>
        <w:tc>
          <w:tcPr>
            <w:tcW w:w="1097" w:type="dxa"/>
            <w:vAlign w:val="bottom"/>
          </w:tcPr>
          <w:p w14:paraId="05C93724"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0.859</w:t>
            </w:r>
          </w:p>
        </w:tc>
      </w:tr>
      <w:tr w:rsidR="00E96B9F" w:rsidRPr="00CC6C0F" w14:paraId="1DDDF0D6" w14:textId="77777777" w:rsidTr="006C2BA9">
        <w:tc>
          <w:tcPr>
            <w:tcW w:w="2694" w:type="dxa"/>
          </w:tcPr>
          <w:p w14:paraId="447F81DE" w14:textId="77777777" w:rsidR="00E96B9F" w:rsidRPr="00CC6C0F" w:rsidRDefault="00E96B9F" w:rsidP="006C2BA9">
            <w:pPr>
              <w:spacing w:after="0"/>
              <w:ind w:firstLine="0"/>
              <w:rPr>
                <w:rFonts w:cs="Times New Roman"/>
                <w:b/>
                <w:i/>
                <w:sz w:val="20"/>
                <w:szCs w:val="20"/>
                <w:highlight w:val="white"/>
              </w:rPr>
            </w:pPr>
            <w:r w:rsidRPr="00CC6C0F">
              <w:rPr>
                <w:rFonts w:cs="Times New Roman"/>
                <w:b/>
                <w:i/>
                <w:sz w:val="20"/>
                <w:szCs w:val="20"/>
                <w:highlight w:val="white"/>
              </w:rPr>
              <w:t>Anxiety symptoms</w:t>
            </w:r>
          </w:p>
        </w:tc>
        <w:tc>
          <w:tcPr>
            <w:tcW w:w="1559" w:type="dxa"/>
          </w:tcPr>
          <w:p w14:paraId="6AA5F1AB" w14:textId="77777777" w:rsidR="00E96B9F" w:rsidRPr="00CC6C0F" w:rsidRDefault="00E96B9F" w:rsidP="006C2BA9">
            <w:pPr>
              <w:spacing w:after="0"/>
              <w:ind w:firstLine="0"/>
              <w:rPr>
                <w:rFonts w:cs="Times New Roman"/>
                <w:sz w:val="20"/>
                <w:szCs w:val="20"/>
                <w:highlight w:val="white"/>
              </w:rPr>
            </w:pPr>
          </w:p>
        </w:tc>
        <w:tc>
          <w:tcPr>
            <w:tcW w:w="1098" w:type="dxa"/>
          </w:tcPr>
          <w:p w14:paraId="7B352D05" w14:textId="77777777" w:rsidR="00E96B9F" w:rsidRPr="00CC6C0F" w:rsidRDefault="00E96B9F" w:rsidP="006C2BA9">
            <w:pPr>
              <w:spacing w:after="0"/>
              <w:ind w:firstLine="0"/>
              <w:rPr>
                <w:rFonts w:cs="Times New Roman"/>
                <w:sz w:val="20"/>
                <w:szCs w:val="20"/>
                <w:highlight w:val="white"/>
              </w:rPr>
            </w:pPr>
          </w:p>
        </w:tc>
        <w:tc>
          <w:tcPr>
            <w:tcW w:w="1098" w:type="dxa"/>
          </w:tcPr>
          <w:p w14:paraId="420D1B57" w14:textId="77777777" w:rsidR="00E96B9F" w:rsidRPr="00CC6C0F" w:rsidRDefault="00E96B9F" w:rsidP="006C2BA9">
            <w:pPr>
              <w:spacing w:after="0"/>
              <w:ind w:firstLine="0"/>
              <w:rPr>
                <w:rFonts w:cs="Times New Roman"/>
                <w:sz w:val="20"/>
                <w:szCs w:val="20"/>
                <w:highlight w:val="white"/>
              </w:rPr>
            </w:pPr>
          </w:p>
        </w:tc>
        <w:tc>
          <w:tcPr>
            <w:tcW w:w="1631" w:type="dxa"/>
          </w:tcPr>
          <w:p w14:paraId="0BDEC2A2" w14:textId="77777777" w:rsidR="00E96B9F" w:rsidRPr="00CC6C0F" w:rsidRDefault="00E96B9F" w:rsidP="006C2BA9">
            <w:pPr>
              <w:spacing w:after="0"/>
              <w:ind w:firstLine="0"/>
              <w:rPr>
                <w:rFonts w:cs="Times New Roman"/>
                <w:sz w:val="20"/>
                <w:szCs w:val="20"/>
                <w:highlight w:val="white"/>
              </w:rPr>
            </w:pPr>
          </w:p>
        </w:tc>
        <w:tc>
          <w:tcPr>
            <w:tcW w:w="1134" w:type="dxa"/>
          </w:tcPr>
          <w:p w14:paraId="7BDD7526" w14:textId="77777777" w:rsidR="00E96B9F" w:rsidRPr="00CC6C0F" w:rsidRDefault="00E96B9F" w:rsidP="006C2BA9">
            <w:pPr>
              <w:spacing w:after="0"/>
              <w:ind w:firstLine="0"/>
              <w:rPr>
                <w:rFonts w:cs="Times New Roman"/>
                <w:sz w:val="20"/>
                <w:szCs w:val="20"/>
                <w:highlight w:val="white"/>
              </w:rPr>
            </w:pPr>
          </w:p>
        </w:tc>
        <w:tc>
          <w:tcPr>
            <w:tcW w:w="990" w:type="dxa"/>
          </w:tcPr>
          <w:p w14:paraId="79E42AC3" w14:textId="77777777" w:rsidR="00E96B9F" w:rsidRPr="00CC6C0F" w:rsidRDefault="00E96B9F" w:rsidP="006C2BA9">
            <w:pPr>
              <w:spacing w:after="0"/>
              <w:ind w:firstLine="0"/>
              <w:rPr>
                <w:rFonts w:cs="Times New Roman"/>
                <w:sz w:val="20"/>
                <w:szCs w:val="20"/>
                <w:highlight w:val="white"/>
              </w:rPr>
            </w:pPr>
          </w:p>
        </w:tc>
        <w:tc>
          <w:tcPr>
            <w:tcW w:w="1562" w:type="dxa"/>
          </w:tcPr>
          <w:p w14:paraId="414973B3" w14:textId="77777777" w:rsidR="00E96B9F" w:rsidRPr="00CC6C0F" w:rsidRDefault="00E96B9F" w:rsidP="006C2BA9">
            <w:pPr>
              <w:spacing w:after="0"/>
              <w:ind w:firstLine="0"/>
              <w:rPr>
                <w:rFonts w:cs="Times New Roman"/>
                <w:sz w:val="20"/>
                <w:szCs w:val="20"/>
                <w:highlight w:val="white"/>
              </w:rPr>
            </w:pPr>
          </w:p>
        </w:tc>
        <w:tc>
          <w:tcPr>
            <w:tcW w:w="1097" w:type="dxa"/>
          </w:tcPr>
          <w:p w14:paraId="39E8736B" w14:textId="77777777" w:rsidR="00E96B9F" w:rsidRPr="00CC6C0F" w:rsidRDefault="00E96B9F" w:rsidP="006C2BA9">
            <w:pPr>
              <w:spacing w:after="0"/>
              <w:ind w:firstLine="0"/>
              <w:rPr>
                <w:rFonts w:cs="Times New Roman"/>
                <w:sz w:val="20"/>
                <w:szCs w:val="20"/>
                <w:highlight w:val="white"/>
              </w:rPr>
            </w:pPr>
          </w:p>
        </w:tc>
        <w:tc>
          <w:tcPr>
            <w:tcW w:w="1097" w:type="dxa"/>
          </w:tcPr>
          <w:p w14:paraId="25A09E19" w14:textId="77777777" w:rsidR="00E96B9F" w:rsidRPr="00CC6C0F" w:rsidRDefault="00E96B9F" w:rsidP="006C2BA9">
            <w:pPr>
              <w:spacing w:after="0"/>
              <w:ind w:firstLine="0"/>
              <w:rPr>
                <w:rFonts w:cs="Times New Roman"/>
                <w:sz w:val="20"/>
                <w:szCs w:val="20"/>
                <w:highlight w:val="white"/>
              </w:rPr>
            </w:pPr>
          </w:p>
        </w:tc>
      </w:tr>
      <w:tr w:rsidR="00E96B9F" w:rsidRPr="00CC6C0F" w14:paraId="28ACCE12" w14:textId="77777777" w:rsidTr="006C2BA9">
        <w:tc>
          <w:tcPr>
            <w:tcW w:w="2694" w:type="dxa"/>
          </w:tcPr>
          <w:p w14:paraId="666D0DB8"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Anxiety</w:t>
            </w:r>
          </w:p>
        </w:tc>
        <w:tc>
          <w:tcPr>
            <w:tcW w:w="1559" w:type="dxa"/>
            <w:vAlign w:val="bottom"/>
          </w:tcPr>
          <w:p w14:paraId="00B42CB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1.01 (1-1.03)</w:t>
            </w:r>
          </w:p>
        </w:tc>
        <w:tc>
          <w:tcPr>
            <w:tcW w:w="1098" w:type="dxa"/>
            <w:vAlign w:val="bottom"/>
          </w:tcPr>
          <w:p w14:paraId="1B24B01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0.012</w:t>
            </w:r>
          </w:p>
        </w:tc>
        <w:tc>
          <w:tcPr>
            <w:tcW w:w="1098" w:type="dxa"/>
            <w:vAlign w:val="bottom"/>
          </w:tcPr>
          <w:p w14:paraId="698437FF"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0.022</w:t>
            </w:r>
          </w:p>
        </w:tc>
        <w:tc>
          <w:tcPr>
            <w:tcW w:w="1631" w:type="dxa"/>
            <w:vAlign w:val="bottom"/>
          </w:tcPr>
          <w:p w14:paraId="10652E9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 (0.99-1.01)</w:t>
            </w:r>
          </w:p>
        </w:tc>
        <w:tc>
          <w:tcPr>
            <w:tcW w:w="1134" w:type="dxa"/>
            <w:vAlign w:val="bottom"/>
          </w:tcPr>
          <w:p w14:paraId="14B8CC5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0.758</w:t>
            </w:r>
          </w:p>
        </w:tc>
        <w:tc>
          <w:tcPr>
            <w:tcW w:w="990" w:type="dxa"/>
            <w:vAlign w:val="bottom"/>
          </w:tcPr>
          <w:p w14:paraId="1084FB82"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0.875</w:t>
            </w:r>
          </w:p>
        </w:tc>
        <w:tc>
          <w:tcPr>
            <w:tcW w:w="1562" w:type="dxa"/>
            <w:vAlign w:val="bottom"/>
          </w:tcPr>
          <w:p w14:paraId="58B1570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 (0.99-1.02)</w:t>
            </w:r>
          </w:p>
        </w:tc>
        <w:tc>
          <w:tcPr>
            <w:tcW w:w="1097" w:type="dxa"/>
            <w:vAlign w:val="bottom"/>
          </w:tcPr>
          <w:p w14:paraId="2664BF93"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0.606</w:t>
            </w:r>
          </w:p>
        </w:tc>
        <w:tc>
          <w:tcPr>
            <w:tcW w:w="1097" w:type="dxa"/>
            <w:vAlign w:val="bottom"/>
          </w:tcPr>
          <w:p w14:paraId="021632F0"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0.789</w:t>
            </w:r>
          </w:p>
        </w:tc>
      </w:tr>
      <w:tr w:rsidR="00E96B9F" w:rsidRPr="00CC6C0F" w14:paraId="60A37CE0" w14:textId="77777777" w:rsidTr="006C2BA9">
        <w:tc>
          <w:tcPr>
            <w:tcW w:w="2694" w:type="dxa"/>
          </w:tcPr>
          <w:p w14:paraId="086A5AD1"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Worrying control</w:t>
            </w:r>
          </w:p>
        </w:tc>
        <w:tc>
          <w:tcPr>
            <w:tcW w:w="1559" w:type="dxa"/>
            <w:vAlign w:val="bottom"/>
          </w:tcPr>
          <w:p w14:paraId="732AB8F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1.05 (1.03-1.08)</w:t>
            </w:r>
          </w:p>
        </w:tc>
        <w:tc>
          <w:tcPr>
            <w:tcW w:w="1098" w:type="dxa"/>
            <w:vAlign w:val="bottom"/>
          </w:tcPr>
          <w:p w14:paraId="49071960"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8" w:type="dxa"/>
            <w:vAlign w:val="bottom"/>
          </w:tcPr>
          <w:p w14:paraId="30654786"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631" w:type="dxa"/>
            <w:vAlign w:val="bottom"/>
          </w:tcPr>
          <w:p w14:paraId="3875BCB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1.03 (1.02-1.04)</w:t>
            </w:r>
          </w:p>
        </w:tc>
        <w:tc>
          <w:tcPr>
            <w:tcW w:w="1134" w:type="dxa"/>
            <w:vAlign w:val="bottom"/>
          </w:tcPr>
          <w:p w14:paraId="17D68F6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990" w:type="dxa"/>
            <w:vAlign w:val="bottom"/>
          </w:tcPr>
          <w:p w14:paraId="1D49309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562" w:type="dxa"/>
            <w:vAlign w:val="bottom"/>
          </w:tcPr>
          <w:p w14:paraId="1BDA3BE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1.01 (1-1.03)</w:t>
            </w:r>
          </w:p>
        </w:tc>
        <w:tc>
          <w:tcPr>
            <w:tcW w:w="1097" w:type="dxa"/>
            <w:vAlign w:val="bottom"/>
          </w:tcPr>
          <w:p w14:paraId="1E397426"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0.033</w:t>
            </w:r>
          </w:p>
        </w:tc>
        <w:tc>
          <w:tcPr>
            <w:tcW w:w="1097" w:type="dxa"/>
            <w:vAlign w:val="bottom"/>
          </w:tcPr>
          <w:p w14:paraId="1D299E1D"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0.12</w:t>
            </w:r>
          </w:p>
        </w:tc>
      </w:tr>
      <w:tr w:rsidR="00E96B9F" w:rsidRPr="00CC6C0F" w14:paraId="75700136" w14:textId="77777777" w:rsidTr="006C2BA9">
        <w:tc>
          <w:tcPr>
            <w:tcW w:w="2694" w:type="dxa"/>
          </w:tcPr>
          <w:p w14:paraId="7AFA7C02"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Generalised worrying</w:t>
            </w:r>
          </w:p>
        </w:tc>
        <w:tc>
          <w:tcPr>
            <w:tcW w:w="1559" w:type="dxa"/>
            <w:vAlign w:val="bottom"/>
          </w:tcPr>
          <w:p w14:paraId="7674425F"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1.03 (1.01-1.04)</w:t>
            </w:r>
          </w:p>
        </w:tc>
        <w:tc>
          <w:tcPr>
            <w:tcW w:w="1098" w:type="dxa"/>
            <w:vAlign w:val="bottom"/>
          </w:tcPr>
          <w:p w14:paraId="65233B3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8" w:type="dxa"/>
            <w:vAlign w:val="bottom"/>
          </w:tcPr>
          <w:p w14:paraId="13A3547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631" w:type="dxa"/>
            <w:vAlign w:val="bottom"/>
          </w:tcPr>
          <w:p w14:paraId="7BEC4EDD"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1.01 (0.99-1.02)</w:t>
            </w:r>
          </w:p>
        </w:tc>
        <w:tc>
          <w:tcPr>
            <w:tcW w:w="1134" w:type="dxa"/>
            <w:vAlign w:val="bottom"/>
          </w:tcPr>
          <w:p w14:paraId="339A7B3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0.309</w:t>
            </w:r>
          </w:p>
        </w:tc>
        <w:tc>
          <w:tcPr>
            <w:tcW w:w="990" w:type="dxa"/>
            <w:vAlign w:val="bottom"/>
          </w:tcPr>
          <w:p w14:paraId="48766584"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0.505</w:t>
            </w:r>
          </w:p>
        </w:tc>
        <w:tc>
          <w:tcPr>
            <w:tcW w:w="1562" w:type="dxa"/>
            <w:vAlign w:val="bottom"/>
          </w:tcPr>
          <w:p w14:paraId="0121660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 (0.99-1.01)</w:t>
            </w:r>
          </w:p>
        </w:tc>
        <w:tc>
          <w:tcPr>
            <w:tcW w:w="1097" w:type="dxa"/>
            <w:vAlign w:val="bottom"/>
          </w:tcPr>
          <w:p w14:paraId="7954C62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0.833</w:t>
            </w:r>
          </w:p>
        </w:tc>
        <w:tc>
          <w:tcPr>
            <w:tcW w:w="1097" w:type="dxa"/>
            <w:vAlign w:val="bottom"/>
          </w:tcPr>
          <w:p w14:paraId="4443BB2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0.859</w:t>
            </w:r>
          </w:p>
        </w:tc>
      </w:tr>
      <w:tr w:rsidR="00E96B9F" w:rsidRPr="00CC6C0F" w14:paraId="1C81335F" w14:textId="77777777" w:rsidTr="006C2BA9">
        <w:tc>
          <w:tcPr>
            <w:tcW w:w="2694" w:type="dxa"/>
          </w:tcPr>
          <w:p w14:paraId="64EB7558"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Lack of relaxation</w:t>
            </w:r>
          </w:p>
        </w:tc>
        <w:tc>
          <w:tcPr>
            <w:tcW w:w="1559" w:type="dxa"/>
            <w:vAlign w:val="bottom"/>
          </w:tcPr>
          <w:p w14:paraId="38018D3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1.04 (1.02-1.05)</w:t>
            </w:r>
          </w:p>
        </w:tc>
        <w:tc>
          <w:tcPr>
            <w:tcW w:w="1098" w:type="dxa"/>
            <w:vAlign w:val="bottom"/>
          </w:tcPr>
          <w:p w14:paraId="2E92F4B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8" w:type="dxa"/>
            <w:vAlign w:val="bottom"/>
          </w:tcPr>
          <w:p w14:paraId="56C398E7"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631" w:type="dxa"/>
            <w:vAlign w:val="bottom"/>
          </w:tcPr>
          <w:p w14:paraId="28CDB022"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1.01 (1-1.02)</w:t>
            </w:r>
          </w:p>
        </w:tc>
        <w:tc>
          <w:tcPr>
            <w:tcW w:w="1134" w:type="dxa"/>
            <w:vAlign w:val="bottom"/>
          </w:tcPr>
          <w:p w14:paraId="75EAD680"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0.057</w:t>
            </w:r>
          </w:p>
        </w:tc>
        <w:tc>
          <w:tcPr>
            <w:tcW w:w="990" w:type="dxa"/>
            <w:vAlign w:val="bottom"/>
          </w:tcPr>
          <w:p w14:paraId="4D33D7A6"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0.147</w:t>
            </w:r>
          </w:p>
        </w:tc>
        <w:tc>
          <w:tcPr>
            <w:tcW w:w="1562" w:type="dxa"/>
            <w:vAlign w:val="bottom"/>
          </w:tcPr>
          <w:p w14:paraId="58E4CB8D"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1.01 (1-1.02)</w:t>
            </w:r>
          </w:p>
        </w:tc>
        <w:tc>
          <w:tcPr>
            <w:tcW w:w="1097" w:type="dxa"/>
            <w:vAlign w:val="bottom"/>
          </w:tcPr>
          <w:p w14:paraId="5C61CEA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0.206</w:t>
            </w:r>
          </w:p>
        </w:tc>
        <w:tc>
          <w:tcPr>
            <w:tcW w:w="1097" w:type="dxa"/>
            <w:vAlign w:val="bottom"/>
          </w:tcPr>
          <w:p w14:paraId="2F4245E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0.464</w:t>
            </w:r>
          </w:p>
        </w:tc>
      </w:tr>
      <w:tr w:rsidR="00E96B9F" w:rsidRPr="00CC6C0F" w14:paraId="014A64F7" w14:textId="77777777" w:rsidTr="006C2BA9">
        <w:tc>
          <w:tcPr>
            <w:tcW w:w="2694" w:type="dxa"/>
          </w:tcPr>
          <w:p w14:paraId="239C85AD"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Restlessness</w:t>
            </w:r>
          </w:p>
        </w:tc>
        <w:tc>
          <w:tcPr>
            <w:tcW w:w="1559" w:type="dxa"/>
            <w:vAlign w:val="bottom"/>
          </w:tcPr>
          <w:p w14:paraId="46C1003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0.98 (0.84-1.15)</w:t>
            </w:r>
          </w:p>
        </w:tc>
        <w:tc>
          <w:tcPr>
            <w:tcW w:w="1098" w:type="dxa"/>
            <w:vAlign w:val="bottom"/>
          </w:tcPr>
          <w:p w14:paraId="7532D516"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0.834</w:t>
            </w:r>
          </w:p>
        </w:tc>
        <w:tc>
          <w:tcPr>
            <w:tcW w:w="1098" w:type="dxa"/>
            <w:vAlign w:val="bottom"/>
          </w:tcPr>
          <w:p w14:paraId="3A259E4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0.834</w:t>
            </w:r>
          </w:p>
        </w:tc>
        <w:tc>
          <w:tcPr>
            <w:tcW w:w="1631" w:type="dxa"/>
            <w:vAlign w:val="bottom"/>
          </w:tcPr>
          <w:p w14:paraId="50362292"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0.96 (0.85-1.1)</w:t>
            </w:r>
          </w:p>
        </w:tc>
        <w:tc>
          <w:tcPr>
            <w:tcW w:w="1134" w:type="dxa"/>
            <w:vAlign w:val="bottom"/>
          </w:tcPr>
          <w:p w14:paraId="47D922E4"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0.586</w:t>
            </w:r>
          </w:p>
        </w:tc>
        <w:tc>
          <w:tcPr>
            <w:tcW w:w="990" w:type="dxa"/>
            <w:vAlign w:val="bottom"/>
          </w:tcPr>
          <w:p w14:paraId="701C553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0.812</w:t>
            </w:r>
          </w:p>
        </w:tc>
        <w:tc>
          <w:tcPr>
            <w:tcW w:w="1562" w:type="dxa"/>
            <w:vAlign w:val="bottom"/>
          </w:tcPr>
          <w:p w14:paraId="09FE6817"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0.96 (0.86-1.08)</w:t>
            </w:r>
          </w:p>
        </w:tc>
        <w:tc>
          <w:tcPr>
            <w:tcW w:w="1097" w:type="dxa"/>
            <w:vAlign w:val="bottom"/>
          </w:tcPr>
          <w:p w14:paraId="7FEC01E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0.52</w:t>
            </w:r>
          </w:p>
        </w:tc>
        <w:tc>
          <w:tcPr>
            <w:tcW w:w="1097" w:type="dxa"/>
            <w:vAlign w:val="bottom"/>
          </w:tcPr>
          <w:p w14:paraId="1C12336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0.789</w:t>
            </w:r>
          </w:p>
        </w:tc>
      </w:tr>
      <w:tr w:rsidR="00E96B9F" w:rsidRPr="00CC6C0F" w14:paraId="6866C811" w14:textId="77777777" w:rsidTr="006C2BA9">
        <w:tc>
          <w:tcPr>
            <w:tcW w:w="2694" w:type="dxa"/>
          </w:tcPr>
          <w:p w14:paraId="1E0FFED8"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lastRenderedPageBreak/>
              <w:t>Irritability</w:t>
            </w:r>
          </w:p>
        </w:tc>
        <w:tc>
          <w:tcPr>
            <w:tcW w:w="1559" w:type="dxa"/>
            <w:vAlign w:val="bottom"/>
          </w:tcPr>
          <w:p w14:paraId="66B07743"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1.09 (1.07-1.1)</w:t>
            </w:r>
          </w:p>
        </w:tc>
        <w:tc>
          <w:tcPr>
            <w:tcW w:w="1098" w:type="dxa"/>
            <w:vAlign w:val="bottom"/>
          </w:tcPr>
          <w:p w14:paraId="1ADC460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8" w:type="dxa"/>
            <w:vAlign w:val="bottom"/>
          </w:tcPr>
          <w:p w14:paraId="0F77664B"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631" w:type="dxa"/>
            <w:vAlign w:val="bottom"/>
          </w:tcPr>
          <w:p w14:paraId="729C065D"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1.06 (1.05-1.08)</w:t>
            </w:r>
          </w:p>
        </w:tc>
        <w:tc>
          <w:tcPr>
            <w:tcW w:w="1134" w:type="dxa"/>
            <w:vAlign w:val="bottom"/>
          </w:tcPr>
          <w:p w14:paraId="66AD03B0"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990" w:type="dxa"/>
            <w:vAlign w:val="bottom"/>
          </w:tcPr>
          <w:p w14:paraId="167351F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562" w:type="dxa"/>
            <w:vAlign w:val="bottom"/>
          </w:tcPr>
          <w:p w14:paraId="611CB1E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1.03 (1.01-1.04)</w:t>
            </w:r>
          </w:p>
        </w:tc>
        <w:tc>
          <w:tcPr>
            <w:tcW w:w="1097" w:type="dxa"/>
            <w:vAlign w:val="bottom"/>
          </w:tcPr>
          <w:p w14:paraId="24E1825F"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c>
          <w:tcPr>
            <w:tcW w:w="1097" w:type="dxa"/>
            <w:vAlign w:val="bottom"/>
          </w:tcPr>
          <w:p w14:paraId="7A534AB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&lt;0.001</w:t>
            </w:r>
          </w:p>
        </w:tc>
      </w:tr>
      <w:tr w:rsidR="00E96B9F" w:rsidRPr="00CC6C0F" w14:paraId="0D797ED5" w14:textId="77777777" w:rsidTr="006C2BA9">
        <w:tc>
          <w:tcPr>
            <w:tcW w:w="2694" w:type="dxa"/>
            <w:tcBorders>
              <w:bottom w:val="single" w:sz="4" w:space="0" w:color="auto"/>
            </w:tcBorders>
          </w:tcPr>
          <w:p w14:paraId="4A160FD0" w14:textId="77777777" w:rsidR="00E96B9F" w:rsidRPr="00CC6C0F" w:rsidRDefault="00E96B9F" w:rsidP="006C2BA9">
            <w:pPr>
              <w:spacing w:after="0"/>
              <w:ind w:firstLine="0"/>
              <w:rPr>
                <w:rFonts w:cs="Times New Roman"/>
                <w:sz w:val="20"/>
                <w:szCs w:val="20"/>
                <w:highlight w:val="white"/>
              </w:rPr>
            </w:pPr>
            <w:r w:rsidRPr="00CC6C0F">
              <w:rPr>
                <w:rFonts w:cs="Times New Roman"/>
                <w:sz w:val="20"/>
                <w:szCs w:val="20"/>
              </w:rPr>
              <w:t>Foreboding</w:t>
            </w:r>
          </w:p>
        </w:tc>
        <w:tc>
          <w:tcPr>
            <w:tcW w:w="1559" w:type="dxa"/>
            <w:tcBorders>
              <w:bottom w:val="single" w:sz="4" w:space="0" w:color="auto"/>
            </w:tcBorders>
            <w:vAlign w:val="bottom"/>
          </w:tcPr>
          <w:p w14:paraId="4B697E0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1.04 (0.98-1.1)</w:t>
            </w:r>
          </w:p>
        </w:tc>
        <w:tc>
          <w:tcPr>
            <w:tcW w:w="1098" w:type="dxa"/>
            <w:tcBorders>
              <w:bottom w:val="single" w:sz="4" w:space="0" w:color="auto"/>
            </w:tcBorders>
            <w:vAlign w:val="bottom"/>
          </w:tcPr>
          <w:p w14:paraId="29146F64"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0.21</w:t>
            </w:r>
          </w:p>
        </w:tc>
        <w:tc>
          <w:tcPr>
            <w:tcW w:w="1098" w:type="dxa"/>
            <w:tcBorders>
              <w:bottom w:val="single" w:sz="4" w:space="0" w:color="auto"/>
            </w:tcBorders>
            <w:vAlign w:val="bottom"/>
          </w:tcPr>
          <w:p w14:paraId="1002268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0.29</w:t>
            </w:r>
          </w:p>
        </w:tc>
        <w:tc>
          <w:tcPr>
            <w:tcW w:w="1631" w:type="dxa"/>
            <w:tcBorders>
              <w:bottom w:val="single" w:sz="4" w:space="0" w:color="auto"/>
            </w:tcBorders>
            <w:vAlign w:val="bottom"/>
          </w:tcPr>
          <w:p w14:paraId="3D8D8CD2"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1.01 (0.96-1.07)</w:t>
            </w:r>
          </w:p>
        </w:tc>
        <w:tc>
          <w:tcPr>
            <w:tcW w:w="1134" w:type="dxa"/>
            <w:tcBorders>
              <w:bottom w:val="single" w:sz="4" w:space="0" w:color="auto"/>
            </w:tcBorders>
            <w:vAlign w:val="bottom"/>
          </w:tcPr>
          <w:p w14:paraId="7A602476"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0.677</w:t>
            </w:r>
          </w:p>
        </w:tc>
        <w:tc>
          <w:tcPr>
            <w:tcW w:w="990" w:type="dxa"/>
            <w:tcBorders>
              <w:bottom w:val="single" w:sz="4" w:space="0" w:color="auto"/>
            </w:tcBorders>
            <w:vAlign w:val="bottom"/>
          </w:tcPr>
          <w:p w14:paraId="5563AA5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0.871</w:t>
            </w:r>
          </w:p>
        </w:tc>
        <w:tc>
          <w:tcPr>
            <w:tcW w:w="1562" w:type="dxa"/>
            <w:tcBorders>
              <w:bottom w:val="single" w:sz="4" w:space="0" w:color="auto"/>
            </w:tcBorders>
            <w:vAlign w:val="bottom"/>
          </w:tcPr>
          <w:p w14:paraId="6B8AC5F6"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1 (0.97-1.02)</w:t>
            </w:r>
          </w:p>
        </w:tc>
        <w:tc>
          <w:tcPr>
            <w:tcW w:w="1097" w:type="dxa"/>
            <w:tcBorders>
              <w:bottom w:val="single" w:sz="4" w:space="0" w:color="auto"/>
            </w:tcBorders>
            <w:vAlign w:val="bottom"/>
          </w:tcPr>
          <w:p w14:paraId="45D95FF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0.812</w:t>
            </w:r>
          </w:p>
        </w:tc>
        <w:tc>
          <w:tcPr>
            <w:tcW w:w="1097" w:type="dxa"/>
            <w:tcBorders>
              <w:bottom w:val="single" w:sz="4" w:space="0" w:color="auto"/>
            </w:tcBorders>
            <w:vAlign w:val="bottom"/>
          </w:tcPr>
          <w:p w14:paraId="3F4321EE"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0.859</w:t>
            </w:r>
          </w:p>
        </w:tc>
      </w:tr>
      <w:tr w:rsidR="00E96B9F" w:rsidRPr="00CC6C0F" w14:paraId="7B88AF02" w14:textId="77777777" w:rsidTr="006C2BA9">
        <w:tc>
          <w:tcPr>
            <w:tcW w:w="2694" w:type="dxa"/>
            <w:tcBorders>
              <w:top w:val="single" w:sz="4" w:space="0" w:color="auto"/>
            </w:tcBorders>
          </w:tcPr>
          <w:p w14:paraId="09035CEA" w14:textId="77777777" w:rsidR="00E96B9F" w:rsidRPr="00CC6C0F" w:rsidRDefault="00E96B9F" w:rsidP="006C2BA9">
            <w:pPr>
              <w:spacing w:after="0"/>
              <w:ind w:firstLine="0"/>
              <w:rPr>
                <w:rFonts w:cs="Times New Roman"/>
                <w:b/>
                <w:i/>
                <w:sz w:val="20"/>
                <w:szCs w:val="20"/>
                <w:highlight w:val="white"/>
              </w:rPr>
            </w:pPr>
            <w:r w:rsidRPr="00CC6C0F">
              <w:rPr>
                <w:rFonts w:cs="Times New Roman"/>
                <w:b/>
                <w:i/>
                <w:sz w:val="20"/>
                <w:szCs w:val="20"/>
                <w:highlight w:val="white"/>
              </w:rPr>
              <w:t>Depressive symptom score</w:t>
            </w:r>
          </w:p>
        </w:tc>
        <w:tc>
          <w:tcPr>
            <w:tcW w:w="1559" w:type="dxa"/>
            <w:tcBorders>
              <w:top w:val="single" w:sz="4" w:space="0" w:color="auto"/>
              <w:bottom w:val="single" w:sz="4" w:space="0" w:color="auto"/>
            </w:tcBorders>
          </w:tcPr>
          <w:p w14:paraId="611044F0" w14:textId="77777777" w:rsidR="00E96B9F" w:rsidRPr="00CC6C0F" w:rsidRDefault="00E96B9F" w:rsidP="006C2BA9">
            <w:pPr>
              <w:spacing w:after="0"/>
              <w:ind w:firstLine="0"/>
              <w:rPr>
                <w:rFonts w:cs="Times New Roman"/>
                <w:sz w:val="20"/>
                <w:szCs w:val="20"/>
                <w:highlight w:val="white"/>
              </w:rPr>
            </w:pPr>
            <w:r w:rsidRPr="00CC6C0F">
              <w:rPr>
                <w:rFonts w:cs="Times New Roman"/>
                <w:b/>
                <w:sz w:val="20"/>
                <w:szCs w:val="20"/>
                <w:highlight w:val="white"/>
              </w:rPr>
              <w:t>β (SE)</w:t>
            </w:r>
          </w:p>
        </w:tc>
        <w:tc>
          <w:tcPr>
            <w:tcW w:w="1098" w:type="dxa"/>
            <w:tcBorders>
              <w:top w:val="single" w:sz="4" w:space="0" w:color="auto"/>
              <w:bottom w:val="single" w:sz="4" w:space="0" w:color="auto"/>
            </w:tcBorders>
          </w:tcPr>
          <w:p w14:paraId="4831936A" w14:textId="77777777" w:rsidR="00E96B9F" w:rsidRPr="00CC6C0F" w:rsidRDefault="00E96B9F" w:rsidP="006C2BA9">
            <w:pPr>
              <w:spacing w:after="0"/>
              <w:ind w:firstLine="0"/>
              <w:rPr>
                <w:rFonts w:cs="Times New Roman"/>
                <w:sz w:val="20"/>
                <w:szCs w:val="20"/>
                <w:highlight w:val="white"/>
              </w:rPr>
            </w:pPr>
            <w:r w:rsidRPr="00CC6C0F">
              <w:rPr>
                <w:rFonts w:cs="Times New Roman"/>
                <w:b/>
                <w:sz w:val="20"/>
                <w:szCs w:val="20"/>
                <w:highlight w:val="white"/>
              </w:rPr>
              <w:t>P</w:t>
            </w:r>
          </w:p>
        </w:tc>
        <w:tc>
          <w:tcPr>
            <w:tcW w:w="1098" w:type="dxa"/>
            <w:tcBorders>
              <w:top w:val="single" w:sz="4" w:space="0" w:color="auto"/>
              <w:bottom w:val="single" w:sz="4" w:space="0" w:color="auto"/>
            </w:tcBorders>
          </w:tcPr>
          <w:p w14:paraId="30F11663" w14:textId="77777777" w:rsidR="00E96B9F" w:rsidRPr="00CC6C0F" w:rsidRDefault="00E96B9F" w:rsidP="006C2BA9">
            <w:pPr>
              <w:spacing w:after="0"/>
              <w:ind w:firstLine="0"/>
              <w:rPr>
                <w:rFonts w:cs="Times New Roman"/>
                <w:sz w:val="20"/>
                <w:szCs w:val="20"/>
                <w:highlight w:val="white"/>
              </w:rPr>
            </w:pPr>
            <w:r w:rsidRPr="00CC6C0F">
              <w:rPr>
                <w:rFonts w:cs="Times New Roman"/>
                <w:b/>
                <w:sz w:val="20"/>
                <w:szCs w:val="20"/>
                <w:highlight w:val="white"/>
              </w:rPr>
              <w:t>Q</w:t>
            </w:r>
          </w:p>
        </w:tc>
        <w:tc>
          <w:tcPr>
            <w:tcW w:w="1631" w:type="dxa"/>
            <w:tcBorders>
              <w:top w:val="single" w:sz="4" w:space="0" w:color="auto"/>
              <w:bottom w:val="single" w:sz="4" w:space="0" w:color="auto"/>
            </w:tcBorders>
          </w:tcPr>
          <w:p w14:paraId="2BF49561" w14:textId="77777777" w:rsidR="00E96B9F" w:rsidRPr="00CC6C0F" w:rsidRDefault="00E96B9F" w:rsidP="006C2BA9">
            <w:pPr>
              <w:spacing w:after="0"/>
              <w:ind w:firstLine="0"/>
              <w:rPr>
                <w:rFonts w:cs="Times New Roman"/>
                <w:sz w:val="20"/>
                <w:szCs w:val="20"/>
                <w:highlight w:val="white"/>
              </w:rPr>
            </w:pPr>
            <w:r w:rsidRPr="00CC6C0F">
              <w:rPr>
                <w:rFonts w:cs="Times New Roman"/>
                <w:b/>
                <w:sz w:val="20"/>
                <w:szCs w:val="20"/>
                <w:highlight w:val="white"/>
              </w:rPr>
              <w:t>β (SE)</w:t>
            </w:r>
          </w:p>
        </w:tc>
        <w:tc>
          <w:tcPr>
            <w:tcW w:w="1134" w:type="dxa"/>
            <w:tcBorders>
              <w:top w:val="single" w:sz="4" w:space="0" w:color="auto"/>
              <w:bottom w:val="single" w:sz="4" w:space="0" w:color="auto"/>
            </w:tcBorders>
          </w:tcPr>
          <w:p w14:paraId="611373AB" w14:textId="77777777" w:rsidR="00E96B9F" w:rsidRPr="00CC6C0F" w:rsidRDefault="00E96B9F" w:rsidP="006C2BA9">
            <w:pPr>
              <w:spacing w:after="0"/>
              <w:ind w:firstLine="0"/>
              <w:rPr>
                <w:rFonts w:cs="Times New Roman"/>
                <w:sz w:val="20"/>
                <w:szCs w:val="20"/>
                <w:highlight w:val="white"/>
              </w:rPr>
            </w:pPr>
            <w:r w:rsidRPr="00CC6C0F">
              <w:rPr>
                <w:rFonts w:cs="Times New Roman"/>
                <w:b/>
                <w:sz w:val="20"/>
                <w:szCs w:val="20"/>
                <w:highlight w:val="white"/>
              </w:rPr>
              <w:t>P</w:t>
            </w:r>
          </w:p>
        </w:tc>
        <w:tc>
          <w:tcPr>
            <w:tcW w:w="990" w:type="dxa"/>
            <w:tcBorders>
              <w:top w:val="single" w:sz="4" w:space="0" w:color="auto"/>
              <w:bottom w:val="single" w:sz="4" w:space="0" w:color="auto"/>
            </w:tcBorders>
          </w:tcPr>
          <w:p w14:paraId="42494143" w14:textId="77777777" w:rsidR="00E96B9F" w:rsidRPr="00CC6C0F" w:rsidRDefault="00E96B9F" w:rsidP="006C2BA9">
            <w:pPr>
              <w:spacing w:after="0"/>
              <w:ind w:firstLine="0"/>
              <w:rPr>
                <w:rFonts w:cs="Times New Roman"/>
                <w:sz w:val="20"/>
                <w:szCs w:val="20"/>
                <w:highlight w:val="white"/>
              </w:rPr>
            </w:pPr>
            <w:r w:rsidRPr="00CC6C0F">
              <w:rPr>
                <w:rFonts w:cs="Times New Roman"/>
                <w:b/>
                <w:sz w:val="20"/>
                <w:szCs w:val="20"/>
                <w:highlight w:val="white"/>
              </w:rPr>
              <w:t>Q</w:t>
            </w:r>
          </w:p>
        </w:tc>
        <w:tc>
          <w:tcPr>
            <w:tcW w:w="1562" w:type="dxa"/>
            <w:tcBorders>
              <w:top w:val="single" w:sz="4" w:space="0" w:color="auto"/>
              <w:bottom w:val="single" w:sz="4" w:space="0" w:color="auto"/>
            </w:tcBorders>
          </w:tcPr>
          <w:p w14:paraId="0F596E86" w14:textId="77777777" w:rsidR="00E96B9F" w:rsidRPr="00CC6C0F" w:rsidRDefault="00E96B9F" w:rsidP="006C2BA9">
            <w:pPr>
              <w:spacing w:after="0"/>
              <w:ind w:firstLine="0"/>
              <w:rPr>
                <w:rFonts w:cs="Times New Roman"/>
                <w:sz w:val="20"/>
                <w:szCs w:val="20"/>
                <w:highlight w:val="white"/>
              </w:rPr>
            </w:pPr>
            <w:r w:rsidRPr="00CC6C0F">
              <w:rPr>
                <w:rFonts w:cs="Times New Roman"/>
                <w:b/>
                <w:sz w:val="20"/>
                <w:szCs w:val="20"/>
                <w:highlight w:val="white"/>
              </w:rPr>
              <w:t>β (SE)</w:t>
            </w:r>
          </w:p>
        </w:tc>
        <w:tc>
          <w:tcPr>
            <w:tcW w:w="1097" w:type="dxa"/>
            <w:tcBorders>
              <w:top w:val="single" w:sz="4" w:space="0" w:color="auto"/>
              <w:bottom w:val="single" w:sz="4" w:space="0" w:color="auto"/>
            </w:tcBorders>
          </w:tcPr>
          <w:p w14:paraId="74F1D395" w14:textId="77777777" w:rsidR="00E96B9F" w:rsidRPr="00CC6C0F" w:rsidRDefault="00E96B9F" w:rsidP="006C2BA9">
            <w:pPr>
              <w:spacing w:after="0"/>
              <w:ind w:firstLine="0"/>
              <w:rPr>
                <w:rFonts w:cs="Times New Roman"/>
                <w:sz w:val="20"/>
                <w:szCs w:val="20"/>
                <w:highlight w:val="white"/>
              </w:rPr>
            </w:pPr>
            <w:r w:rsidRPr="00CC6C0F">
              <w:rPr>
                <w:rFonts w:cs="Times New Roman"/>
                <w:b/>
                <w:sz w:val="20"/>
                <w:szCs w:val="20"/>
                <w:highlight w:val="white"/>
              </w:rPr>
              <w:t>P</w:t>
            </w:r>
          </w:p>
        </w:tc>
        <w:tc>
          <w:tcPr>
            <w:tcW w:w="1097" w:type="dxa"/>
            <w:tcBorders>
              <w:top w:val="single" w:sz="4" w:space="0" w:color="auto"/>
              <w:bottom w:val="single" w:sz="4" w:space="0" w:color="auto"/>
            </w:tcBorders>
          </w:tcPr>
          <w:p w14:paraId="7C4EF136" w14:textId="77777777" w:rsidR="00E96B9F" w:rsidRPr="00CC6C0F" w:rsidRDefault="00E96B9F" w:rsidP="006C2BA9">
            <w:pPr>
              <w:spacing w:after="0"/>
              <w:ind w:firstLine="0"/>
              <w:rPr>
                <w:rFonts w:cs="Times New Roman"/>
                <w:sz w:val="20"/>
                <w:szCs w:val="20"/>
                <w:highlight w:val="white"/>
              </w:rPr>
            </w:pPr>
            <w:r w:rsidRPr="00CC6C0F">
              <w:rPr>
                <w:rFonts w:cs="Times New Roman"/>
                <w:b/>
                <w:sz w:val="20"/>
                <w:szCs w:val="20"/>
                <w:highlight w:val="white"/>
              </w:rPr>
              <w:t>Q</w:t>
            </w:r>
          </w:p>
        </w:tc>
      </w:tr>
      <w:tr w:rsidR="00E96B9F" w:rsidRPr="00CC6C0F" w14:paraId="64DE9BFA" w14:textId="77777777" w:rsidTr="006C2BA9">
        <w:tc>
          <w:tcPr>
            <w:tcW w:w="2694" w:type="dxa"/>
            <w:vAlign w:val="bottom"/>
          </w:tcPr>
          <w:p w14:paraId="45AECC73"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Psychological symptoms</w:t>
            </w:r>
          </w:p>
        </w:tc>
        <w:tc>
          <w:tcPr>
            <w:tcW w:w="1559" w:type="dxa"/>
            <w:tcBorders>
              <w:top w:val="single" w:sz="4" w:space="0" w:color="auto"/>
            </w:tcBorders>
            <w:vAlign w:val="bottom"/>
          </w:tcPr>
          <w:p w14:paraId="5DE620D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0.043 (0.042)</w:t>
            </w:r>
          </w:p>
        </w:tc>
        <w:tc>
          <w:tcPr>
            <w:tcW w:w="1098" w:type="dxa"/>
            <w:tcBorders>
              <w:top w:val="single" w:sz="4" w:space="0" w:color="auto"/>
            </w:tcBorders>
            <w:vAlign w:val="bottom"/>
          </w:tcPr>
          <w:p w14:paraId="6086690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0.312</w:t>
            </w:r>
          </w:p>
        </w:tc>
        <w:tc>
          <w:tcPr>
            <w:tcW w:w="1098" w:type="dxa"/>
            <w:tcBorders>
              <w:top w:val="single" w:sz="4" w:space="0" w:color="auto"/>
            </w:tcBorders>
            <w:vAlign w:val="bottom"/>
          </w:tcPr>
          <w:p w14:paraId="1F78806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0.402</w:t>
            </w:r>
          </w:p>
        </w:tc>
        <w:tc>
          <w:tcPr>
            <w:tcW w:w="1631" w:type="dxa"/>
            <w:tcBorders>
              <w:top w:val="single" w:sz="4" w:space="0" w:color="auto"/>
            </w:tcBorders>
            <w:vAlign w:val="bottom"/>
          </w:tcPr>
          <w:p w14:paraId="6CE37644"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0.023 (0.029)</w:t>
            </w:r>
          </w:p>
        </w:tc>
        <w:tc>
          <w:tcPr>
            <w:tcW w:w="1134" w:type="dxa"/>
            <w:tcBorders>
              <w:top w:val="single" w:sz="4" w:space="0" w:color="auto"/>
            </w:tcBorders>
            <w:vAlign w:val="bottom"/>
          </w:tcPr>
          <w:p w14:paraId="6D3CF00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0.42</w:t>
            </w:r>
          </w:p>
        </w:tc>
        <w:tc>
          <w:tcPr>
            <w:tcW w:w="990" w:type="dxa"/>
            <w:tcBorders>
              <w:top w:val="single" w:sz="4" w:space="0" w:color="auto"/>
            </w:tcBorders>
            <w:vAlign w:val="bottom"/>
          </w:tcPr>
          <w:p w14:paraId="55D1614F"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0.63</w:t>
            </w:r>
          </w:p>
        </w:tc>
        <w:tc>
          <w:tcPr>
            <w:tcW w:w="1562" w:type="dxa"/>
            <w:tcBorders>
              <w:top w:val="single" w:sz="4" w:space="0" w:color="auto"/>
            </w:tcBorders>
            <w:vAlign w:val="bottom"/>
          </w:tcPr>
          <w:p w14:paraId="5C8EFE0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0.006 (0.012)</w:t>
            </w:r>
          </w:p>
        </w:tc>
        <w:tc>
          <w:tcPr>
            <w:tcW w:w="1097" w:type="dxa"/>
            <w:tcBorders>
              <w:top w:val="single" w:sz="4" w:space="0" w:color="auto"/>
            </w:tcBorders>
            <w:vAlign w:val="bottom"/>
          </w:tcPr>
          <w:p w14:paraId="74B3FC5A"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0.614</w:t>
            </w:r>
          </w:p>
        </w:tc>
        <w:tc>
          <w:tcPr>
            <w:tcW w:w="1097" w:type="dxa"/>
            <w:tcBorders>
              <w:top w:val="single" w:sz="4" w:space="0" w:color="auto"/>
            </w:tcBorders>
            <w:vAlign w:val="bottom"/>
          </w:tcPr>
          <w:p w14:paraId="37E4F02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0.789</w:t>
            </w:r>
          </w:p>
        </w:tc>
      </w:tr>
      <w:tr w:rsidR="00E96B9F" w:rsidRPr="00CC6C0F" w14:paraId="084B6883" w14:textId="77777777" w:rsidTr="006C2BA9">
        <w:tc>
          <w:tcPr>
            <w:tcW w:w="2694" w:type="dxa"/>
            <w:tcBorders>
              <w:bottom w:val="single" w:sz="4" w:space="0" w:color="auto"/>
            </w:tcBorders>
            <w:vAlign w:val="bottom"/>
          </w:tcPr>
          <w:p w14:paraId="4B12B76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Somatic symptoms</w:t>
            </w:r>
          </w:p>
        </w:tc>
        <w:tc>
          <w:tcPr>
            <w:tcW w:w="1559" w:type="dxa"/>
            <w:tcBorders>
              <w:bottom w:val="single" w:sz="4" w:space="0" w:color="auto"/>
            </w:tcBorders>
            <w:vAlign w:val="bottom"/>
          </w:tcPr>
          <w:p w14:paraId="28131F12"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0.14 (0.11)</w:t>
            </w:r>
          </w:p>
        </w:tc>
        <w:tc>
          <w:tcPr>
            <w:tcW w:w="1098" w:type="dxa"/>
            <w:tcBorders>
              <w:bottom w:val="single" w:sz="4" w:space="0" w:color="auto"/>
            </w:tcBorders>
            <w:vAlign w:val="bottom"/>
          </w:tcPr>
          <w:p w14:paraId="009BCCE9"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0.203</w:t>
            </w:r>
          </w:p>
        </w:tc>
        <w:tc>
          <w:tcPr>
            <w:tcW w:w="1098" w:type="dxa"/>
            <w:tcBorders>
              <w:bottom w:val="single" w:sz="4" w:space="0" w:color="auto"/>
            </w:tcBorders>
            <w:vAlign w:val="bottom"/>
          </w:tcPr>
          <w:p w14:paraId="7410B22D"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0.29</w:t>
            </w:r>
          </w:p>
        </w:tc>
        <w:tc>
          <w:tcPr>
            <w:tcW w:w="1631" w:type="dxa"/>
            <w:tcBorders>
              <w:bottom w:val="single" w:sz="4" w:space="0" w:color="auto"/>
            </w:tcBorders>
            <w:vAlign w:val="bottom"/>
          </w:tcPr>
          <w:p w14:paraId="3F9056A5"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0.099 (0.077)</w:t>
            </w:r>
          </w:p>
        </w:tc>
        <w:tc>
          <w:tcPr>
            <w:tcW w:w="1134" w:type="dxa"/>
            <w:tcBorders>
              <w:bottom w:val="single" w:sz="4" w:space="0" w:color="auto"/>
            </w:tcBorders>
            <w:vAlign w:val="bottom"/>
          </w:tcPr>
          <w:p w14:paraId="1F58C55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0.2</w:t>
            </w:r>
          </w:p>
        </w:tc>
        <w:tc>
          <w:tcPr>
            <w:tcW w:w="990" w:type="dxa"/>
            <w:tcBorders>
              <w:bottom w:val="single" w:sz="4" w:space="0" w:color="auto"/>
            </w:tcBorders>
            <w:vAlign w:val="bottom"/>
          </w:tcPr>
          <w:p w14:paraId="2B978CCC"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0.36</w:t>
            </w:r>
          </w:p>
        </w:tc>
        <w:tc>
          <w:tcPr>
            <w:tcW w:w="1562" w:type="dxa"/>
            <w:tcBorders>
              <w:bottom w:val="single" w:sz="4" w:space="0" w:color="auto"/>
            </w:tcBorders>
            <w:vAlign w:val="bottom"/>
          </w:tcPr>
          <w:p w14:paraId="7001410D"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0.041 (0.028)</w:t>
            </w:r>
          </w:p>
        </w:tc>
        <w:tc>
          <w:tcPr>
            <w:tcW w:w="1097" w:type="dxa"/>
            <w:tcBorders>
              <w:bottom w:val="single" w:sz="4" w:space="0" w:color="auto"/>
            </w:tcBorders>
            <w:vAlign w:val="bottom"/>
          </w:tcPr>
          <w:p w14:paraId="7B2992D8"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0.144</w:t>
            </w:r>
          </w:p>
        </w:tc>
        <w:tc>
          <w:tcPr>
            <w:tcW w:w="1097" w:type="dxa"/>
            <w:tcBorders>
              <w:bottom w:val="single" w:sz="4" w:space="0" w:color="auto"/>
            </w:tcBorders>
            <w:vAlign w:val="bottom"/>
          </w:tcPr>
          <w:p w14:paraId="04F363E1" w14:textId="77777777" w:rsidR="00E96B9F" w:rsidRPr="00CC6C0F" w:rsidRDefault="00E96B9F" w:rsidP="006C2BA9">
            <w:pPr>
              <w:spacing w:after="0"/>
              <w:ind w:firstLine="0"/>
              <w:rPr>
                <w:rFonts w:cs="Times New Roman"/>
                <w:sz w:val="20"/>
                <w:szCs w:val="20"/>
                <w:highlight w:val="white"/>
              </w:rPr>
            </w:pPr>
            <w:r w:rsidRPr="00CC6C0F">
              <w:rPr>
                <w:rFonts w:cs="Times New Roman"/>
                <w:color w:val="000000"/>
                <w:sz w:val="20"/>
                <w:szCs w:val="20"/>
              </w:rPr>
              <w:t>0.371</w:t>
            </w:r>
          </w:p>
        </w:tc>
      </w:tr>
    </w:tbl>
    <w:p w14:paraId="4FF51ECA" w14:textId="61CE0D73" w:rsidR="00E96B9F" w:rsidRPr="006A5410" w:rsidRDefault="00BA28B6" w:rsidP="00E96B9F">
      <w:pPr>
        <w:ind w:firstLine="0"/>
        <w:rPr>
          <w:sz w:val="20"/>
          <w:szCs w:val="20"/>
          <w:highlight w:val="white"/>
          <w:lang w:val="en-GB"/>
        </w:rPr>
      </w:pPr>
      <w:r w:rsidRPr="006A5410">
        <w:rPr>
          <w:i/>
          <w:sz w:val="20"/>
          <w:szCs w:val="20"/>
          <w:highlight w:val="white"/>
          <w:lang w:val="en-GB"/>
        </w:rPr>
        <w:t>Note:</w:t>
      </w:r>
      <w:r w:rsidRPr="006A5410">
        <w:rPr>
          <w:sz w:val="20"/>
          <w:szCs w:val="20"/>
          <w:highlight w:val="white"/>
          <w:lang w:val="en-GB"/>
        </w:rPr>
        <w:t xml:space="preserve"> estimates describe the association with the outcome per 1 unit increase in </w:t>
      </w:r>
      <w:r w:rsidRPr="006A5410">
        <w:rPr>
          <w:i/>
          <w:sz w:val="20"/>
          <w:szCs w:val="20"/>
          <w:highlight w:val="white"/>
          <w:lang w:val="en-GB"/>
        </w:rPr>
        <w:t>(log)</w:t>
      </w:r>
      <w:r w:rsidRPr="006A5410">
        <w:rPr>
          <w:sz w:val="20"/>
          <w:szCs w:val="20"/>
          <w:highlight w:val="white"/>
          <w:lang w:val="en-GB"/>
        </w:rPr>
        <w:t>CRP</w:t>
      </w:r>
    </w:p>
    <w:p w14:paraId="09AB03E0" w14:textId="77777777" w:rsidR="00E96B9F" w:rsidRPr="00CC6C0F" w:rsidRDefault="00E96B9F" w:rsidP="00E96B9F">
      <w:pPr>
        <w:ind w:firstLine="0"/>
        <w:rPr>
          <w:highlight w:val="white"/>
          <w:lang w:val="en-GB"/>
        </w:rPr>
      </w:pPr>
    </w:p>
    <w:p w14:paraId="20BA0C5C" w14:textId="5FD9FBBC" w:rsidR="0096417A" w:rsidRPr="00953A48" w:rsidRDefault="0096417A" w:rsidP="003964AE">
      <w:pPr>
        <w:tabs>
          <w:tab w:val="left" w:pos="2976"/>
        </w:tabs>
        <w:ind w:firstLine="0"/>
        <w:rPr>
          <w:highlight w:val="white"/>
          <w:lang w:val="en-GB"/>
        </w:rPr>
      </w:pPr>
    </w:p>
    <w:sectPr w:rsidR="0096417A" w:rsidRPr="00953A48" w:rsidSect="00E96B9F">
      <w:pgSz w:w="16834" w:h="11909" w:orient="landscape"/>
      <w:pgMar w:top="1440" w:right="1440" w:bottom="1440" w:left="1440" w:header="720" w:footer="720" w:gutter="0"/>
      <w:cols w:space="720"/>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6BF36B" w16cex:dateUtc="2020-11-27T20:51:00Z"/>
  <w16cex:commentExtensible w16cex:durableId="236BF3C2" w16cex:dateUtc="2020-11-27T20:53:00Z"/>
  <w16cex:commentExtensible w16cex:durableId="236BF6F8" w16cex:dateUtc="2020-11-27T21:0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667B3D" w14:textId="77777777" w:rsidR="00C90936" w:rsidRDefault="00C90936" w:rsidP="00BF6A88">
      <w:pPr>
        <w:spacing w:after="0" w:line="240" w:lineRule="auto"/>
      </w:pPr>
      <w:r>
        <w:separator/>
      </w:r>
    </w:p>
  </w:endnote>
  <w:endnote w:type="continuationSeparator" w:id="0">
    <w:p w14:paraId="21C10B1E" w14:textId="77777777" w:rsidR="00C90936" w:rsidRDefault="00C90936" w:rsidP="00BF6A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Calibri"/>
    <w:panose1 w:val="020B0604020202020204"/>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152838"/>
      <w:docPartObj>
        <w:docPartGallery w:val="Page Numbers (Bottom of Page)"/>
        <w:docPartUnique/>
      </w:docPartObj>
    </w:sdtPr>
    <w:sdtEndPr>
      <w:rPr>
        <w:rStyle w:val="PageNumber"/>
      </w:rPr>
    </w:sdtEndPr>
    <w:sdtContent>
      <w:p w14:paraId="768B0835" w14:textId="3C4F3DBC" w:rsidR="000F2377" w:rsidRDefault="000F2377" w:rsidP="009953C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FA1A02E" w14:textId="77777777" w:rsidR="000F2377" w:rsidRDefault="000F23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79152445"/>
      <w:docPartObj>
        <w:docPartGallery w:val="Page Numbers (Bottom of Page)"/>
        <w:docPartUnique/>
      </w:docPartObj>
    </w:sdtPr>
    <w:sdtEndPr>
      <w:rPr>
        <w:rStyle w:val="PageNumber"/>
      </w:rPr>
    </w:sdtEndPr>
    <w:sdtContent>
      <w:p w14:paraId="2BCAEC10" w14:textId="0BEAE5F4" w:rsidR="000F2377" w:rsidRDefault="000F2377" w:rsidP="009953C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0B35B85" w14:textId="77777777" w:rsidR="000F2377" w:rsidRDefault="000F23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8874A1" w14:textId="77777777" w:rsidR="00C90936" w:rsidRDefault="00C90936" w:rsidP="00BF6A88">
      <w:pPr>
        <w:spacing w:after="0" w:line="240" w:lineRule="auto"/>
      </w:pPr>
      <w:r>
        <w:separator/>
      </w:r>
    </w:p>
  </w:footnote>
  <w:footnote w:type="continuationSeparator" w:id="0">
    <w:p w14:paraId="348BC651" w14:textId="77777777" w:rsidR="00C90936" w:rsidRDefault="00C90936" w:rsidP="00BF6A8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3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61F7"/>
    <w:rsid w:val="00003292"/>
    <w:rsid w:val="000120D5"/>
    <w:rsid w:val="00014ECE"/>
    <w:rsid w:val="00016837"/>
    <w:rsid w:val="000175E9"/>
    <w:rsid w:val="00020C10"/>
    <w:rsid w:val="000218C7"/>
    <w:rsid w:val="000226CC"/>
    <w:rsid w:val="00023559"/>
    <w:rsid w:val="00023651"/>
    <w:rsid w:val="000256C2"/>
    <w:rsid w:val="000262C0"/>
    <w:rsid w:val="00033569"/>
    <w:rsid w:val="000361AC"/>
    <w:rsid w:val="00036DE1"/>
    <w:rsid w:val="00047CF5"/>
    <w:rsid w:val="000505F4"/>
    <w:rsid w:val="0005074F"/>
    <w:rsid w:val="00050C6E"/>
    <w:rsid w:val="000522F8"/>
    <w:rsid w:val="0005286F"/>
    <w:rsid w:val="00053F0E"/>
    <w:rsid w:val="00056519"/>
    <w:rsid w:val="00057598"/>
    <w:rsid w:val="000610F5"/>
    <w:rsid w:val="000618D8"/>
    <w:rsid w:val="000629BD"/>
    <w:rsid w:val="00066EC9"/>
    <w:rsid w:val="000734E9"/>
    <w:rsid w:val="00074842"/>
    <w:rsid w:val="00080271"/>
    <w:rsid w:val="00084C4F"/>
    <w:rsid w:val="000900DC"/>
    <w:rsid w:val="00091364"/>
    <w:rsid w:val="00094D6A"/>
    <w:rsid w:val="00094FC0"/>
    <w:rsid w:val="000A1C33"/>
    <w:rsid w:val="000A40D6"/>
    <w:rsid w:val="000A7456"/>
    <w:rsid w:val="000A7884"/>
    <w:rsid w:val="000A7B99"/>
    <w:rsid w:val="000B2B65"/>
    <w:rsid w:val="000B6722"/>
    <w:rsid w:val="000C0559"/>
    <w:rsid w:val="000C2040"/>
    <w:rsid w:val="000C781A"/>
    <w:rsid w:val="000D0985"/>
    <w:rsid w:val="000D11D1"/>
    <w:rsid w:val="000D2BF5"/>
    <w:rsid w:val="000D2D2B"/>
    <w:rsid w:val="000D3481"/>
    <w:rsid w:val="000D4492"/>
    <w:rsid w:val="000E0054"/>
    <w:rsid w:val="000E444D"/>
    <w:rsid w:val="000E4964"/>
    <w:rsid w:val="000E63D6"/>
    <w:rsid w:val="000E78E3"/>
    <w:rsid w:val="000F0F5C"/>
    <w:rsid w:val="000F175A"/>
    <w:rsid w:val="000F2377"/>
    <w:rsid w:val="000F2EC6"/>
    <w:rsid w:val="00102B3F"/>
    <w:rsid w:val="00103B92"/>
    <w:rsid w:val="0010575B"/>
    <w:rsid w:val="00106161"/>
    <w:rsid w:val="00110DF3"/>
    <w:rsid w:val="001118F9"/>
    <w:rsid w:val="00113B39"/>
    <w:rsid w:val="00115F5F"/>
    <w:rsid w:val="00116A04"/>
    <w:rsid w:val="00116A5D"/>
    <w:rsid w:val="00121B65"/>
    <w:rsid w:val="001255BA"/>
    <w:rsid w:val="00127344"/>
    <w:rsid w:val="001275FD"/>
    <w:rsid w:val="001304E2"/>
    <w:rsid w:val="00130839"/>
    <w:rsid w:val="00131345"/>
    <w:rsid w:val="001349E4"/>
    <w:rsid w:val="001359C6"/>
    <w:rsid w:val="00136122"/>
    <w:rsid w:val="0013647C"/>
    <w:rsid w:val="001402F3"/>
    <w:rsid w:val="0014154D"/>
    <w:rsid w:val="001470CD"/>
    <w:rsid w:val="001519B7"/>
    <w:rsid w:val="00151BCA"/>
    <w:rsid w:val="00154157"/>
    <w:rsid w:val="001570B2"/>
    <w:rsid w:val="00160715"/>
    <w:rsid w:val="00163076"/>
    <w:rsid w:val="00163386"/>
    <w:rsid w:val="00164CFA"/>
    <w:rsid w:val="001664E0"/>
    <w:rsid w:val="00166F6F"/>
    <w:rsid w:val="001675A8"/>
    <w:rsid w:val="001700F8"/>
    <w:rsid w:val="00171987"/>
    <w:rsid w:val="00171991"/>
    <w:rsid w:val="00175CBA"/>
    <w:rsid w:val="0018062B"/>
    <w:rsid w:val="0018097A"/>
    <w:rsid w:val="00182EC8"/>
    <w:rsid w:val="001838BF"/>
    <w:rsid w:val="001873A5"/>
    <w:rsid w:val="00187DFB"/>
    <w:rsid w:val="001970CB"/>
    <w:rsid w:val="001978AD"/>
    <w:rsid w:val="001A6ED2"/>
    <w:rsid w:val="001B13F1"/>
    <w:rsid w:val="001B3794"/>
    <w:rsid w:val="001B39C7"/>
    <w:rsid w:val="001B3B0D"/>
    <w:rsid w:val="001B6136"/>
    <w:rsid w:val="001C1248"/>
    <w:rsid w:val="001C2EB0"/>
    <w:rsid w:val="001C475A"/>
    <w:rsid w:val="001C55E0"/>
    <w:rsid w:val="001C58C5"/>
    <w:rsid w:val="001C5A30"/>
    <w:rsid w:val="001D0478"/>
    <w:rsid w:val="001D06FA"/>
    <w:rsid w:val="001D1629"/>
    <w:rsid w:val="001D17C7"/>
    <w:rsid w:val="001D2F19"/>
    <w:rsid w:val="001D3EE1"/>
    <w:rsid w:val="001D5FF0"/>
    <w:rsid w:val="001E2D5E"/>
    <w:rsid w:val="001E45EA"/>
    <w:rsid w:val="001F1A81"/>
    <w:rsid w:val="001F2DBF"/>
    <w:rsid w:val="001F3F97"/>
    <w:rsid w:val="002004E2"/>
    <w:rsid w:val="00202158"/>
    <w:rsid w:val="002023C9"/>
    <w:rsid w:val="00203F42"/>
    <w:rsid w:val="00205ADF"/>
    <w:rsid w:val="002069F6"/>
    <w:rsid w:val="0021124C"/>
    <w:rsid w:val="00211377"/>
    <w:rsid w:val="002121AD"/>
    <w:rsid w:val="00213D35"/>
    <w:rsid w:val="002162EB"/>
    <w:rsid w:val="00217BA9"/>
    <w:rsid w:val="00223FE9"/>
    <w:rsid w:val="00225096"/>
    <w:rsid w:val="00230546"/>
    <w:rsid w:val="002347C1"/>
    <w:rsid w:val="0024326E"/>
    <w:rsid w:val="002437A9"/>
    <w:rsid w:val="00243E97"/>
    <w:rsid w:val="002468C1"/>
    <w:rsid w:val="00246AF3"/>
    <w:rsid w:val="0025001C"/>
    <w:rsid w:val="002527A5"/>
    <w:rsid w:val="00255E15"/>
    <w:rsid w:val="00260355"/>
    <w:rsid w:val="00272399"/>
    <w:rsid w:val="002735BA"/>
    <w:rsid w:val="00275706"/>
    <w:rsid w:val="0027611B"/>
    <w:rsid w:val="00276BB5"/>
    <w:rsid w:val="002866C5"/>
    <w:rsid w:val="002878B3"/>
    <w:rsid w:val="00287FE1"/>
    <w:rsid w:val="00297675"/>
    <w:rsid w:val="002A2478"/>
    <w:rsid w:val="002A2F21"/>
    <w:rsid w:val="002A5729"/>
    <w:rsid w:val="002A5AF2"/>
    <w:rsid w:val="002A78FD"/>
    <w:rsid w:val="002B2369"/>
    <w:rsid w:val="002B2A7F"/>
    <w:rsid w:val="002C1710"/>
    <w:rsid w:val="002C1F47"/>
    <w:rsid w:val="002C5CD7"/>
    <w:rsid w:val="002C7E75"/>
    <w:rsid w:val="002D215B"/>
    <w:rsid w:val="002D35E0"/>
    <w:rsid w:val="002D4FBE"/>
    <w:rsid w:val="002E4771"/>
    <w:rsid w:val="002E6034"/>
    <w:rsid w:val="002F09BC"/>
    <w:rsid w:val="002F09F0"/>
    <w:rsid w:val="002F1A32"/>
    <w:rsid w:val="002F4479"/>
    <w:rsid w:val="002F4547"/>
    <w:rsid w:val="002F4994"/>
    <w:rsid w:val="002F4D38"/>
    <w:rsid w:val="002F547A"/>
    <w:rsid w:val="002F5C4F"/>
    <w:rsid w:val="00301E83"/>
    <w:rsid w:val="00302EB2"/>
    <w:rsid w:val="00303803"/>
    <w:rsid w:val="0030761B"/>
    <w:rsid w:val="0031031E"/>
    <w:rsid w:val="00322FCD"/>
    <w:rsid w:val="003233F8"/>
    <w:rsid w:val="00323882"/>
    <w:rsid w:val="00324F4F"/>
    <w:rsid w:val="003261A9"/>
    <w:rsid w:val="00331C85"/>
    <w:rsid w:val="0033237B"/>
    <w:rsid w:val="003335F8"/>
    <w:rsid w:val="00333A4E"/>
    <w:rsid w:val="00336A5D"/>
    <w:rsid w:val="00336DCA"/>
    <w:rsid w:val="00340A8F"/>
    <w:rsid w:val="00345D58"/>
    <w:rsid w:val="003469E8"/>
    <w:rsid w:val="003500D2"/>
    <w:rsid w:val="003511BE"/>
    <w:rsid w:val="003529BC"/>
    <w:rsid w:val="00353F0A"/>
    <w:rsid w:val="00354111"/>
    <w:rsid w:val="0035439D"/>
    <w:rsid w:val="00354C8A"/>
    <w:rsid w:val="003553E9"/>
    <w:rsid w:val="0035657F"/>
    <w:rsid w:val="00362751"/>
    <w:rsid w:val="00365A3A"/>
    <w:rsid w:val="00365A3B"/>
    <w:rsid w:val="00365E7C"/>
    <w:rsid w:val="00372888"/>
    <w:rsid w:val="0038477D"/>
    <w:rsid w:val="00394445"/>
    <w:rsid w:val="0039448B"/>
    <w:rsid w:val="003964AE"/>
    <w:rsid w:val="00396D1F"/>
    <w:rsid w:val="003A0F3F"/>
    <w:rsid w:val="003A3B57"/>
    <w:rsid w:val="003B1546"/>
    <w:rsid w:val="003B1596"/>
    <w:rsid w:val="003B32B2"/>
    <w:rsid w:val="003B5A0D"/>
    <w:rsid w:val="003B7BC6"/>
    <w:rsid w:val="003C0B47"/>
    <w:rsid w:val="003C1004"/>
    <w:rsid w:val="003C16F3"/>
    <w:rsid w:val="003D668F"/>
    <w:rsid w:val="003E0BCD"/>
    <w:rsid w:val="003E14E4"/>
    <w:rsid w:val="003E2A53"/>
    <w:rsid w:val="003E5466"/>
    <w:rsid w:val="003E5B58"/>
    <w:rsid w:val="003F4EAB"/>
    <w:rsid w:val="003F5B8B"/>
    <w:rsid w:val="003F79F8"/>
    <w:rsid w:val="003F7CD4"/>
    <w:rsid w:val="00402AE0"/>
    <w:rsid w:val="004112E3"/>
    <w:rsid w:val="00412E8A"/>
    <w:rsid w:val="00413BDC"/>
    <w:rsid w:val="00413D34"/>
    <w:rsid w:val="00414C52"/>
    <w:rsid w:val="004153B9"/>
    <w:rsid w:val="004156C4"/>
    <w:rsid w:val="0041647F"/>
    <w:rsid w:val="004178A4"/>
    <w:rsid w:val="00417B69"/>
    <w:rsid w:val="00420269"/>
    <w:rsid w:val="00420273"/>
    <w:rsid w:val="00421758"/>
    <w:rsid w:val="00425D5F"/>
    <w:rsid w:val="00430EA7"/>
    <w:rsid w:val="0043284B"/>
    <w:rsid w:val="00433DAF"/>
    <w:rsid w:val="00434034"/>
    <w:rsid w:val="00434B8A"/>
    <w:rsid w:val="00437581"/>
    <w:rsid w:val="004375A1"/>
    <w:rsid w:val="00437B68"/>
    <w:rsid w:val="00440547"/>
    <w:rsid w:val="00440FDF"/>
    <w:rsid w:val="004418BF"/>
    <w:rsid w:val="00442A86"/>
    <w:rsid w:val="00442E65"/>
    <w:rsid w:val="004503A1"/>
    <w:rsid w:val="004510A7"/>
    <w:rsid w:val="00451425"/>
    <w:rsid w:val="00453C0A"/>
    <w:rsid w:val="00453E28"/>
    <w:rsid w:val="00456AE7"/>
    <w:rsid w:val="004577D2"/>
    <w:rsid w:val="0046368F"/>
    <w:rsid w:val="00464145"/>
    <w:rsid w:val="00464559"/>
    <w:rsid w:val="00466E04"/>
    <w:rsid w:val="004709DF"/>
    <w:rsid w:val="00472104"/>
    <w:rsid w:val="00477EDD"/>
    <w:rsid w:val="0048155C"/>
    <w:rsid w:val="00482523"/>
    <w:rsid w:val="0048371F"/>
    <w:rsid w:val="00483755"/>
    <w:rsid w:val="00484ACD"/>
    <w:rsid w:val="00485095"/>
    <w:rsid w:val="00485B0A"/>
    <w:rsid w:val="00491219"/>
    <w:rsid w:val="00495158"/>
    <w:rsid w:val="004A5C28"/>
    <w:rsid w:val="004A633F"/>
    <w:rsid w:val="004C35DA"/>
    <w:rsid w:val="004C4EB1"/>
    <w:rsid w:val="004C5130"/>
    <w:rsid w:val="004C6292"/>
    <w:rsid w:val="004D1134"/>
    <w:rsid w:val="004D22DC"/>
    <w:rsid w:val="004D25DA"/>
    <w:rsid w:val="004D2723"/>
    <w:rsid w:val="004D52F3"/>
    <w:rsid w:val="004D545B"/>
    <w:rsid w:val="004E03F5"/>
    <w:rsid w:val="004E075A"/>
    <w:rsid w:val="004E356B"/>
    <w:rsid w:val="004E49F1"/>
    <w:rsid w:val="004E654E"/>
    <w:rsid w:val="004F3A2F"/>
    <w:rsid w:val="004F589A"/>
    <w:rsid w:val="004F6125"/>
    <w:rsid w:val="004F636C"/>
    <w:rsid w:val="00504C73"/>
    <w:rsid w:val="00506135"/>
    <w:rsid w:val="00506F8D"/>
    <w:rsid w:val="00510821"/>
    <w:rsid w:val="00512CDD"/>
    <w:rsid w:val="00521691"/>
    <w:rsid w:val="00521BE9"/>
    <w:rsid w:val="005241DE"/>
    <w:rsid w:val="00525086"/>
    <w:rsid w:val="005264A6"/>
    <w:rsid w:val="005271C4"/>
    <w:rsid w:val="00532ED5"/>
    <w:rsid w:val="005362B9"/>
    <w:rsid w:val="00540B12"/>
    <w:rsid w:val="005435AC"/>
    <w:rsid w:val="0054382A"/>
    <w:rsid w:val="00547BD6"/>
    <w:rsid w:val="00550750"/>
    <w:rsid w:val="00552A78"/>
    <w:rsid w:val="00554DBA"/>
    <w:rsid w:val="00555B30"/>
    <w:rsid w:val="00560374"/>
    <w:rsid w:val="005641A0"/>
    <w:rsid w:val="00564BF5"/>
    <w:rsid w:val="00565B15"/>
    <w:rsid w:val="0056782C"/>
    <w:rsid w:val="00571EA4"/>
    <w:rsid w:val="00583983"/>
    <w:rsid w:val="0058445D"/>
    <w:rsid w:val="005860F8"/>
    <w:rsid w:val="00587167"/>
    <w:rsid w:val="00587BB4"/>
    <w:rsid w:val="005911DB"/>
    <w:rsid w:val="00591CD8"/>
    <w:rsid w:val="00595C6D"/>
    <w:rsid w:val="005975C3"/>
    <w:rsid w:val="005A2598"/>
    <w:rsid w:val="005A2F7E"/>
    <w:rsid w:val="005A4A0E"/>
    <w:rsid w:val="005A61D2"/>
    <w:rsid w:val="005A731D"/>
    <w:rsid w:val="005B089F"/>
    <w:rsid w:val="005B12C1"/>
    <w:rsid w:val="005B337C"/>
    <w:rsid w:val="005B4333"/>
    <w:rsid w:val="005B72BD"/>
    <w:rsid w:val="005B7668"/>
    <w:rsid w:val="005C41CF"/>
    <w:rsid w:val="005C600F"/>
    <w:rsid w:val="005C633A"/>
    <w:rsid w:val="005C6836"/>
    <w:rsid w:val="005C7CE2"/>
    <w:rsid w:val="005C7EC4"/>
    <w:rsid w:val="005C7FD6"/>
    <w:rsid w:val="005D2D12"/>
    <w:rsid w:val="005D3209"/>
    <w:rsid w:val="005D5ECD"/>
    <w:rsid w:val="005D6BF1"/>
    <w:rsid w:val="005D6CA9"/>
    <w:rsid w:val="005D7942"/>
    <w:rsid w:val="005E1A82"/>
    <w:rsid w:val="005E3432"/>
    <w:rsid w:val="005E43E2"/>
    <w:rsid w:val="005F2C14"/>
    <w:rsid w:val="005F5582"/>
    <w:rsid w:val="0060134D"/>
    <w:rsid w:val="0060322C"/>
    <w:rsid w:val="0060328E"/>
    <w:rsid w:val="006033D2"/>
    <w:rsid w:val="00605C54"/>
    <w:rsid w:val="006079E5"/>
    <w:rsid w:val="00610B1F"/>
    <w:rsid w:val="00613DF6"/>
    <w:rsid w:val="006147AC"/>
    <w:rsid w:val="00615C49"/>
    <w:rsid w:val="00617AF2"/>
    <w:rsid w:val="00621E6C"/>
    <w:rsid w:val="00625A4A"/>
    <w:rsid w:val="006260B0"/>
    <w:rsid w:val="006308D6"/>
    <w:rsid w:val="00630A4D"/>
    <w:rsid w:val="00631F80"/>
    <w:rsid w:val="00634E5D"/>
    <w:rsid w:val="00636461"/>
    <w:rsid w:val="0063704C"/>
    <w:rsid w:val="00640A1B"/>
    <w:rsid w:val="00640F0B"/>
    <w:rsid w:val="006411DD"/>
    <w:rsid w:val="0064187E"/>
    <w:rsid w:val="006427E0"/>
    <w:rsid w:val="00647031"/>
    <w:rsid w:val="00652D1A"/>
    <w:rsid w:val="00653B91"/>
    <w:rsid w:val="006559BC"/>
    <w:rsid w:val="006559CC"/>
    <w:rsid w:val="00655BD1"/>
    <w:rsid w:val="00656980"/>
    <w:rsid w:val="006601D9"/>
    <w:rsid w:val="006608D0"/>
    <w:rsid w:val="00661E99"/>
    <w:rsid w:val="006628CE"/>
    <w:rsid w:val="006629C4"/>
    <w:rsid w:val="00665FB9"/>
    <w:rsid w:val="0066705A"/>
    <w:rsid w:val="00667857"/>
    <w:rsid w:val="006723E8"/>
    <w:rsid w:val="00673535"/>
    <w:rsid w:val="0067386A"/>
    <w:rsid w:val="0067578D"/>
    <w:rsid w:val="006771F1"/>
    <w:rsid w:val="00681162"/>
    <w:rsid w:val="00687400"/>
    <w:rsid w:val="00691376"/>
    <w:rsid w:val="00693D03"/>
    <w:rsid w:val="006941DE"/>
    <w:rsid w:val="00695339"/>
    <w:rsid w:val="006A2553"/>
    <w:rsid w:val="006A2F6F"/>
    <w:rsid w:val="006A38A9"/>
    <w:rsid w:val="006A5410"/>
    <w:rsid w:val="006B1133"/>
    <w:rsid w:val="006B55E5"/>
    <w:rsid w:val="006C07D3"/>
    <w:rsid w:val="006C1897"/>
    <w:rsid w:val="006C2BA9"/>
    <w:rsid w:val="006C4531"/>
    <w:rsid w:val="006C47DF"/>
    <w:rsid w:val="006C51EB"/>
    <w:rsid w:val="006D060D"/>
    <w:rsid w:val="006D1CEF"/>
    <w:rsid w:val="006D3079"/>
    <w:rsid w:val="006D5C2E"/>
    <w:rsid w:val="006D6CE7"/>
    <w:rsid w:val="006D6DA4"/>
    <w:rsid w:val="006E4BBB"/>
    <w:rsid w:val="006F115E"/>
    <w:rsid w:val="006F5977"/>
    <w:rsid w:val="00703BE9"/>
    <w:rsid w:val="007057C6"/>
    <w:rsid w:val="0071311C"/>
    <w:rsid w:val="0071340E"/>
    <w:rsid w:val="00715DF5"/>
    <w:rsid w:val="007166B8"/>
    <w:rsid w:val="0072018C"/>
    <w:rsid w:val="00722045"/>
    <w:rsid w:val="00722B80"/>
    <w:rsid w:val="00722BCD"/>
    <w:rsid w:val="00723480"/>
    <w:rsid w:val="007241FB"/>
    <w:rsid w:val="0072533D"/>
    <w:rsid w:val="00725729"/>
    <w:rsid w:val="0072596E"/>
    <w:rsid w:val="007269C9"/>
    <w:rsid w:val="00727B17"/>
    <w:rsid w:val="00727BB2"/>
    <w:rsid w:val="00732BA8"/>
    <w:rsid w:val="00735C51"/>
    <w:rsid w:val="007376BD"/>
    <w:rsid w:val="00740D42"/>
    <w:rsid w:val="007433B5"/>
    <w:rsid w:val="0074619E"/>
    <w:rsid w:val="0074700F"/>
    <w:rsid w:val="00747415"/>
    <w:rsid w:val="00751410"/>
    <w:rsid w:val="00751D9C"/>
    <w:rsid w:val="007549C8"/>
    <w:rsid w:val="00754F80"/>
    <w:rsid w:val="00760C62"/>
    <w:rsid w:val="007709DF"/>
    <w:rsid w:val="007716BF"/>
    <w:rsid w:val="007720BA"/>
    <w:rsid w:val="0077282E"/>
    <w:rsid w:val="0077341C"/>
    <w:rsid w:val="00774CAB"/>
    <w:rsid w:val="007768F3"/>
    <w:rsid w:val="00786BFA"/>
    <w:rsid w:val="00787C3A"/>
    <w:rsid w:val="0079233F"/>
    <w:rsid w:val="0079326B"/>
    <w:rsid w:val="007953DA"/>
    <w:rsid w:val="00797157"/>
    <w:rsid w:val="007A4919"/>
    <w:rsid w:val="007B1D0D"/>
    <w:rsid w:val="007B272C"/>
    <w:rsid w:val="007B54B3"/>
    <w:rsid w:val="007B72B9"/>
    <w:rsid w:val="007B77F6"/>
    <w:rsid w:val="007D3153"/>
    <w:rsid w:val="007D3FDE"/>
    <w:rsid w:val="007D3FF9"/>
    <w:rsid w:val="007D47E1"/>
    <w:rsid w:val="007D5706"/>
    <w:rsid w:val="007D61F6"/>
    <w:rsid w:val="007D6D02"/>
    <w:rsid w:val="007D7D06"/>
    <w:rsid w:val="007E182C"/>
    <w:rsid w:val="007E24AF"/>
    <w:rsid w:val="007E4A8D"/>
    <w:rsid w:val="007E56CB"/>
    <w:rsid w:val="007E5E1C"/>
    <w:rsid w:val="007F0840"/>
    <w:rsid w:val="007F124D"/>
    <w:rsid w:val="007F3BE4"/>
    <w:rsid w:val="008013EC"/>
    <w:rsid w:val="00801851"/>
    <w:rsid w:val="00810590"/>
    <w:rsid w:val="00811924"/>
    <w:rsid w:val="008121EC"/>
    <w:rsid w:val="00812332"/>
    <w:rsid w:val="0081345B"/>
    <w:rsid w:val="00817AA0"/>
    <w:rsid w:val="00824817"/>
    <w:rsid w:val="00825717"/>
    <w:rsid w:val="0083118E"/>
    <w:rsid w:val="0083166D"/>
    <w:rsid w:val="00833FB1"/>
    <w:rsid w:val="00837148"/>
    <w:rsid w:val="008417F7"/>
    <w:rsid w:val="0084298F"/>
    <w:rsid w:val="00850904"/>
    <w:rsid w:val="00851014"/>
    <w:rsid w:val="00851492"/>
    <w:rsid w:val="00852A3D"/>
    <w:rsid w:val="00853746"/>
    <w:rsid w:val="00854D0D"/>
    <w:rsid w:val="00856738"/>
    <w:rsid w:val="00857DEC"/>
    <w:rsid w:val="00861F58"/>
    <w:rsid w:val="00862D8A"/>
    <w:rsid w:val="00865EE3"/>
    <w:rsid w:val="00866650"/>
    <w:rsid w:val="008671EB"/>
    <w:rsid w:val="008715F0"/>
    <w:rsid w:val="00872058"/>
    <w:rsid w:val="00874A0E"/>
    <w:rsid w:val="00875230"/>
    <w:rsid w:val="00876A88"/>
    <w:rsid w:val="00877FF4"/>
    <w:rsid w:val="00880F01"/>
    <w:rsid w:val="00882DCC"/>
    <w:rsid w:val="00885188"/>
    <w:rsid w:val="00892A1C"/>
    <w:rsid w:val="00894552"/>
    <w:rsid w:val="00897A3C"/>
    <w:rsid w:val="00897ED9"/>
    <w:rsid w:val="008A034E"/>
    <w:rsid w:val="008A43DD"/>
    <w:rsid w:val="008A6E88"/>
    <w:rsid w:val="008B1622"/>
    <w:rsid w:val="008B693C"/>
    <w:rsid w:val="008B7FCF"/>
    <w:rsid w:val="008C2AAA"/>
    <w:rsid w:val="008C3474"/>
    <w:rsid w:val="008C3DB4"/>
    <w:rsid w:val="008C4762"/>
    <w:rsid w:val="008C4E6D"/>
    <w:rsid w:val="008C5514"/>
    <w:rsid w:val="008C69B3"/>
    <w:rsid w:val="008C6AC9"/>
    <w:rsid w:val="008C6BAB"/>
    <w:rsid w:val="008C738B"/>
    <w:rsid w:val="008D1A2D"/>
    <w:rsid w:val="008D1E52"/>
    <w:rsid w:val="008D542B"/>
    <w:rsid w:val="008D67B7"/>
    <w:rsid w:val="008D6C8E"/>
    <w:rsid w:val="008E0896"/>
    <w:rsid w:val="008E4CB5"/>
    <w:rsid w:val="008E5519"/>
    <w:rsid w:val="008E7246"/>
    <w:rsid w:val="008E7B8A"/>
    <w:rsid w:val="008F3EE8"/>
    <w:rsid w:val="008F4720"/>
    <w:rsid w:val="009015AF"/>
    <w:rsid w:val="00902B38"/>
    <w:rsid w:val="00907070"/>
    <w:rsid w:val="00907F11"/>
    <w:rsid w:val="00914E7E"/>
    <w:rsid w:val="0091596A"/>
    <w:rsid w:val="00916B0E"/>
    <w:rsid w:val="00917E76"/>
    <w:rsid w:val="00920DB2"/>
    <w:rsid w:val="0092176F"/>
    <w:rsid w:val="00922F0A"/>
    <w:rsid w:val="009235F1"/>
    <w:rsid w:val="00931CA9"/>
    <w:rsid w:val="00935753"/>
    <w:rsid w:val="009445A8"/>
    <w:rsid w:val="009503B2"/>
    <w:rsid w:val="009516F7"/>
    <w:rsid w:val="00953A48"/>
    <w:rsid w:val="00960D15"/>
    <w:rsid w:val="00961E0A"/>
    <w:rsid w:val="00963212"/>
    <w:rsid w:val="0096372A"/>
    <w:rsid w:val="0096417A"/>
    <w:rsid w:val="00965532"/>
    <w:rsid w:val="00966945"/>
    <w:rsid w:val="00966A3F"/>
    <w:rsid w:val="0097290B"/>
    <w:rsid w:val="00973FD8"/>
    <w:rsid w:val="00981C1E"/>
    <w:rsid w:val="009905C6"/>
    <w:rsid w:val="0099146B"/>
    <w:rsid w:val="00992172"/>
    <w:rsid w:val="009953B7"/>
    <w:rsid w:val="009953CE"/>
    <w:rsid w:val="00996240"/>
    <w:rsid w:val="009966E3"/>
    <w:rsid w:val="009A2A5C"/>
    <w:rsid w:val="009A2B3E"/>
    <w:rsid w:val="009A5055"/>
    <w:rsid w:val="009A6936"/>
    <w:rsid w:val="009A71C3"/>
    <w:rsid w:val="009B092D"/>
    <w:rsid w:val="009B0F3B"/>
    <w:rsid w:val="009B27CD"/>
    <w:rsid w:val="009B369B"/>
    <w:rsid w:val="009B3A1F"/>
    <w:rsid w:val="009B5D51"/>
    <w:rsid w:val="009B7D08"/>
    <w:rsid w:val="009C179A"/>
    <w:rsid w:val="009C2716"/>
    <w:rsid w:val="009C738B"/>
    <w:rsid w:val="009C7B64"/>
    <w:rsid w:val="009D0428"/>
    <w:rsid w:val="009D36C5"/>
    <w:rsid w:val="009E0BFD"/>
    <w:rsid w:val="009E17F4"/>
    <w:rsid w:val="009E49F4"/>
    <w:rsid w:val="009F46C4"/>
    <w:rsid w:val="009F7EF0"/>
    <w:rsid w:val="00A00392"/>
    <w:rsid w:val="00A022E5"/>
    <w:rsid w:val="00A0697E"/>
    <w:rsid w:val="00A06A56"/>
    <w:rsid w:val="00A13A15"/>
    <w:rsid w:val="00A13D5E"/>
    <w:rsid w:val="00A164ED"/>
    <w:rsid w:val="00A1701D"/>
    <w:rsid w:val="00A20430"/>
    <w:rsid w:val="00A217D6"/>
    <w:rsid w:val="00A24B87"/>
    <w:rsid w:val="00A2561B"/>
    <w:rsid w:val="00A25EE3"/>
    <w:rsid w:val="00A27865"/>
    <w:rsid w:val="00A328DC"/>
    <w:rsid w:val="00A33D84"/>
    <w:rsid w:val="00A3498D"/>
    <w:rsid w:val="00A364F7"/>
    <w:rsid w:val="00A36E2B"/>
    <w:rsid w:val="00A41EE2"/>
    <w:rsid w:val="00A43889"/>
    <w:rsid w:val="00A44428"/>
    <w:rsid w:val="00A45992"/>
    <w:rsid w:val="00A45B12"/>
    <w:rsid w:val="00A46057"/>
    <w:rsid w:val="00A46383"/>
    <w:rsid w:val="00A46DEB"/>
    <w:rsid w:val="00A4764B"/>
    <w:rsid w:val="00A53E97"/>
    <w:rsid w:val="00A54BFD"/>
    <w:rsid w:val="00A5603A"/>
    <w:rsid w:val="00A57A66"/>
    <w:rsid w:val="00A627EA"/>
    <w:rsid w:val="00A62C1D"/>
    <w:rsid w:val="00A666CD"/>
    <w:rsid w:val="00A7333D"/>
    <w:rsid w:val="00A8068A"/>
    <w:rsid w:val="00A8648C"/>
    <w:rsid w:val="00A868CD"/>
    <w:rsid w:val="00A925B2"/>
    <w:rsid w:val="00A961F7"/>
    <w:rsid w:val="00A97656"/>
    <w:rsid w:val="00A97F66"/>
    <w:rsid w:val="00AA03E6"/>
    <w:rsid w:val="00AA3885"/>
    <w:rsid w:val="00AA3888"/>
    <w:rsid w:val="00AB07FE"/>
    <w:rsid w:val="00AB4303"/>
    <w:rsid w:val="00AB5F66"/>
    <w:rsid w:val="00AB5FA2"/>
    <w:rsid w:val="00AC0A6B"/>
    <w:rsid w:val="00AC2E57"/>
    <w:rsid w:val="00AC368B"/>
    <w:rsid w:val="00AC4E51"/>
    <w:rsid w:val="00AC567E"/>
    <w:rsid w:val="00AC5DDE"/>
    <w:rsid w:val="00AD00DC"/>
    <w:rsid w:val="00AD5A85"/>
    <w:rsid w:val="00AE1146"/>
    <w:rsid w:val="00AE578B"/>
    <w:rsid w:val="00AE5A6A"/>
    <w:rsid w:val="00AF2BD0"/>
    <w:rsid w:val="00AF3028"/>
    <w:rsid w:val="00AF5060"/>
    <w:rsid w:val="00AF5402"/>
    <w:rsid w:val="00AF639E"/>
    <w:rsid w:val="00B003AE"/>
    <w:rsid w:val="00B01FB7"/>
    <w:rsid w:val="00B03E3B"/>
    <w:rsid w:val="00B06D83"/>
    <w:rsid w:val="00B1070F"/>
    <w:rsid w:val="00B10BE4"/>
    <w:rsid w:val="00B10DFF"/>
    <w:rsid w:val="00B17A09"/>
    <w:rsid w:val="00B20584"/>
    <w:rsid w:val="00B228F5"/>
    <w:rsid w:val="00B23046"/>
    <w:rsid w:val="00B2386E"/>
    <w:rsid w:val="00B26B5A"/>
    <w:rsid w:val="00B30EB9"/>
    <w:rsid w:val="00B32228"/>
    <w:rsid w:val="00B352A2"/>
    <w:rsid w:val="00B40488"/>
    <w:rsid w:val="00B50BE4"/>
    <w:rsid w:val="00B61330"/>
    <w:rsid w:val="00B64248"/>
    <w:rsid w:val="00B64828"/>
    <w:rsid w:val="00B66386"/>
    <w:rsid w:val="00B70900"/>
    <w:rsid w:val="00B70F46"/>
    <w:rsid w:val="00B71C7A"/>
    <w:rsid w:val="00B72028"/>
    <w:rsid w:val="00B72A02"/>
    <w:rsid w:val="00B72E36"/>
    <w:rsid w:val="00B73592"/>
    <w:rsid w:val="00B74E42"/>
    <w:rsid w:val="00B759B2"/>
    <w:rsid w:val="00B82DDC"/>
    <w:rsid w:val="00B83974"/>
    <w:rsid w:val="00B84DA6"/>
    <w:rsid w:val="00B92763"/>
    <w:rsid w:val="00B93F96"/>
    <w:rsid w:val="00B9558D"/>
    <w:rsid w:val="00B97643"/>
    <w:rsid w:val="00BA1F98"/>
    <w:rsid w:val="00BA28B6"/>
    <w:rsid w:val="00BA29B9"/>
    <w:rsid w:val="00BA5788"/>
    <w:rsid w:val="00BA5D0F"/>
    <w:rsid w:val="00BA7CF5"/>
    <w:rsid w:val="00BB0F0E"/>
    <w:rsid w:val="00BB66CB"/>
    <w:rsid w:val="00BC04AF"/>
    <w:rsid w:val="00BC4092"/>
    <w:rsid w:val="00BC65B3"/>
    <w:rsid w:val="00BD37C0"/>
    <w:rsid w:val="00BD5D54"/>
    <w:rsid w:val="00BE28AF"/>
    <w:rsid w:val="00BE586B"/>
    <w:rsid w:val="00BF04DD"/>
    <w:rsid w:val="00BF2220"/>
    <w:rsid w:val="00BF40D2"/>
    <w:rsid w:val="00BF6A88"/>
    <w:rsid w:val="00C00A92"/>
    <w:rsid w:val="00C228C7"/>
    <w:rsid w:val="00C23280"/>
    <w:rsid w:val="00C23BF7"/>
    <w:rsid w:val="00C257AC"/>
    <w:rsid w:val="00C25AF0"/>
    <w:rsid w:val="00C30C1F"/>
    <w:rsid w:val="00C326AF"/>
    <w:rsid w:val="00C349D4"/>
    <w:rsid w:val="00C37947"/>
    <w:rsid w:val="00C410CE"/>
    <w:rsid w:val="00C471D3"/>
    <w:rsid w:val="00C47F8A"/>
    <w:rsid w:val="00C51402"/>
    <w:rsid w:val="00C5266E"/>
    <w:rsid w:val="00C549EB"/>
    <w:rsid w:val="00C569DD"/>
    <w:rsid w:val="00C60347"/>
    <w:rsid w:val="00C617E6"/>
    <w:rsid w:val="00C62267"/>
    <w:rsid w:val="00C62587"/>
    <w:rsid w:val="00C642BE"/>
    <w:rsid w:val="00C66E92"/>
    <w:rsid w:val="00C675E6"/>
    <w:rsid w:val="00C73715"/>
    <w:rsid w:val="00C81B18"/>
    <w:rsid w:val="00C82806"/>
    <w:rsid w:val="00C82AB5"/>
    <w:rsid w:val="00C83CD8"/>
    <w:rsid w:val="00C84971"/>
    <w:rsid w:val="00C8548D"/>
    <w:rsid w:val="00C86E26"/>
    <w:rsid w:val="00C87AFD"/>
    <w:rsid w:val="00C90936"/>
    <w:rsid w:val="00C9155D"/>
    <w:rsid w:val="00C91E12"/>
    <w:rsid w:val="00C944A3"/>
    <w:rsid w:val="00C95758"/>
    <w:rsid w:val="00CA1F54"/>
    <w:rsid w:val="00CA484D"/>
    <w:rsid w:val="00CA562D"/>
    <w:rsid w:val="00CA5A8F"/>
    <w:rsid w:val="00CA7614"/>
    <w:rsid w:val="00CB037A"/>
    <w:rsid w:val="00CB15A3"/>
    <w:rsid w:val="00CB53AE"/>
    <w:rsid w:val="00CC37F2"/>
    <w:rsid w:val="00CC4BFF"/>
    <w:rsid w:val="00CC4FF5"/>
    <w:rsid w:val="00CD11AE"/>
    <w:rsid w:val="00CD1802"/>
    <w:rsid w:val="00CD1DB8"/>
    <w:rsid w:val="00CD2C3C"/>
    <w:rsid w:val="00CD5A73"/>
    <w:rsid w:val="00CD6AE7"/>
    <w:rsid w:val="00CD751C"/>
    <w:rsid w:val="00CE3753"/>
    <w:rsid w:val="00CE5C04"/>
    <w:rsid w:val="00CF0AC3"/>
    <w:rsid w:val="00CF5C97"/>
    <w:rsid w:val="00D00C20"/>
    <w:rsid w:val="00D06046"/>
    <w:rsid w:val="00D10FBE"/>
    <w:rsid w:val="00D13265"/>
    <w:rsid w:val="00D14ED2"/>
    <w:rsid w:val="00D159E5"/>
    <w:rsid w:val="00D212EF"/>
    <w:rsid w:val="00D22F85"/>
    <w:rsid w:val="00D252AE"/>
    <w:rsid w:val="00D27090"/>
    <w:rsid w:val="00D3306B"/>
    <w:rsid w:val="00D330CB"/>
    <w:rsid w:val="00D34E42"/>
    <w:rsid w:val="00D35353"/>
    <w:rsid w:val="00D35FBF"/>
    <w:rsid w:val="00D362C1"/>
    <w:rsid w:val="00D3798A"/>
    <w:rsid w:val="00D40648"/>
    <w:rsid w:val="00D42971"/>
    <w:rsid w:val="00D43F13"/>
    <w:rsid w:val="00D44C88"/>
    <w:rsid w:val="00D4521C"/>
    <w:rsid w:val="00D45949"/>
    <w:rsid w:val="00D45ED5"/>
    <w:rsid w:val="00D4668B"/>
    <w:rsid w:val="00D500B5"/>
    <w:rsid w:val="00D53D3C"/>
    <w:rsid w:val="00D56A8B"/>
    <w:rsid w:val="00D5744B"/>
    <w:rsid w:val="00D613B9"/>
    <w:rsid w:val="00D619FB"/>
    <w:rsid w:val="00D6510E"/>
    <w:rsid w:val="00D67B55"/>
    <w:rsid w:val="00D70276"/>
    <w:rsid w:val="00D752CF"/>
    <w:rsid w:val="00D75A65"/>
    <w:rsid w:val="00D76346"/>
    <w:rsid w:val="00D7714D"/>
    <w:rsid w:val="00D84AD5"/>
    <w:rsid w:val="00D84BCD"/>
    <w:rsid w:val="00D86D76"/>
    <w:rsid w:val="00D8786A"/>
    <w:rsid w:val="00D93A4F"/>
    <w:rsid w:val="00D95497"/>
    <w:rsid w:val="00DA2D28"/>
    <w:rsid w:val="00DA7552"/>
    <w:rsid w:val="00DB0C1F"/>
    <w:rsid w:val="00DB13E8"/>
    <w:rsid w:val="00DB322F"/>
    <w:rsid w:val="00DB3877"/>
    <w:rsid w:val="00DB450B"/>
    <w:rsid w:val="00DB60A5"/>
    <w:rsid w:val="00DB714F"/>
    <w:rsid w:val="00DB7425"/>
    <w:rsid w:val="00DB7D37"/>
    <w:rsid w:val="00DB7FBA"/>
    <w:rsid w:val="00DC08F1"/>
    <w:rsid w:val="00DC6706"/>
    <w:rsid w:val="00DD097A"/>
    <w:rsid w:val="00DD1201"/>
    <w:rsid w:val="00DD1E5F"/>
    <w:rsid w:val="00DD298D"/>
    <w:rsid w:val="00DE32B3"/>
    <w:rsid w:val="00DE5087"/>
    <w:rsid w:val="00DF4B76"/>
    <w:rsid w:val="00E02058"/>
    <w:rsid w:val="00E02A64"/>
    <w:rsid w:val="00E05782"/>
    <w:rsid w:val="00E103DE"/>
    <w:rsid w:val="00E118E1"/>
    <w:rsid w:val="00E121E0"/>
    <w:rsid w:val="00E12BB1"/>
    <w:rsid w:val="00E130B8"/>
    <w:rsid w:val="00E140B0"/>
    <w:rsid w:val="00E14BE7"/>
    <w:rsid w:val="00E17D43"/>
    <w:rsid w:val="00E21116"/>
    <w:rsid w:val="00E24ACF"/>
    <w:rsid w:val="00E25D16"/>
    <w:rsid w:val="00E271FE"/>
    <w:rsid w:val="00E3247A"/>
    <w:rsid w:val="00E35B37"/>
    <w:rsid w:val="00E35DFC"/>
    <w:rsid w:val="00E36FE5"/>
    <w:rsid w:val="00E37B45"/>
    <w:rsid w:val="00E419D3"/>
    <w:rsid w:val="00E426E2"/>
    <w:rsid w:val="00E4573B"/>
    <w:rsid w:val="00E45929"/>
    <w:rsid w:val="00E503C2"/>
    <w:rsid w:val="00E5075E"/>
    <w:rsid w:val="00E52E9B"/>
    <w:rsid w:val="00E54021"/>
    <w:rsid w:val="00E54626"/>
    <w:rsid w:val="00E552BD"/>
    <w:rsid w:val="00E6321D"/>
    <w:rsid w:val="00E63CF6"/>
    <w:rsid w:val="00E642C9"/>
    <w:rsid w:val="00E64729"/>
    <w:rsid w:val="00E6546A"/>
    <w:rsid w:val="00E67FCA"/>
    <w:rsid w:val="00E7219E"/>
    <w:rsid w:val="00E732E6"/>
    <w:rsid w:val="00E7607B"/>
    <w:rsid w:val="00E77D66"/>
    <w:rsid w:val="00E801AD"/>
    <w:rsid w:val="00E80656"/>
    <w:rsid w:val="00E86B97"/>
    <w:rsid w:val="00E94092"/>
    <w:rsid w:val="00E94F99"/>
    <w:rsid w:val="00E96B9F"/>
    <w:rsid w:val="00EA1E98"/>
    <w:rsid w:val="00EA3AB7"/>
    <w:rsid w:val="00EA4145"/>
    <w:rsid w:val="00EA54F2"/>
    <w:rsid w:val="00EA5900"/>
    <w:rsid w:val="00EA6225"/>
    <w:rsid w:val="00EB358B"/>
    <w:rsid w:val="00EB500F"/>
    <w:rsid w:val="00EB6E34"/>
    <w:rsid w:val="00EC0A6A"/>
    <w:rsid w:val="00EC1C3B"/>
    <w:rsid w:val="00EC2294"/>
    <w:rsid w:val="00EC35F7"/>
    <w:rsid w:val="00EC4588"/>
    <w:rsid w:val="00EC45E4"/>
    <w:rsid w:val="00EC47B3"/>
    <w:rsid w:val="00EC72E0"/>
    <w:rsid w:val="00ED2E3F"/>
    <w:rsid w:val="00ED6BAB"/>
    <w:rsid w:val="00ED76F2"/>
    <w:rsid w:val="00EE0C79"/>
    <w:rsid w:val="00EE2036"/>
    <w:rsid w:val="00EE2EE7"/>
    <w:rsid w:val="00EE4089"/>
    <w:rsid w:val="00EE68F8"/>
    <w:rsid w:val="00EE7BF7"/>
    <w:rsid w:val="00EF124A"/>
    <w:rsid w:val="00EF6950"/>
    <w:rsid w:val="00EF6ABC"/>
    <w:rsid w:val="00EF79B6"/>
    <w:rsid w:val="00F00D2F"/>
    <w:rsid w:val="00F00FAD"/>
    <w:rsid w:val="00F04D5B"/>
    <w:rsid w:val="00F12E54"/>
    <w:rsid w:val="00F12F21"/>
    <w:rsid w:val="00F1777E"/>
    <w:rsid w:val="00F2030A"/>
    <w:rsid w:val="00F2075B"/>
    <w:rsid w:val="00F22BF8"/>
    <w:rsid w:val="00F2358C"/>
    <w:rsid w:val="00F2380C"/>
    <w:rsid w:val="00F261B0"/>
    <w:rsid w:val="00F26DC4"/>
    <w:rsid w:val="00F3342C"/>
    <w:rsid w:val="00F34A31"/>
    <w:rsid w:val="00F350A7"/>
    <w:rsid w:val="00F35D35"/>
    <w:rsid w:val="00F40553"/>
    <w:rsid w:val="00F411C8"/>
    <w:rsid w:val="00F41E6D"/>
    <w:rsid w:val="00F44159"/>
    <w:rsid w:val="00F4585D"/>
    <w:rsid w:val="00F46DBB"/>
    <w:rsid w:val="00F51546"/>
    <w:rsid w:val="00F527FB"/>
    <w:rsid w:val="00F52A95"/>
    <w:rsid w:val="00F534CF"/>
    <w:rsid w:val="00F53932"/>
    <w:rsid w:val="00F54EBF"/>
    <w:rsid w:val="00F55652"/>
    <w:rsid w:val="00F57558"/>
    <w:rsid w:val="00F61CB8"/>
    <w:rsid w:val="00F6627C"/>
    <w:rsid w:val="00F67323"/>
    <w:rsid w:val="00F71EBD"/>
    <w:rsid w:val="00F7233B"/>
    <w:rsid w:val="00F73EAF"/>
    <w:rsid w:val="00F74371"/>
    <w:rsid w:val="00F77F36"/>
    <w:rsid w:val="00F87D29"/>
    <w:rsid w:val="00F91790"/>
    <w:rsid w:val="00F9774F"/>
    <w:rsid w:val="00FA0650"/>
    <w:rsid w:val="00FA3DEC"/>
    <w:rsid w:val="00FA7A5A"/>
    <w:rsid w:val="00FB06B8"/>
    <w:rsid w:val="00FB1424"/>
    <w:rsid w:val="00FB6935"/>
    <w:rsid w:val="00FB7D8D"/>
    <w:rsid w:val="00FC33EB"/>
    <w:rsid w:val="00FC4F86"/>
    <w:rsid w:val="00FD3A7E"/>
    <w:rsid w:val="00FD3F91"/>
    <w:rsid w:val="00FD3FEF"/>
    <w:rsid w:val="00FD5422"/>
    <w:rsid w:val="00FD5690"/>
    <w:rsid w:val="00FD658E"/>
    <w:rsid w:val="00FD7C11"/>
    <w:rsid w:val="00FE1957"/>
    <w:rsid w:val="00FF65E5"/>
    <w:rsid w:val="00FF69AD"/>
    <w:rsid w:val="00FF6D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E307AE"/>
  <w15:docId w15:val="{A395112C-0166-4308-BB66-F4642215D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nl" w:eastAsia="en-GB"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E17F4"/>
    <w:pPr>
      <w:spacing w:after="80" w:line="480" w:lineRule="auto"/>
      <w:ind w:firstLine="720"/>
    </w:pPr>
    <w:rPr>
      <w:rFonts w:ascii="Times New Roman" w:hAnsi="Times New Roman"/>
      <w:sz w:val="24"/>
    </w:rPr>
  </w:style>
  <w:style w:type="paragraph" w:styleId="Heading1">
    <w:name w:val="heading 1"/>
    <w:basedOn w:val="Normal"/>
    <w:next w:val="Normal"/>
    <w:uiPriority w:val="9"/>
    <w:qFormat/>
    <w:rsid w:val="009E17F4"/>
    <w:pPr>
      <w:keepNext/>
      <w:keepLines/>
      <w:spacing w:after="240" w:line="240" w:lineRule="auto"/>
      <w:ind w:firstLine="0"/>
      <w:outlineLvl w:val="0"/>
    </w:pPr>
    <w:rPr>
      <w:b/>
      <w:sz w:val="28"/>
      <w:szCs w:val="40"/>
    </w:rPr>
  </w:style>
  <w:style w:type="paragraph" w:styleId="Heading2">
    <w:name w:val="heading 2"/>
    <w:basedOn w:val="Normal"/>
    <w:next w:val="Normal"/>
    <w:uiPriority w:val="9"/>
    <w:unhideWhenUsed/>
    <w:qFormat/>
    <w:rsid w:val="009E17F4"/>
    <w:pPr>
      <w:keepNext/>
      <w:keepLines/>
      <w:spacing w:after="240" w:line="240" w:lineRule="auto"/>
      <w:ind w:firstLine="0"/>
      <w:outlineLvl w:val="1"/>
    </w:pPr>
    <w:rPr>
      <w:b/>
      <w:szCs w:val="32"/>
    </w:rPr>
  </w:style>
  <w:style w:type="paragraph" w:styleId="Heading3">
    <w:name w:val="heading 3"/>
    <w:basedOn w:val="Normal"/>
    <w:next w:val="Normal"/>
    <w:uiPriority w:val="9"/>
    <w:unhideWhenUsed/>
    <w:qFormat/>
    <w:rsid w:val="009E17F4"/>
    <w:pPr>
      <w:keepNext/>
      <w:keepLines/>
      <w:spacing w:after="240" w:line="240" w:lineRule="auto"/>
      <w:ind w:firstLine="0"/>
      <w:outlineLvl w:val="2"/>
    </w:pPr>
    <w:rPr>
      <w:b/>
      <w:i/>
      <w:color w:val="434343"/>
      <w:szCs w:val="28"/>
    </w:rPr>
  </w:style>
  <w:style w:type="paragraph" w:styleId="Heading4">
    <w:name w:val="heading 4"/>
    <w:basedOn w:val="Normal"/>
    <w:next w:val="Normal"/>
    <w:uiPriority w:val="9"/>
    <w:semiHidden/>
    <w:unhideWhenUsed/>
    <w:qFormat/>
    <w:pPr>
      <w:keepNext/>
      <w:keepLines/>
      <w:spacing w:before="280"/>
      <w:outlineLvl w:val="3"/>
    </w:pPr>
    <w:rPr>
      <w:color w:val="666666"/>
      <w:szCs w:val="24"/>
    </w:rPr>
  </w:style>
  <w:style w:type="paragraph" w:styleId="Heading5">
    <w:name w:val="heading 5"/>
    <w:basedOn w:val="Normal"/>
    <w:next w:val="Normal"/>
    <w:uiPriority w:val="9"/>
    <w:semiHidden/>
    <w:unhideWhenUsed/>
    <w:qFormat/>
    <w:pPr>
      <w:keepNext/>
      <w:keepLines/>
      <w:spacing w:before="240"/>
      <w:outlineLvl w:val="4"/>
    </w:pPr>
    <w:rPr>
      <w:color w:val="666666"/>
      <w:sz w:val="22"/>
    </w:rPr>
  </w:style>
  <w:style w:type="paragraph" w:styleId="Heading6">
    <w:name w:val="heading 6"/>
    <w:basedOn w:val="Normal"/>
    <w:next w:val="Normal"/>
    <w:uiPriority w:val="9"/>
    <w:semiHidden/>
    <w:unhideWhenUsed/>
    <w:qFormat/>
    <w:pPr>
      <w:keepNext/>
      <w:keepLines/>
      <w:spacing w:before="240"/>
      <w:outlineLvl w:val="5"/>
    </w:pPr>
    <w:rPr>
      <w:i/>
      <w:color w:val="666666"/>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ascii="Arial" w:hAnsi="Arial"/>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E642C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42C9"/>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F261B0"/>
    <w:rPr>
      <w:b/>
      <w:bCs/>
    </w:rPr>
  </w:style>
  <w:style w:type="character" w:customStyle="1" w:styleId="CommentSubjectChar">
    <w:name w:val="Comment Subject Char"/>
    <w:basedOn w:val="CommentTextChar"/>
    <w:link w:val="CommentSubject"/>
    <w:uiPriority w:val="99"/>
    <w:semiHidden/>
    <w:rsid w:val="00F261B0"/>
    <w:rPr>
      <w:rFonts w:ascii="Times New Roman" w:hAnsi="Times New Roman"/>
      <w:b/>
      <w:bCs/>
      <w:sz w:val="20"/>
      <w:szCs w:val="20"/>
    </w:rPr>
  </w:style>
  <w:style w:type="paragraph" w:styleId="Revision">
    <w:name w:val="Revision"/>
    <w:hidden/>
    <w:uiPriority w:val="99"/>
    <w:semiHidden/>
    <w:rsid w:val="005E1A82"/>
    <w:pPr>
      <w:spacing w:line="240" w:lineRule="auto"/>
    </w:pPr>
    <w:rPr>
      <w:rFonts w:ascii="Times New Roman" w:hAnsi="Times New Roman"/>
      <w:sz w:val="24"/>
    </w:rPr>
  </w:style>
  <w:style w:type="character" w:styleId="Hyperlink">
    <w:name w:val="Hyperlink"/>
    <w:basedOn w:val="DefaultParagraphFont"/>
    <w:uiPriority w:val="99"/>
    <w:unhideWhenUsed/>
    <w:rsid w:val="009953B7"/>
    <w:rPr>
      <w:color w:val="0000FF"/>
      <w:u w:val="single"/>
    </w:rPr>
  </w:style>
  <w:style w:type="character" w:styleId="FollowedHyperlink">
    <w:name w:val="FollowedHyperlink"/>
    <w:basedOn w:val="DefaultParagraphFont"/>
    <w:uiPriority w:val="99"/>
    <w:semiHidden/>
    <w:unhideWhenUsed/>
    <w:rsid w:val="007241FB"/>
    <w:rPr>
      <w:color w:val="800080" w:themeColor="followedHyperlink"/>
      <w:u w:val="single"/>
    </w:rPr>
  </w:style>
  <w:style w:type="table" w:styleId="TableGrid">
    <w:name w:val="Table Grid"/>
    <w:basedOn w:val="TableNormal"/>
    <w:uiPriority w:val="39"/>
    <w:rsid w:val="00E96B9F"/>
    <w:pPr>
      <w:spacing w:line="240" w:lineRule="auto"/>
    </w:pPr>
    <w:rPr>
      <w:rFonts w:asciiTheme="minorHAnsi" w:eastAsiaTheme="minorHAnsi" w:hAnsiTheme="minorHAnsi" w:cstheme="minorBid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6A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6A88"/>
    <w:rPr>
      <w:rFonts w:ascii="Times New Roman" w:hAnsi="Times New Roman"/>
      <w:sz w:val="24"/>
    </w:rPr>
  </w:style>
  <w:style w:type="paragraph" w:styleId="Footer">
    <w:name w:val="footer"/>
    <w:basedOn w:val="Normal"/>
    <w:link w:val="FooterChar"/>
    <w:uiPriority w:val="99"/>
    <w:unhideWhenUsed/>
    <w:rsid w:val="00BF6A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6A88"/>
    <w:rPr>
      <w:rFonts w:ascii="Times New Roman" w:hAnsi="Times New Roman"/>
      <w:sz w:val="24"/>
    </w:rPr>
  </w:style>
  <w:style w:type="character" w:styleId="PageNumber">
    <w:name w:val="page number"/>
    <w:basedOn w:val="DefaultParagraphFont"/>
    <w:uiPriority w:val="99"/>
    <w:semiHidden/>
    <w:unhideWhenUsed/>
    <w:rsid w:val="001C5A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927685">
      <w:bodyDiv w:val="1"/>
      <w:marLeft w:val="0"/>
      <w:marRight w:val="0"/>
      <w:marTop w:val="0"/>
      <w:marBottom w:val="0"/>
      <w:divBdr>
        <w:top w:val="none" w:sz="0" w:space="0" w:color="auto"/>
        <w:left w:val="none" w:sz="0" w:space="0" w:color="auto"/>
        <w:bottom w:val="none" w:sz="0" w:space="0" w:color="auto"/>
        <w:right w:val="none" w:sz="0" w:space="0" w:color="auto"/>
      </w:divBdr>
    </w:div>
    <w:div w:id="144783092">
      <w:bodyDiv w:val="1"/>
      <w:marLeft w:val="0"/>
      <w:marRight w:val="0"/>
      <w:marTop w:val="0"/>
      <w:marBottom w:val="0"/>
      <w:divBdr>
        <w:top w:val="none" w:sz="0" w:space="0" w:color="auto"/>
        <w:left w:val="none" w:sz="0" w:space="0" w:color="auto"/>
        <w:bottom w:val="none" w:sz="0" w:space="0" w:color="auto"/>
        <w:right w:val="none" w:sz="0" w:space="0" w:color="auto"/>
      </w:divBdr>
    </w:div>
    <w:div w:id="194854149">
      <w:bodyDiv w:val="1"/>
      <w:marLeft w:val="0"/>
      <w:marRight w:val="0"/>
      <w:marTop w:val="0"/>
      <w:marBottom w:val="0"/>
      <w:divBdr>
        <w:top w:val="none" w:sz="0" w:space="0" w:color="auto"/>
        <w:left w:val="none" w:sz="0" w:space="0" w:color="auto"/>
        <w:bottom w:val="none" w:sz="0" w:space="0" w:color="auto"/>
        <w:right w:val="none" w:sz="0" w:space="0" w:color="auto"/>
      </w:divBdr>
    </w:div>
    <w:div w:id="253244730">
      <w:bodyDiv w:val="1"/>
      <w:marLeft w:val="0"/>
      <w:marRight w:val="0"/>
      <w:marTop w:val="0"/>
      <w:marBottom w:val="0"/>
      <w:divBdr>
        <w:top w:val="none" w:sz="0" w:space="0" w:color="auto"/>
        <w:left w:val="none" w:sz="0" w:space="0" w:color="auto"/>
        <w:bottom w:val="none" w:sz="0" w:space="0" w:color="auto"/>
        <w:right w:val="none" w:sz="0" w:space="0" w:color="auto"/>
      </w:divBdr>
    </w:div>
    <w:div w:id="384986438">
      <w:bodyDiv w:val="1"/>
      <w:marLeft w:val="0"/>
      <w:marRight w:val="0"/>
      <w:marTop w:val="0"/>
      <w:marBottom w:val="0"/>
      <w:divBdr>
        <w:top w:val="none" w:sz="0" w:space="0" w:color="auto"/>
        <w:left w:val="none" w:sz="0" w:space="0" w:color="auto"/>
        <w:bottom w:val="none" w:sz="0" w:space="0" w:color="auto"/>
        <w:right w:val="none" w:sz="0" w:space="0" w:color="auto"/>
      </w:divBdr>
    </w:div>
    <w:div w:id="620957455">
      <w:bodyDiv w:val="1"/>
      <w:marLeft w:val="0"/>
      <w:marRight w:val="0"/>
      <w:marTop w:val="0"/>
      <w:marBottom w:val="0"/>
      <w:divBdr>
        <w:top w:val="none" w:sz="0" w:space="0" w:color="auto"/>
        <w:left w:val="none" w:sz="0" w:space="0" w:color="auto"/>
        <w:bottom w:val="none" w:sz="0" w:space="0" w:color="auto"/>
        <w:right w:val="none" w:sz="0" w:space="0" w:color="auto"/>
      </w:divBdr>
    </w:div>
    <w:div w:id="622927189">
      <w:bodyDiv w:val="1"/>
      <w:marLeft w:val="0"/>
      <w:marRight w:val="0"/>
      <w:marTop w:val="0"/>
      <w:marBottom w:val="0"/>
      <w:divBdr>
        <w:top w:val="none" w:sz="0" w:space="0" w:color="auto"/>
        <w:left w:val="none" w:sz="0" w:space="0" w:color="auto"/>
        <w:bottom w:val="none" w:sz="0" w:space="0" w:color="auto"/>
        <w:right w:val="none" w:sz="0" w:space="0" w:color="auto"/>
      </w:divBdr>
    </w:div>
    <w:div w:id="815299346">
      <w:bodyDiv w:val="1"/>
      <w:marLeft w:val="0"/>
      <w:marRight w:val="0"/>
      <w:marTop w:val="0"/>
      <w:marBottom w:val="0"/>
      <w:divBdr>
        <w:top w:val="none" w:sz="0" w:space="0" w:color="auto"/>
        <w:left w:val="none" w:sz="0" w:space="0" w:color="auto"/>
        <w:bottom w:val="none" w:sz="0" w:space="0" w:color="auto"/>
        <w:right w:val="none" w:sz="0" w:space="0" w:color="auto"/>
      </w:divBdr>
    </w:div>
    <w:div w:id="984088837">
      <w:bodyDiv w:val="1"/>
      <w:marLeft w:val="0"/>
      <w:marRight w:val="0"/>
      <w:marTop w:val="0"/>
      <w:marBottom w:val="0"/>
      <w:divBdr>
        <w:top w:val="none" w:sz="0" w:space="0" w:color="auto"/>
        <w:left w:val="none" w:sz="0" w:space="0" w:color="auto"/>
        <w:bottom w:val="none" w:sz="0" w:space="0" w:color="auto"/>
        <w:right w:val="none" w:sz="0" w:space="0" w:color="auto"/>
      </w:divBdr>
    </w:div>
    <w:div w:id="1183590124">
      <w:bodyDiv w:val="1"/>
      <w:marLeft w:val="0"/>
      <w:marRight w:val="0"/>
      <w:marTop w:val="0"/>
      <w:marBottom w:val="0"/>
      <w:divBdr>
        <w:top w:val="none" w:sz="0" w:space="0" w:color="auto"/>
        <w:left w:val="none" w:sz="0" w:space="0" w:color="auto"/>
        <w:bottom w:val="none" w:sz="0" w:space="0" w:color="auto"/>
        <w:right w:val="none" w:sz="0" w:space="0" w:color="auto"/>
      </w:divBdr>
    </w:div>
    <w:div w:id="1289818650">
      <w:bodyDiv w:val="1"/>
      <w:marLeft w:val="0"/>
      <w:marRight w:val="0"/>
      <w:marTop w:val="0"/>
      <w:marBottom w:val="0"/>
      <w:divBdr>
        <w:top w:val="none" w:sz="0" w:space="0" w:color="auto"/>
        <w:left w:val="none" w:sz="0" w:space="0" w:color="auto"/>
        <w:bottom w:val="none" w:sz="0" w:space="0" w:color="auto"/>
        <w:right w:val="none" w:sz="0" w:space="0" w:color="auto"/>
      </w:divBdr>
    </w:div>
    <w:div w:id="1577671577">
      <w:bodyDiv w:val="1"/>
      <w:marLeft w:val="0"/>
      <w:marRight w:val="0"/>
      <w:marTop w:val="0"/>
      <w:marBottom w:val="0"/>
      <w:divBdr>
        <w:top w:val="none" w:sz="0" w:space="0" w:color="auto"/>
        <w:left w:val="none" w:sz="0" w:space="0" w:color="auto"/>
        <w:bottom w:val="none" w:sz="0" w:space="0" w:color="auto"/>
        <w:right w:val="none" w:sz="0" w:space="0" w:color="auto"/>
      </w:divBdr>
    </w:div>
    <w:div w:id="1723560244">
      <w:bodyDiv w:val="1"/>
      <w:marLeft w:val="0"/>
      <w:marRight w:val="0"/>
      <w:marTop w:val="0"/>
      <w:marBottom w:val="0"/>
      <w:divBdr>
        <w:top w:val="none" w:sz="0" w:space="0" w:color="auto"/>
        <w:left w:val="none" w:sz="0" w:space="0" w:color="auto"/>
        <w:bottom w:val="none" w:sz="0" w:space="0" w:color="auto"/>
        <w:right w:val="none" w:sz="0" w:space="0" w:color="auto"/>
      </w:divBdr>
    </w:div>
    <w:div w:id="1841311852">
      <w:bodyDiv w:val="1"/>
      <w:marLeft w:val="0"/>
      <w:marRight w:val="0"/>
      <w:marTop w:val="0"/>
      <w:marBottom w:val="0"/>
      <w:divBdr>
        <w:top w:val="none" w:sz="0" w:space="0" w:color="auto"/>
        <w:left w:val="none" w:sz="0" w:space="0" w:color="auto"/>
        <w:bottom w:val="none" w:sz="0" w:space="0" w:color="auto"/>
        <w:right w:val="none" w:sz="0" w:space="0" w:color="auto"/>
      </w:divBdr>
    </w:div>
    <w:div w:id="1954439349">
      <w:bodyDiv w:val="1"/>
      <w:marLeft w:val="0"/>
      <w:marRight w:val="0"/>
      <w:marTop w:val="0"/>
      <w:marBottom w:val="0"/>
      <w:divBdr>
        <w:top w:val="none" w:sz="0" w:space="0" w:color="auto"/>
        <w:left w:val="none" w:sz="0" w:space="0" w:color="auto"/>
        <w:bottom w:val="none" w:sz="0" w:space="0" w:color="auto"/>
        <w:right w:val="none" w:sz="0" w:space="0" w:color="auto"/>
      </w:divBdr>
    </w:div>
    <w:div w:id="2044750418">
      <w:bodyDiv w:val="1"/>
      <w:marLeft w:val="0"/>
      <w:marRight w:val="0"/>
      <w:marTop w:val="0"/>
      <w:marBottom w:val="0"/>
      <w:divBdr>
        <w:top w:val="none" w:sz="0" w:space="0" w:color="auto"/>
        <w:left w:val="none" w:sz="0" w:space="0" w:color="auto"/>
        <w:bottom w:val="none" w:sz="0" w:space="0" w:color="auto"/>
        <w:right w:val="none" w:sz="0" w:space="0" w:color="auto"/>
      </w:divBdr>
    </w:div>
    <w:div w:id="2093701983">
      <w:bodyDiv w:val="1"/>
      <w:marLeft w:val="0"/>
      <w:marRight w:val="0"/>
      <w:marTop w:val="0"/>
      <w:marBottom w:val="0"/>
      <w:divBdr>
        <w:top w:val="none" w:sz="0" w:space="0" w:color="auto"/>
        <w:left w:val="none" w:sz="0" w:space="0" w:color="auto"/>
        <w:bottom w:val="none" w:sz="0" w:space="0" w:color="auto"/>
        <w:right w:val="none" w:sz="0" w:space="0" w:color="auto"/>
      </w:divBdr>
    </w:div>
    <w:div w:id="21137419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A753B7-765D-E847-A841-7B8124041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29</Pages>
  <Words>46690</Words>
  <Characters>266133</Characters>
  <Application>Microsoft Office Word</Application>
  <DocSecurity>0</DocSecurity>
  <Lines>2217</Lines>
  <Paragraphs>624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312199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Brenda</dc:creator>
  <cp:lastModifiedBy>yuri milaneschi</cp:lastModifiedBy>
  <cp:revision>7</cp:revision>
  <dcterms:created xsi:type="dcterms:W3CDTF">2021-04-01T13:21:00Z</dcterms:created>
  <dcterms:modified xsi:type="dcterms:W3CDTF">2021-05-14T11:42:00Z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http://www.zotero.org/styles/harvard1</vt:lpwstr>
  </property>
  <property fmtid="{D5CDD505-2E9C-101B-9397-08002B2CF9AE}" pid="9" name="Mendeley Recent Style Name 3_1">
    <vt:lpwstr>Harvard reference format 1 (deprecated)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http://www.zotero.org/styles/molecular-psychiatry</vt:lpwstr>
  </property>
  <property fmtid="{D5CDD505-2E9C-101B-9397-08002B2CF9AE}" pid="15" name="Mendeley Recent Style Name 6_1">
    <vt:lpwstr>Molecular Psychiatry</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http://www.zotero.org/styles/the-pharmacogenomics-journal</vt:lpwstr>
  </property>
  <property fmtid="{D5CDD505-2E9C-101B-9397-08002B2CF9AE}" pid="19" name="Mendeley Recent Style Name 8_1">
    <vt:lpwstr>The Pharmacogenomics Journal</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72dd7985-27cc-3e09-90c9-a249b851f491</vt:lpwstr>
  </property>
  <property fmtid="{D5CDD505-2E9C-101B-9397-08002B2CF9AE}" pid="24" name="Mendeley Citation Style_1">
    <vt:lpwstr>http://www.zotero.org/styles/molecular-psychiatry</vt:lpwstr>
  </property>
</Properties>
</file>