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CCD574" w14:textId="649BAAB6" w:rsidR="007A6FC2" w:rsidRPr="000E79AA" w:rsidRDefault="007F1663" w:rsidP="00CC41BD">
      <w:pPr>
        <w:spacing w:after="160" w:line="276" w:lineRule="auto"/>
        <w:jc w:val="both"/>
        <w:rPr>
          <w:rFonts w:ascii="Times New Roman" w:hAnsi="Times New Roman" w:cs="Times New Roman"/>
          <w:lang w:val="en-AU"/>
        </w:rPr>
      </w:pPr>
      <w:r w:rsidRPr="000E79AA">
        <w:rPr>
          <w:rFonts w:ascii="Times New Roman" w:hAnsi="Times New Roman" w:cs="Times New Roman"/>
          <w:b/>
          <w:lang w:val="en-AU"/>
        </w:rPr>
        <w:t xml:space="preserve">Locus coeruleus integrity </w:t>
      </w:r>
      <w:r w:rsidR="008F5491" w:rsidRPr="000E79AA">
        <w:rPr>
          <w:rFonts w:ascii="Times New Roman" w:hAnsi="Times New Roman" w:cs="Times New Roman"/>
          <w:b/>
          <w:lang w:val="en-AU"/>
        </w:rPr>
        <w:t>and</w:t>
      </w:r>
      <w:r w:rsidRPr="000E79AA">
        <w:rPr>
          <w:rFonts w:ascii="Times New Roman" w:hAnsi="Times New Roman" w:cs="Times New Roman"/>
          <w:b/>
          <w:lang w:val="en-AU"/>
        </w:rPr>
        <w:t xml:space="preserve"> the </w:t>
      </w:r>
      <w:r w:rsidR="002D2768" w:rsidRPr="000E79AA">
        <w:rPr>
          <w:rFonts w:ascii="Times New Roman" w:hAnsi="Times New Roman" w:cs="Times New Roman"/>
          <w:b/>
          <w:lang w:val="en-AU"/>
        </w:rPr>
        <w:t xml:space="preserve">effect of atomoxetine </w:t>
      </w:r>
      <w:r w:rsidR="0002092A" w:rsidRPr="000E79AA">
        <w:rPr>
          <w:rFonts w:ascii="Times New Roman" w:hAnsi="Times New Roman" w:cs="Times New Roman"/>
          <w:b/>
          <w:lang w:val="en-AU"/>
        </w:rPr>
        <w:t>o</w:t>
      </w:r>
      <w:r w:rsidR="002D2768" w:rsidRPr="000E79AA">
        <w:rPr>
          <w:rFonts w:ascii="Times New Roman" w:hAnsi="Times New Roman" w:cs="Times New Roman"/>
          <w:b/>
          <w:lang w:val="en-AU"/>
        </w:rPr>
        <w:t xml:space="preserve">n </w:t>
      </w:r>
      <w:r w:rsidR="007C1D54" w:rsidRPr="000E79AA">
        <w:rPr>
          <w:rFonts w:ascii="Times New Roman" w:hAnsi="Times New Roman" w:cs="Times New Roman"/>
          <w:b/>
          <w:lang w:val="en-AU"/>
        </w:rPr>
        <w:t xml:space="preserve">response inhibition </w:t>
      </w:r>
      <w:r w:rsidR="0002092A" w:rsidRPr="000E79AA">
        <w:rPr>
          <w:rFonts w:ascii="Times New Roman" w:hAnsi="Times New Roman" w:cs="Times New Roman"/>
          <w:b/>
          <w:lang w:val="en-AU"/>
        </w:rPr>
        <w:t>in Parkinson’s disease</w:t>
      </w:r>
    </w:p>
    <w:p w14:paraId="74259FF9" w14:textId="41FBC597" w:rsidR="0002092A" w:rsidRPr="000E79AA" w:rsidRDefault="000A48B9" w:rsidP="00CC41BD">
      <w:pPr>
        <w:spacing w:after="160" w:line="276" w:lineRule="auto"/>
        <w:jc w:val="both"/>
        <w:rPr>
          <w:rFonts w:ascii="Times New Roman" w:hAnsi="Times New Roman" w:cs="Times New Roman"/>
          <w:vertAlign w:val="superscript"/>
          <w:lang w:val="en-AU"/>
        </w:rPr>
      </w:pPr>
      <w:r w:rsidRPr="000E79AA">
        <w:rPr>
          <w:rFonts w:ascii="Times New Roman" w:hAnsi="Times New Roman" w:cs="Times New Roman"/>
          <w:lang w:val="en-AU"/>
        </w:rPr>
        <w:t>Claire O’Callaghan</w:t>
      </w:r>
      <w:r w:rsidRPr="000E79AA">
        <w:rPr>
          <w:rFonts w:ascii="Times New Roman" w:hAnsi="Times New Roman" w:cs="Times New Roman"/>
          <w:vertAlign w:val="superscript"/>
          <w:lang w:val="en-AU"/>
        </w:rPr>
        <w:t>1,2</w:t>
      </w:r>
      <w:r w:rsidR="0078232E" w:rsidRPr="000E79AA">
        <w:rPr>
          <w:rFonts w:ascii="Times New Roman" w:hAnsi="Times New Roman" w:cs="Times New Roman"/>
          <w:vertAlign w:val="superscript"/>
          <w:lang w:val="en-AU"/>
        </w:rPr>
        <w:t>*</w:t>
      </w:r>
      <w:r w:rsidRPr="000E79AA">
        <w:rPr>
          <w:rFonts w:ascii="Times New Roman" w:hAnsi="Times New Roman" w:cs="Times New Roman"/>
          <w:lang w:val="en-AU"/>
        </w:rPr>
        <w:t xml:space="preserve">, </w:t>
      </w:r>
      <w:r w:rsidR="0002092A" w:rsidRPr="000E79AA">
        <w:rPr>
          <w:rFonts w:ascii="Times New Roman" w:hAnsi="Times New Roman" w:cs="Times New Roman"/>
          <w:lang w:val="en-AU"/>
        </w:rPr>
        <w:t>Frank H. Hezemans</w:t>
      </w:r>
      <w:r w:rsidRPr="000E79AA">
        <w:rPr>
          <w:rFonts w:ascii="Times New Roman" w:hAnsi="Times New Roman" w:cs="Times New Roman"/>
          <w:vertAlign w:val="superscript"/>
          <w:lang w:val="en-AU"/>
        </w:rPr>
        <w:t>3</w:t>
      </w:r>
      <w:r w:rsidR="0002092A" w:rsidRPr="000E79AA">
        <w:rPr>
          <w:rFonts w:ascii="Times New Roman" w:hAnsi="Times New Roman" w:cs="Times New Roman"/>
          <w:vertAlign w:val="superscript"/>
          <w:lang w:val="en-AU"/>
        </w:rPr>
        <w:t>,</w:t>
      </w:r>
      <w:r w:rsidRPr="000E79AA">
        <w:rPr>
          <w:rFonts w:ascii="Times New Roman" w:hAnsi="Times New Roman" w:cs="Times New Roman"/>
          <w:vertAlign w:val="superscript"/>
          <w:lang w:val="en-AU"/>
        </w:rPr>
        <w:t>4</w:t>
      </w:r>
      <w:r w:rsidR="0078232E" w:rsidRPr="000E79AA">
        <w:rPr>
          <w:rFonts w:ascii="Times New Roman" w:hAnsi="Times New Roman" w:cs="Times New Roman"/>
          <w:vertAlign w:val="superscript"/>
          <w:lang w:val="en-AU"/>
        </w:rPr>
        <w:t>*</w:t>
      </w:r>
      <w:r w:rsidR="0002092A" w:rsidRPr="000E79AA">
        <w:rPr>
          <w:rFonts w:ascii="Times New Roman" w:hAnsi="Times New Roman" w:cs="Times New Roman"/>
          <w:lang w:val="en-AU"/>
        </w:rPr>
        <w:t>, Rong Ye</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 Catarina Rua</w:t>
      </w:r>
      <w:r w:rsidRPr="000E79AA">
        <w:rPr>
          <w:rFonts w:ascii="Times New Roman" w:hAnsi="Times New Roman" w:cs="Times New Roman"/>
          <w:vertAlign w:val="superscript"/>
          <w:lang w:val="en-AU"/>
        </w:rPr>
        <w:t>4</w:t>
      </w:r>
      <w:r w:rsidR="0002092A" w:rsidRPr="000E79AA">
        <w:rPr>
          <w:rFonts w:ascii="Times New Roman" w:hAnsi="Times New Roman" w:cs="Times New Roman"/>
          <w:vertAlign w:val="superscript"/>
          <w:lang w:val="en-AU"/>
        </w:rPr>
        <w:t>,5</w:t>
      </w:r>
      <w:r w:rsidR="0002092A" w:rsidRPr="000E79AA">
        <w:rPr>
          <w:rFonts w:ascii="Times New Roman" w:hAnsi="Times New Roman" w:cs="Times New Roman"/>
          <w:lang w:val="en-AU"/>
        </w:rPr>
        <w:t>, P. Simon Jones</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 Alexander G. Murley</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 Negin Holland</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 Ralf Regenthal</w:t>
      </w:r>
      <w:r w:rsidRPr="000E79AA">
        <w:rPr>
          <w:rFonts w:ascii="Times New Roman" w:hAnsi="Times New Roman" w:cs="Times New Roman"/>
          <w:vertAlign w:val="superscript"/>
          <w:lang w:val="en-AU"/>
        </w:rPr>
        <w:t>6</w:t>
      </w:r>
      <w:r w:rsidR="0002092A" w:rsidRPr="000E79AA">
        <w:rPr>
          <w:rFonts w:ascii="Times New Roman" w:hAnsi="Times New Roman" w:cs="Times New Roman"/>
          <w:lang w:val="en-AU"/>
        </w:rPr>
        <w:t>, Kamen A. Tsvetanov</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w:t>
      </w:r>
      <w:r w:rsidR="00751E6A" w:rsidRPr="000E79AA">
        <w:rPr>
          <w:rFonts w:ascii="Times New Roman" w:hAnsi="Times New Roman" w:cs="Times New Roman"/>
          <w:lang w:val="en-AU"/>
        </w:rPr>
        <w:t xml:space="preserve"> Noham</w:t>
      </w:r>
      <w:r w:rsidR="00BE5422" w:rsidRPr="000E79AA">
        <w:rPr>
          <w:rFonts w:ascii="Times New Roman" w:hAnsi="Times New Roman" w:cs="Times New Roman"/>
          <w:lang w:val="en-AU"/>
        </w:rPr>
        <w:t xml:space="preserve"> </w:t>
      </w:r>
      <w:r w:rsidR="00751E6A" w:rsidRPr="000E79AA">
        <w:rPr>
          <w:rFonts w:ascii="Times New Roman" w:hAnsi="Times New Roman" w:cs="Times New Roman"/>
          <w:lang w:val="en-AU"/>
        </w:rPr>
        <w:t>Wolpe</w:t>
      </w:r>
      <w:r w:rsidR="0021280C" w:rsidRPr="000E79AA">
        <w:rPr>
          <w:rFonts w:ascii="Times New Roman" w:hAnsi="Times New Roman" w:cs="Times New Roman"/>
          <w:vertAlign w:val="superscript"/>
          <w:lang w:val="en-AU"/>
        </w:rPr>
        <w:t>2</w:t>
      </w:r>
      <w:r w:rsidR="004D5D25" w:rsidRPr="000E79AA">
        <w:rPr>
          <w:rFonts w:ascii="Times New Roman" w:hAnsi="Times New Roman" w:cs="Times New Roman"/>
          <w:vertAlign w:val="superscript"/>
          <w:lang w:val="en-AU"/>
        </w:rPr>
        <w:t>,7</w:t>
      </w:r>
      <w:r w:rsidR="00751E6A" w:rsidRPr="000E79AA">
        <w:rPr>
          <w:rFonts w:ascii="Times New Roman" w:hAnsi="Times New Roman" w:cs="Times New Roman"/>
          <w:lang w:val="en-AU"/>
        </w:rPr>
        <w:t>,</w:t>
      </w:r>
      <w:r w:rsidR="009B2124" w:rsidRPr="000E79AA">
        <w:rPr>
          <w:rFonts w:ascii="Times New Roman" w:hAnsi="Times New Roman" w:cs="Times New Roman"/>
          <w:lang w:val="en-AU"/>
        </w:rPr>
        <w:t xml:space="preserve"> Roger A. Barker</w:t>
      </w:r>
      <w:r w:rsidR="004D5D25" w:rsidRPr="000E79AA">
        <w:rPr>
          <w:rFonts w:ascii="Times New Roman" w:hAnsi="Times New Roman" w:cs="Times New Roman"/>
          <w:vertAlign w:val="superscript"/>
          <w:lang w:val="en-AU"/>
        </w:rPr>
        <w:t>8</w:t>
      </w:r>
      <w:r w:rsidR="00E04281" w:rsidRPr="000E79AA">
        <w:rPr>
          <w:rFonts w:ascii="Times New Roman" w:hAnsi="Times New Roman" w:cs="Times New Roman"/>
          <w:vertAlign w:val="superscript"/>
          <w:lang w:val="en-AU"/>
        </w:rPr>
        <w:t>,</w:t>
      </w:r>
      <w:r w:rsidR="004D5D25" w:rsidRPr="000E79AA">
        <w:rPr>
          <w:rFonts w:ascii="Times New Roman" w:hAnsi="Times New Roman" w:cs="Times New Roman"/>
          <w:vertAlign w:val="superscript"/>
          <w:lang w:val="en-AU"/>
        </w:rPr>
        <w:t>9</w:t>
      </w:r>
      <w:r w:rsidR="009B2124" w:rsidRPr="000E79AA">
        <w:rPr>
          <w:rFonts w:ascii="Times New Roman" w:hAnsi="Times New Roman" w:cs="Times New Roman"/>
          <w:lang w:val="en-AU"/>
        </w:rPr>
        <w:t>, Caroline H. Williams-Gray</w:t>
      </w:r>
      <w:r w:rsidR="004D5D25" w:rsidRPr="000E79AA">
        <w:rPr>
          <w:rFonts w:ascii="Times New Roman" w:hAnsi="Times New Roman" w:cs="Times New Roman"/>
          <w:vertAlign w:val="superscript"/>
          <w:lang w:val="en-AU"/>
        </w:rPr>
        <w:t>8</w:t>
      </w:r>
      <w:r w:rsidR="009B2124" w:rsidRPr="000E79AA">
        <w:rPr>
          <w:rFonts w:ascii="Times New Roman" w:hAnsi="Times New Roman" w:cs="Times New Roman"/>
          <w:lang w:val="en-AU"/>
        </w:rPr>
        <w:t>,</w:t>
      </w:r>
      <w:r w:rsidR="0002092A" w:rsidRPr="000E79AA">
        <w:rPr>
          <w:rFonts w:ascii="Times New Roman" w:hAnsi="Times New Roman" w:cs="Times New Roman"/>
          <w:lang w:val="en-AU"/>
        </w:rPr>
        <w:t xml:space="preserve"> Trevor W. Robbins</w:t>
      </w:r>
      <w:r w:rsidR="004D5D25" w:rsidRPr="000E79AA">
        <w:rPr>
          <w:rFonts w:ascii="Times New Roman" w:hAnsi="Times New Roman" w:cs="Times New Roman"/>
          <w:vertAlign w:val="superscript"/>
          <w:lang w:val="en-AU"/>
        </w:rPr>
        <w:t>10</w:t>
      </w:r>
      <w:r w:rsidR="0002092A" w:rsidRPr="000E79AA">
        <w:rPr>
          <w:rFonts w:ascii="Times New Roman" w:hAnsi="Times New Roman" w:cs="Times New Roman"/>
          <w:vertAlign w:val="superscript"/>
          <w:lang w:val="en-AU"/>
        </w:rPr>
        <w:t>,</w:t>
      </w:r>
      <w:r w:rsidR="00E04281" w:rsidRPr="000E79AA">
        <w:rPr>
          <w:rFonts w:ascii="Times New Roman" w:hAnsi="Times New Roman" w:cs="Times New Roman"/>
          <w:vertAlign w:val="superscript"/>
          <w:lang w:val="en-AU"/>
        </w:rPr>
        <w:t>1</w:t>
      </w:r>
      <w:r w:rsidR="004D5D25" w:rsidRPr="000E79AA">
        <w:rPr>
          <w:rFonts w:ascii="Times New Roman" w:hAnsi="Times New Roman" w:cs="Times New Roman"/>
          <w:vertAlign w:val="superscript"/>
          <w:lang w:val="en-AU"/>
        </w:rPr>
        <w:t>1</w:t>
      </w:r>
      <w:r w:rsidR="0002092A" w:rsidRPr="000E79AA">
        <w:rPr>
          <w:rFonts w:ascii="Times New Roman" w:hAnsi="Times New Roman" w:cs="Times New Roman"/>
          <w:lang w:val="en-AU"/>
        </w:rPr>
        <w:t>, Luca Passamonti</w:t>
      </w:r>
      <w:r w:rsidRPr="000E79AA">
        <w:rPr>
          <w:rFonts w:ascii="Times New Roman" w:hAnsi="Times New Roman" w:cs="Times New Roman"/>
          <w:vertAlign w:val="superscript"/>
          <w:lang w:val="en-AU"/>
        </w:rPr>
        <w:t>4</w:t>
      </w:r>
      <w:r w:rsidR="0002092A" w:rsidRPr="000E79AA">
        <w:rPr>
          <w:rFonts w:ascii="Times New Roman" w:hAnsi="Times New Roman" w:cs="Times New Roman"/>
          <w:lang w:val="en-AU"/>
        </w:rPr>
        <w:t>, James B. Rowe</w:t>
      </w:r>
      <w:r w:rsidRPr="000E79AA">
        <w:rPr>
          <w:rFonts w:ascii="Times New Roman" w:hAnsi="Times New Roman" w:cs="Times New Roman"/>
          <w:vertAlign w:val="superscript"/>
          <w:lang w:val="en-AU"/>
        </w:rPr>
        <w:t>3</w:t>
      </w:r>
      <w:r w:rsidR="0002092A" w:rsidRPr="000E79AA">
        <w:rPr>
          <w:rFonts w:ascii="Times New Roman" w:hAnsi="Times New Roman" w:cs="Times New Roman"/>
          <w:vertAlign w:val="superscript"/>
          <w:lang w:val="en-AU"/>
        </w:rPr>
        <w:t>,</w:t>
      </w:r>
      <w:r w:rsidRPr="000E79AA">
        <w:rPr>
          <w:rFonts w:ascii="Times New Roman" w:hAnsi="Times New Roman" w:cs="Times New Roman"/>
          <w:vertAlign w:val="superscript"/>
          <w:lang w:val="en-AU"/>
        </w:rPr>
        <w:t>4</w:t>
      </w:r>
    </w:p>
    <w:p w14:paraId="627715AE" w14:textId="77777777" w:rsidR="000A48B9" w:rsidRPr="000E79AA" w:rsidRDefault="000A48B9" w:rsidP="00E04281">
      <w:pPr>
        <w:pStyle w:val="ListParagraph"/>
        <w:numPr>
          <w:ilvl w:val="0"/>
          <w:numId w:val="1"/>
        </w:numPr>
        <w:spacing w:after="160" w:line="276" w:lineRule="auto"/>
        <w:jc w:val="both"/>
        <w:rPr>
          <w:lang w:val="en-AU"/>
        </w:rPr>
      </w:pPr>
      <w:r w:rsidRPr="000E79AA">
        <w:rPr>
          <w:lang w:val="en-AU"/>
        </w:rPr>
        <w:t>Brain and Mind Centre</w:t>
      </w:r>
      <w:r w:rsidR="000454D3" w:rsidRPr="000E79AA">
        <w:rPr>
          <w:lang w:val="en-AU"/>
        </w:rPr>
        <w:t xml:space="preserve"> and School of Medical Sciences, Faculty of Medicine and Health</w:t>
      </w:r>
      <w:r w:rsidRPr="000E79AA">
        <w:rPr>
          <w:lang w:val="en-AU"/>
        </w:rPr>
        <w:t>, University of Sydney, Australia</w:t>
      </w:r>
    </w:p>
    <w:p w14:paraId="0D87A8BA" w14:textId="77777777" w:rsidR="000A48B9" w:rsidRPr="000E79AA" w:rsidRDefault="000A48B9" w:rsidP="00E04281">
      <w:pPr>
        <w:pStyle w:val="ListParagraph"/>
        <w:numPr>
          <w:ilvl w:val="0"/>
          <w:numId w:val="1"/>
        </w:numPr>
        <w:spacing w:after="160" w:line="276" w:lineRule="auto"/>
        <w:jc w:val="both"/>
        <w:rPr>
          <w:lang w:val="en-AU"/>
        </w:rPr>
      </w:pPr>
      <w:r w:rsidRPr="000E79AA">
        <w:rPr>
          <w:lang w:val="en-AU"/>
        </w:rPr>
        <w:t>Department of Psychiatry, University of Cambridge, UK</w:t>
      </w:r>
    </w:p>
    <w:p w14:paraId="2860AC5B" w14:textId="77777777" w:rsidR="0002092A" w:rsidRPr="000E79AA" w:rsidRDefault="0002092A" w:rsidP="00E04281">
      <w:pPr>
        <w:pStyle w:val="ListParagraph"/>
        <w:numPr>
          <w:ilvl w:val="0"/>
          <w:numId w:val="1"/>
        </w:numPr>
        <w:spacing w:after="160" w:line="276" w:lineRule="auto"/>
        <w:jc w:val="both"/>
        <w:rPr>
          <w:lang w:val="en-AU"/>
        </w:rPr>
      </w:pPr>
      <w:r w:rsidRPr="000E79AA">
        <w:rPr>
          <w:lang w:val="en-AU"/>
        </w:rPr>
        <w:t>MRC Cognition and Brain Sciences Unit, University of Cambridge, UK</w:t>
      </w:r>
    </w:p>
    <w:p w14:paraId="1FC0EF29" w14:textId="77777777" w:rsidR="0002092A" w:rsidRPr="000E79AA" w:rsidRDefault="0002092A" w:rsidP="00E04281">
      <w:pPr>
        <w:pStyle w:val="ListParagraph"/>
        <w:numPr>
          <w:ilvl w:val="0"/>
          <w:numId w:val="1"/>
        </w:numPr>
        <w:spacing w:after="160" w:line="276" w:lineRule="auto"/>
        <w:jc w:val="both"/>
        <w:rPr>
          <w:lang w:val="en-AU"/>
        </w:rPr>
      </w:pPr>
      <w:r w:rsidRPr="000E79AA">
        <w:rPr>
          <w:lang w:val="en-AU"/>
        </w:rPr>
        <w:t>Department of Clinical Neurosciences, University of Cambridge, UK</w:t>
      </w:r>
    </w:p>
    <w:p w14:paraId="47A3B20A" w14:textId="77777777" w:rsidR="0002092A" w:rsidRPr="000E79AA" w:rsidRDefault="0002092A" w:rsidP="00E04281">
      <w:pPr>
        <w:pStyle w:val="ListParagraph"/>
        <w:numPr>
          <w:ilvl w:val="0"/>
          <w:numId w:val="1"/>
        </w:numPr>
        <w:spacing w:after="160" w:line="276" w:lineRule="auto"/>
        <w:jc w:val="both"/>
        <w:rPr>
          <w:lang w:val="en-AU"/>
        </w:rPr>
      </w:pPr>
      <w:r w:rsidRPr="000E79AA">
        <w:rPr>
          <w:lang w:val="en-AU"/>
        </w:rPr>
        <w:t>Wolfson Brain Imaging Centre, University of Cambridge, UK</w:t>
      </w:r>
    </w:p>
    <w:p w14:paraId="6DF201AC" w14:textId="5CDC4EAD" w:rsidR="002B7968" w:rsidRPr="000E79AA" w:rsidRDefault="008A317A" w:rsidP="00E04281">
      <w:pPr>
        <w:pStyle w:val="ListParagraph"/>
        <w:numPr>
          <w:ilvl w:val="0"/>
          <w:numId w:val="1"/>
        </w:numPr>
        <w:spacing w:after="160" w:line="276" w:lineRule="auto"/>
        <w:jc w:val="both"/>
        <w:rPr>
          <w:lang w:val="en-AU"/>
        </w:rPr>
      </w:pPr>
      <w:r w:rsidRPr="000E79AA">
        <w:rPr>
          <w:lang w:val="en-AU"/>
        </w:rPr>
        <w:t xml:space="preserve">Division of Clinical Pharmacology, </w:t>
      </w:r>
      <w:r w:rsidR="0002092A" w:rsidRPr="000E79AA">
        <w:rPr>
          <w:lang w:val="en-AU"/>
        </w:rPr>
        <w:t>Rudolf-Boehm-Institute for Pharmacology and Toxicology, University of Leipzig, Germany</w:t>
      </w:r>
    </w:p>
    <w:p w14:paraId="0AC32AB4" w14:textId="13079062" w:rsidR="004D5D25" w:rsidRPr="000E79AA" w:rsidRDefault="004D5D25" w:rsidP="00E04281">
      <w:pPr>
        <w:pStyle w:val="ListParagraph"/>
        <w:numPr>
          <w:ilvl w:val="0"/>
          <w:numId w:val="1"/>
        </w:numPr>
        <w:spacing w:after="160" w:line="276" w:lineRule="auto"/>
        <w:jc w:val="both"/>
        <w:rPr>
          <w:lang w:val="en-AU"/>
        </w:rPr>
      </w:pPr>
      <w:r w:rsidRPr="000E79AA">
        <w:rPr>
          <w:lang w:val="en-AU"/>
        </w:rPr>
        <w:t>Department of Physical Therapy, Faculty of Medicine, Tel Aviv University, Israel</w:t>
      </w:r>
    </w:p>
    <w:p w14:paraId="78370DBB" w14:textId="77777777" w:rsidR="002B7968" w:rsidRPr="000E79AA" w:rsidRDefault="002B7968" w:rsidP="00E04281">
      <w:pPr>
        <w:pStyle w:val="ListParagraph"/>
        <w:numPr>
          <w:ilvl w:val="0"/>
          <w:numId w:val="1"/>
        </w:numPr>
        <w:spacing w:after="160" w:line="276" w:lineRule="auto"/>
        <w:jc w:val="both"/>
        <w:rPr>
          <w:lang w:val="en-AU"/>
        </w:rPr>
      </w:pPr>
      <w:r w:rsidRPr="000E79AA">
        <w:rPr>
          <w:rFonts w:eastAsia="Times New Roman"/>
          <w:lang w:val="en-AU"/>
        </w:rPr>
        <w:t>John van Geest Centre for Brain Repair, Department of Clinical Neurosciences, University of Cambridge, Cambridge, UK</w:t>
      </w:r>
    </w:p>
    <w:p w14:paraId="7316AEA6" w14:textId="77777777" w:rsidR="00E04281" w:rsidRPr="000E79AA" w:rsidRDefault="00E04281" w:rsidP="00E04281">
      <w:pPr>
        <w:pStyle w:val="ListParagraph"/>
        <w:numPr>
          <w:ilvl w:val="0"/>
          <w:numId w:val="1"/>
        </w:numPr>
        <w:spacing w:line="276" w:lineRule="auto"/>
        <w:rPr>
          <w:rFonts w:eastAsia="Times New Roman"/>
          <w:lang w:val="en-AU"/>
        </w:rPr>
      </w:pPr>
      <w:r w:rsidRPr="000E79AA">
        <w:rPr>
          <w:rFonts w:eastAsia="Times New Roman"/>
          <w:lang w:val="en-AU"/>
        </w:rPr>
        <w:t>Wellcome Trust - Medical Research Council Stem Cell Institute, University of Cambridge, Cambridge, UK</w:t>
      </w:r>
    </w:p>
    <w:p w14:paraId="48370FEA" w14:textId="77777777" w:rsidR="0002092A" w:rsidRPr="000E79AA" w:rsidRDefault="0002092A" w:rsidP="00E04281">
      <w:pPr>
        <w:pStyle w:val="ListParagraph"/>
        <w:numPr>
          <w:ilvl w:val="0"/>
          <w:numId w:val="1"/>
        </w:numPr>
        <w:spacing w:after="160" w:line="276" w:lineRule="auto"/>
        <w:jc w:val="both"/>
        <w:rPr>
          <w:lang w:val="en-AU"/>
        </w:rPr>
      </w:pPr>
      <w:r w:rsidRPr="000E79AA">
        <w:rPr>
          <w:lang w:val="en-AU"/>
        </w:rPr>
        <w:t>Department of Psychology, University of Cambridge, UK</w:t>
      </w:r>
    </w:p>
    <w:p w14:paraId="036A565C" w14:textId="77777777" w:rsidR="0002092A" w:rsidRPr="000E79AA" w:rsidRDefault="0002092A" w:rsidP="00E04281">
      <w:pPr>
        <w:pStyle w:val="ListParagraph"/>
        <w:numPr>
          <w:ilvl w:val="0"/>
          <w:numId w:val="1"/>
        </w:numPr>
        <w:spacing w:after="160" w:line="276" w:lineRule="auto"/>
        <w:jc w:val="both"/>
        <w:rPr>
          <w:lang w:val="en-AU"/>
        </w:rPr>
      </w:pPr>
      <w:r w:rsidRPr="000E79AA">
        <w:rPr>
          <w:lang w:val="en-AU"/>
        </w:rPr>
        <w:t>Behavioural and Clinical Neuroscience Institute, University of Cambridge, UK</w:t>
      </w:r>
    </w:p>
    <w:p w14:paraId="217FAC70" w14:textId="77777777" w:rsidR="007A6FC2" w:rsidRPr="000E79AA" w:rsidRDefault="007A6FC2" w:rsidP="00CC41BD">
      <w:pPr>
        <w:spacing w:after="160" w:line="276" w:lineRule="auto"/>
        <w:jc w:val="both"/>
        <w:rPr>
          <w:rFonts w:ascii="Times New Roman" w:hAnsi="Times New Roman" w:cs="Times New Roman"/>
          <w:lang w:val="en-AU"/>
        </w:rPr>
      </w:pPr>
    </w:p>
    <w:p w14:paraId="3C9E4490" w14:textId="4D0A5926" w:rsidR="00FF1AC0" w:rsidRPr="000E79AA" w:rsidRDefault="004F5FF8" w:rsidP="00CC41BD">
      <w:pPr>
        <w:spacing w:after="160" w:line="276" w:lineRule="auto"/>
        <w:jc w:val="both"/>
        <w:rPr>
          <w:rFonts w:ascii="Times New Roman" w:hAnsi="Times New Roman" w:cs="Times New Roman"/>
          <w:lang w:val="en-AU"/>
        </w:rPr>
        <w:sectPr w:rsidR="00FF1AC0" w:rsidRPr="000E79AA" w:rsidSect="00BF50DA">
          <w:footerReference w:type="even" r:id="rId7"/>
          <w:footerReference w:type="default" r:id="rId8"/>
          <w:pgSz w:w="11900" w:h="16840"/>
          <w:pgMar w:top="1440" w:right="1440" w:bottom="1440" w:left="1440" w:header="708" w:footer="708" w:gutter="0"/>
          <w:cols w:space="708"/>
          <w:docGrid w:linePitch="360"/>
        </w:sectPr>
      </w:pPr>
      <w:r w:rsidRPr="000E79AA">
        <w:rPr>
          <w:rFonts w:ascii="Times New Roman" w:hAnsi="Times New Roman" w:cs="Times New Roman"/>
          <w:lang w:val="en-AU"/>
        </w:rPr>
        <w:t>*Joint first authors</w:t>
      </w:r>
    </w:p>
    <w:p w14:paraId="1EB91AF6" w14:textId="77777777" w:rsidR="000D5634" w:rsidRPr="000E79AA" w:rsidRDefault="000D5634" w:rsidP="00CC41BD">
      <w:pPr>
        <w:spacing w:after="160" w:line="276" w:lineRule="auto"/>
        <w:jc w:val="both"/>
        <w:rPr>
          <w:rFonts w:ascii="Times New Roman" w:hAnsi="Times New Roman" w:cs="Times New Roman"/>
          <w:b/>
          <w:lang w:val="en-AU"/>
        </w:rPr>
        <w:sectPr w:rsidR="000D5634" w:rsidRPr="000E79AA" w:rsidSect="00FF1AC0">
          <w:type w:val="continuous"/>
          <w:pgSz w:w="11900" w:h="16840"/>
          <w:pgMar w:top="1440" w:right="1440" w:bottom="1440" w:left="1440" w:header="708" w:footer="708" w:gutter="0"/>
          <w:cols w:space="708"/>
          <w:docGrid w:linePitch="360"/>
        </w:sectPr>
      </w:pPr>
    </w:p>
    <w:p w14:paraId="3E4C1041" w14:textId="77777777" w:rsidR="000D56E4" w:rsidRPr="000E79AA" w:rsidRDefault="000D56E4" w:rsidP="00CC41BD">
      <w:pPr>
        <w:spacing w:after="160" w:line="276" w:lineRule="auto"/>
        <w:jc w:val="both"/>
        <w:rPr>
          <w:rFonts w:ascii="Times New Roman" w:hAnsi="Times New Roman" w:cs="Times New Roman"/>
          <w:lang w:val="en-AU"/>
        </w:rPr>
      </w:pPr>
      <w:r w:rsidRPr="000E79AA">
        <w:rPr>
          <w:rFonts w:ascii="Times New Roman" w:hAnsi="Times New Roman" w:cs="Times New Roman"/>
          <w:b/>
          <w:lang w:val="en-AU"/>
        </w:rPr>
        <w:t xml:space="preserve">Corresponding authors: </w:t>
      </w:r>
    </w:p>
    <w:p w14:paraId="071872FF" w14:textId="77777777" w:rsidR="007A6FC2" w:rsidRPr="000E79AA" w:rsidRDefault="000D56E4" w:rsidP="00CC41BD">
      <w:pPr>
        <w:spacing w:after="160" w:line="276" w:lineRule="auto"/>
        <w:jc w:val="both"/>
        <w:rPr>
          <w:rFonts w:ascii="Times New Roman" w:hAnsi="Times New Roman" w:cs="Times New Roman"/>
          <w:lang w:val="en-AU"/>
        </w:rPr>
      </w:pPr>
      <w:r w:rsidRPr="000E79AA">
        <w:rPr>
          <w:rFonts w:ascii="Times New Roman" w:hAnsi="Times New Roman" w:cs="Times New Roman"/>
          <w:lang w:val="en-AU"/>
        </w:rPr>
        <w:t>Claire O’Callaghan</w:t>
      </w:r>
    </w:p>
    <w:p w14:paraId="50004AE5" w14:textId="77777777" w:rsidR="000D56E4" w:rsidRPr="000E79AA" w:rsidRDefault="000D56E4" w:rsidP="00CC41BD">
      <w:pPr>
        <w:spacing w:after="160" w:line="276" w:lineRule="auto"/>
        <w:jc w:val="both"/>
        <w:rPr>
          <w:rFonts w:ascii="Times New Roman" w:hAnsi="Times New Roman" w:cs="Times New Roman"/>
          <w:lang w:val="en-AU"/>
        </w:rPr>
      </w:pPr>
      <w:r w:rsidRPr="000E79AA">
        <w:rPr>
          <w:rFonts w:ascii="Times New Roman" w:hAnsi="Times New Roman" w:cs="Times New Roman"/>
          <w:lang w:val="en-AU"/>
        </w:rPr>
        <w:t>Brain and Mind Centre</w:t>
      </w:r>
      <w:r w:rsidR="008B7C1A" w:rsidRPr="000E79AA">
        <w:rPr>
          <w:rFonts w:ascii="Times New Roman" w:hAnsi="Times New Roman" w:cs="Times New Roman"/>
          <w:lang w:val="en-AU"/>
        </w:rPr>
        <w:tab/>
      </w:r>
    </w:p>
    <w:p w14:paraId="36461E1D" w14:textId="77777777" w:rsidR="000D56E4" w:rsidRPr="000E79AA" w:rsidRDefault="000D56E4" w:rsidP="00CC41BD">
      <w:pPr>
        <w:spacing w:after="160" w:line="276" w:lineRule="auto"/>
        <w:jc w:val="both"/>
        <w:rPr>
          <w:rFonts w:ascii="Times New Roman" w:hAnsi="Times New Roman" w:cs="Times New Roman"/>
          <w:lang w:val="en-AU"/>
        </w:rPr>
      </w:pPr>
      <w:r w:rsidRPr="000E79AA">
        <w:rPr>
          <w:rFonts w:ascii="Times New Roman" w:hAnsi="Times New Roman" w:cs="Times New Roman"/>
          <w:lang w:val="en-AU"/>
        </w:rPr>
        <w:t>94 Mallett Street</w:t>
      </w:r>
      <w:r w:rsidR="007A6FC2" w:rsidRPr="000E79AA">
        <w:rPr>
          <w:rFonts w:ascii="Times New Roman" w:hAnsi="Times New Roman" w:cs="Times New Roman"/>
          <w:lang w:val="en-AU"/>
        </w:rPr>
        <w:t xml:space="preserve">, </w:t>
      </w:r>
      <w:r w:rsidRPr="000E79AA">
        <w:rPr>
          <w:rFonts w:ascii="Times New Roman" w:hAnsi="Times New Roman" w:cs="Times New Roman"/>
          <w:lang w:val="en-AU"/>
        </w:rPr>
        <w:t>Camperdown NSW 2050</w:t>
      </w:r>
    </w:p>
    <w:p w14:paraId="3AFE2018" w14:textId="77777777" w:rsidR="00FF1AC0" w:rsidRPr="000E79AA" w:rsidRDefault="00FF1AC0" w:rsidP="00CC41BD">
      <w:pPr>
        <w:spacing w:after="160" w:line="276" w:lineRule="auto"/>
        <w:jc w:val="both"/>
        <w:rPr>
          <w:rFonts w:ascii="Times New Roman" w:hAnsi="Times New Roman" w:cs="Times New Roman"/>
          <w:lang w:val="en-AU"/>
        </w:rPr>
      </w:pPr>
      <w:r w:rsidRPr="000E79AA">
        <w:rPr>
          <w:rFonts w:ascii="Times New Roman" w:hAnsi="Times New Roman" w:cs="Times New Roman"/>
          <w:lang w:val="en-AU"/>
        </w:rPr>
        <w:t>Australia</w:t>
      </w:r>
    </w:p>
    <w:p w14:paraId="4221FF3A" w14:textId="77777777" w:rsidR="001260A1" w:rsidRPr="000E79AA" w:rsidRDefault="00FF1AC0" w:rsidP="00CC41BD">
      <w:pPr>
        <w:spacing w:after="160" w:line="276" w:lineRule="auto"/>
        <w:jc w:val="both"/>
        <w:rPr>
          <w:rFonts w:ascii="Times New Roman" w:hAnsi="Times New Roman" w:cs="Times New Roman"/>
          <w:lang w:val="en-AU"/>
        </w:rPr>
      </w:pPr>
      <w:r w:rsidRPr="000E79AA">
        <w:rPr>
          <w:rFonts w:ascii="Times New Roman" w:hAnsi="Times New Roman" w:cs="Times New Roman"/>
          <w:lang w:val="en-AU"/>
        </w:rPr>
        <w:t>+61 (02) 9351 0702</w:t>
      </w:r>
    </w:p>
    <w:p w14:paraId="2983B0DF" w14:textId="29F3FD15" w:rsidR="004A0B3D" w:rsidRPr="000E79AA" w:rsidRDefault="00210CAC" w:rsidP="00CC41BD">
      <w:pPr>
        <w:spacing w:after="160" w:line="276" w:lineRule="auto"/>
        <w:jc w:val="both"/>
        <w:rPr>
          <w:rFonts w:ascii="Times New Roman" w:hAnsi="Times New Roman" w:cs="Times New Roman"/>
          <w:lang w:val="en-AU"/>
        </w:rPr>
      </w:pPr>
      <w:hyperlink r:id="rId9" w:history="1">
        <w:r w:rsidR="004A0B3D" w:rsidRPr="000E79AA">
          <w:rPr>
            <w:rStyle w:val="Hyperlink"/>
            <w:rFonts w:ascii="Times New Roman" w:hAnsi="Times New Roman" w:cs="Times New Roman"/>
            <w:lang w:val="en-AU"/>
          </w:rPr>
          <w:t>claire.ocallaghan@sydney.edu.au</w:t>
        </w:r>
      </w:hyperlink>
    </w:p>
    <w:p w14:paraId="6B02FA5C" w14:textId="77777777" w:rsidR="00FF1AC0" w:rsidRPr="000E79AA" w:rsidRDefault="00FF1AC0" w:rsidP="00CC41BD">
      <w:pPr>
        <w:spacing w:after="160" w:line="276" w:lineRule="auto"/>
        <w:jc w:val="both"/>
        <w:rPr>
          <w:rFonts w:ascii="Times New Roman" w:hAnsi="Times New Roman" w:cs="Times New Roman"/>
          <w:lang w:val="en-AU"/>
        </w:rPr>
      </w:pPr>
    </w:p>
    <w:p w14:paraId="6C4B7C14" w14:textId="77777777" w:rsidR="00FF1AC0" w:rsidRPr="000E79AA" w:rsidRDefault="00FF1AC0" w:rsidP="00CC41BD">
      <w:pPr>
        <w:spacing w:after="160" w:line="276" w:lineRule="auto"/>
        <w:ind w:left="426"/>
        <w:jc w:val="both"/>
        <w:rPr>
          <w:rFonts w:ascii="Times New Roman" w:hAnsi="Times New Roman" w:cs="Times New Roman"/>
          <w:lang w:val="en-AU"/>
        </w:rPr>
      </w:pPr>
      <w:r w:rsidRPr="000E79AA">
        <w:rPr>
          <w:rFonts w:ascii="Times New Roman" w:hAnsi="Times New Roman" w:cs="Times New Roman"/>
          <w:lang w:val="en-AU"/>
        </w:rPr>
        <w:t>Frank H. Hezemans</w:t>
      </w:r>
    </w:p>
    <w:p w14:paraId="26E3F165" w14:textId="77777777" w:rsidR="00FF1AC0" w:rsidRPr="000E79AA" w:rsidRDefault="00FF1AC0" w:rsidP="00CC41BD">
      <w:pPr>
        <w:spacing w:after="160" w:line="276" w:lineRule="auto"/>
        <w:ind w:left="426"/>
        <w:jc w:val="both"/>
        <w:rPr>
          <w:rFonts w:ascii="Times New Roman" w:hAnsi="Times New Roman" w:cs="Times New Roman"/>
          <w:lang w:val="en-AU"/>
        </w:rPr>
      </w:pPr>
      <w:r w:rsidRPr="000E79AA">
        <w:rPr>
          <w:rFonts w:ascii="Times New Roman" w:hAnsi="Times New Roman" w:cs="Times New Roman"/>
          <w:lang w:val="en-AU"/>
        </w:rPr>
        <w:t>MRC Cognition and Brain Sciences Unit</w:t>
      </w:r>
    </w:p>
    <w:p w14:paraId="11B07959" w14:textId="77777777" w:rsidR="00FF1AC0" w:rsidRPr="000E79AA" w:rsidRDefault="00FF1AC0" w:rsidP="00CC41BD">
      <w:pPr>
        <w:spacing w:after="160" w:line="276" w:lineRule="auto"/>
        <w:ind w:left="426"/>
        <w:jc w:val="both"/>
        <w:rPr>
          <w:rFonts w:ascii="Times New Roman" w:hAnsi="Times New Roman" w:cs="Times New Roman"/>
          <w:lang w:val="en-AU"/>
        </w:rPr>
      </w:pPr>
      <w:r w:rsidRPr="000E79AA">
        <w:rPr>
          <w:rFonts w:ascii="Times New Roman" w:hAnsi="Times New Roman" w:cs="Times New Roman"/>
          <w:lang w:val="en-AU"/>
        </w:rPr>
        <w:t>15 Chaucer Road, Cambridge CB2 7EF</w:t>
      </w:r>
    </w:p>
    <w:p w14:paraId="3A2C1403" w14:textId="77777777" w:rsidR="00FF1AC0" w:rsidRPr="000E79AA" w:rsidRDefault="00FF1AC0" w:rsidP="00CC41BD">
      <w:pPr>
        <w:spacing w:after="160" w:line="276" w:lineRule="auto"/>
        <w:ind w:left="426"/>
        <w:jc w:val="both"/>
        <w:rPr>
          <w:rFonts w:ascii="Times New Roman" w:hAnsi="Times New Roman" w:cs="Times New Roman"/>
          <w:lang w:val="en-AU"/>
        </w:rPr>
      </w:pPr>
      <w:r w:rsidRPr="000E79AA">
        <w:rPr>
          <w:rFonts w:ascii="Times New Roman" w:hAnsi="Times New Roman" w:cs="Times New Roman"/>
          <w:lang w:val="en-AU"/>
        </w:rPr>
        <w:t>United Kingdom</w:t>
      </w:r>
    </w:p>
    <w:p w14:paraId="48089846" w14:textId="77777777" w:rsidR="00FF1AC0" w:rsidRPr="000E79AA" w:rsidRDefault="00FF1AC0" w:rsidP="00CC41BD">
      <w:pPr>
        <w:spacing w:after="160" w:line="276" w:lineRule="auto"/>
        <w:ind w:left="426"/>
        <w:jc w:val="both"/>
        <w:rPr>
          <w:rFonts w:ascii="Times New Roman" w:hAnsi="Times New Roman" w:cs="Times New Roman"/>
          <w:lang w:val="en-AU"/>
        </w:rPr>
      </w:pPr>
      <w:r w:rsidRPr="000E79AA">
        <w:rPr>
          <w:rFonts w:ascii="Times New Roman" w:hAnsi="Times New Roman" w:cs="Times New Roman"/>
          <w:lang w:val="en-AU"/>
        </w:rPr>
        <w:t xml:space="preserve"> +44 1223 766166</w:t>
      </w:r>
    </w:p>
    <w:p w14:paraId="36149707" w14:textId="798622DA" w:rsidR="00FF1AC0" w:rsidRPr="000E79AA" w:rsidRDefault="00210CAC" w:rsidP="004A0B3D">
      <w:pPr>
        <w:spacing w:after="160" w:line="276" w:lineRule="auto"/>
        <w:ind w:left="426"/>
        <w:jc w:val="both"/>
        <w:rPr>
          <w:rFonts w:ascii="Times New Roman" w:hAnsi="Times New Roman" w:cs="Times New Roman"/>
          <w:lang w:val="en-AU"/>
        </w:rPr>
        <w:sectPr w:rsidR="00FF1AC0" w:rsidRPr="000E79AA" w:rsidSect="000D5634">
          <w:type w:val="continuous"/>
          <w:pgSz w:w="11900" w:h="16840"/>
          <w:pgMar w:top="1440" w:right="1440" w:bottom="1440" w:left="1440" w:header="708" w:footer="708" w:gutter="0"/>
          <w:cols w:num="2" w:space="230"/>
          <w:docGrid w:linePitch="360"/>
        </w:sectPr>
      </w:pPr>
      <w:hyperlink r:id="rId10" w:history="1">
        <w:r w:rsidR="00FF1AC0" w:rsidRPr="000E79AA">
          <w:rPr>
            <w:rStyle w:val="Hyperlink"/>
            <w:rFonts w:ascii="Times New Roman" w:hAnsi="Times New Roman" w:cs="Times New Roman"/>
            <w:lang w:val="en-AU"/>
          </w:rPr>
          <w:t>Frank.Hezemans@mrc-cbu.cam.ac.uk</w:t>
        </w:r>
      </w:hyperlink>
    </w:p>
    <w:p w14:paraId="4EF2B41E" w14:textId="77777777" w:rsidR="000D5634" w:rsidRPr="000E79AA" w:rsidRDefault="000D5634" w:rsidP="00CC41BD">
      <w:pPr>
        <w:spacing w:after="160" w:line="276" w:lineRule="auto"/>
        <w:jc w:val="both"/>
        <w:rPr>
          <w:rFonts w:ascii="Times New Roman" w:hAnsi="Times New Roman" w:cs="Times New Roman"/>
          <w:lang w:val="en-AU"/>
        </w:rPr>
        <w:sectPr w:rsidR="000D5634" w:rsidRPr="000E79AA" w:rsidSect="000809D6">
          <w:type w:val="continuous"/>
          <w:pgSz w:w="11900" w:h="16840"/>
          <w:pgMar w:top="1440" w:right="1440" w:bottom="1440" w:left="1440" w:header="708" w:footer="708" w:gutter="0"/>
          <w:cols w:space="230"/>
          <w:docGrid w:linePitch="360"/>
        </w:sectPr>
      </w:pPr>
    </w:p>
    <w:p w14:paraId="4FF4D52A" w14:textId="77777777" w:rsidR="00FF1AC0" w:rsidRPr="000E79AA" w:rsidRDefault="00FF1AC0" w:rsidP="00CC41BD">
      <w:pPr>
        <w:spacing w:after="160" w:line="276" w:lineRule="auto"/>
        <w:jc w:val="both"/>
        <w:rPr>
          <w:rFonts w:ascii="Times New Roman" w:hAnsi="Times New Roman" w:cs="Times New Roman"/>
          <w:lang w:val="en-AU"/>
        </w:rPr>
      </w:pPr>
      <w:r w:rsidRPr="000E79AA">
        <w:rPr>
          <w:rFonts w:ascii="Times New Roman" w:hAnsi="Times New Roman" w:cs="Times New Roman"/>
          <w:b/>
          <w:bCs/>
          <w:lang w:val="en-AU"/>
        </w:rPr>
        <w:t>Key words:</w:t>
      </w:r>
      <w:r w:rsidR="00B426CA" w:rsidRPr="000E79AA">
        <w:rPr>
          <w:rFonts w:ascii="Times New Roman" w:hAnsi="Times New Roman" w:cs="Times New Roman"/>
          <w:b/>
          <w:bCs/>
          <w:lang w:val="en-AU"/>
        </w:rPr>
        <w:t xml:space="preserve"> </w:t>
      </w:r>
      <w:r w:rsidR="00B426CA" w:rsidRPr="000E79AA">
        <w:rPr>
          <w:rFonts w:ascii="Times New Roman" w:hAnsi="Times New Roman" w:cs="Times New Roman"/>
          <w:lang w:val="en-AU"/>
        </w:rPr>
        <w:t>Parkinson’s disease; response inhibition; nor</w:t>
      </w:r>
      <w:r w:rsidR="00472CAD" w:rsidRPr="000E79AA">
        <w:rPr>
          <w:rFonts w:ascii="Times New Roman" w:hAnsi="Times New Roman" w:cs="Times New Roman"/>
          <w:lang w:val="en-AU"/>
        </w:rPr>
        <w:t xml:space="preserve">adrenaline; atomoxetine; locus coeruleus; </w:t>
      </w:r>
      <w:r w:rsidR="00B36753" w:rsidRPr="000E79AA">
        <w:rPr>
          <w:rFonts w:ascii="Times New Roman" w:hAnsi="Times New Roman" w:cs="Times New Roman"/>
          <w:lang w:val="en-AU"/>
        </w:rPr>
        <w:t>neuromelanin imaging</w:t>
      </w:r>
    </w:p>
    <w:p w14:paraId="597B035D" w14:textId="77777777" w:rsidR="006E140C" w:rsidRPr="000E79AA" w:rsidRDefault="00A92E25" w:rsidP="00E02976">
      <w:pPr>
        <w:spacing w:after="160" w:line="276" w:lineRule="auto"/>
        <w:jc w:val="both"/>
        <w:rPr>
          <w:rFonts w:ascii="Times New Roman" w:hAnsi="Times New Roman" w:cs="Times New Roman"/>
          <w:lang w:val="en-AU"/>
        </w:rPr>
      </w:pPr>
      <w:r w:rsidRPr="000E79AA">
        <w:rPr>
          <w:rFonts w:ascii="Times New Roman" w:hAnsi="Times New Roman" w:cs="Times New Roman"/>
          <w:b/>
          <w:bCs/>
          <w:lang w:val="en-AU"/>
        </w:rPr>
        <w:t xml:space="preserve">Figures: </w:t>
      </w:r>
      <w:r w:rsidR="00C362A6" w:rsidRPr="000E79AA">
        <w:rPr>
          <w:rFonts w:ascii="Times New Roman" w:hAnsi="Times New Roman" w:cs="Times New Roman"/>
          <w:lang w:val="en-AU"/>
        </w:rPr>
        <w:t>4</w:t>
      </w:r>
      <w:r w:rsidRPr="000E79AA">
        <w:rPr>
          <w:rFonts w:ascii="Times New Roman" w:hAnsi="Times New Roman" w:cs="Times New Roman"/>
          <w:lang w:val="en-AU"/>
        </w:rPr>
        <w:tab/>
      </w:r>
      <w:r w:rsidRPr="000E79AA">
        <w:rPr>
          <w:rFonts w:ascii="Times New Roman" w:hAnsi="Times New Roman" w:cs="Times New Roman"/>
          <w:lang w:val="en-AU"/>
        </w:rPr>
        <w:tab/>
      </w:r>
      <w:r w:rsidRPr="000E79AA">
        <w:rPr>
          <w:rFonts w:ascii="Times New Roman" w:hAnsi="Times New Roman" w:cs="Times New Roman"/>
          <w:b/>
          <w:bCs/>
          <w:lang w:val="en-AU"/>
        </w:rPr>
        <w:t xml:space="preserve">Tables: </w:t>
      </w:r>
      <w:r w:rsidR="00C362A6" w:rsidRPr="000E79AA">
        <w:rPr>
          <w:rFonts w:ascii="Times New Roman" w:hAnsi="Times New Roman" w:cs="Times New Roman"/>
          <w:lang w:val="en-AU"/>
        </w:rPr>
        <w:t>1</w:t>
      </w:r>
      <w:r w:rsidR="004A0B3D" w:rsidRPr="000E79AA">
        <w:rPr>
          <w:rFonts w:ascii="Times New Roman" w:hAnsi="Times New Roman" w:cs="Times New Roman"/>
          <w:lang w:val="en-AU"/>
        </w:rPr>
        <w:tab/>
      </w:r>
    </w:p>
    <w:p w14:paraId="3C021EA0" w14:textId="489A1095" w:rsidR="00725F31" w:rsidRPr="000E79AA" w:rsidRDefault="00D96A9A" w:rsidP="00E02976">
      <w:pPr>
        <w:spacing w:after="160" w:line="276" w:lineRule="auto"/>
        <w:jc w:val="both"/>
        <w:rPr>
          <w:rFonts w:ascii="Times New Roman" w:hAnsi="Times New Roman" w:cs="Times New Roman"/>
          <w:lang w:val="en-AU"/>
        </w:rPr>
      </w:pPr>
      <w:r w:rsidRPr="000E79AA">
        <w:rPr>
          <w:rFonts w:ascii="Times New Roman" w:hAnsi="Times New Roman" w:cs="Times New Roman"/>
          <w:b/>
          <w:bCs/>
          <w:lang w:val="en-AU"/>
        </w:rPr>
        <w:t xml:space="preserve">Running title: </w:t>
      </w:r>
      <w:r w:rsidR="00A30CD3" w:rsidRPr="000E79AA">
        <w:rPr>
          <w:rFonts w:ascii="Times New Roman" w:hAnsi="Times New Roman" w:cs="Times New Roman"/>
          <w:lang w:val="en-AU"/>
        </w:rPr>
        <w:t xml:space="preserve">Parkinson’s disease response inhibition   </w:t>
      </w:r>
      <w:r w:rsidR="00A30CD3" w:rsidRPr="000E79AA">
        <w:rPr>
          <w:rFonts w:ascii="Times New Roman" w:hAnsi="Times New Roman" w:cs="Times New Roman"/>
          <w:b/>
          <w:lang w:val="en-AU"/>
        </w:rPr>
        <w:t xml:space="preserve"> </w:t>
      </w:r>
      <w:r w:rsidR="00725F31" w:rsidRPr="000E79AA">
        <w:rPr>
          <w:rFonts w:ascii="Times New Roman" w:hAnsi="Times New Roman" w:cs="Times New Roman"/>
          <w:b/>
          <w:lang w:val="en-AU"/>
        </w:rPr>
        <w:br w:type="page"/>
      </w:r>
    </w:p>
    <w:p w14:paraId="385DB578" w14:textId="77777777" w:rsidR="0048009C" w:rsidRPr="000E79AA" w:rsidRDefault="007F1663" w:rsidP="0048009C">
      <w:pPr>
        <w:spacing w:line="360" w:lineRule="auto"/>
        <w:jc w:val="both"/>
        <w:rPr>
          <w:rFonts w:ascii="Times New Roman" w:hAnsi="Times New Roman" w:cs="Times New Roman"/>
          <w:lang w:val="en-AU"/>
        </w:rPr>
      </w:pPr>
      <w:r w:rsidRPr="000E79AA">
        <w:rPr>
          <w:rFonts w:ascii="Times New Roman" w:hAnsi="Times New Roman" w:cs="Times New Roman"/>
          <w:b/>
          <w:lang w:val="en-AU"/>
        </w:rPr>
        <w:lastRenderedPageBreak/>
        <w:t>A</w:t>
      </w:r>
      <w:r w:rsidR="00E13927" w:rsidRPr="000E79AA">
        <w:rPr>
          <w:rFonts w:ascii="Times New Roman" w:hAnsi="Times New Roman" w:cs="Times New Roman"/>
          <w:b/>
          <w:lang w:val="en-AU"/>
        </w:rPr>
        <w:t>bstract</w:t>
      </w:r>
      <w:r w:rsidR="00D24B23" w:rsidRPr="000E79AA">
        <w:rPr>
          <w:rFonts w:ascii="Times New Roman" w:hAnsi="Times New Roman" w:cs="Times New Roman"/>
          <w:b/>
          <w:lang w:val="en-AU"/>
        </w:rPr>
        <w:t xml:space="preserve"> </w:t>
      </w:r>
    </w:p>
    <w:p w14:paraId="7E079229" w14:textId="192A758C" w:rsidR="00E21971" w:rsidRPr="000E79AA" w:rsidRDefault="004B242B" w:rsidP="0048009C">
      <w:pPr>
        <w:spacing w:line="360" w:lineRule="auto"/>
        <w:jc w:val="both"/>
        <w:rPr>
          <w:rFonts w:ascii="Times New Roman" w:hAnsi="Times New Roman" w:cs="Times New Roman"/>
          <w:bCs/>
          <w:lang w:val="en-AU"/>
        </w:rPr>
      </w:pPr>
      <w:r w:rsidRPr="000E79AA">
        <w:rPr>
          <w:rFonts w:ascii="Times New Roman" w:hAnsi="Times New Roman" w:cs="Times New Roman"/>
          <w:lang w:val="en-AU"/>
        </w:rPr>
        <w:t>Cognitive decline is a common feature of Parkinson’s disease</w:t>
      </w:r>
      <w:r w:rsidR="00620F26" w:rsidRPr="000E79AA">
        <w:rPr>
          <w:rFonts w:ascii="Times New Roman" w:hAnsi="Times New Roman" w:cs="Times New Roman"/>
          <w:lang w:val="en-AU"/>
        </w:rPr>
        <w:t>, and</w:t>
      </w:r>
      <w:r w:rsidR="001B70C5" w:rsidRPr="000E79AA">
        <w:rPr>
          <w:rFonts w:ascii="Times New Roman" w:hAnsi="Times New Roman" w:cs="Times New Roman"/>
          <w:lang w:val="en-AU"/>
        </w:rPr>
        <w:t xml:space="preserve"> </w:t>
      </w:r>
      <w:r w:rsidR="00620F26" w:rsidRPr="000E79AA">
        <w:rPr>
          <w:rFonts w:ascii="Times New Roman" w:hAnsi="Times New Roman" w:cs="Times New Roman"/>
          <w:lang w:val="en-AU"/>
        </w:rPr>
        <w:t>m</w:t>
      </w:r>
      <w:r w:rsidR="001B70C5" w:rsidRPr="000E79AA">
        <w:rPr>
          <w:rFonts w:ascii="Times New Roman" w:hAnsi="Times New Roman" w:cs="Times New Roman"/>
          <w:lang w:val="en-AU"/>
        </w:rPr>
        <w:t xml:space="preserve">any </w:t>
      </w:r>
      <w:r w:rsidR="00F12A2C" w:rsidRPr="000E79AA">
        <w:rPr>
          <w:rFonts w:ascii="Times New Roman" w:hAnsi="Times New Roman" w:cs="Times New Roman"/>
          <w:lang w:val="en-AU"/>
        </w:rPr>
        <w:t>of the</w:t>
      </w:r>
      <w:r w:rsidR="00620F26" w:rsidRPr="000E79AA">
        <w:rPr>
          <w:rFonts w:ascii="Times New Roman" w:hAnsi="Times New Roman" w:cs="Times New Roman"/>
          <w:lang w:val="en-AU"/>
        </w:rPr>
        <w:t>se</w:t>
      </w:r>
      <w:r w:rsidR="00F12A2C" w:rsidRPr="000E79AA">
        <w:rPr>
          <w:rFonts w:ascii="Times New Roman" w:hAnsi="Times New Roman" w:cs="Times New Roman"/>
          <w:lang w:val="en-AU"/>
        </w:rPr>
        <w:t xml:space="preserve"> cognitive deficits</w:t>
      </w:r>
      <w:r w:rsidR="00620F26" w:rsidRPr="000E79AA">
        <w:rPr>
          <w:rFonts w:ascii="Times New Roman" w:hAnsi="Times New Roman" w:cs="Times New Roman"/>
          <w:lang w:val="en-AU"/>
        </w:rPr>
        <w:t xml:space="preserve"> </w:t>
      </w:r>
      <w:r w:rsidR="00F12A2C" w:rsidRPr="000E79AA">
        <w:rPr>
          <w:rFonts w:ascii="Times New Roman" w:hAnsi="Times New Roman" w:cs="Times New Roman"/>
          <w:lang w:val="en-AU"/>
        </w:rPr>
        <w:t>fail to respond to dopaminergic therapy</w:t>
      </w:r>
      <w:r w:rsidR="008F3B02" w:rsidRPr="000E79AA">
        <w:rPr>
          <w:rFonts w:ascii="Times New Roman" w:hAnsi="Times New Roman" w:cs="Times New Roman"/>
          <w:lang w:val="en-AU"/>
        </w:rPr>
        <w:t>.</w:t>
      </w:r>
      <w:r w:rsidR="00E94F92" w:rsidRPr="000E79AA">
        <w:rPr>
          <w:rFonts w:ascii="Times New Roman" w:hAnsi="Times New Roman" w:cs="Times New Roman"/>
          <w:lang w:val="en-AU"/>
        </w:rPr>
        <w:t xml:space="preserve"> </w:t>
      </w:r>
      <w:r w:rsidR="008F3B02" w:rsidRPr="000E79AA">
        <w:rPr>
          <w:rFonts w:ascii="Times New Roman" w:hAnsi="Times New Roman" w:cs="Times New Roman"/>
          <w:lang w:val="en-AU"/>
        </w:rPr>
        <w:t>T</w:t>
      </w:r>
      <w:r w:rsidR="00352D5F" w:rsidRPr="000E79AA">
        <w:rPr>
          <w:rFonts w:ascii="Times New Roman" w:hAnsi="Times New Roman" w:cs="Times New Roman"/>
          <w:lang w:val="en-AU"/>
        </w:rPr>
        <w:t>herefore</w:t>
      </w:r>
      <w:r w:rsidR="008F3B02" w:rsidRPr="000E79AA">
        <w:rPr>
          <w:rFonts w:ascii="Times New Roman" w:hAnsi="Times New Roman" w:cs="Times New Roman"/>
          <w:lang w:val="en-AU"/>
        </w:rPr>
        <w:t>,</w:t>
      </w:r>
      <w:r w:rsidR="00CB45EA" w:rsidRPr="000E79AA">
        <w:rPr>
          <w:rFonts w:ascii="Times New Roman" w:hAnsi="Times New Roman" w:cs="Times New Roman"/>
          <w:lang w:val="en-AU"/>
        </w:rPr>
        <w:t xml:space="preserve"> </w:t>
      </w:r>
      <w:r w:rsidR="00E94F92" w:rsidRPr="000E79AA">
        <w:rPr>
          <w:rFonts w:ascii="Times New Roman" w:hAnsi="Times New Roman" w:cs="Times New Roman"/>
          <w:lang w:val="en-AU"/>
        </w:rPr>
        <w:t>t</w:t>
      </w:r>
      <w:r w:rsidR="00CB45EA" w:rsidRPr="000E79AA">
        <w:rPr>
          <w:rFonts w:ascii="Times New Roman" w:hAnsi="Times New Roman" w:cs="Times New Roman"/>
          <w:lang w:val="en-AU"/>
        </w:rPr>
        <w:t>argeting other</w:t>
      </w:r>
      <w:r w:rsidR="00DD3078" w:rsidRPr="000E79AA">
        <w:rPr>
          <w:rFonts w:ascii="Times New Roman" w:hAnsi="Times New Roman" w:cs="Times New Roman"/>
          <w:lang w:val="en-AU"/>
        </w:rPr>
        <w:t xml:space="preserve"> </w:t>
      </w:r>
      <w:r w:rsidR="003A19E4" w:rsidRPr="000E79AA">
        <w:rPr>
          <w:rFonts w:ascii="Times New Roman" w:hAnsi="Times New Roman" w:cs="Times New Roman"/>
          <w:bCs/>
          <w:lang w:val="en-AU"/>
        </w:rPr>
        <w:t>neuromodulatory systems</w:t>
      </w:r>
      <w:r w:rsidR="00783727" w:rsidRPr="000E79AA">
        <w:rPr>
          <w:rFonts w:ascii="Times New Roman" w:hAnsi="Times New Roman" w:cs="Times New Roman"/>
          <w:bCs/>
          <w:lang w:val="en-AU"/>
        </w:rPr>
        <w:t xml:space="preserve"> </w:t>
      </w:r>
      <w:r w:rsidR="00CB45EA" w:rsidRPr="000E79AA">
        <w:rPr>
          <w:rFonts w:ascii="Times New Roman" w:hAnsi="Times New Roman" w:cs="Times New Roman"/>
          <w:bCs/>
          <w:lang w:val="en-AU"/>
        </w:rPr>
        <w:t>represents an</w:t>
      </w:r>
      <w:r w:rsidR="00E94F92" w:rsidRPr="000E79AA">
        <w:rPr>
          <w:rFonts w:ascii="Times New Roman" w:hAnsi="Times New Roman" w:cs="Times New Roman"/>
          <w:bCs/>
          <w:lang w:val="en-AU"/>
        </w:rPr>
        <w:t xml:space="preserve"> important</w:t>
      </w:r>
      <w:r w:rsidR="00CB45EA" w:rsidRPr="000E79AA">
        <w:rPr>
          <w:rFonts w:ascii="Times New Roman" w:hAnsi="Times New Roman" w:cs="Times New Roman"/>
          <w:bCs/>
          <w:lang w:val="en-AU"/>
        </w:rPr>
        <w:t xml:space="preserve"> therapeutic strategy. Among these, the locus coeruleus-noradrenaline system</w:t>
      </w:r>
      <w:r w:rsidR="00783727" w:rsidRPr="000E79AA">
        <w:rPr>
          <w:rFonts w:ascii="Times New Roman" w:hAnsi="Times New Roman" w:cs="Times New Roman"/>
          <w:bCs/>
          <w:lang w:val="en-AU"/>
        </w:rPr>
        <w:t xml:space="preserve"> </w:t>
      </w:r>
      <w:r w:rsidR="006A4743" w:rsidRPr="000E79AA">
        <w:rPr>
          <w:rFonts w:ascii="Times New Roman" w:hAnsi="Times New Roman" w:cs="Times New Roman"/>
          <w:bCs/>
          <w:lang w:val="en-AU"/>
        </w:rPr>
        <w:t xml:space="preserve">has been extensively implicated in response inhibition deficits. Restoring noradrenaline levels using the </w:t>
      </w:r>
      <w:r w:rsidR="00911263" w:rsidRPr="000E79AA">
        <w:rPr>
          <w:rFonts w:ascii="Times New Roman" w:hAnsi="Times New Roman" w:cs="Times New Roman"/>
          <w:bCs/>
          <w:lang w:val="en-AU"/>
        </w:rPr>
        <w:t xml:space="preserve">noradrenergic </w:t>
      </w:r>
      <w:r w:rsidR="00F35F6F" w:rsidRPr="000E79AA">
        <w:rPr>
          <w:rFonts w:ascii="Times New Roman" w:hAnsi="Times New Roman" w:cs="Times New Roman"/>
          <w:bCs/>
          <w:lang w:val="en-AU"/>
        </w:rPr>
        <w:t>reuptake inhibitor atomoxetine</w:t>
      </w:r>
      <w:r w:rsidR="00E442DA" w:rsidRPr="000E79AA">
        <w:rPr>
          <w:rFonts w:ascii="Times New Roman" w:hAnsi="Times New Roman" w:cs="Times New Roman"/>
          <w:bCs/>
          <w:lang w:val="en-AU"/>
        </w:rPr>
        <w:t xml:space="preserve"> can</w:t>
      </w:r>
      <w:r w:rsidR="00A154BC" w:rsidRPr="000E79AA">
        <w:rPr>
          <w:rFonts w:ascii="Times New Roman" w:hAnsi="Times New Roman" w:cs="Times New Roman"/>
          <w:bCs/>
          <w:lang w:val="en-AU"/>
        </w:rPr>
        <w:t xml:space="preserve"> </w:t>
      </w:r>
      <w:r w:rsidR="005433B1" w:rsidRPr="000E79AA">
        <w:rPr>
          <w:rFonts w:ascii="Times New Roman" w:hAnsi="Times New Roman" w:cs="Times New Roman"/>
          <w:bCs/>
          <w:lang w:val="en-AU"/>
        </w:rPr>
        <w:t xml:space="preserve">improve response </w:t>
      </w:r>
      <w:r w:rsidR="00E442DA" w:rsidRPr="000E79AA">
        <w:rPr>
          <w:rFonts w:ascii="Times New Roman" w:hAnsi="Times New Roman" w:cs="Times New Roman"/>
          <w:bCs/>
          <w:lang w:val="en-AU"/>
        </w:rPr>
        <w:t xml:space="preserve">inhibition in </w:t>
      </w:r>
      <w:r w:rsidR="00A42C34" w:rsidRPr="000E79AA">
        <w:rPr>
          <w:rFonts w:ascii="Times New Roman" w:hAnsi="Times New Roman" w:cs="Times New Roman"/>
          <w:bCs/>
          <w:lang w:val="en-AU"/>
        </w:rPr>
        <w:t xml:space="preserve">some </w:t>
      </w:r>
      <w:r w:rsidR="00C57A10" w:rsidRPr="000E79AA">
        <w:rPr>
          <w:rFonts w:ascii="Times New Roman" w:hAnsi="Times New Roman" w:cs="Times New Roman"/>
          <w:bCs/>
          <w:lang w:val="en-AU"/>
        </w:rPr>
        <w:t xml:space="preserve">patients with </w:t>
      </w:r>
      <w:r w:rsidR="00E442DA" w:rsidRPr="000E79AA">
        <w:rPr>
          <w:rFonts w:ascii="Times New Roman" w:hAnsi="Times New Roman" w:cs="Times New Roman"/>
          <w:bCs/>
          <w:lang w:val="en-AU"/>
        </w:rPr>
        <w:t xml:space="preserve">Parkinson’s disease, </w:t>
      </w:r>
      <w:r w:rsidR="008F3B02" w:rsidRPr="000E79AA">
        <w:rPr>
          <w:rFonts w:ascii="Times New Roman" w:hAnsi="Times New Roman" w:cs="Times New Roman"/>
          <w:bCs/>
          <w:lang w:val="en-AU"/>
        </w:rPr>
        <w:t xml:space="preserve">but </w:t>
      </w:r>
      <w:r w:rsidR="00E442DA" w:rsidRPr="000E79AA">
        <w:rPr>
          <w:rFonts w:ascii="Times New Roman" w:hAnsi="Times New Roman" w:cs="Times New Roman"/>
          <w:bCs/>
          <w:lang w:val="en-AU"/>
        </w:rPr>
        <w:t xml:space="preserve">there is considerable heterogeneity in treatment response. Accurately predicting the patients who would benefit from </w:t>
      </w:r>
      <w:r w:rsidR="00844AD3" w:rsidRPr="000E79AA">
        <w:rPr>
          <w:rFonts w:ascii="Times New Roman" w:hAnsi="Times New Roman" w:cs="Times New Roman"/>
          <w:bCs/>
          <w:lang w:val="en-AU"/>
        </w:rPr>
        <w:t>therapies targeting this neurotransmitter system</w:t>
      </w:r>
      <w:r w:rsidR="00E442DA" w:rsidRPr="000E79AA">
        <w:rPr>
          <w:rFonts w:ascii="Times New Roman" w:hAnsi="Times New Roman" w:cs="Times New Roman"/>
          <w:bCs/>
          <w:lang w:val="en-AU"/>
        </w:rPr>
        <w:t xml:space="preserve"> remains a critical goal</w:t>
      </w:r>
      <w:r w:rsidR="00D24B23" w:rsidRPr="000E79AA">
        <w:rPr>
          <w:rFonts w:ascii="Times New Roman" w:hAnsi="Times New Roman" w:cs="Times New Roman"/>
          <w:bCs/>
          <w:lang w:val="en-AU"/>
        </w:rPr>
        <w:t xml:space="preserve">, in order to design the necessary clinical trials with stratified patient selection to establish </w:t>
      </w:r>
      <w:r w:rsidR="000A66D9" w:rsidRPr="000E79AA">
        <w:rPr>
          <w:rFonts w:ascii="Times New Roman" w:hAnsi="Times New Roman" w:cs="Times New Roman"/>
          <w:bCs/>
          <w:lang w:val="en-AU"/>
        </w:rPr>
        <w:t xml:space="preserve">the </w:t>
      </w:r>
      <w:r w:rsidR="00D24B23" w:rsidRPr="000E79AA">
        <w:rPr>
          <w:rFonts w:ascii="Times New Roman" w:hAnsi="Times New Roman" w:cs="Times New Roman"/>
          <w:bCs/>
          <w:lang w:val="en-AU"/>
        </w:rPr>
        <w:t>therapeutic potential</w:t>
      </w:r>
      <w:r w:rsidR="000A66D9" w:rsidRPr="000E79AA">
        <w:rPr>
          <w:rFonts w:ascii="Times New Roman" w:hAnsi="Times New Roman" w:cs="Times New Roman"/>
          <w:bCs/>
          <w:lang w:val="en-AU"/>
        </w:rPr>
        <w:t xml:space="preserve"> of atomoxetine</w:t>
      </w:r>
      <w:r w:rsidR="00D24B23" w:rsidRPr="000E79AA">
        <w:rPr>
          <w:rFonts w:ascii="Times New Roman" w:hAnsi="Times New Roman" w:cs="Times New Roman"/>
          <w:bCs/>
          <w:lang w:val="en-AU"/>
        </w:rPr>
        <w:t xml:space="preserve">. </w:t>
      </w:r>
      <w:r w:rsidR="00F471C5" w:rsidRPr="000E79AA">
        <w:rPr>
          <w:rFonts w:ascii="Times New Roman" w:hAnsi="Times New Roman" w:cs="Times New Roman"/>
          <w:bCs/>
          <w:lang w:val="en-AU"/>
        </w:rPr>
        <w:t>Here,</w:t>
      </w:r>
      <w:r w:rsidR="0047345C" w:rsidRPr="000E79AA">
        <w:rPr>
          <w:rFonts w:ascii="Times New Roman" w:hAnsi="Times New Roman" w:cs="Times New Roman"/>
          <w:bCs/>
          <w:lang w:val="en-AU"/>
        </w:rPr>
        <w:t xml:space="preserve"> we test the hypothesis that integrity of the noradrenergic locus coeruleus explains the </w:t>
      </w:r>
      <w:r w:rsidR="00A42C34" w:rsidRPr="000E79AA">
        <w:rPr>
          <w:rFonts w:ascii="Times New Roman" w:hAnsi="Times New Roman" w:cs="Times New Roman"/>
          <w:bCs/>
          <w:lang w:val="en-AU"/>
        </w:rPr>
        <w:t xml:space="preserve">variation in </w:t>
      </w:r>
      <w:r w:rsidR="0047345C" w:rsidRPr="000E79AA">
        <w:rPr>
          <w:rFonts w:ascii="Times New Roman" w:hAnsi="Times New Roman" w:cs="Times New Roman"/>
          <w:bCs/>
          <w:lang w:val="en-AU"/>
        </w:rPr>
        <w:t xml:space="preserve">improvement </w:t>
      </w:r>
      <w:r w:rsidR="00A42C34" w:rsidRPr="000E79AA">
        <w:rPr>
          <w:rFonts w:ascii="Times New Roman" w:hAnsi="Times New Roman" w:cs="Times New Roman"/>
          <w:bCs/>
          <w:lang w:val="en-AU"/>
        </w:rPr>
        <w:t xml:space="preserve">of </w:t>
      </w:r>
      <w:r w:rsidR="0047345C" w:rsidRPr="000E79AA">
        <w:rPr>
          <w:rFonts w:ascii="Times New Roman" w:hAnsi="Times New Roman" w:cs="Times New Roman"/>
          <w:bCs/>
          <w:lang w:val="en-AU"/>
        </w:rPr>
        <w:t>response inhibition following atomoxetine.</w:t>
      </w:r>
      <w:r w:rsidR="00202E5C" w:rsidRPr="000E79AA">
        <w:rPr>
          <w:rFonts w:ascii="Times New Roman" w:hAnsi="Times New Roman" w:cs="Times New Roman"/>
          <w:bCs/>
          <w:lang w:val="en-AU"/>
        </w:rPr>
        <w:t xml:space="preserve"> </w:t>
      </w:r>
      <w:r w:rsidR="00202E5C" w:rsidRPr="000E79AA">
        <w:rPr>
          <w:rFonts w:ascii="Times New Roman" w:hAnsi="Times New Roman" w:cs="Times New Roman"/>
          <w:lang w:val="en-AU"/>
        </w:rPr>
        <w:t xml:space="preserve">In a double-blind placebo-controlled </w:t>
      </w:r>
      <w:r w:rsidR="00911263" w:rsidRPr="000E79AA">
        <w:rPr>
          <w:rFonts w:ascii="Times New Roman" w:hAnsi="Times New Roman" w:cs="Times New Roman"/>
          <w:lang w:val="en-AU"/>
        </w:rPr>
        <w:t xml:space="preserve">randomised </w:t>
      </w:r>
      <w:r w:rsidR="00202E5C" w:rsidRPr="000E79AA">
        <w:rPr>
          <w:rFonts w:ascii="Times New Roman" w:hAnsi="Times New Roman" w:cs="Times New Roman"/>
          <w:lang w:val="en-AU"/>
        </w:rPr>
        <w:t>crossover design</w:t>
      </w:r>
      <w:r w:rsidR="00202E5C" w:rsidRPr="000E79AA">
        <w:rPr>
          <w:rFonts w:ascii="Times New Roman" w:hAnsi="Times New Roman" w:cs="Times New Roman"/>
          <w:bCs/>
          <w:lang w:val="en-AU"/>
        </w:rPr>
        <w:t>, 19</w:t>
      </w:r>
      <w:r w:rsidR="000607F9" w:rsidRPr="000E79AA">
        <w:rPr>
          <w:rFonts w:ascii="Times New Roman" w:hAnsi="Times New Roman" w:cs="Times New Roman"/>
          <w:bCs/>
          <w:lang w:val="en-AU"/>
        </w:rPr>
        <w:t xml:space="preserve"> people with Parkinson’s disease</w:t>
      </w:r>
      <w:r w:rsidR="00251ECC" w:rsidRPr="000E79AA">
        <w:rPr>
          <w:rFonts w:ascii="Times New Roman" w:hAnsi="Times New Roman" w:cs="Times New Roman"/>
          <w:bCs/>
          <w:lang w:val="en-AU"/>
        </w:rPr>
        <w:t xml:space="preserve"> completed </w:t>
      </w:r>
      <w:r w:rsidR="001F31A6" w:rsidRPr="000E79AA">
        <w:rPr>
          <w:rFonts w:ascii="Times New Roman" w:hAnsi="Times New Roman" w:cs="Times New Roman"/>
          <w:bCs/>
          <w:lang w:val="en-AU"/>
        </w:rPr>
        <w:t xml:space="preserve">an </w:t>
      </w:r>
      <w:r w:rsidR="00251ECC" w:rsidRPr="000E79AA">
        <w:rPr>
          <w:rFonts w:ascii="Times New Roman" w:hAnsi="Times New Roman" w:cs="Times New Roman"/>
          <w:bCs/>
          <w:lang w:val="en-AU"/>
        </w:rPr>
        <w:t xml:space="preserve">acute psychopharmacological challenge </w:t>
      </w:r>
      <w:r w:rsidR="00911263" w:rsidRPr="000E79AA">
        <w:rPr>
          <w:rFonts w:ascii="Times New Roman" w:hAnsi="Times New Roman" w:cs="Times New Roman"/>
          <w:bCs/>
          <w:lang w:val="en-AU"/>
        </w:rPr>
        <w:t>with</w:t>
      </w:r>
      <w:r w:rsidR="00251ECC" w:rsidRPr="000E79AA">
        <w:rPr>
          <w:rFonts w:ascii="Times New Roman" w:hAnsi="Times New Roman" w:cs="Times New Roman"/>
          <w:bCs/>
          <w:lang w:val="en-AU"/>
        </w:rPr>
        <w:t xml:space="preserve"> </w:t>
      </w:r>
      <w:r w:rsidR="00251ECC" w:rsidRPr="000E79AA">
        <w:rPr>
          <w:rFonts w:ascii="Times New Roman" w:hAnsi="Times New Roman" w:cs="Times New Roman"/>
          <w:lang w:val="en-AU"/>
        </w:rPr>
        <w:t xml:space="preserve">40 mg </w:t>
      </w:r>
      <w:r w:rsidR="00844AD3" w:rsidRPr="000E79AA">
        <w:rPr>
          <w:rFonts w:ascii="Times New Roman" w:hAnsi="Times New Roman" w:cs="Times New Roman"/>
          <w:lang w:val="en-AU"/>
        </w:rPr>
        <w:t xml:space="preserve">of </w:t>
      </w:r>
      <w:r w:rsidR="00251ECC" w:rsidRPr="000E79AA">
        <w:rPr>
          <w:rFonts w:ascii="Times New Roman" w:hAnsi="Times New Roman" w:cs="Times New Roman"/>
          <w:lang w:val="en-AU"/>
        </w:rPr>
        <w:t xml:space="preserve">oral atomoxetine or placebo. </w:t>
      </w:r>
      <w:r w:rsidR="0095367C" w:rsidRPr="000E79AA">
        <w:rPr>
          <w:rFonts w:ascii="Times New Roman" w:hAnsi="Times New Roman" w:cs="Times New Roman"/>
          <w:lang w:val="en-AU"/>
        </w:rPr>
        <w:t xml:space="preserve">A </w:t>
      </w:r>
      <w:r w:rsidR="007C0C08" w:rsidRPr="000E79AA">
        <w:rPr>
          <w:rFonts w:ascii="Times New Roman" w:hAnsi="Times New Roman" w:cs="Times New Roman"/>
          <w:lang w:val="en-AU"/>
        </w:rPr>
        <w:t>stop-signal task</w:t>
      </w:r>
      <w:r w:rsidR="0095367C" w:rsidRPr="000E79AA">
        <w:rPr>
          <w:rFonts w:ascii="Times New Roman" w:hAnsi="Times New Roman" w:cs="Times New Roman"/>
          <w:lang w:val="en-AU"/>
        </w:rPr>
        <w:t xml:space="preserve"> was used</w:t>
      </w:r>
      <w:r w:rsidR="00163166" w:rsidRPr="000E79AA">
        <w:rPr>
          <w:rFonts w:ascii="Times New Roman" w:hAnsi="Times New Roman" w:cs="Times New Roman"/>
          <w:lang w:val="en-AU"/>
        </w:rPr>
        <w:t xml:space="preserve"> </w:t>
      </w:r>
      <w:r w:rsidR="00A12762" w:rsidRPr="000E79AA">
        <w:rPr>
          <w:rFonts w:ascii="Times New Roman" w:hAnsi="Times New Roman" w:cs="Times New Roman"/>
          <w:lang w:val="en-AU"/>
        </w:rPr>
        <w:t>to</w:t>
      </w:r>
      <w:r w:rsidR="00163166" w:rsidRPr="000E79AA">
        <w:rPr>
          <w:rFonts w:ascii="Times New Roman" w:hAnsi="Times New Roman" w:cs="Times New Roman"/>
          <w:lang w:val="en-AU"/>
        </w:rPr>
        <w:t xml:space="preserve"> measure</w:t>
      </w:r>
      <w:r w:rsidR="00A12762" w:rsidRPr="000E79AA">
        <w:rPr>
          <w:rFonts w:ascii="Times New Roman" w:hAnsi="Times New Roman" w:cs="Times New Roman"/>
          <w:lang w:val="en-AU"/>
        </w:rPr>
        <w:t xml:space="preserve"> </w:t>
      </w:r>
      <w:r w:rsidR="00163166" w:rsidRPr="000E79AA">
        <w:rPr>
          <w:rFonts w:ascii="Times New Roman" w:hAnsi="Times New Roman" w:cs="Times New Roman"/>
          <w:lang w:val="en-AU"/>
        </w:rPr>
        <w:t>response inhibition</w:t>
      </w:r>
      <w:r w:rsidR="001F31A6" w:rsidRPr="000E79AA">
        <w:rPr>
          <w:rFonts w:ascii="Times New Roman" w:hAnsi="Times New Roman" w:cs="Times New Roman"/>
          <w:lang w:val="en-AU"/>
        </w:rPr>
        <w:t xml:space="preserve">, </w:t>
      </w:r>
      <w:r w:rsidR="00123739" w:rsidRPr="000E79AA">
        <w:rPr>
          <w:rFonts w:ascii="Times New Roman" w:hAnsi="Times New Roman" w:cs="Times New Roman"/>
          <w:lang w:val="en-AU"/>
        </w:rPr>
        <w:t>with</w:t>
      </w:r>
      <w:r w:rsidR="001F31A6" w:rsidRPr="000E79AA">
        <w:rPr>
          <w:rFonts w:ascii="Times New Roman" w:hAnsi="Times New Roman" w:cs="Times New Roman"/>
          <w:lang w:val="en-AU"/>
        </w:rPr>
        <w:t xml:space="preserve"> stop-signal reaction times </w:t>
      </w:r>
      <w:r w:rsidR="008F3B02" w:rsidRPr="000E79AA">
        <w:rPr>
          <w:rFonts w:ascii="Times New Roman" w:hAnsi="Times New Roman" w:cs="Times New Roman"/>
          <w:lang w:val="en-AU"/>
        </w:rPr>
        <w:t>obtained through hierarchical Bayesian estimation of an ex-Gaussian race model</w:t>
      </w:r>
      <w:r w:rsidR="001F31A6" w:rsidRPr="000E79AA">
        <w:rPr>
          <w:rFonts w:ascii="Times New Roman" w:hAnsi="Times New Roman" w:cs="Times New Roman"/>
          <w:lang w:val="en-AU"/>
        </w:rPr>
        <w:t>.</w:t>
      </w:r>
      <w:r w:rsidR="0095367C" w:rsidRPr="000E79AA">
        <w:rPr>
          <w:rFonts w:ascii="Times New Roman" w:hAnsi="Times New Roman" w:cs="Times New Roman"/>
          <w:lang w:val="en-AU"/>
        </w:rPr>
        <w:t xml:space="preserve"> </w:t>
      </w:r>
      <w:r w:rsidR="002217E1" w:rsidRPr="000E79AA">
        <w:rPr>
          <w:rFonts w:ascii="Times New Roman" w:hAnsi="Times New Roman" w:cs="Times New Roman"/>
          <w:lang w:val="en-AU"/>
        </w:rPr>
        <w:t>Twenty-six control subjects completed the same task</w:t>
      </w:r>
      <w:r w:rsidR="002B4FD5" w:rsidRPr="000E79AA">
        <w:rPr>
          <w:rFonts w:ascii="Times New Roman" w:hAnsi="Times New Roman" w:cs="Times New Roman"/>
          <w:lang w:val="en-AU"/>
        </w:rPr>
        <w:t xml:space="preserve"> </w:t>
      </w:r>
      <w:r w:rsidR="002217E1" w:rsidRPr="000E79AA">
        <w:rPr>
          <w:rFonts w:ascii="Times New Roman" w:hAnsi="Times New Roman" w:cs="Times New Roman"/>
          <w:lang w:val="en-AU"/>
        </w:rPr>
        <w:t>without undergoing the drug manipulation. In a separate session, patients and controls underwent</w:t>
      </w:r>
      <w:r w:rsidR="00634FE5" w:rsidRPr="000E79AA">
        <w:rPr>
          <w:rFonts w:ascii="Times New Roman" w:hAnsi="Times New Roman" w:cs="Times New Roman"/>
          <w:lang w:val="en-AU"/>
        </w:rPr>
        <w:t xml:space="preserve"> </w:t>
      </w:r>
      <w:r w:rsidR="00634FE5" w:rsidRPr="000E79AA">
        <w:rPr>
          <w:rFonts w:ascii="Times New Roman" w:hAnsi="Times New Roman" w:cs="Times New Roman"/>
          <w:bCs/>
          <w:lang w:val="en-AU"/>
        </w:rPr>
        <w:t>ultra-high field 7T imaging of the locus coeruleus</w:t>
      </w:r>
      <w:r w:rsidR="004963EF" w:rsidRPr="000E79AA">
        <w:rPr>
          <w:rFonts w:ascii="Times New Roman" w:hAnsi="Times New Roman" w:cs="Times New Roman"/>
          <w:bCs/>
          <w:lang w:val="en-AU"/>
        </w:rPr>
        <w:t xml:space="preserve"> using </w:t>
      </w:r>
      <w:r w:rsidR="004066A7" w:rsidRPr="000E79AA">
        <w:rPr>
          <w:rFonts w:ascii="Times New Roman" w:hAnsi="Times New Roman" w:cs="Times New Roman"/>
          <w:bCs/>
          <w:lang w:val="en-AU"/>
        </w:rPr>
        <w:t xml:space="preserve">a </w:t>
      </w:r>
      <w:r w:rsidR="004963EF" w:rsidRPr="000E79AA">
        <w:rPr>
          <w:rFonts w:ascii="Times New Roman" w:hAnsi="Times New Roman" w:cs="Times New Roman"/>
          <w:bCs/>
          <w:lang w:val="en-AU"/>
        </w:rPr>
        <w:t>neuromelanin-</w:t>
      </w:r>
      <w:r w:rsidR="007F53C8" w:rsidRPr="000E79AA">
        <w:rPr>
          <w:rFonts w:ascii="Times New Roman" w:hAnsi="Times New Roman" w:cs="Times New Roman"/>
          <w:bCs/>
          <w:lang w:val="en-AU"/>
        </w:rPr>
        <w:t>sensitive</w:t>
      </w:r>
      <w:r w:rsidR="004963EF" w:rsidRPr="000E79AA">
        <w:rPr>
          <w:rFonts w:ascii="Times New Roman" w:hAnsi="Times New Roman" w:cs="Times New Roman"/>
          <w:bCs/>
          <w:lang w:val="en-AU"/>
        </w:rPr>
        <w:t xml:space="preserve"> magnetisation transfer </w:t>
      </w:r>
      <w:r w:rsidR="004066A7" w:rsidRPr="000E79AA">
        <w:rPr>
          <w:rFonts w:ascii="Times New Roman" w:hAnsi="Times New Roman" w:cs="Times New Roman"/>
          <w:bCs/>
          <w:lang w:val="en-AU"/>
        </w:rPr>
        <w:t>sequence</w:t>
      </w:r>
      <w:r w:rsidR="004963EF" w:rsidRPr="000E79AA">
        <w:rPr>
          <w:rFonts w:ascii="Times New Roman" w:hAnsi="Times New Roman" w:cs="Times New Roman"/>
          <w:bCs/>
          <w:lang w:val="en-AU"/>
        </w:rPr>
        <w:t>.</w:t>
      </w:r>
      <w:r w:rsidR="00021D94" w:rsidRPr="000E79AA">
        <w:rPr>
          <w:rFonts w:ascii="Times New Roman" w:hAnsi="Times New Roman" w:cs="Times New Roman"/>
          <w:bCs/>
          <w:lang w:val="en-AU"/>
        </w:rPr>
        <w:t xml:space="preserve"> </w:t>
      </w:r>
      <w:r w:rsidR="00911263" w:rsidRPr="000E79AA">
        <w:rPr>
          <w:rFonts w:ascii="Times New Roman" w:hAnsi="Times New Roman" w:cs="Times New Roman"/>
          <w:bCs/>
          <w:lang w:val="en-AU"/>
        </w:rPr>
        <w:t xml:space="preserve">The principal </w:t>
      </w:r>
      <w:r w:rsidR="00021D94" w:rsidRPr="000E79AA">
        <w:rPr>
          <w:rFonts w:ascii="Times New Roman" w:hAnsi="Times New Roman" w:cs="Times New Roman"/>
          <w:bCs/>
          <w:lang w:val="en-AU"/>
        </w:rPr>
        <w:t>result was that a</w:t>
      </w:r>
      <w:r w:rsidR="00D660EC" w:rsidRPr="000E79AA">
        <w:rPr>
          <w:rFonts w:ascii="Times New Roman" w:hAnsi="Times New Roman" w:cs="Times New Roman"/>
          <w:lang w:val="en-AU"/>
        </w:rPr>
        <w:t>tomoxetine improved stop-signal reaction times</w:t>
      </w:r>
      <w:r w:rsidR="001F31A6" w:rsidRPr="000E79AA">
        <w:rPr>
          <w:rFonts w:ascii="Times New Roman" w:hAnsi="Times New Roman" w:cs="Times New Roman"/>
          <w:lang w:val="en-AU"/>
        </w:rPr>
        <w:t xml:space="preserve"> in </w:t>
      </w:r>
      <w:r w:rsidR="00123739" w:rsidRPr="000E79AA">
        <w:rPr>
          <w:rFonts w:ascii="Times New Roman" w:hAnsi="Times New Roman" w:cs="Times New Roman"/>
          <w:lang w:val="en-AU"/>
        </w:rPr>
        <w:t xml:space="preserve">those </w:t>
      </w:r>
      <w:r w:rsidR="001F31A6" w:rsidRPr="000E79AA">
        <w:rPr>
          <w:rFonts w:ascii="Times New Roman" w:hAnsi="Times New Roman" w:cs="Times New Roman"/>
          <w:lang w:val="en-AU"/>
        </w:rPr>
        <w:t xml:space="preserve">patients with </w:t>
      </w:r>
      <w:r w:rsidR="001F31A6" w:rsidRPr="000E79AA">
        <w:rPr>
          <w:rFonts w:ascii="Times New Roman" w:hAnsi="Times New Roman" w:cs="Times New Roman"/>
          <w:bCs/>
          <w:lang w:val="en-AU"/>
        </w:rPr>
        <w:t xml:space="preserve">lower locus coeruleus integrity. This was in the context of a general impairment in response inhibition, as patients on placebo had longer </w:t>
      </w:r>
      <w:r w:rsidR="001F31A6" w:rsidRPr="000E79AA">
        <w:rPr>
          <w:rFonts w:ascii="Times New Roman" w:hAnsi="Times New Roman" w:cs="Times New Roman"/>
          <w:lang w:val="en-AU"/>
        </w:rPr>
        <w:t>stop-signal reaction times</w:t>
      </w:r>
      <w:r w:rsidR="001F31A6" w:rsidRPr="000E79AA">
        <w:rPr>
          <w:rFonts w:ascii="Times New Roman" w:hAnsi="Times New Roman" w:cs="Times New Roman"/>
          <w:bCs/>
          <w:lang w:val="en-AU"/>
        </w:rPr>
        <w:t xml:space="preserve"> compared to controls. </w:t>
      </w:r>
      <w:r w:rsidR="006F53D2" w:rsidRPr="000E79AA">
        <w:rPr>
          <w:rFonts w:ascii="Times New Roman" w:hAnsi="Times New Roman" w:cs="Times New Roman"/>
          <w:bCs/>
          <w:lang w:val="en-AU"/>
        </w:rPr>
        <w:t xml:space="preserve">We also </w:t>
      </w:r>
      <w:r w:rsidR="00911263" w:rsidRPr="000E79AA">
        <w:rPr>
          <w:rFonts w:ascii="Times New Roman" w:hAnsi="Times New Roman" w:cs="Times New Roman"/>
          <w:bCs/>
          <w:lang w:val="en-AU"/>
        </w:rPr>
        <w:t xml:space="preserve">found </w:t>
      </w:r>
      <w:r w:rsidR="006F53D2" w:rsidRPr="000E79AA">
        <w:rPr>
          <w:rFonts w:ascii="Times New Roman" w:hAnsi="Times New Roman" w:cs="Times New Roman"/>
          <w:bCs/>
          <w:lang w:val="en-AU"/>
        </w:rPr>
        <w:t xml:space="preserve">that the caudal portion of the locus coeruleus </w:t>
      </w:r>
      <w:r w:rsidR="00D07C3E" w:rsidRPr="000E79AA">
        <w:rPr>
          <w:rFonts w:ascii="Times New Roman" w:hAnsi="Times New Roman" w:cs="Times New Roman"/>
          <w:bCs/>
          <w:lang w:val="en-AU"/>
        </w:rPr>
        <w:t>showed the</w:t>
      </w:r>
      <w:r w:rsidR="00394198" w:rsidRPr="000E79AA">
        <w:rPr>
          <w:rFonts w:ascii="Times New Roman" w:hAnsi="Times New Roman" w:cs="Times New Roman"/>
          <w:bCs/>
          <w:lang w:val="en-AU"/>
        </w:rPr>
        <w:t xml:space="preserve"> largest</w:t>
      </w:r>
      <w:r w:rsidR="00D07C3E" w:rsidRPr="000E79AA">
        <w:rPr>
          <w:rFonts w:ascii="Times New Roman" w:hAnsi="Times New Roman" w:cs="Times New Roman"/>
          <w:bCs/>
          <w:lang w:val="en-AU"/>
        </w:rPr>
        <w:t xml:space="preserve"> </w:t>
      </w:r>
      <w:r w:rsidR="00394198" w:rsidRPr="000E79AA">
        <w:rPr>
          <w:rFonts w:ascii="Times New Roman" w:hAnsi="Times New Roman" w:cs="Times New Roman"/>
          <w:bCs/>
          <w:lang w:val="en-AU"/>
        </w:rPr>
        <w:t xml:space="preserve">neuromelanin signal </w:t>
      </w:r>
      <w:r w:rsidR="00D07C3E" w:rsidRPr="000E79AA">
        <w:rPr>
          <w:rFonts w:ascii="Times New Roman" w:hAnsi="Times New Roman" w:cs="Times New Roman"/>
          <w:bCs/>
          <w:lang w:val="en-AU"/>
        </w:rPr>
        <w:t>decrease</w:t>
      </w:r>
      <w:r w:rsidR="00394198" w:rsidRPr="000E79AA">
        <w:rPr>
          <w:rFonts w:ascii="Times New Roman" w:hAnsi="Times New Roman" w:cs="Times New Roman"/>
          <w:bCs/>
          <w:lang w:val="en-AU"/>
        </w:rPr>
        <w:t xml:space="preserve"> in</w:t>
      </w:r>
      <w:r w:rsidR="00D07C3E" w:rsidRPr="000E79AA">
        <w:rPr>
          <w:rFonts w:ascii="Times New Roman" w:hAnsi="Times New Roman" w:cs="Times New Roman"/>
          <w:bCs/>
          <w:lang w:val="en-AU"/>
        </w:rPr>
        <w:t xml:space="preserve"> the patients</w:t>
      </w:r>
      <w:r w:rsidR="00F004D6" w:rsidRPr="000E79AA">
        <w:rPr>
          <w:rFonts w:ascii="Times New Roman" w:hAnsi="Times New Roman" w:cs="Times New Roman"/>
          <w:bCs/>
          <w:lang w:val="en-AU"/>
        </w:rPr>
        <w:t xml:space="preserve"> </w:t>
      </w:r>
      <w:r w:rsidR="009A0C26" w:rsidRPr="000E79AA">
        <w:rPr>
          <w:rFonts w:ascii="Times New Roman" w:hAnsi="Times New Roman" w:cs="Times New Roman"/>
          <w:bCs/>
          <w:lang w:val="en-AU"/>
        </w:rPr>
        <w:t>compared</w:t>
      </w:r>
      <w:r w:rsidR="00F004D6" w:rsidRPr="000E79AA">
        <w:rPr>
          <w:rFonts w:ascii="Times New Roman" w:hAnsi="Times New Roman" w:cs="Times New Roman"/>
          <w:bCs/>
          <w:lang w:val="en-AU"/>
        </w:rPr>
        <w:t xml:space="preserve"> </w:t>
      </w:r>
      <w:r w:rsidR="00686EC0" w:rsidRPr="000E79AA">
        <w:rPr>
          <w:rFonts w:ascii="Times New Roman" w:hAnsi="Times New Roman" w:cs="Times New Roman"/>
          <w:bCs/>
          <w:lang w:val="en-AU"/>
        </w:rPr>
        <w:t xml:space="preserve">to </w:t>
      </w:r>
      <w:r w:rsidR="00F004D6" w:rsidRPr="000E79AA">
        <w:rPr>
          <w:rFonts w:ascii="Times New Roman" w:hAnsi="Times New Roman" w:cs="Times New Roman"/>
          <w:bCs/>
          <w:lang w:val="en-AU"/>
        </w:rPr>
        <w:t>controls</w:t>
      </w:r>
      <w:r w:rsidR="00D07C3E" w:rsidRPr="000E79AA">
        <w:rPr>
          <w:rFonts w:ascii="Times New Roman" w:hAnsi="Times New Roman" w:cs="Times New Roman"/>
          <w:bCs/>
          <w:lang w:val="en-AU"/>
        </w:rPr>
        <w:t xml:space="preserve">. Our </w:t>
      </w:r>
      <w:r w:rsidR="008F7F4A" w:rsidRPr="000E79AA">
        <w:rPr>
          <w:rFonts w:ascii="Times New Roman" w:hAnsi="Times New Roman" w:cs="Times New Roman"/>
          <w:bCs/>
          <w:lang w:val="en-AU"/>
        </w:rPr>
        <w:t>result</w:t>
      </w:r>
      <w:r w:rsidR="001603B0" w:rsidRPr="000E79AA">
        <w:rPr>
          <w:rFonts w:ascii="Times New Roman" w:hAnsi="Times New Roman" w:cs="Times New Roman"/>
          <w:bCs/>
          <w:lang w:val="en-AU"/>
        </w:rPr>
        <w:t>s</w:t>
      </w:r>
      <w:r w:rsidR="00B40073" w:rsidRPr="000E79AA">
        <w:rPr>
          <w:rFonts w:ascii="Times New Roman" w:hAnsi="Times New Roman" w:cs="Times New Roman"/>
          <w:bCs/>
          <w:lang w:val="en-AU"/>
        </w:rPr>
        <w:t xml:space="preserve"> highlight </w:t>
      </w:r>
      <w:r w:rsidR="0067324E" w:rsidRPr="000E79AA">
        <w:rPr>
          <w:rFonts w:ascii="Times New Roman" w:hAnsi="Times New Roman" w:cs="Times New Roman"/>
          <w:bCs/>
          <w:lang w:val="en-AU"/>
        </w:rPr>
        <w:t>a</w:t>
      </w:r>
      <w:r w:rsidR="00B40073" w:rsidRPr="000E79AA">
        <w:rPr>
          <w:rFonts w:ascii="Times New Roman" w:hAnsi="Times New Roman" w:cs="Times New Roman"/>
          <w:bCs/>
          <w:lang w:val="en-AU"/>
        </w:rPr>
        <w:t xml:space="preserve"> link between the </w:t>
      </w:r>
      <w:r w:rsidR="00844AD3" w:rsidRPr="000E79AA">
        <w:rPr>
          <w:rFonts w:ascii="Times New Roman" w:hAnsi="Times New Roman" w:cs="Times New Roman"/>
          <w:bCs/>
          <w:lang w:val="en-AU"/>
        </w:rPr>
        <w:t xml:space="preserve">integrity of the </w:t>
      </w:r>
      <w:r w:rsidR="00B40073" w:rsidRPr="000E79AA">
        <w:rPr>
          <w:rFonts w:ascii="Times New Roman" w:hAnsi="Times New Roman" w:cs="Times New Roman"/>
          <w:bCs/>
          <w:lang w:val="en-AU"/>
        </w:rPr>
        <w:t>noradrenergic locus coeruleus and response inhibition in</w:t>
      </w:r>
      <w:r w:rsidR="005A4F20" w:rsidRPr="000E79AA">
        <w:rPr>
          <w:rFonts w:ascii="Times New Roman" w:hAnsi="Times New Roman" w:cs="Times New Roman"/>
          <w:bCs/>
          <w:lang w:val="en-AU"/>
        </w:rPr>
        <w:t xml:space="preserve"> </w:t>
      </w:r>
      <w:r w:rsidR="00B40073" w:rsidRPr="000E79AA">
        <w:rPr>
          <w:rFonts w:ascii="Times New Roman" w:hAnsi="Times New Roman" w:cs="Times New Roman"/>
          <w:bCs/>
          <w:lang w:val="en-AU"/>
        </w:rPr>
        <w:t>Parkinson’s disease</w:t>
      </w:r>
      <w:r w:rsidR="005A4F20" w:rsidRPr="000E79AA">
        <w:rPr>
          <w:rFonts w:ascii="Times New Roman" w:hAnsi="Times New Roman" w:cs="Times New Roman"/>
          <w:bCs/>
          <w:lang w:val="en-AU"/>
        </w:rPr>
        <w:t xml:space="preserve"> patients</w:t>
      </w:r>
      <w:r w:rsidR="00B40073" w:rsidRPr="000E79AA">
        <w:rPr>
          <w:rFonts w:ascii="Times New Roman" w:hAnsi="Times New Roman" w:cs="Times New Roman"/>
          <w:bCs/>
          <w:lang w:val="en-AU"/>
        </w:rPr>
        <w:t>.</w:t>
      </w:r>
      <w:r w:rsidR="00036A21" w:rsidRPr="000E79AA">
        <w:rPr>
          <w:rFonts w:ascii="Times New Roman" w:hAnsi="Times New Roman" w:cs="Times New Roman"/>
          <w:bCs/>
          <w:lang w:val="en-AU"/>
        </w:rPr>
        <w:t xml:space="preserve"> Furthermore, </w:t>
      </w:r>
      <w:r w:rsidR="003070A4" w:rsidRPr="000E79AA">
        <w:rPr>
          <w:rFonts w:ascii="Times New Roman" w:hAnsi="Times New Roman" w:cs="Times New Roman"/>
          <w:bCs/>
          <w:lang w:val="en-AU"/>
        </w:rPr>
        <w:t>they</w:t>
      </w:r>
      <w:r w:rsidR="00036A21" w:rsidRPr="000E79AA">
        <w:rPr>
          <w:rFonts w:ascii="Times New Roman" w:hAnsi="Times New Roman" w:cs="Times New Roman"/>
          <w:bCs/>
          <w:lang w:val="en-AU"/>
        </w:rPr>
        <w:t xml:space="preserve"> demonstrate the importance of baseline noradrenergic state in determining the response to atomoxetine</w:t>
      </w:r>
      <w:r w:rsidR="00A64779" w:rsidRPr="000E79AA">
        <w:rPr>
          <w:rFonts w:ascii="Times New Roman" w:hAnsi="Times New Roman" w:cs="Times New Roman"/>
          <w:bCs/>
          <w:lang w:val="en-AU"/>
        </w:rPr>
        <w:t>.</w:t>
      </w:r>
      <w:r w:rsidR="008F7F4A" w:rsidRPr="000E79AA">
        <w:rPr>
          <w:rFonts w:ascii="Times New Roman" w:hAnsi="Times New Roman" w:cs="Times New Roman"/>
          <w:bCs/>
          <w:lang w:val="en-AU"/>
        </w:rPr>
        <w:t xml:space="preserve"> </w:t>
      </w:r>
      <w:r w:rsidR="00E21DFD" w:rsidRPr="000E79AA">
        <w:rPr>
          <w:rFonts w:ascii="Times New Roman" w:hAnsi="Times New Roman" w:cs="Times New Roman"/>
          <w:bCs/>
          <w:lang w:val="en-AU"/>
        </w:rPr>
        <w:t xml:space="preserve">We suggest that locus coeruleus neuromelanin imaging offers a marker of noradrenergic </w:t>
      </w:r>
      <w:r w:rsidR="00F05549" w:rsidRPr="000E79AA">
        <w:rPr>
          <w:rFonts w:ascii="Times New Roman" w:hAnsi="Times New Roman" w:cs="Times New Roman"/>
          <w:bCs/>
          <w:lang w:val="en-AU"/>
        </w:rPr>
        <w:t>capacity</w:t>
      </w:r>
      <w:r w:rsidR="00E21DFD" w:rsidRPr="000E79AA">
        <w:rPr>
          <w:rFonts w:ascii="Times New Roman" w:hAnsi="Times New Roman" w:cs="Times New Roman"/>
          <w:bCs/>
          <w:lang w:val="en-AU"/>
        </w:rPr>
        <w:t xml:space="preserve"> that </w:t>
      </w:r>
      <w:r w:rsidR="00911263" w:rsidRPr="000E79AA">
        <w:rPr>
          <w:rFonts w:ascii="Times New Roman" w:hAnsi="Times New Roman" w:cs="Times New Roman"/>
          <w:bCs/>
          <w:lang w:val="en-AU"/>
        </w:rPr>
        <w:t xml:space="preserve">could </w:t>
      </w:r>
      <w:r w:rsidR="00E21DFD" w:rsidRPr="000E79AA">
        <w:rPr>
          <w:rFonts w:ascii="Times New Roman" w:hAnsi="Times New Roman" w:cs="Times New Roman"/>
          <w:bCs/>
          <w:lang w:val="en-AU"/>
        </w:rPr>
        <w:t>be used to stratify patients in trials of noradrenergic therapy</w:t>
      </w:r>
      <w:r w:rsidR="00BA0695" w:rsidRPr="000E79AA">
        <w:rPr>
          <w:rFonts w:ascii="Times New Roman" w:hAnsi="Times New Roman" w:cs="Times New Roman"/>
          <w:bCs/>
          <w:lang w:val="en-AU"/>
        </w:rPr>
        <w:t xml:space="preserve"> and to ultimately inform personalised treatment approaches. </w:t>
      </w:r>
      <w:r w:rsidR="00E21DFD" w:rsidRPr="000E79AA">
        <w:rPr>
          <w:rFonts w:ascii="Times New Roman" w:hAnsi="Times New Roman" w:cs="Times New Roman"/>
          <w:bCs/>
          <w:lang w:val="en-AU"/>
        </w:rPr>
        <w:t xml:space="preserve">   </w:t>
      </w:r>
      <w:r w:rsidR="00690D94" w:rsidRPr="000E79AA">
        <w:rPr>
          <w:rFonts w:ascii="Times New Roman" w:hAnsi="Times New Roman" w:cs="Times New Roman"/>
          <w:bCs/>
          <w:lang w:val="en-AU"/>
        </w:rPr>
        <w:t xml:space="preserve"> </w:t>
      </w:r>
      <w:r w:rsidR="008F7F4A" w:rsidRPr="000E79AA">
        <w:rPr>
          <w:rFonts w:ascii="Times New Roman" w:hAnsi="Times New Roman" w:cs="Times New Roman"/>
          <w:bCs/>
          <w:lang w:val="en-AU"/>
        </w:rPr>
        <w:t xml:space="preserve">  </w:t>
      </w:r>
      <w:r w:rsidR="00A64779" w:rsidRPr="000E79AA">
        <w:rPr>
          <w:rFonts w:ascii="Times New Roman" w:hAnsi="Times New Roman" w:cs="Times New Roman"/>
          <w:bCs/>
          <w:lang w:val="en-AU"/>
        </w:rPr>
        <w:t xml:space="preserve"> </w:t>
      </w:r>
      <w:r w:rsidR="00B341C3" w:rsidRPr="000E79AA">
        <w:rPr>
          <w:rFonts w:ascii="Times New Roman" w:hAnsi="Times New Roman" w:cs="Times New Roman"/>
          <w:bCs/>
          <w:lang w:val="en-AU"/>
        </w:rPr>
        <w:t xml:space="preserve"> </w:t>
      </w:r>
      <w:r w:rsidR="00036A21" w:rsidRPr="000E79AA">
        <w:rPr>
          <w:rFonts w:ascii="Times New Roman" w:hAnsi="Times New Roman" w:cs="Times New Roman"/>
          <w:bCs/>
          <w:lang w:val="en-AU"/>
        </w:rPr>
        <w:t xml:space="preserve"> </w:t>
      </w:r>
    </w:p>
    <w:p w14:paraId="037F195F" w14:textId="77777777" w:rsidR="00E21971" w:rsidRPr="000E79AA" w:rsidRDefault="00E21971" w:rsidP="0048009C">
      <w:pPr>
        <w:spacing w:line="360" w:lineRule="auto"/>
        <w:jc w:val="both"/>
        <w:rPr>
          <w:rFonts w:ascii="Times New Roman" w:hAnsi="Times New Roman" w:cs="Times New Roman"/>
          <w:bCs/>
          <w:lang w:val="en-AU"/>
        </w:rPr>
      </w:pPr>
    </w:p>
    <w:p w14:paraId="3DFD0955" w14:textId="77777777" w:rsidR="007B09F1" w:rsidRPr="000E79AA" w:rsidRDefault="007B09F1" w:rsidP="0048009C">
      <w:pPr>
        <w:spacing w:line="360" w:lineRule="auto"/>
        <w:jc w:val="both"/>
        <w:rPr>
          <w:rFonts w:ascii="Times New Roman" w:hAnsi="Times New Roman" w:cs="Times New Roman"/>
          <w:lang w:val="en-AU"/>
        </w:rPr>
      </w:pPr>
    </w:p>
    <w:p w14:paraId="2F5BE815" w14:textId="77777777" w:rsidR="008D4243" w:rsidRPr="000E79AA" w:rsidRDefault="008D4243" w:rsidP="0048009C">
      <w:pPr>
        <w:spacing w:line="360" w:lineRule="auto"/>
        <w:jc w:val="both"/>
        <w:rPr>
          <w:rFonts w:ascii="Times New Roman" w:hAnsi="Times New Roman" w:cs="Times New Roman"/>
          <w:b/>
          <w:lang w:val="en-AU"/>
        </w:rPr>
      </w:pPr>
    </w:p>
    <w:p w14:paraId="73E33E2D" w14:textId="77777777" w:rsidR="00911263" w:rsidRPr="000E79AA" w:rsidRDefault="00911263">
      <w:pPr>
        <w:rPr>
          <w:rFonts w:ascii="Times New Roman" w:hAnsi="Times New Roman" w:cs="Times New Roman"/>
          <w:b/>
          <w:lang w:val="en-AU"/>
        </w:rPr>
      </w:pPr>
      <w:r w:rsidRPr="000E79AA">
        <w:rPr>
          <w:rFonts w:ascii="Times New Roman" w:hAnsi="Times New Roman" w:cs="Times New Roman"/>
          <w:b/>
          <w:lang w:val="en-AU"/>
        </w:rPr>
        <w:br w:type="page"/>
      </w:r>
    </w:p>
    <w:p w14:paraId="6FD5284D" w14:textId="77777777" w:rsidR="00A77F7E" w:rsidRPr="000E79AA" w:rsidRDefault="007F1663" w:rsidP="0048009C">
      <w:pPr>
        <w:spacing w:line="360" w:lineRule="auto"/>
        <w:jc w:val="both"/>
        <w:rPr>
          <w:rFonts w:ascii="Times New Roman" w:hAnsi="Times New Roman" w:cs="Times New Roman"/>
          <w:lang w:val="en-AU"/>
        </w:rPr>
      </w:pPr>
      <w:r w:rsidRPr="000E79AA">
        <w:rPr>
          <w:rFonts w:ascii="Times New Roman" w:hAnsi="Times New Roman" w:cs="Times New Roman"/>
          <w:b/>
          <w:lang w:val="en-AU"/>
        </w:rPr>
        <w:lastRenderedPageBreak/>
        <w:t>I</w:t>
      </w:r>
      <w:r w:rsidR="002D687C" w:rsidRPr="000E79AA">
        <w:rPr>
          <w:rFonts w:ascii="Times New Roman" w:hAnsi="Times New Roman" w:cs="Times New Roman"/>
          <w:b/>
          <w:lang w:val="en-AU"/>
        </w:rPr>
        <w:t>ntroduction</w:t>
      </w:r>
    </w:p>
    <w:p w14:paraId="5F77F7CC" w14:textId="333E5BEE" w:rsidR="001822A7" w:rsidRPr="000E79AA" w:rsidRDefault="004E671C" w:rsidP="0048009C">
      <w:pPr>
        <w:spacing w:line="360" w:lineRule="auto"/>
        <w:jc w:val="both"/>
        <w:rPr>
          <w:rFonts w:ascii="Times New Roman" w:hAnsi="Times New Roman" w:cs="Times New Roman"/>
          <w:bCs/>
          <w:lang w:val="en-AU"/>
        </w:rPr>
      </w:pPr>
      <w:r w:rsidRPr="000E79AA">
        <w:rPr>
          <w:rFonts w:ascii="Times New Roman" w:hAnsi="Times New Roman" w:cs="Times New Roman"/>
          <w:lang w:val="en-AU"/>
        </w:rPr>
        <w:t>Cognitive decline in Parkinson’s disease</w:t>
      </w:r>
      <w:r w:rsidR="00C831ED" w:rsidRPr="000E79AA">
        <w:rPr>
          <w:rFonts w:ascii="Times New Roman" w:hAnsi="Times New Roman" w:cs="Times New Roman"/>
          <w:lang w:val="en-AU"/>
        </w:rPr>
        <w:t xml:space="preserve"> </w:t>
      </w:r>
      <w:r w:rsidRPr="000E79AA">
        <w:rPr>
          <w:rFonts w:ascii="Times New Roman" w:hAnsi="Times New Roman" w:cs="Times New Roman"/>
          <w:lang w:val="en-AU"/>
        </w:rPr>
        <w:t>remains an ongoing therapeutic challenge. The mainstay</w:t>
      </w:r>
      <w:r w:rsidR="003161FC" w:rsidRPr="000E79AA">
        <w:rPr>
          <w:rFonts w:ascii="Times New Roman" w:hAnsi="Times New Roman" w:cs="Times New Roman"/>
          <w:lang w:val="en-AU"/>
        </w:rPr>
        <w:t xml:space="preserve"> dopaminergic therapies </w:t>
      </w:r>
      <w:r w:rsidR="0064581C" w:rsidRPr="000E79AA">
        <w:rPr>
          <w:rFonts w:ascii="Times New Roman" w:hAnsi="Times New Roman" w:cs="Times New Roman"/>
          <w:lang w:val="en-AU"/>
        </w:rPr>
        <w:t>often fail to improve cognitive deficits, and in some cases can exacerbate them</w:t>
      </w:r>
      <w:r w:rsidR="0074469E" w:rsidRPr="000E79AA">
        <w:rPr>
          <w:rFonts w:ascii="Times New Roman" w:hAnsi="Times New Roman" w:cs="Times New Roman"/>
          <w:lang w:val="en-AU"/>
        </w:rPr>
        <w:t>.</w:t>
      </w:r>
      <w:r w:rsidR="0072198B"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{"citationID":"a12actvs1l4","properties":{"formattedCitation":"\\super 1\\uc0\\u8211{}3\\nosupersub{}","plainCitation":"1–3","noteIndex":0},"citationItems":[{"id":9029,"uris":["http://zotero.org/users/local/xUwQuTPV/items/LT6G84MI"],"uri":["http://zotero.org/users/local/xUwQuTPV/items/LT6G84MI"],"itemData":{"id":9029,"type":"article-journal","container-title":"Neuropsychologia","DOI":"10.1016/S0028-3932(03)00117-9","issue":"11","journalAbbreviation":"Neuropsychologia","language":"English","page":"1431-1441","title":"l-Dopa medication remediates cognitive inflexibility, but increases impulsivity in patients with Parkinson’s disease","volume":"41","author":[{"family":"Cools","given":"Roshan"},{"family":"Barker","given":"Roger A."},{"family":"Sahakian","given":"Barbara J."},{"family":"Robbins","given":"Trevor W."}],"issued":{"date-parts":[["2003",1]]}}},{"id":9654,"uris":["http://zotero.org/users/local/xUwQuTPV/items/B7TWJZY5"],"uri":["http://zotero.org/users/local/xUwQuTPV/items/B7TWJZY5"],"itemData":{"id":9654,"type":"article-journal","container-title":"Neuropsychologia","DOI":"10.1016/j.neuropsychologia.2004.10.001","issue":"6","journalAbbreviation":"Neuropsychologia","language":"English","page":"823-832","title":"Dopaminergic basis for deficits in working memory but not attentional set-shifting in Parkinson's disease","volume":"43","author":[{"family":"Lewis","given":"Simon J. G."},{"family":"Slabosz","given":"Aleksandra"},{"family":"Robbins","given":"Trevor W."},{"family":"Barker","given":"Roger A."},{"family":"Owen","given":"Adrian M."}],"issued":{"date-parts":[["2005",1]]}}},{"id":9928,"uris":["http://zotero.org/users/local/xUwQuTPV/items/4M9G5KJN"],"uri":["http://zotero.org/users/local/xUwQuTPV/items/4M9G5KJN"],"itemData":{"id":9928,"type":"article-journal","abstract":"The Lancet Neurology, 9 (2010) 1200-1213. doi:10.1016/S1474-4422(10)70212-X","container-title":"The Lancet Neurology","DOI":"10.1016/S1474-4422(10)70212-X","issue":"12","journalAbbreviation":"The Lancet Neurology","page":"1200-1213","title":"Neuropsychological and clinical heterogeneity of cognitive impairment and dementia in patients with Parkinson's disease","volume":"9","author":[{"family":"Kehagia","given":"Angie A."},{"family":"Barker","given":"Roger A."},{"family":"Robbins","given":"Trevor W."}],"issued":{"date-parts":[["2010",11,13]]}}}],"schema":"https://github.com/citation-style-language/schema/raw/master/csl-citation.json"} </w:instrText>
      </w:r>
      <w:r w:rsidR="0072198B"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1–3</w:t>
      </w:r>
      <w:r w:rsidR="0072198B" w:rsidRPr="000E79AA">
        <w:rPr>
          <w:rFonts w:ascii="Times New Roman" w:hAnsi="Times New Roman" w:cs="Times New Roman"/>
          <w:lang w:val="en-AU"/>
        </w:rPr>
        <w:fldChar w:fldCharType="end"/>
      </w:r>
      <w:r w:rsidR="00DD03AD" w:rsidRPr="000E79AA">
        <w:rPr>
          <w:rFonts w:ascii="Times New Roman" w:hAnsi="Times New Roman" w:cs="Times New Roman"/>
          <w:lang w:val="en-AU"/>
        </w:rPr>
        <w:t xml:space="preserve"> This has </w:t>
      </w:r>
      <w:r w:rsidR="008043F7" w:rsidRPr="000E79AA">
        <w:rPr>
          <w:rFonts w:ascii="Times New Roman" w:hAnsi="Times New Roman" w:cs="Times New Roman"/>
          <w:lang w:val="en-AU"/>
        </w:rPr>
        <w:t>prompted</w:t>
      </w:r>
      <w:r w:rsidR="00DD03AD" w:rsidRPr="000E79AA">
        <w:rPr>
          <w:rFonts w:ascii="Times New Roman" w:hAnsi="Times New Roman" w:cs="Times New Roman"/>
          <w:lang w:val="en-AU"/>
        </w:rPr>
        <w:t xml:space="preserve"> a shift </w:t>
      </w:r>
      <w:r w:rsidR="008F5491" w:rsidRPr="000E79AA">
        <w:rPr>
          <w:rFonts w:ascii="Times New Roman" w:hAnsi="Times New Roman" w:cs="Times New Roman"/>
          <w:lang w:val="en-AU"/>
        </w:rPr>
        <w:t xml:space="preserve">of </w:t>
      </w:r>
      <w:r w:rsidR="00DD03AD" w:rsidRPr="000E79AA">
        <w:rPr>
          <w:rFonts w:ascii="Times New Roman" w:hAnsi="Times New Roman" w:cs="Times New Roman"/>
          <w:lang w:val="en-AU"/>
        </w:rPr>
        <w:t xml:space="preserve">focus </w:t>
      </w:r>
      <w:r w:rsidR="008F5491" w:rsidRPr="000E79AA">
        <w:rPr>
          <w:rFonts w:ascii="Times New Roman" w:hAnsi="Times New Roman" w:cs="Times New Roman"/>
          <w:lang w:val="en-AU"/>
        </w:rPr>
        <w:t>towards other</w:t>
      </w:r>
      <w:r w:rsidR="00504DC2" w:rsidRPr="000E79AA">
        <w:rPr>
          <w:rFonts w:ascii="Times New Roman" w:hAnsi="Times New Roman" w:cs="Times New Roman"/>
          <w:bCs/>
          <w:lang w:val="en-AU"/>
        </w:rPr>
        <w:t xml:space="preserve"> neuromodulatory systems </w:t>
      </w:r>
      <w:r w:rsidR="00C44683" w:rsidRPr="000E79AA">
        <w:rPr>
          <w:rFonts w:ascii="Times New Roman" w:hAnsi="Times New Roman" w:cs="Times New Roman"/>
          <w:bCs/>
          <w:lang w:val="en-AU"/>
        </w:rPr>
        <w:t>that</w:t>
      </w:r>
      <w:r w:rsidR="008F5491" w:rsidRPr="000E79AA">
        <w:rPr>
          <w:rFonts w:ascii="Times New Roman" w:hAnsi="Times New Roman" w:cs="Times New Roman"/>
          <w:bCs/>
          <w:lang w:val="en-AU"/>
        </w:rPr>
        <w:t xml:space="preserve"> are affected by Parkinson’s disease and related to cognitive decline, including noradrenaline</w:t>
      </w:r>
      <w:r w:rsidR="0074469E" w:rsidRPr="000E79AA">
        <w:rPr>
          <w:rFonts w:ascii="Times New Roman" w:hAnsi="Times New Roman" w:cs="Times New Roman"/>
          <w:bCs/>
          <w:lang w:val="en-AU"/>
        </w:rPr>
        <w:t>.</w:t>
      </w:r>
      <w:r w:rsidR="008F5491"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{"citationID":"a1e8amv45k8","properties":{"formattedCitation":"\\super 4\\nosupersub{}","plainCitation":"4","noteIndex":0},"citationItems":[{"id":9348,"uris":["http://zotero.org/users/local/xUwQuTPV/items/T8JRUHQQ"],"uri":["http://zotero.org/users/local/xUwQuTPV/items/T8JRUHQQ"],"itemData":{"id":9348,"type":"article-journal","container-title":"Movement Disorders","DOI":"10.1002/mds.25857","issue":"5","journalAbbreviation":"Mov Disord.","language":"English","page":"634-650","title":"The neurobiological basis of cognitive impairment in Parkinson's disease","title-short":"Neurobiology of Parkinson&amp;apos;s Disease Dementia","volume":"29","author":[{"family":"Halliday","given":"Glenda M."},{"family":"Leverenz","given":"James B."},{"family":"Schneider","given":"Jay S."},{"family":"Adler","given":"Charles H."}],"editor":[{"family":"Burn","given":"David"},{"family":"Weintraub","given":"Daniel"},{"family":"Robbins","given":"Trevor"}],"issued":{"date-parts":[["2014",4,22]]}}}],"schema":"https://github.com/citation-style-language/schema/raw/master/csl-citation.json"} </w:instrText>
      </w:r>
      <w:r w:rsidR="008F5491"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w:t>
      </w:r>
      <w:r w:rsidR="008F5491" w:rsidRPr="000E79AA">
        <w:rPr>
          <w:rFonts w:ascii="Times New Roman" w:hAnsi="Times New Roman" w:cs="Times New Roman"/>
          <w:bCs/>
          <w:lang w:val="en-AU"/>
        </w:rPr>
        <w:fldChar w:fldCharType="end"/>
      </w:r>
      <w:r w:rsidR="008F5491" w:rsidRPr="000E79AA">
        <w:rPr>
          <w:rFonts w:ascii="Times New Roman" w:hAnsi="Times New Roman" w:cs="Times New Roman"/>
          <w:bCs/>
          <w:lang w:val="en-AU"/>
        </w:rPr>
        <w:t xml:space="preserve"> T</w:t>
      </w:r>
      <w:r w:rsidR="00822BF1" w:rsidRPr="000E79AA">
        <w:rPr>
          <w:rFonts w:ascii="Times New Roman" w:hAnsi="Times New Roman" w:cs="Times New Roman"/>
          <w:bCs/>
          <w:lang w:val="en-AU"/>
        </w:rPr>
        <w:t xml:space="preserve">he noradrenergic locus coeruleus </w:t>
      </w:r>
      <w:r w:rsidR="008F5491" w:rsidRPr="000E79AA">
        <w:rPr>
          <w:rFonts w:ascii="Times New Roman" w:hAnsi="Times New Roman" w:cs="Times New Roman"/>
          <w:bCs/>
          <w:lang w:val="en-AU"/>
        </w:rPr>
        <w:t xml:space="preserve">is </w:t>
      </w:r>
      <w:r w:rsidR="00822BF1" w:rsidRPr="000E79AA">
        <w:rPr>
          <w:rFonts w:ascii="Times New Roman" w:hAnsi="Times New Roman" w:cs="Times New Roman"/>
          <w:bCs/>
          <w:lang w:val="en-AU"/>
        </w:rPr>
        <w:t>one of the earliest</w:t>
      </w:r>
      <w:r w:rsidR="00C55C02" w:rsidRPr="000E79AA">
        <w:rPr>
          <w:rFonts w:ascii="Times New Roman" w:hAnsi="Times New Roman" w:cs="Times New Roman"/>
          <w:bCs/>
          <w:lang w:val="en-AU"/>
        </w:rPr>
        <w:t xml:space="preserve"> sites of </w:t>
      </w:r>
      <w:r w:rsidR="00912667" w:rsidRPr="000E79AA">
        <w:rPr>
          <w:rFonts w:ascii="Times New Roman" w:hAnsi="Times New Roman" w:cs="Times New Roman"/>
          <w:bCs/>
          <w:lang w:val="en-AU"/>
        </w:rPr>
        <w:t>alpha-synuclein pathology</w:t>
      </w:r>
      <w:r w:rsidR="0074469E" w:rsidRPr="000E79AA">
        <w:rPr>
          <w:rFonts w:ascii="Times New Roman" w:hAnsi="Times New Roman" w:cs="Times New Roman"/>
          <w:bCs/>
          <w:lang w:val="en-AU"/>
        </w:rPr>
        <w:t>,</w:t>
      </w:r>
      <w:r w:rsidR="00C354C0"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{"citationID":"a8jg94r965","properties":{"formattedCitation":"\\super 5\\uc0\\u8211{}7\\nosupersub{}","plainCitation":"5–7","noteIndex":0},"citationItems":[{"id":10468,"uris":["http://zotero.org/users/local/xUwQuTPV/items/63JDG3RD"],"uri":["http://zotero.org/users/local/xUwQuTPV/items/63JDG3RD"],"itemData":{"id":10468,"type":"article-journal","abstract":"Sporadic Parkinson’s disease involves multiple neuronal systems and results from changes developing in a few susceptible types of nerve cells. Essential for neuropathological diagnosis are </w:instrText>
      </w:r>
      <w:r w:rsidR="00C868EB" w:rsidRPr="000E79AA">
        <w:rPr>
          <w:rFonts w:ascii="Segoe UI Symbol" w:hAnsi="Segoe UI Symbol" w:cs="Segoe UI Symbol"/>
          <w:bCs/>
          <w:lang w:val="en-AU"/>
        </w:rPr>
        <w:instrText>␣</w:instrText>
      </w:r>
      <w:r w:rsidR="00C868EB" w:rsidRPr="000E79AA">
        <w:rPr>
          <w:rFonts w:ascii="Times New Roman" w:hAnsi="Times New Roman" w:cs="Times New Roman"/>
          <w:bCs/>
          <w:lang w:val="en-AU"/>
        </w:rPr>
        <w:instrText xml:space="preserve">-synuclein-immunopositive Lewy neurites and Lewy bodies. The pathological process targets speciﬁc induction sites: lesions initially occur in the dorsal motor nucleus of the glossopharyngeal and vagal nerves and anterior olfactory nucleus. Thereafter, less vulnerable nuclear grays and cortical areas gradually become affected. The disease process in the brain stem pursues an ascending course with little interindividual variation. The pathology in the anterior olfactory nucleus makes fewer incursions into related areas than that developing in the brain stem. Cortical involvement ensues, beginning with the anteromedial temporal mesocortex. From there, the neocortex succumbs, commencing with high order sensory association and prefrontal areas. First order sensory association/premotor areas and primary sensory/motor ﬁelds then follow suit. This study traces the course of the pathology in incidental and symptomatic Parkinson cases proposing a staging procedure based upon the readily recognizable topographical extent of the lesions. © 2002 Published by Elsevier Science Inc.","container-title":"Neurobiology of Aging","DOI":"10.1016/S0197-4580(02)00065-9","ISSN":"01974580","issue":"2","journalAbbreviation":"Neurobiology of Aging","language":"en","page":"197-211","source":"DOI.org (Crossref)","title":"Staging of brain pathology related to sporadic Parkinson’s disease","volume":"24","author":[{"family":"Braak","given":"Heiko"},{"family":"Tredici","given":"Kelly Del"},{"family":"Rüb","given":"Udo"},{"family":"Vos","given":"Rob A.I","non-dropping-particle":"de"},{"family":"Jansen Steur","given":"Ernst N.H"},{"family":"Braak","given":"Eva"}],"issued":{"date-parts":[["2003",3]]}}},{"id":10227,"uris":["http://zotero.org/users/local/xUwQuTPV/items/6VRYFQ8Q"],"uri":["http://zotero.org/users/local/xUwQuTPV/items/6VRYFQ8Q"],"itemData":{"id":10227,"type":"article-journal","abstract":"Intracellular α-synuclein (α-syn)-rich protein aggregates called Lewy pathology (LP) and neuronal death are commonly found in the brains of patients with clinical Parkinson disease (cPD). It is widely believed that LP appears early in the disease and spreads in synaptically coupled brain networks, driving neuronal dysfunction and death. However, post-mortem analysis of human brains and connectome-mapping studies show that the pattern of LP in cPD is not consistent with this simple model, arguing that, if LP propagates in cPD, it must be gated by cell- or region-autonomous mechanisms. Moreover, the correlation between LP and neuronal death is weak. In this Review, we briefly discuss the evidence for and against the spreading LP model, as well as evidence that cell-autonomous factors govern both α-syn pathology and neuronal death.","container-title":"Nature reviews. Neuroscience","DOI":"10.1038/nrn.2016.178","issue":"2","journalAbbreviation":"Nat. Rev. Neurosci.","language":"English","note":"PMCID: PMC5564322","page":"101-113","title":"Selective neuronal vulnerability in Parkinson disease.","volume":"18","author":[{"family":"Surmeier","given":"D. James"},{"family":"Obeso","given":"Jose A."},{"family":"Halliday","given":"Glenda M."}],"issued":{"date-parts":[["2017",1,20]]}}},{"id":4158,"uris":["http://zotero.org/users/local/xUwQuTPV/items/PZPX5THT"],"uri":["http://zotero.org/users/local/xUwQuTPV/items/PZPX5THT"],"itemData":{"id":4158,"type":"article-journal","abstract":"It has been known for decades that degeneration of the locus coeruleus (LC), the major noradrenergic nucleus in the brain, occurs in both Alzheimer&amp;apos;s disease (AD) and Parkinson&amp;apos;s disease (PD), but it was given scant attention. It is now recognized that hyperphosphorylated tau in the LC is the first detectable AD-like neuropathology in the human brain, α-synuclein inclusions in the LC represent an early step in PD, and experimental LC lesions exacerbate neuropathology and cognitive/behavioral deficits in animal models. The purpose of this review is to consider the causes and consequences of LC pathology, dysfunction, and degeneration, as well as their implications for early detection and treatment.","container-title":"Trends in Neurosciences","DOI":"10.1016/j.tins.2018.01.010","issue":"4","journalAbbreviation":"Trends in Neurosciences","language":"English","note":"PMCID: PMC5878728","page":"211-223","title":"Long Road to Ruin: Noradrenergic Dysfunction in Neurodegenerative Disease.","volume":"41","author":[{"family":"Weinshenker","given":"David"}],"issued":{"date-parts":[["2018",4]]}}}],"schema":"https://github.com/citation-style-language/schema/raw/master/csl-citation.json"} </w:instrText>
      </w:r>
      <w:r w:rsidR="00C354C0"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5–7</w:t>
      </w:r>
      <w:r w:rsidR="00C354C0" w:rsidRPr="000E79AA">
        <w:rPr>
          <w:rFonts w:ascii="Times New Roman" w:hAnsi="Times New Roman" w:cs="Times New Roman"/>
          <w:bCs/>
          <w:lang w:val="en-AU"/>
        </w:rPr>
        <w:fldChar w:fldCharType="end"/>
      </w:r>
      <w:r w:rsidR="00C55C02" w:rsidRPr="000E79AA">
        <w:rPr>
          <w:rFonts w:ascii="Times New Roman" w:hAnsi="Times New Roman" w:cs="Times New Roman"/>
          <w:lang w:val="en-AU"/>
        </w:rPr>
        <w:t xml:space="preserve"> </w:t>
      </w:r>
      <w:r w:rsidR="00844AD3" w:rsidRPr="000E79AA">
        <w:rPr>
          <w:rFonts w:ascii="Times New Roman" w:hAnsi="Times New Roman" w:cs="Times New Roman"/>
          <w:bCs/>
          <w:lang w:val="en-AU"/>
        </w:rPr>
        <w:t xml:space="preserve">and </w:t>
      </w:r>
      <w:r w:rsidR="00C55C02" w:rsidRPr="000E79AA">
        <w:rPr>
          <w:rFonts w:ascii="Times New Roman" w:hAnsi="Times New Roman" w:cs="Times New Roman"/>
          <w:bCs/>
          <w:lang w:val="en-AU"/>
        </w:rPr>
        <w:t xml:space="preserve">noradrenergic </w:t>
      </w:r>
      <w:r w:rsidR="00CE1C7B" w:rsidRPr="000E79AA">
        <w:rPr>
          <w:rFonts w:ascii="Times New Roman" w:hAnsi="Times New Roman" w:cs="Times New Roman"/>
          <w:bCs/>
          <w:lang w:val="en-AU"/>
        </w:rPr>
        <w:t xml:space="preserve">treatments </w:t>
      </w:r>
      <w:r w:rsidR="00844AD3" w:rsidRPr="000E79AA">
        <w:rPr>
          <w:rFonts w:ascii="Times New Roman" w:hAnsi="Times New Roman" w:cs="Times New Roman"/>
          <w:bCs/>
          <w:lang w:val="en-AU"/>
        </w:rPr>
        <w:t xml:space="preserve">have been shown to </w:t>
      </w:r>
      <w:r w:rsidR="00C55C02" w:rsidRPr="000E79AA">
        <w:rPr>
          <w:rFonts w:ascii="Times New Roman" w:hAnsi="Times New Roman" w:cs="Times New Roman"/>
          <w:bCs/>
          <w:lang w:val="en-AU"/>
        </w:rPr>
        <w:t>modulat</w:t>
      </w:r>
      <w:r w:rsidR="00CE1C7B" w:rsidRPr="000E79AA">
        <w:rPr>
          <w:rFonts w:ascii="Times New Roman" w:hAnsi="Times New Roman" w:cs="Times New Roman"/>
          <w:bCs/>
          <w:lang w:val="en-AU"/>
        </w:rPr>
        <w:t xml:space="preserve">e </w:t>
      </w:r>
      <w:r w:rsidR="002B52D5" w:rsidRPr="000E79AA">
        <w:rPr>
          <w:rFonts w:ascii="Times New Roman" w:hAnsi="Times New Roman" w:cs="Times New Roman"/>
          <w:bCs/>
          <w:lang w:val="en-AU"/>
        </w:rPr>
        <w:t>c</w:t>
      </w:r>
      <w:r w:rsidR="001C28AF" w:rsidRPr="000E79AA">
        <w:rPr>
          <w:rFonts w:ascii="Times New Roman" w:hAnsi="Times New Roman" w:cs="Times New Roman"/>
          <w:bCs/>
          <w:lang w:val="en-AU"/>
        </w:rPr>
        <w:t>ognitive functions that are impaired in Parkinson’s disease, including response inhibition</w:t>
      </w:r>
      <w:r w:rsidR="0074469E" w:rsidRPr="000E79AA">
        <w:rPr>
          <w:rFonts w:ascii="Times New Roman" w:hAnsi="Times New Roman" w:cs="Times New Roman"/>
          <w:bCs/>
          <w:lang w:val="en-AU"/>
        </w:rPr>
        <w:t>.</w:t>
      </w:r>
      <w:r w:rsidR="00B63381"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{"citationID":"a1bqfpidq5v","properties":{"formattedCitation":"\\super 8\\uc0\\u8211{}12\\nosupersub{}","plainCitation":"8–12","noteIndex":0},"citationItems":[{"id":13750,"uris":["http://zotero.org/users/local/xUwQuTPV/items/M4TXT75H"],"uri":["http://zotero.org/users/local/xUwQuTPV/items/M4TXT75H"],"itemData":{"id":13750,"type":"article-journal","abstract":"Background and rationale The term ‘action inhibition’ encapsulates the ability to prevent any form of planned physical response. Growing evidence suggests that different ‘stages’ or even subtypes of action inhibition activate subtly different neuropharmacological and neuroanatomical processes.\nObjectives In this review, we present evidence from two commonly used and apparently similar behavioural tests, the stop-signal task and the go/no-go task, to determine if these have similar neuroanatomical and neurochemical modulation.\nResults Whilst performance of the stop-signal and go/no-go tasks is modulated across only subtly different anatomical networks, serotonin (5-HT) is strongly implicated in inhibitory control on the go/no-go but not the stop-signal task, whereas the stop-signal reaction time appears more sensitive to the action of noradrenaline.\nConclusions There is clear neuropharmacological and neuroanatomical evidence that stop-signal and go/no-go tasks represent different forms of action inhibition. This evidence translates with remarkable consistency across species. We discuss the possible implications of this evidence with respect to the development of novel therapeutic treatments for disorders in which inhibitory deficits are prominent and debilitating.","container-title":"Psychopharmacology","DOI":"10.1007/s00213-008-1127-6","ISSN":"0033-3158, 1432-2072","issue":"3","journalAbbreviation":"Psychopharmacology","language":"en","page":"439-456","source":"DOI.org (Crossref)","title":"The neuropsychopharmacology of action inhibition: cross-species translation of the stop-signal and go/no-go tasks","title-short":"The neuropsychopharmacology of action inhibition","volume":"199","author":[{"family":"Eagle","given":"Dawn M."},{"family":"Bari","given":"Andrea"},{"family":"Robbins","given":"Trevor W."}],"issued":{"date-parts":[["2008",8]]}}},{"id":13996,"uris":["http://zotero.org/users/local/xUwQuTPV/items/97DJFYGV"],"uri":["http://zotero.org/users/local/xUwQuTPV/items/97DJFYGV"],"itemData":{"id":13996,"type":"article-journal","container-title":"Frontiers in Behavioral Neuroscience","DOI":"10.3389/fnbeh.2012.00048","ISSN":"1662-5153","journalAbbreviation":"Front. Behav. Neurosci.","language":"en","source":"DOI.org (Crossref)","title":"The emerging role of norepinephrine in cognitive dysfunctions of Parkinson's disease","URL":"http://journal.frontiersin.org/article/10.3389/fnbeh.2012.00048/abstract","volume":"6","author":[{"family":"Vazey","given":"Elena M."},{"family":"Aston-Jones","given":"Gary"}],"accessed":{"date-parts":[["2020",8,11]]},"issued":{"date-parts":[["2012"]]}}},{"id":4575,"uris":["http://zotero.org/users/local/xUwQuTPV/items/ESDCSZQE"],"uri":["http://zotero.org/users/local/xUwQuTPV/items/ESDCSZQE"],"itemData":{"id":4575,"type":"article-journal","container-title":"Brain","DOI":"10.1093/brain/awu117","issue":"7","journalAbbreviation":"Brain","language":"English","page":"1986-1997","title":"Targeting impulsivity in Parkinson's disease using atomoxetine","volume":"137","author":[{"family":"Kehagia","given":"A. A."},{"family":"Housden","given":"C. R."},{"family":"Regenthal","given":"R."},{"family":"Barker","given":"R. A."},{"family":"Muller","given":"U."},{"family":"Rowe","given":"J."},{"family":"Sahakian","given":"B. J."},{"family":"Robbins","given":"T. W."}],"issued":{"date-parts":[["2014",6,20]]}}},{"id":4579,"uris":["http://zotero.org/users/local/xUwQuTPV/items/EQ2KR99N"],"uri":["http://zotero.org/users/local/xUwQuTPV/items/EQ2KR99N"],"itemData":{"id":4579,"type":"article-journal","abstract":"Biological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B63381"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8–12</w:t>
      </w:r>
      <w:r w:rsidR="00B63381" w:rsidRPr="000E79AA">
        <w:rPr>
          <w:rFonts w:ascii="Times New Roman" w:hAnsi="Times New Roman" w:cs="Times New Roman"/>
          <w:bCs/>
          <w:lang w:val="en-AU"/>
        </w:rPr>
        <w:fldChar w:fldCharType="end"/>
      </w:r>
      <w:r w:rsidR="001C28AF" w:rsidRPr="000E79AA">
        <w:rPr>
          <w:rFonts w:ascii="Times New Roman" w:hAnsi="Times New Roman" w:cs="Times New Roman"/>
          <w:bCs/>
          <w:lang w:val="en-AU"/>
        </w:rPr>
        <w:t xml:space="preserve"> </w:t>
      </w:r>
    </w:p>
    <w:p w14:paraId="186A479F" w14:textId="77777777" w:rsidR="001822A7" w:rsidRPr="000E79AA" w:rsidRDefault="001822A7" w:rsidP="004E671C">
      <w:pPr>
        <w:spacing w:line="360" w:lineRule="auto"/>
        <w:jc w:val="both"/>
        <w:rPr>
          <w:rFonts w:ascii="Times New Roman" w:hAnsi="Times New Roman" w:cs="Times New Roman"/>
          <w:bCs/>
          <w:lang w:val="en-AU"/>
        </w:rPr>
      </w:pPr>
    </w:p>
    <w:p w14:paraId="404A5190" w14:textId="30B34253" w:rsidR="009B2818" w:rsidRPr="000E79AA" w:rsidRDefault="00D56BA3" w:rsidP="004E671C">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Response inhibition deficits are </w:t>
      </w:r>
      <w:r w:rsidR="00B06EA7" w:rsidRPr="000E79AA">
        <w:rPr>
          <w:rFonts w:ascii="Times New Roman" w:hAnsi="Times New Roman" w:cs="Times New Roman"/>
          <w:bCs/>
          <w:lang w:val="en-AU"/>
        </w:rPr>
        <w:t>a well-documented feature of Parkinson’s disease</w:t>
      </w:r>
      <w:r w:rsidR="00CE1C7B" w:rsidRPr="000E79AA">
        <w:rPr>
          <w:rFonts w:ascii="Times New Roman" w:hAnsi="Times New Roman" w:cs="Times New Roman"/>
          <w:bCs/>
          <w:lang w:val="en-AU"/>
        </w:rPr>
        <w:t>, ranging from subclinical impairments to extreme impuls</w:t>
      </w:r>
      <w:r w:rsidR="00CB50B3" w:rsidRPr="000E79AA">
        <w:rPr>
          <w:rFonts w:ascii="Times New Roman" w:hAnsi="Times New Roman" w:cs="Times New Roman"/>
          <w:bCs/>
          <w:lang w:val="en-AU"/>
        </w:rPr>
        <w:t>ive behaviours</w:t>
      </w:r>
      <w:r w:rsidR="00D7107C" w:rsidRPr="000E79AA">
        <w:rPr>
          <w:rFonts w:ascii="Times New Roman" w:hAnsi="Times New Roman" w:cs="Times New Roman"/>
          <w:bCs/>
          <w:lang w:val="en-AU"/>
        </w:rPr>
        <w:t>.</w:t>
      </w:r>
      <w:r w:rsidR="00B264D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{"citationID":"a157rf82ncc","properties":{"formattedCitation":"\\super 13\\uc0\\u8211{}17\\nosupersub{}","plainCitation":"13–17","noteIndex":0},"citationItems":[{"id":12136,"uris":["http://zotero.org/users/local/xUwQuTPV/items/294XPFES"],"uri":["http://zotero.org/users/local/xUwQuTPV/items/294XPFES"],"itemData":{"id":12136,"type":"article-journal","abstract":"Objectives: We investigated the involvement of the basal ganglia in inhibiting ongoing responses in patients with Parkinson’s disease (PD).\nMethods: Thirty two patients with PD and 31 orthopaedic controls performed the stop signal task, which allows an estimation of the time it takes to inhibit an ongoing reaction (stop signal reaction time, SSRT).\nResults: Patients with PD showed significantly longer SSRTs than the controls. This effect seemed to be independent of global cognitive impairment and severity of PD. Furthermore, in the PD patients, there was no significant relation between general slowing and inhibitory efficiency.\nConclusions: Our results provide evidence for involvement of the basal ganglia in the inhibition of ongoing responses.","container-title":"Journal of Neurology, Neurosurgery &amp; Psychiatry","DOI":"10.1136/jnnp.2003.016469","ISSN":"0022-3050, 1468-330X","issue":"4","journalAbbreviation":"J Neurol Neurosurg Psychiatry","language":"en","page":"539-544","source":"DOI.org (Crossref)","title":"Inhibition of ongoing responses in patients with Parkinson’s disease","volume":"75","author":[{"family":"Gauggel","given":"S"},{"family":"Rieger","given":"M"},{"family":"Feghoff","given":"T-A"}],"issued":{"date-parts":[["2004",4]]}}},{"id":9868,"uris":["http://zotero.org/users/local/xUwQuTPV/items/L5QRPXIT"],"uri":["http://zotero.org/users/local/xUwQuTPV/items/L5QRPXIT"],"itemData":{"id":9868,"type":"article-journal","container-title":"Experimental Brain Research","DOI":"10.1007/s00221-011-2736-6","issue":"3","journalAbbreviation":"Exp Brain Res","language":"English","page":"371-384","title":"Deficits in inhibitory control and conflict resolution on cognitive and motor tasks in Parkinson’s disease","volume":"212","author":[{"family":"Obeso","given":"Ignacio"},{"family":"Wilkinson","given":"Leonora"},{"family":"Casabona","given":"Enrique"},{"family":"Bringas","given":"Maria Luisa"},{"family":"Álvarez","given":"Mario"},{"family":"Álvarez","given":"Lázaro"},{"family":"Pavon","given":"Nancy"},{"family":"Rodríguez-Oroz","given":"Maria-Cruz"},{"family":"Macias","given":"Raúl"},{"family":"Obeso","given":"Jose A."},{"family":"Jahanshahi","given":"Marjan"}],"issued":{"date-parts":[["2011",6,4]]}}},{"id":12134,"uris":["http://zotero.org/users/local/xUwQuTPV/items/AAJZSTIG"],"uri":["http://zotero.org/users/local/xUwQuTPV/items/AAJZSTIG"],"itemData":{"id":12134,"type":"article-journal","abstract":"Introduction: Impulsive behaviours commonly manifest in treated Parkinson’s disease (PD) patients, and, are typically viewed as sequelae of dopaminergic therapy. However, recent evidence shows that impulsivity in those patients may not only depend on medication status. Instead, there is the suggestion that dopaminergic therapy interacts with existing neuroanatomical and/or neurochemical abnormalities, to produce impulsive behaviour in certain vulnerable patients.","container-title":"Cortex","DOI":"10.1016/j.cortex.2012.12.003","ISSN":"00109452","issue":"7","journalAbbreviation":"Cortex","language":"en","page":"1833-1843","source":"DOI.org (Crossref)","title":"Fronto-striatal atrophy correlates of inhibitory dysfunction in Parkinson's disease versus behavioural variant frontotemporal dementia","volume":"49","author":[{"family":"O'Callaghan","given":"Claire"},{"family":"Naismith","given":"Sharon L."},{"family":"Hodges","given":"John R."},{"family":"Lewis","given":"Simon J.G."},{"family":"Hornberger","given":"Michael"}],"issued":{"date-parts":[["2013",7]]}}},{"id":9855,"uris":["http://zotero.org/users/local/xUwQuTPV/items/6GA9CPZ7"],"uri":["http://zotero.org/users/local/xUwQuTPV/items/6GA9CPZ7"],"itemData":{"id":9855,"type":"article-journal","abstract":"... Table 1. Summary of neurotransmitter associations with performance on tests of inhibition or impulsivity. doi: 10.1371 / journal . pone . 0085747 . t001 . The question therefore arises, what are the components of impulsivity in Parkinson&amp;apos;s disease? ...","container-title":"PLoS ONE","DOI":"10.1371/journal.pone.0085747","issue":"1","journalAbbreviation":"PLoS ONE","language":"English","page":"e85747","title":"Multiple Modes of Impulsivity in Parkinson's Disease","volume":"9","author":[{"family":"Nombela","given":"Cristina"},{"family":"Rittman","given":"Timothy"},{"family":"Robbins","given":"Trevor W."},{"family":"Rowe","given":"James B."}],"editor":[{"family":"Arias-Carrion","given":"Oscar"}],"issued":{"date-parts":[["2014",1,21]]}}},{"id":13764,"uris":["http://zotero.org/users/local/xUwQuTPV/items/DQ2TFMDF"],"uri":["http://zotero.org/users/local/xUwQuTPV/items/DQ2TFMDF"],"itemData":{"id":13764,"type":"article-journal","abstract":"Patients with Parkinson's disease (PD) may experience impulse control disorders (ICDs) when on dopamine agonist therapy for their motor symptoms. In the last few years, a rapid growth of interest for the recognition of these aberrant behaviors and their neurobiological correlates has occurred. Recent advances in neuroimaging are helping to identify the neuroanatomical networks responsible for these ICDs, and together with psychopharmacological assessments are providing new insights into the brain status of impulsive behavior. The genetic associations that may be unique to ICDs in PD are also being identified. Complementing human studies, electrophysiological and biochemical studies in animal models are providing insights into neuropathological mechanisms associated with these disorders. New animal models of ICDs in PD patients are being implemented that should provide critical means to identify efficacious therapies for PD-related motor deficits while avoiding ICD side effects. Here, we provide an overview of these recent advances, with a particular emphasis on the neurobiological correlates reported in animal models and patients along with their genetic underpinnings. © 2014 International Parkinson and Movement Disorder Society","container-title":"Movement Disorders","DOI":"10.1002/mds.26068","ISSN":"1531-8257","issue":"2","language":"en","note":"_eprint: https://onlinelibrary.wiley.com/doi/pdf/10.1002/mds.26068","page":"141-149","source":"Wiley Online Library","title":"Linking neuroscience with modern concepts of impulse control disorders in Parkinson's disease","volume":"30","author":[{"family":"Napier","given":"T. Celeste"},{"family":"Corvol","given":"Jean-Christophe"},{"family":"Grace","given":"Anthony A."},{"family":"Roitman","given":"Jamie D."},{"family":"Rowe","given":"James"},{"family":"Voon","given":"Valerie"},{"family":"Strafella","given":"Antonio P."}],"issued":{"date-parts":[["2015"]]}}}],"schema":"https://github.com/citation-style-language/schema/raw/master/csl-citation.json"} </w:instrText>
      </w:r>
      <w:r w:rsidR="00B264D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13–17</w:t>
      </w:r>
      <w:r w:rsidR="00B264D7" w:rsidRPr="000E79AA">
        <w:rPr>
          <w:rFonts w:ascii="Times New Roman" w:hAnsi="Times New Roman" w:cs="Times New Roman"/>
          <w:bCs/>
          <w:lang w:val="en-AU"/>
        </w:rPr>
        <w:fldChar w:fldCharType="end"/>
      </w:r>
      <w:r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 xml:space="preserve">Impulsivity is clear in the </w:t>
      </w:r>
      <w:r w:rsidR="003B0567" w:rsidRPr="000E79AA">
        <w:rPr>
          <w:rFonts w:ascii="Times New Roman" w:hAnsi="Times New Roman" w:cs="Times New Roman"/>
          <w:bCs/>
          <w:lang w:val="en-AU"/>
        </w:rPr>
        <w:t xml:space="preserve">florid </w:t>
      </w:r>
      <w:r w:rsidR="00911263" w:rsidRPr="000E79AA">
        <w:rPr>
          <w:rFonts w:ascii="Times New Roman" w:hAnsi="Times New Roman" w:cs="Times New Roman"/>
          <w:bCs/>
          <w:lang w:val="en-AU"/>
        </w:rPr>
        <w:t>‘</w:t>
      </w:r>
      <w:r w:rsidR="003B0567" w:rsidRPr="000E79AA">
        <w:rPr>
          <w:rFonts w:ascii="Times New Roman" w:hAnsi="Times New Roman" w:cs="Times New Roman"/>
          <w:bCs/>
          <w:lang w:val="en-AU"/>
        </w:rPr>
        <w:t>impulse</w:t>
      </w:r>
      <w:r w:rsidR="00913C4C" w:rsidRPr="000E79AA">
        <w:rPr>
          <w:rFonts w:ascii="Times New Roman" w:hAnsi="Times New Roman" w:cs="Times New Roman"/>
          <w:bCs/>
          <w:lang w:val="en-AU"/>
        </w:rPr>
        <w:t xml:space="preserve"> </w:t>
      </w:r>
      <w:r w:rsidR="003B0567" w:rsidRPr="000E79AA">
        <w:rPr>
          <w:rFonts w:ascii="Times New Roman" w:hAnsi="Times New Roman" w:cs="Times New Roman"/>
          <w:bCs/>
          <w:lang w:val="en-AU"/>
        </w:rPr>
        <w:t>control</w:t>
      </w:r>
      <w:r w:rsidR="00913C4C" w:rsidRPr="000E79AA">
        <w:rPr>
          <w:rFonts w:ascii="Times New Roman" w:hAnsi="Times New Roman" w:cs="Times New Roman"/>
          <w:bCs/>
          <w:lang w:val="en-AU"/>
        </w:rPr>
        <w:t xml:space="preserve"> </w:t>
      </w:r>
      <w:r w:rsidR="00911263" w:rsidRPr="000E79AA">
        <w:rPr>
          <w:rFonts w:ascii="Times New Roman" w:hAnsi="Times New Roman" w:cs="Times New Roman"/>
          <w:bCs/>
          <w:lang w:val="en-AU"/>
        </w:rPr>
        <w:t xml:space="preserve">disorders’ </w:t>
      </w:r>
      <w:r w:rsidR="00913C4C" w:rsidRPr="000E79AA">
        <w:rPr>
          <w:rFonts w:ascii="Times New Roman" w:hAnsi="Times New Roman" w:cs="Times New Roman"/>
          <w:bCs/>
          <w:lang w:val="en-AU"/>
        </w:rPr>
        <w:t xml:space="preserve">that </w:t>
      </w:r>
      <w:r w:rsidR="00CE1C7B" w:rsidRPr="000E79AA">
        <w:rPr>
          <w:rFonts w:ascii="Times New Roman" w:hAnsi="Times New Roman" w:cs="Times New Roman"/>
          <w:bCs/>
          <w:lang w:val="en-AU"/>
        </w:rPr>
        <w:t xml:space="preserve">are exacerbated </w:t>
      </w:r>
      <w:r w:rsidR="005D5583" w:rsidRPr="000E79AA">
        <w:rPr>
          <w:rFonts w:ascii="Times New Roman" w:hAnsi="Times New Roman" w:cs="Times New Roman"/>
          <w:bCs/>
          <w:lang w:val="en-AU"/>
        </w:rPr>
        <w:t>by dopamine</w:t>
      </w:r>
      <w:r w:rsidR="00CE1C7B" w:rsidRPr="000E79AA">
        <w:rPr>
          <w:rFonts w:ascii="Times New Roman" w:hAnsi="Times New Roman" w:cs="Times New Roman"/>
          <w:bCs/>
          <w:lang w:val="en-AU"/>
        </w:rPr>
        <w:t xml:space="preserve">rgic </w:t>
      </w:r>
      <w:r w:rsidR="005D5583" w:rsidRPr="000E79AA">
        <w:rPr>
          <w:rFonts w:ascii="Times New Roman" w:hAnsi="Times New Roman" w:cs="Times New Roman"/>
          <w:bCs/>
          <w:lang w:val="en-AU"/>
        </w:rPr>
        <w:t>therapy</w:t>
      </w:r>
      <w:r w:rsidR="00D7107C" w:rsidRPr="000E79AA">
        <w:rPr>
          <w:rFonts w:ascii="Times New Roman" w:hAnsi="Times New Roman" w:cs="Times New Roman"/>
          <w:bCs/>
          <w:lang w:val="en-AU"/>
        </w:rPr>
        <w:t>.</w:t>
      </w:r>
      <w:r w:rsidR="006C2B73"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{"citationID":"a8qvs2bias","properties":{"formattedCitation":"\\super 18\\nosupersub{}","plainCitation":"18","noteIndex":0},"citationItems":[{"id":10344,"uris":["http://zotero.org/users/local/xUwQuTPV/items/V6UX6Q77"],"uri":["http://zotero.org/users/local/xUwQuTPV/items/V6UX6Q77"],"itemData":{"id":10344,"type":"article-journal","abstract":"CONTEXT:An association between dopamine-replacement therapies and impulse control disorders (ICDs) in Parkinson disease (PD) has been suggested in preliminary studies.OBJECTIVES:To ascertain point prevalence estimates of 4 ICDs in PD and examine their associations with dopamine-replacement therapies and other clinical characteristics.DESIGN:Cross-sectional study using an a priori established sampling procedure for subject recruitment and raters blinded to PD medication status.PATIENTS:Three thousand ninety patients with treated idiopathic PD receiving routine clinical care at 46 movement disorder centers in the United States and Canada.MAIN OUTCOME MEASURES:The Massachusetts Gambling Screen score for current problem/pathological gambling, the Minnesota Impulsive Disorders Interview score for compulsive sexual behavior and buying, and Diagnostic and Statistical Manual of Mental Disorders research criteria for binge-eating disorder.RESULTS:An ICD was identified in 13.6% of patients (gambling in 5.0%, compulsive sexual behavior in 3.5%, compulsive buying in 5.7%, and binge-eating disorder in 4.3%), and 3.9% had 2 or more ICDs. Impulse control disorders were more common in patients treated with a dopamine agonist than in patients not taking a dopamine agonist (17.1% vs 6.9%; odds ratio [OR], 2.72; 95% confidence interval [CI], 2.08-3.54; P &amp;lt; .001). Impulse control disorder frequency was similar for pramipexole and ropinirole (17.7% vs 15.5%; OR, 1.22; 95% CI, 0.94-1.57; P = .14). Additional variables independently associated with ICDs were levodopa use, living in the United States, younger age, being unmarried, current cigarette smoking, and a family history of gambling problems.CONCLUSIONS:Dopamine agonist treatment in PD is associated with 2- to 3.5-fold increased odds of having an ICD. This association represents a drug class relationship across ICDs. The association of other demographic and clinical variables with ICDs suggests a complex relationship that requires additional investigation to optimize prevention and treatment strategies.TRIAL REGISTRATION:clinicaltrials.gov Identifier: NCT00617019.","container-title":"Archives of neurology","DOI":"10.1001/archneurol.2010.65","issue":"5","journalAbbreviation":"Arch. Neurol.","language":"English","page":"589-595","title":"Impulse control disorders in Parkinson disease: a cross-sectional study of 3090 patients.","title-short":"A Cross-Sectional Study of 3090 Patients","volume":"67","author":[{"family":"Weintraub","given":"Daniel"},{"family":"Koester","given":"Juergen"},{"family":"Potenza","given":"Marc N."},{"family":"Siderowf","given":"Andrew D."},{"family":"Stacy","given":"Mark"},{"family":"Voon","given":"Valerie"},{"family":"Whetteckey","given":"Jacqueline"},{"family":"Wunderlich","given":"Glen R."},{"family":"Lang","given":"Anthony E."}],"issued":{"date-parts":[["2010",5]]}}}],"schema":"https://github.com/citation-style-language/schema/raw/master/csl-citation.json"} </w:instrText>
      </w:r>
      <w:r w:rsidR="006C2B73"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18</w:t>
      </w:r>
      <w:r w:rsidR="006C2B73" w:rsidRPr="000E79AA">
        <w:rPr>
          <w:rFonts w:ascii="Times New Roman" w:hAnsi="Times New Roman" w:cs="Times New Roman"/>
          <w:bCs/>
          <w:lang w:val="en-AU"/>
        </w:rPr>
        <w:fldChar w:fldCharType="end"/>
      </w:r>
      <w:r w:rsidR="00B06EA7"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However, milder impulsivity is common in the absence of an impulse control disorder, including impairment</w:t>
      </w:r>
      <w:r w:rsidR="00283A21" w:rsidRPr="000E79AA">
        <w:rPr>
          <w:rFonts w:ascii="Times New Roman" w:hAnsi="Times New Roman" w:cs="Times New Roman"/>
          <w:bCs/>
          <w:lang w:val="en-AU"/>
        </w:rPr>
        <w:t>s</w:t>
      </w:r>
      <w:r w:rsidR="00CE1C7B" w:rsidRPr="000E79AA">
        <w:rPr>
          <w:rFonts w:ascii="Times New Roman" w:hAnsi="Times New Roman" w:cs="Times New Roman"/>
          <w:bCs/>
          <w:lang w:val="en-AU"/>
        </w:rPr>
        <w:t xml:space="preserve"> </w:t>
      </w:r>
      <w:r w:rsidR="00283A21" w:rsidRPr="000E79AA">
        <w:rPr>
          <w:rFonts w:ascii="Times New Roman" w:hAnsi="Times New Roman" w:cs="Times New Roman"/>
          <w:bCs/>
          <w:lang w:val="en-AU"/>
        </w:rPr>
        <w:t>in</w:t>
      </w:r>
      <w:r w:rsidR="00CE1C7B" w:rsidRPr="000E79AA">
        <w:rPr>
          <w:rFonts w:ascii="Times New Roman" w:hAnsi="Times New Roman" w:cs="Times New Roman"/>
          <w:bCs/>
          <w:lang w:val="en-AU"/>
        </w:rPr>
        <w:t xml:space="preserve"> the ability to cancel an inappropriate action.</w:t>
      </w:r>
      <w:r w:rsidR="00AD15DD"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 xml:space="preserve">Neurodegeneration of fronto-striatal circuits, including </w:t>
      </w:r>
      <w:r w:rsidR="00283A21" w:rsidRPr="000E79AA">
        <w:rPr>
          <w:rFonts w:ascii="Times New Roman" w:hAnsi="Times New Roman" w:cs="Times New Roman"/>
          <w:bCs/>
          <w:lang w:val="en-AU"/>
        </w:rPr>
        <w:t xml:space="preserve">the </w:t>
      </w:r>
      <w:r w:rsidR="00BA5FFE" w:rsidRPr="000E79AA">
        <w:rPr>
          <w:rFonts w:ascii="Times New Roman" w:hAnsi="Times New Roman" w:cs="Times New Roman"/>
          <w:bCs/>
          <w:lang w:val="en-AU"/>
        </w:rPr>
        <w:t>subthalamic</w:t>
      </w:r>
      <w:r w:rsidR="00CE1C7B" w:rsidRPr="000E79AA">
        <w:rPr>
          <w:rFonts w:ascii="Times New Roman" w:hAnsi="Times New Roman" w:cs="Times New Roman"/>
          <w:bCs/>
          <w:lang w:val="en-AU"/>
        </w:rPr>
        <w:t xml:space="preserve"> nucleus and its inputs, contribute</w:t>
      </w:r>
      <w:r w:rsidR="00911263" w:rsidRPr="000E79AA">
        <w:rPr>
          <w:rFonts w:ascii="Times New Roman" w:hAnsi="Times New Roman" w:cs="Times New Roman"/>
          <w:bCs/>
          <w:lang w:val="en-AU"/>
        </w:rPr>
        <w:t>s</w:t>
      </w:r>
      <w:r w:rsidR="00CE1C7B" w:rsidRPr="000E79AA">
        <w:rPr>
          <w:rFonts w:ascii="Times New Roman" w:hAnsi="Times New Roman" w:cs="Times New Roman"/>
          <w:bCs/>
          <w:lang w:val="en-AU"/>
        </w:rPr>
        <w:t xml:space="preserve"> to this impairment in Parkinson’s disease</w:t>
      </w:r>
      <w:r w:rsidR="00D7107C" w:rsidRPr="000E79AA">
        <w:rPr>
          <w:rFonts w:ascii="Times New Roman" w:hAnsi="Times New Roman" w:cs="Times New Roman"/>
          <w:bCs/>
          <w:lang w:val="en-AU"/>
        </w:rPr>
        <w:t>,</w:t>
      </w:r>
      <w:r w:rsidR="00E961E5"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{"citationID":"a2i4m58qpib","properties":{"formattedCitation":"\\super 15,19\\uc0\\u8211{}21\\nosupersub{}","plainCitation":"15,19–21","noteIndex":0},"citationItems":[{"id":12134,"uris":["http://zotero.org/users/local/xUwQuTPV/items/AAJZSTIG"],"uri":["http://zotero.org/users/local/xUwQuTPV/items/AAJZSTIG"],"itemData":{"id":12134,"type":"article-journal","abstract":"Introduction: Impulsive behaviours commonly manifest in treated Parkinson’s disease (PD) patients, and, are typically viewed as sequelae of dopaminergic therapy. However, recent evidence shows that impulsivity in those patients may not only depend on medication status. Instead, there is the suggestion that dopaminergic therapy interacts with existing neuroanatomical and/or neurochemical abnormalities, to produce impulsive behaviour in certain vulnerable patients.","container-title":"Cortex","DOI":"10.1016/j.cortex.2012.12.003","ISSN":"00109452","issue":"7","journalAbbreviation":"Cortex","language":"en","page":"1833-1843","source":"DOI.org (Crossref)","title":"Fronto-striatal atrophy correlates of inhibitory dysfunction in Parkinson's disease versus behavioural variant frontotemporal dementia","volume":"49","author":[{"family":"O'Callaghan","given":"Claire"},{"family":"Naismith","given":"Sharon L."},{"family":"Hodges","given":"John R."},{"family":"Lewis","given":"Simon J.G."},{"family":"Hornberger","given":"Michael"}],"issued":{"date-parts":[["2013",7]]}}},{"id":14763,"uris":["http://zotero.org/users/local/xUwQuTPV/items/A8MC7XIE"],"uri":["http://zotero.org/users/local/xUwQuTPV/items/A8MC7XIE"],"itemData":{"id":14763,"type":"article-journal","abstract":"Investigations of cognitive and behavioural changes in neurodegeneration have been mostly focussed on how cortical changes can explain these symptoms. In the proposed review, we will argue that the striatum has been overlooked as a critical nexus in understanding the generation of such symptoms. Although the striatum is historically more associated with motor dysfunction, there is increasing evidence from functional neuroimaging studies in the healthy that striatal regions modulate behaviour and cognition. This should not be surprising, as the striatum has strong anatomical connections to many cortical regions including the frontal, temporal and insula lobes, as well as some subcortical regions (amygdala, hippocampus). To date, however, it is largely unclear to what extent striatal regions are affected in many neurodegenerative conditions—and if so, how striatal dysfunction can potentially inﬂuence cognition and behaviour. The proposed review will examine the existing evidence of striatal changes across selected neurodegenerative conditions (Parkinson’s disease, progressive supranuclear palsy, Huntington’s disease, motor neuron disease, frontotemporal dementia and Alzheimer’s disease), and will document their link with the cognitive and behavioural impairments observed. Thus, by reviewing the varying degrees of cortical and striatal changes in these conditions, we can start outlining the contributions of the striatal nexus to cognitive and behavioural symptoms. In turn, this knowledge will inform future studies investigating corticostriatal networks and also diagnostic strategies, disease management and future therapeutics of neurodegenerative conditions.","container-title":"Journal of Neurology, Neurosurgery &amp; Psychiatry","DOI":"10.1136/jnnp-2012-304558","ISSN":"0022-3050","issue":"4","journalAbbreviation":"Journal of Neurology, Neurosurgery &amp; Psychiatry","language":"en","page":"371-378","source":"DOI.org (Crossref)","title":"Beyond and below the cortex: the contribution of striatal dysfunction to cognition and behaviour in neurodegeneration","title-short":"Beyond and below the cortex","volume":"85","author":[{"family":"O'Callaghan","given":"C."},{"family":"Bertoux","given":"M."},{"family":"Hornberger","given":"M."}],"issued":{"date-parts":[["2014",4,1]]}}},{"id":9454,"uris":["http://zotero.org/users/local/xUwQuTPV/items/DGIHTEXB"],"uri":["http://zotero.org/users/local/xUwQuTPV/items/DGIHTEXB"],"itemData":{"id":9454,"type":"article-journal","container-title":"Movement Disorders","DOI":"10.1002/mds.26049","issue":"2","journalAbbreviation":"Mov Disord.","language":"English","page":"128-140","title":"Parkinson's Disease, the Subthalamic Nucleus, Inhibition, and Impulsivity","title-short":"PD, The STN, Inhibition, and Impulsivity","volume":"30","author":[{"family":"Jahanshahi","given":"Marjan"},{"family":"Obeso","given":"Ignacio"},{"family":"Baunez","given":"Christelle"},{"family":"Alegre","given":"Manuel"},{"family":"Krack","given":"Paul"}],"editor":[{"family":"Obeso MD PhD","given":"Jose A."},{"family":"Stacy Chair","given":"Mini-Series edited by Mark"},{"family":"Lang","given":"Anthony"},{"family":"Napier","given":"Celeste"},{"family":"Samuel","given":"Michael"},{"family":"Strafella","given":"Antonio"},{"family":"Weintraub","given":"Daniel"}],"issued":{"date-parts":[["2014",10,9]]}}},{"id":13761,"uris":["http://zotero.org/users/local/xUwQuTPV/items/T96I6UBX"],"uri":["http://zotero.org/users/local/xUwQuTPV/items/T96I6UBX"],"itemData":{"id":13761,"type":"article-journal","abstract":"See O’Callaghan (doi:10.1093/brain/awz349) for a scientific commentary on this article.\n            Mosley et al. examine impulsivity and naturalistic gambling behaviours in patients with Parkinson’s disease. They link within-patient differences to the structural connectivity of networks subserving reward evaluation and response inhibition, and reveal pivotal roles for the ventral striatum and subthalamic nucleus within these networks.","container-title":"Brain","DOI":"10.1093/brain/awz327","ISSN":"0006-8950, 1460-2156","issue":"12","language":"en","page":"3917-3935","source":"DOI.org (Crossref)","title":"The structural connectivity of discrete networks underlies impulsivity and gambling in Parkinson’s disease","volume":"142","author":[{"family":"Mosley","given":"Philip E"},{"family":"Paliwal","given":"Saee"},{"family":"Robinson","given":"Katherine"},{"family":"Coyne","given":"Terry"},{"family":"Silburn","given":"Peter"},{"family":"Tittgemeyer","given":"Marc"},{"family":"Stephan","given":"Klaas E"},{"family":"Breakspear","given":"Michael"},{"family":"Perry","given":"Alistair"}],"issued":{"date-parts":[["2019",12,1]]}}}],"schema":"https://github.com/citation-style-language/schema/raw/master/csl-citation.json"} </w:instrText>
      </w:r>
      <w:r w:rsidR="00E961E5"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15,19–21</w:t>
      </w:r>
      <w:r w:rsidR="00E961E5" w:rsidRPr="000E79AA">
        <w:rPr>
          <w:rFonts w:ascii="Times New Roman" w:hAnsi="Times New Roman" w:cs="Times New Roman"/>
          <w:bCs/>
          <w:lang w:val="en-AU"/>
        </w:rPr>
        <w:fldChar w:fldCharType="end"/>
      </w:r>
      <w:r w:rsidR="00CE1C7B" w:rsidRPr="000E79AA">
        <w:rPr>
          <w:rFonts w:ascii="Times New Roman" w:hAnsi="Times New Roman" w:cs="Times New Roman"/>
          <w:bCs/>
          <w:lang w:val="en-AU"/>
        </w:rPr>
        <w:t xml:space="preserve"> </w:t>
      </w:r>
      <w:r w:rsidR="00911263" w:rsidRPr="000E79AA">
        <w:rPr>
          <w:rFonts w:ascii="Times New Roman" w:hAnsi="Times New Roman" w:cs="Times New Roman"/>
          <w:bCs/>
          <w:lang w:val="en-AU"/>
        </w:rPr>
        <w:t xml:space="preserve">while </w:t>
      </w:r>
      <w:r w:rsidR="00CE1C7B" w:rsidRPr="000E79AA">
        <w:rPr>
          <w:rFonts w:ascii="Times New Roman" w:hAnsi="Times New Roman" w:cs="Times New Roman"/>
          <w:bCs/>
          <w:lang w:val="en-AU"/>
        </w:rPr>
        <w:t xml:space="preserve">pharmacological </w:t>
      </w:r>
      <w:r w:rsidR="00844AD3" w:rsidRPr="000E79AA">
        <w:rPr>
          <w:rFonts w:ascii="Times New Roman" w:hAnsi="Times New Roman" w:cs="Times New Roman"/>
          <w:bCs/>
          <w:lang w:val="en-AU"/>
        </w:rPr>
        <w:t xml:space="preserve">modulation of these circuits </w:t>
      </w:r>
      <w:r w:rsidR="00CE1C7B" w:rsidRPr="000E79AA">
        <w:rPr>
          <w:rFonts w:ascii="Times New Roman" w:hAnsi="Times New Roman" w:cs="Times New Roman"/>
          <w:bCs/>
          <w:lang w:val="en-AU"/>
        </w:rPr>
        <w:t>offer</w:t>
      </w:r>
      <w:r w:rsidR="00844AD3" w:rsidRPr="000E79AA">
        <w:rPr>
          <w:rFonts w:ascii="Times New Roman" w:hAnsi="Times New Roman" w:cs="Times New Roman"/>
          <w:bCs/>
          <w:lang w:val="en-AU"/>
        </w:rPr>
        <w:t>s</w:t>
      </w:r>
      <w:r w:rsidR="00CE1C7B" w:rsidRPr="000E79AA">
        <w:rPr>
          <w:rFonts w:ascii="Times New Roman" w:hAnsi="Times New Roman" w:cs="Times New Roman"/>
          <w:bCs/>
          <w:lang w:val="en-AU"/>
        </w:rPr>
        <w:t xml:space="preserve"> a tractable route to restorative treatment</w:t>
      </w:r>
      <w:r w:rsidR="00D7107C" w:rsidRPr="000E79AA">
        <w:rPr>
          <w:rFonts w:ascii="Times New Roman" w:hAnsi="Times New Roman" w:cs="Times New Roman"/>
          <w:bCs/>
          <w:lang w:val="en-AU"/>
        </w:rPr>
        <w:t>.</w:t>
      </w:r>
      <w:r w:rsidR="0088721D"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{"citationID":"a1bt4u8rj4o","properties":{"formattedCitation":"\\super 10\\uc0\\u8211{}12,22\\nosupersub{}","plainCitation":"10–12,22","noteIndex":0},"citationItems":[{"id":13751,"uris":["http://zotero.org/users/local/xUwQuTPV/items/D9DVKNTI"],"uri":["http://zotero.org/users/local/xUwQuTPV/items/D9DVKNTI"],"itemData":{"id":13751,"type":"article-journal","abstract":"Executive dysfunction (ED) is a prominent and often disabling feature of cognitive impairment in Parkinson's disease (PD). Few studies have examined treatments. Given the role of noradrenergic pathology in ED, atomoxetine, a norepinephrine reuptake inhibitor indicated for attention deficit hyperactivity disorder (ADHD), may be a potential treatment for PD-related ED. Twelve patients with PD and disabling ED completed an 8-week pilot open-label, flexible dose (25–100 mg/day) trial of atomoxetine. On primary outcome measures, atomoxetine was associated with improved ED based on the Clinical Global Impression-Change Scale (75% positive response rate; 95% CI: 43–95%, P &lt; 05) and behavioral measures of ED [Frontal Systems Behavior Scale (FrSBE) Executive Dysfunction and Connors Adult ADHD Rating Scale (CAARS) inattention/memory subscales]. Adverse effects included sleep and gastrointestinal disturbances and hypomania. Atomoxetine is tolerable in PD and may benefit clinical manifestations of ED, warranting further study in controlled trials. © 2008 Movement Disorder Society","container-title":"Movement Disorders","DOI":"10.1002/mds.22307","ISSN":"1531-8257","issue":"2","language":"en","note":"_eprint: https://onlinelibrary.wiley.com/doi/pdf/10.1002/mds.22307","page":"277-282","source":"Wiley Online Library","title":"Atomoxetine for the treatment of executive dysfunction in Parkinson's disease: A pilot open-label study","title-short":"Atomoxetine for the treatment of executive dysfunction in Parkinson's disease","volume":"24","author":[{"family":"Marsh","given":"Laura"},{"family":"Biglan","given":"Kevin"},{"family":"Gerstenhaber","given":"Melissa"},{"family":"Williams","given":"James R."}],"issued":{"date-parts":[["2009"]]}}},{"id":4575,"uris":["http://zotero.org/users/local/xUwQuTPV/items/ESDCSZQE"],"uri":["http://zotero.org/users/local/xUwQuTPV/items/ESDCSZQE"],"itemData":{"id":4575,"type":"article-journal","container-title":"Brain","DOI":"10.1093/brain/awu117","issue":"7","journalAbbreviation":"Brain","language":"English","page":"1986-1997","title":"Targeting impulsivity in Parkinson's disease using atomoxetine","volume":"137","author":[{"family":"Kehagia","given":"A. A."},{"family":"Housden","given":"C. R."},{"family":"Regenthal","given":"R."},{"family":"Barker","given":"R. A."},{"family":"Muller","given":"U."},{"family":"Rowe","given":"J."},{"family":"Sahakian","given":"B. J."},{"family":"Robbins","given":"T. W."}],"issued":{"date-parts":[["2014",6,20]]}}},{"id":4579,"uris":["http://zotero.org/users/local/xUwQuTPV/items/EQ2KR99N"],"uri":["http://zotero.org/users/local/xUwQuTPV/items/EQ2KR99N"],"itemData":{"id":4579,"type":"article-journal","abstract":"Biological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88721D"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10–12,22</w:t>
      </w:r>
      <w:r w:rsidR="0088721D" w:rsidRPr="000E79AA">
        <w:rPr>
          <w:rFonts w:ascii="Times New Roman" w:hAnsi="Times New Roman" w:cs="Times New Roman"/>
          <w:bCs/>
          <w:lang w:val="en-AU"/>
        </w:rPr>
        <w:fldChar w:fldCharType="end"/>
      </w:r>
      <w:r w:rsidR="0088721D" w:rsidRPr="000E79AA">
        <w:rPr>
          <w:rFonts w:ascii="Times New Roman" w:hAnsi="Times New Roman" w:cs="Times New Roman"/>
          <w:bCs/>
          <w:lang w:val="en-AU"/>
        </w:rPr>
        <w:t xml:space="preserve"> </w:t>
      </w:r>
    </w:p>
    <w:p w14:paraId="7E27E0FE" w14:textId="77777777" w:rsidR="0088721D" w:rsidRPr="000E79AA" w:rsidRDefault="0088721D" w:rsidP="004E671C">
      <w:pPr>
        <w:spacing w:line="360" w:lineRule="auto"/>
        <w:jc w:val="both"/>
        <w:rPr>
          <w:rFonts w:ascii="Times New Roman" w:hAnsi="Times New Roman" w:cs="Times New Roman"/>
          <w:bCs/>
          <w:lang w:val="en-AU"/>
        </w:rPr>
      </w:pPr>
    </w:p>
    <w:p w14:paraId="5AEF6EC0" w14:textId="5D9781E5" w:rsidR="008575EA" w:rsidRPr="000E79AA" w:rsidRDefault="0041202C" w:rsidP="009304F6">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The locus coeruleus-noradrenaline system modulate</w:t>
      </w:r>
      <w:r w:rsidR="00CE1C7B" w:rsidRPr="000E79AA">
        <w:rPr>
          <w:rFonts w:ascii="Times New Roman" w:hAnsi="Times New Roman" w:cs="Times New Roman"/>
          <w:bCs/>
          <w:lang w:val="en-AU"/>
        </w:rPr>
        <w:t>s</w:t>
      </w:r>
      <w:r w:rsidRPr="000E79AA">
        <w:rPr>
          <w:rFonts w:ascii="Times New Roman" w:hAnsi="Times New Roman" w:cs="Times New Roman"/>
          <w:bCs/>
          <w:lang w:val="en-AU"/>
        </w:rPr>
        <w:t xml:space="preserve"> </w:t>
      </w:r>
      <w:r w:rsidR="00712FCD" w:rsidRPr="000E79AA">
        <w:rPr>
          <w:rFonts w:ascii="Times New Roman" w:hAnsi="Times New Roman" w:cs="Times New Roman"/>
          <w:bCs/>
          <w:lang w:val="en-AU"/>
        </w:rPr>
        <w:t xml:space="preserve">the </w:t>
      </w:r>
      <w:r w:rsidR="00585BCA" w:rsidRPr="000E79AA">
        <w:rPr>
          <w:rFonts w:ascii="Times New Roman" w:hAnsi="Times New Roman" w:cs="Times New Roman"/>
          <w:bCs/>
          <w:lang w:val="en-AU"/>
        </w:rPr>
        <w:t>stimulus detection and behavioural re-orienting required for rapid action cancellation</w:t>
      </w:r>
      <w:r w:rsidR="00D7107C" w:rsidRPr="000E79AA">
        <w:rPr>
          <w:rFonts w:ascii="Times New Roman" w:hAnsi="Times New Roman" w:cs="Times New Roman"/>
          <w:bCs/>
          <w:lang w:val="en-AU"/>
        </w:rPr>
        <w:t>.</w:t>
      </w:r>
      <w:r w:rsidR="00C354C0"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{"citationID":"a1ia2r5n03s","properties":{"formattedCitation":"\\super 23,24\\nosupersub{}","plainCitation":"23,24","noteIndex":0},"citationItems":[{"id":10986,"uris":["http://zotero.org/users/local/xUwQuTPV/items/RHD897YW"],"uri":["http://zotero.org/users/local/xUwQuTPV/items/RHD897YW"],"itemData":{"id":10986,"type":"article-journal","abstract":"We review the modulatory effects of the catecholamine neurotransmitters noradrenaline and dopamine on prefrontal cortical function. The effects of pharmacologic manipulations of these systems, sometimes in comparison with the indoleamine serotonin (5-HT), on performance on a variety of tasks that tap working memory, attentional-set formation and shifting, reversal learning, and response inhibition are compared in rodents, nonhuman primates, and humans using, in a behavioral context, several techniques ranging from microiontophoresis and single-cell electrophysiological recording to pharmacologic functional magnetic resonance imaging. Dissociable effects of drugs and neurotoxins affecting these monoamine systems suggest new ways of conceptualizing state-dependent fronto-executive functions, with implications for understanding the molecular genetic basis of mental illness and its treatment.","container-title":"Annual Review of Neuroscience","DOI":"10.1146/annurev.neuro.051508.135535","ISSN":"0147-006X, 1545-4126","issue":"1","journalAbbreviation":"Annu. Rev. Neurosci.","language":"en","page":"267-287","source":"DOI.org (Crossref)","title":"The Neuropsychopharmacology of Fronto-Executive Function: Monoaminergic Modulation","title-short":"The Neuropsychopharmacology of Fronto-Executive Function","volume":"32","author":[{"family":"Robbins","given":"T.W."},{"family":"Arnsten","given":"A.F.T."}],"issued":{"date-parts":[["2009",6]]}}},{"id":11457,"uris":["http://zotero.org/users/local/xUwQuTPV/items/PHBM2VN9"],"uri":["http://zotero.org/users/local/xUwQuTPV/items/PHBM2VN9"],"itemData":{"id":11457,"type":"article-journal","abstract":"In many circumstances alternative courses of action and thoughts have to be inhibited to allow the emergence of goal-directed behavior. However, this has not been the accepted view in the past and only recently has inhibition earned its own place in the neurosciences as a fundamental cognitive function. In this review we first introduce the concept of inhibition from early psychological speculations based on philosophical theories of the human mind. The broad construct of inhibition is then reduced to its most readily observable component which necessarily is its behavioral manifestation. The study of &amp;apos;response inhibition&amp;apos; has the advantage of dealing with a relatively simple and straightforward process, the overriding of a planned or already initiated action. Deficient inhibitory processes profoundly affect everyday life, causing impulsive conduct which is generally detrimental for the individual. Impulsivity has been consistently linked to several types of addiction, attention deficit/hyperactivity disorder, mania and other psychiatric conditions. Our discussion of the behavioral assessment of impulsivity will focus on objective laboratory tasks of response inhibition that have been implemented in parallel for humans and other species with relatively few qualitative differences. The translational potential of these measures has greatly improved our knowledge of the neurobiological basis of behavioral inhibition and impulsivity. We will then review the current models of behavioral inhibition along with their expression via underlying brain regions, including those involved in the activation of the brain&amp;apos;s emergency &amp;apos;brake&amp;apos; operation, those engaged in more controlled and sustained inhibitory processes and other ancillary executive functions.","container-title":"Progress in Neurobiology","DOI":"10.1016/j.pneurobio.2013.06.005","journalAbbreviation":"Progress in Neurobiology","language":"English","page":"44-79","title":"Inhibition and impulsivity: behavioral and neural basis of response control.","volume":"108","author":[{"family":"Bari","given":"Andrea"},{"family":"Robbins","given":"Trevor W."}],"issued":{"date-parts":[["2013",9]]}}}],"schema":"https://github.com/citation-style-language/schema/raw/master/csl-citation.json"} </w:instrText>
      </w:r>
      <w:r w:rsidR="00C354C0"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23,24</w:t>
      </w:r>
      <w:r w:rsidR="00C354C0" w:rsidRPr="000E79AA">
        <w:rPr>
          <w:rFonts w:ascii="Times New Roman" w:hAnsi="Times New Roman" w:cs="Times New Roman"/>
          <w:bCs/>
          <w:lang w:val="en-AU"/>
        </w:rPr>
        <w:fldChar w:fldCharType="end"/>
      </w:r>
      <w:r w:rsidR="00585BCA" w:rsidRPr="000E79AA">
        <w:rPr>
          <w:rFonts w:ascii="Times New Roman" w:hAnsi="Times New Roman" w:cs="Times New Roman"/>
          <w:bCs/>
          <w:lang w:val="en-AU"/>
        </w:rPr>
        <w:t xml:space="preserve"> Phasic </w:t>
      </w:r>
      <w:r w:rsidR="007129D8" w:rsidRPr="000E79AA">
        <w:rPr>
          <w:rFonts w:ascii="Times New Roman" w:hAnsi="Times New Roman" w:cs="Times New Roman"/>
          <w:bCs/>
          <w:lang w:val="en-AU"/>
        </w:rPr>
        <w:t>activation</w:t>
      </w:r>
      <w:r w:rsidR="00585BCA" w:rsidRPr="000E79AA">
        <w:rPr>
          <w:rFonts w:ascii="Times New Roman" w:hAnsi="Times New Roman" w:cs="Times New Roman"/>
          <w:bCs/>
          <w:lang w:val="en-AU"/>
        </w:rPr>
        <w:t xml:space="preserve"> in the locus coeruleus – the brain’s main source of noradrenaline – occur</w:t>
      </w:r>
      <w:r w:rsidR="00067B50" w:rsidRPr="000E79AA">
        <w:rPr>
          <w:rFonts w:ascii="Times New Roman" w:hAnsi="Times New Roman" w:cs="Times New Roman"/>
          <w:bCs/>
          <w:lang w:val="en-AU"/>
        </w:rPr>
        <w:t>s</w:t>
      </w:r>
      <w:r w:rsidR="00585BCA" w:rsidRPr="000E79AA">
        <w:rPr>
          <w:rFonts w:ascii="Times New Roman" w:hAnsi="Times New Roman" w:cs="Times New Roman"/>
          <w:bCs/>
          <w:lang w:val="en-AU"/>
        </w:rPr>
        <w:t xml:space="preserve"> in response to salient events</w:t>
      </w:r>
      <w:r w:rsidR="00067B50" w:rsidRPr="000E79AA">
        <w:rPr>
          <w:rFonts w:ascii="Times New Roman" w:hAnsi="Times New Roman" w:cs="Times New Roman"/>
          <w:bCs/>
          <w:lang w:val="en-AU"/>
        </w:rPr>
        <w:t>,</w:t>
      </w:r>
      <w:r w:rsidR="00585BCA" w:rsidRPr="000E79AA">
        <w:rPr>
          <w:rFonts w:ascii="Times New Roman" w:hAnsi="Times New Roman" w:cs="Times New Roman"/>
          <w:bCs/>
          <w:lang w:val="en-AU"/>
        </w:rPr>
        <w:t xml:space="preserve"> and </w:t>
      </w:r>
      <w:r w:rsidR="003B534A" w:rsidRPr="000E79AA">
        <w:rPr>
          <w:rFonts w:ascii="Times New Roman" w:hAnsi="Times New Roman" w:cs="Times New Roman"/>
          <w:bCs/>
          <w:lang w:val="en-AU"/>
        </w:rPr>
        <w:t xml:space="preserve">its </w:t>
      </w:r>
      <w:r w:rsidR="00585BCA" w:rsidRPr="000E79AA">
        <w:rPr>
          <w:rFonts w:ascii="Times New Roman" w:hAnsi="Times New Roman" w:cs="Times New Roman"/>
          <w:bCs/>
          <w:lang w:val="en-AU"/>
        </w:rPr>
        <w:t>activity is tightly time-locked to task-relevant responses</w:t>
      </w:r>
      <w:r w:rsidR="00D7107C" w:rsidRPr="000E79AA">
        <w:rPr>
          <w:rFonts w:ascii="Times New Roman" w:hAnsi="Times New Roman" w:cs="Times New Roman"/>
          <w:bCs/>
          <w:lang w:val="en-AU"/>
        </w:rPr>
        <w:t>.</w:t>
      </w:r>
      <w:r w:rsidR="00990D7A"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{"citationID":"a21c9jc8fkr","properties":{"formattedCitation":"\\super 25\\nosupersub{}","plainCitation":"25","noteIndex":0},"citationItems":[{"id":4793,"uris":["http://zotero.org/users/local/xUwQuTPV/items/6HPWGXHL"],"uri":["http://zotero.org/users/local/xUwQuTPV/items/6HPWGXHL"],"itemData":{"id":4793,"type":"article-journal","abstract":"Historically, the locus coeruleus-norepinephrine (LC-NE) system has been implicated in arousal, but recent findings suggest that this system plays a more complex and specific role in the control of behavior than investigators previously thought. We review neurophysiological and modeling studies in monkey that support a new theory of LC-NE function. LC neurons exhibit two modes of activity, phasic and tonic. Phasic LC activation is driven by the outcome of task-related decision processes and is proposed to facilitate ensuing behaviors and to help optimize task performance (exploitation). When utility in the task wanes, LC neurons exhibit a tonic activity mode, associated with disengagement from the current task and a search for alternative behaviors (exploration). Monkey LC receives prominent, direct inputs from the anterior cingulate (ACC) and orbitofrontal cortices (OFC), both of which are thought to monitor task-related utility. We propose that these frontal areas produce the above patterns of LC activity to optimize utility on both short and long timescales.","container-title":"Annual review of neuroscience","DOI":"10.1146/annurev.neuro.28.061604.135709","issue":"1","journalAbbreviation":"Annu. Rev. Neurosci.","language":"English","page":"403-450","title":"An integrative theory of locus coeruleus-norepinephrine function: adaptive gain and optimal performance.","volume":"28","author":[{"family":"Aston-Jones","given":"Gary"},{"family":"Cohen","given":"Jonathan D."}],"issued":{"date-parts":[["2005"]]}}}],"schema":"https://github.com/citation-style-language/schema/raw/master/csl-citation.json"} </w:instrText>
      </w:r>
      <w:r w:rsidR="00990D7A"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25</w:t>
      </w:r>
      <w:r w:rsidR="00990D7A" w:rsidRPr="000E79AA">
        <w:rPr>
          <w:rFonts w:ascii="Times New Roman" w:hAnsi="Times New Roman" w:cs="Times New Roman"/>
          <w:bCs/>
          <w:lang w:val="en-AU"/>
        </w:rPr>
        <w:fldChar w:fldCharType="end"/>
      </w:r>
      <w:r w:rsidR="00BA3BF7" w:rsidRPr="000E79AA">
        <w:rPr>
          <w:rFonts w:ascii="Times New Roman" w:hAnsi="Times New Roman" w:cs="Times New Roman"/>
          <w:bCs/>
          <w:lang w:val="en-AU"/>
        </w:rPr>
        <w:t xml:space="preserve"> </w:t>
      </w:r>
      <w:r w:rsidR="006B7594" w:rsidRPr="000E79AA">
        <w:rPr>
          <w:rFonts w:ascii="Times New Roman" w:hAnsi="Times New Roman" w:cs="Times New Roman"/>
          <w:bCs/>
          <w:lang w:val="en-AU"/>
        </w:rPr>
        <w:t>H</w:t>
      </w:r>
      <w:r w:rsidR="00585BCA" w:rsidRPr="000E79AA">
        <w:rPr>
          <w:rFonts w:ascii="Times New Roman" w:hAnsi="Times New Roman" w:cs="Times New Roman"/>
          <w:bCs/>
          <w:lang w:val="en-AU"/>
        </w:rPr>
        <w:t>ighly collateralised projections from the locus coeruleus enable</w:t>
      </w:r>
      <w:r w:rsidR="00D22971" w:rsidRPr="000E79AA">
        <w:rPr>
          <w:rFonts w:ascii="Times New Roman" w:hAnsi="Times New Roman" w:cs="Times New Roman"/>
          <w:bCs/>
          <w:lang w:val="en-AU"/>
        </w:rPr>
        <w:t xml:space="preserve"> release of noradrenaline in multiple brain regions</w:t>
      </w:r>
      <w:r w:rsidR="006B7594" w:rsidRPr="000E79AA">
        <w:rPr>
          <w:rFonts w:ascii="Times New Roman" w:hAnsi="Times New Roman" w:cs="Times New Roman"/>
          <w:bCs/>
          <w:lang w:val="en-AU"/>
        </w:rPr>
        <w:t xml:space="preserve">, </w:t>
      </w:r>
      <w:r w:rsidR="007A2A23" w:rsidRPr="000E79AA">
        <w:rPr>
          <w:rFonts w:ascii="Times New Roman" w:hAnsi="Times New Roman" w:cs="Times New Roman"/>
          <w:bCs/>
          <w:lang w:val="en-AU"/>
        </w:rPr>
        <w:t>altering the gain, or responsivity, of target neurons</w:t>
      </w:r>
      <w:r w:rsidR="00D22971"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Th</w:t>
      </w:r>
      <w:r w:rsidR="00F82102" w:rsidRPr="000E79AA">
        <w:rPr>
          <w:rFonts w:ascii="Times New Roman" w:hAnsi="Times New Roman" w:cs="Times New Roman"/>
          <w:bCs/>
          <w:lang w:val="en-AU"/>
        </w:rPr>
        <w:t>e</w:t>
      </w:r>
      <w:r w:rsidR="00CE1C7B" w:rsidRPr="000E79AA">
        <w:rPr>
          <w:rFonts w:ascii="Times New Roman" w:hAnsi="Times New Roman" w:cs="Times New Roman"/>
          <w:bCs/>
          <w:lang w:val="en-AU"/>
        </w:rPr>
        <w:t xml:space="preserve"> </w:t>
      </w:r>
      <w:r w:rsidR="009304F6" w:rsidRPr="000E79AA">
        <w:rPr>
          <w:rFonts w:ascii="Times New Roman" w:hAnsi="Times New Roman" w:cs="Times New Roman"/>
          <w:bCs/>
          <w:lang w:val="en-AU"/>
        </w:rPr>
        <w:t>action of noradrenaline at multiple target</w:t>
      </w:r>
      <w:r w:rsidR="00CE1C7B" w:rsidRPr="000E79AA">
        <w:rPr>
          <w:rFonts w:ascii="Times New Roman" w:hAnsi="Times New Roman" w:cs="Times New Roman"/>
          <w:bCs/>
          <w:lang w:val="en-AU"/>
        </w:rPr>
        <w:t xml:space="preserve">s </w:t>
      </w:r>
      <w:r w:rsidR="00D22971" w:rsidRPr="000E79AA">
        <w:rPr>
          <w:rFonts w:ascii="Times New Roman" w:hAnsi="Times New Roman" w:cs="Times New Roman"/>
          <w:bCs/>
          <w:lang w:val="en-AU"/>
        </w:rPr>
        <w:t xml:space="preserve">can interrupt and reconfigure </w:t>
      </w:r>
      <w:r w:rsidR="0001348A" w:rsidRPr="000E79AA">
        <w:rPr>
          <w:rFonts w:ascii="Times New Roman" w:hAnsi="Times New Roman" w:cs="Times New Roman"/>
          <w:bCs/>
          <w:lang w:val="en-AU"/>
        </w:rPr>
        <w:t xml:space="preserve">network architecture, promoting a change in </w:t>
      </w:r>
      <w:r w:rsidR="00CE1C7B" w:rsidRPr="000E79AA">
        <w:rPr>
          <w:rFonts w:ascii="Times New Roman" w:hAnsi="Times New Roman" w:cs="Times New Roman"/>
          <w:bCs/>
          <w:lang w:val="en-AU"/>
        </w:rPr>
        <w:t xml:space="preserve">goal-directed </w:t>
      </w:r>
      <w:r w:rsidR="0001348A" w:rsidRPr="000E79AA">
        <w:rPr>
          <w:rFonts w:ascii="Times New Roman" w:hAnsi="Times New Roman" w:cs="Times New Roman"/>
          <w:bCs/>
          <w:lang w:val="en-AU"/>
        </w:rPr>
        <w:t>behaviour</w:t>
      </w:r>
      <w:r w:rsidR="00D7107C" w:rsidRPr="000E79AA">
        <w:rPr>
          <w:rFonts w:ascii="Times New Roman" w:hAnsi="Times New Roman" w:cs="Times New Roman"/>
          <w:bCs/>
          <w:lang w:val="en-AU"/>
        </w:rPr>
        <w:t>.</w:t>
      </w:r>
      <w:r w:rsidR="00A103D8" w:rsidRPr="000E79AA">
        <w:rPr>
          <w:rFonts w:ascii="Times New Roman" w:hAnsi="Times New Roman" w:cs="Times New Roman"/>
          <w:bCs/>
          <w:lang w:val="en-AU"/>
        </w:rPr>
        <w:fldChar w:fldCharType="begin"/>
      </w:r>
      <w:r w:rsidR="00FE0233" w:rsidRPr="000E79AA">
        <w:rPr>
          <w:rFonts w:ascii="Times New Roman" w:hAnsi="Times New Roman" w:cs="Times New Roman"/>
          <w:bCs/>
          <w:lang w:val="en-AU"/>
        </w:rPr>
        <w:instrText xml:space="preserve"> ADDIN ZOTERO_ITEM CSL_CITATION {"citationID":"a2ats007tmq","properties":{"formattedCitation":"\\super 26,27\\nosupersub{}","plainCitation":"26,27","noteIndex":0},"citationItems":[{"id":"IttNASIo/UhX0Gf0v","uris":["http://zotero.org/users/local/xUwQuTPV/items/4WBEW8VR"],"uri":["http://zotero.org/users/local/xUwQuTPV/items/4WBEW8VR"],"itemData":{"id":4765,"type":"article-journal","abstract":"Unraveling the functional role of neuromodulatory systems has been a major challenge for cognitive neuroscience, giving rise to theories ranging from a simple role in vigilance to complex models concerning decision making, prediction errors or unexpected uncertainty. A new, simplified and overarching theory of noradrenaline function is inspired by an invertebrate model: neuromodulators in crustacea abruptly interrupt activity in neural networks and reorganize the elements into new functional networks determining the behavioral output. Analogously in mammals, phasic activation of noradrenergic neurons of the locus coeruleus in time with cognitive shifts could provoke or facilitate dynamic reorganization of target neural networks, permitting rapid behavioral adaptation to changing environmental imperatives. Detailed analysis and discussion of extensive electrophysiological data from the locus coeruleus of rats and monkeys in controlled behavioral situations is provided here to support this view. This simplified &amp;apos;new look&amp;apos; at locus coeruleus noradrenaline function redirects the challenge of understanding neuromodulatory systems towards their target networks, particularly to the dynamics of their interactions and how they organize adaptive behavior.","container-title":"Trends in Neurosciences","DOI":"10.1016/j.tins.2005.09.002","issue":"11","journalAbbreviation":"Trends in Neurosciences","language":"English","page":"574-582","title":"Network reset: a simplified overarching theory of locus coeruleus noradrenaline function.","volume":"28","author":[{"family":"Bouret","given":"Sebastien"},{"family":"Sara","given":"Susan J."}],"issued":{"date-parts":[["2005",11]]}}},{"id":4142,"uris":["http://zotero.org/users/local/xUwQuTPV/items/W65ST74Z"],"uri":["http://zotero.org/users/local/xUwQuTPV/items/W65ST74Z"],"itemData":{"id":4142,"type":"article-journal","abstract":"Neuron, 103 (2019) 702-723. doi:10.1016/j.neuron.2019.05.034","container-title":"Neuron","DOI":"10.1016/j.neuron.2019.05.034","issue":"4","journalAbbreviation":"Neuron","language":"English","page":"702-718.e5","title":"Rapid Reconfiguration of the Functional Connectome after Chemogenetic Locus Coeruleus Activation","volume":"103","author":[{"family":"Zerbi","given":"Valerio"},{"family":"Floriou-Servou","given":"Amalia"},{"family":"Markicevic","given":"Marija"},{"family":"Vermeiren","given":"Yannick"},{"family":"Sturman","given":"Oliver"},{"family":"Privitera","given":"Mattia"},{"family":"Ziegler","given":"Lukas","non-dropping-particle":"von"},{"family":"Ferrari","given":"Kim David"},{"family":"Weber","given":"Bruno"},{"family":"De Deyn","given":"Peter Paul"},{"family":"Wenderoth","given":"Nicole"},{"family":"Bohacek","given":"Johannes"}],"issued":{"date-parts":[["2019",8]]}}}],"schema":"https://github.com/citation-style-language/schema/raw/master/csl-citation.json"} </w:instrText>
      </w:r>
      <w:r w:rsidR="00A103D8"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26,27</w:t>
      </w:r>
      <w:r w:rsidR="00A103D8" w:rsidRPr="000E79AA">
        <w:rPr>
          <w:rFonts w:ascii="Times New Roman" w:hAnsi="Times New Roman" w:cs="Times New Roman"/>
          <w:bCs/>
          <w:lang w:val="en-AU"/>
        </w:rPr>
        <w:fldChar w:fldCharType="end"/>
      </w:r>
      <w:r w:rsidR="00A103D8"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This</w:t>
      </w:r>
      <w:r w:rsidR="00803998" w:rsidRPr="000E79AA">
        <w:rPr>
          <w:rFonts w:ascii="Times New Roman" w:hAnsi="Times New Roman" w:cs="Times New Roman"/>
          <w:bCs/>
          <w:lang w:val="en-AU"/>
        </w:rPr>
        <w:t xml:space="preserve"> locus coeruleus-noradrenaline function </w:t>
      </w:r>
      <w:r w:rsidR="00CE1C7B" w:rsidRPr="000E79AA">
        <w:rPr>
          <w:rFonts w:ascii="Times New Roman" w:hAnsi="Times New Roman" w:cs="Times New Roman"/>
          <w:bCs/>
          <w:lang w:val="en-AU"/>
        </w:rPr>
        <w:t xml:space="preserve">directly </w:t>
      </w:r>
      <w:r w:rsidR="00803998" w:rsidRPr="000E79AA">
        <w:rPr>
          <w:rFonts w:ascii="Times New Roman" w:hAnsi="Times New Roman" w:cs="Times New Roman"/>
          <w:bCs/>
          <w:lang w:val="en-AU"/>
        </w:rPr>
        <w:t>support</w:t>
      </w:r>
      <w:r w:rsidR="00CE1C7B" w:rsidRPr="000E79AA">
        <w:rPr>
          <w:rFonts w:ascii="Times New Roman" w:hAnsi="Times New Roman" w:cs="Times New Roman"/>
          <w:bCs/>
          <w:lang w:val="en-AU"/>
        </w:rPr>
        <w:t>s</w:t>
      </w:r>
      <w:r w:rsidR="00803998" w:rsidRPr="000E79AA">
        <w:rPr>
          <w:rFonts w:ascii="Times New Roman" w:hAnsi="Times New Roman" w:cs="Times New Roman"/>
          <w:bCs/>
          <w:lang w:val="en-AU"/>
        </w:rPr>
        <w:t xml:space="preserve"> rapid action cancellation.</w:t>
      </w:r>
      <w:r w:rsidR="00FA3C66" w:rsidRPr="000E79AA">
        <w:rPr>
          <w:rFonts w:ascii="Times New Roman" w:hAnsi="Times New Roman" w:cs="Times New Roman"/>
          <w:bCs/>
          <w:lang w:val="en-AU"/>
        </w:rPr>
        <w:t xml:space="preserve"> </w:t>
      </w:r>
      <w:r w:rsidR="00CE1C7B" w:rsidRPr="000E79AA">
        <w:rPr>
          <w:rFonts w:ascii="Times New Roman" w:hAnsi="Times New Roman" w:cs="Times New Roman"/>
          <w:bCs/>
          <w:lang w:val="en-AU"/>
        </w:rPr>
        <w:t xml:space="preserve">In healthy adults and in preclinical models, </w:t>
      </w:r>
      <w:r w:rsidR="00F144DE" w:rsidRPr="000E79AA">
        <w:rPr>
          <w:rFonts w:ascii="Times New Roman" w:hAnsi="Times New Roman" w:cs="Times New Roman"/>
          <w:bCs/>
          <w:lang w:val="en-AU"/>
        </w:rPr>
        <w:t>pharmacologically increasing noradrenaline levels with the reuptake inhibitor atomo</w:t>
      </w:r>
      <w:r w:rsidR="000E4EBD" w:rsidRPr="000E79AA">
        <w:rPr>
          <w:rFonts w:ascii="Times New Roman" w:hAnsi="Times New Roman" w:cs="Times New Roman"/>
          <w:bCs/>
          <w:lang w:val="en-AU"/>
        </w:rPr>
        <w:t xml:space="preserve">xetine </w:t>
      </w:r>
      <w:r w:rsidR="006E2C1D" w:rsidRPr="000E79AA">
        <w:rPr>
          <w:rFonts w:ascii="Times New Roman" w:hAnsi="Times New Roman" w:cs="Times New Roman"/>
          <w:bCs/>
          <w:lang w:val="en-AU"/>
        </w:rPr>
        <w:t>i</w:t>
      </w:r>
      <w:r w:rsidR="00051B6C" w:rsidRPr="000E79AA">
        <w:rPr>
          <w:rFonts w:ascii="Times New Roman" w:hAnsi="Times New Roman" w:cs="Times New Roman"/>
          <w:bCs/>
          <w:lang w:val="en-AU"/>
        </w:rPr>
        <w:t>mproves action cancellation</w:t>
      </w:r>
      <w:r w:rsidR="00CE1C7B" w:rsidRPr="000E79AA">
        <w:rPr>
          <w:rFonts w:ascii="Times New Roman" w:hAnsi="Times New Roman" w:cs="Times New Roman"/>
          <w:bCs/>
          <w:lang w:val="en-AU"/>
        </w:rPr>
        <w:t xml:space="preserve">, as measured </w:t>
      </w:r>
      <w:r w:rsidR="00051B6C" w:rsidRPr="000E79AA">
        <w:rPr>
          <w:rFonts w:ascii="Times New Roman" w:hAnsi="Times New Roman" w:cs="Times New Roman"/>
          <w:bCs/>
          <w:lang w:val="en-AU"/>
        </w:rPr>
        <w:t>on stop-signal task</w:t>
      </w:r>
      <w:r w:rsidR="00CE1C7B" w:rsidRPr="000E79AA">
        <w:rPr>
          <w:rFonts w:ascii="Times New Roman" w:hAnsi="Times New Roman" w:cs="Times New Roman"/>
          <w:bCs/>
          <w:lang w:val="en-AU"/>
        </w:rPr>
        <w:t>s</w:t>
      </w:r>
      <w:r w:rsidR="00D7107C" w:rsidRPr="000E79AA">
        <w:rPr>
          <w:rFonts w:ascii="Times New Roman" w:hAnsi="Times New Roman" w:cs="Times New Roman"/>
          <w:bCs/>
          <w:lang w:val="en-AU"/>
        </w:rPr>
        <w:t>.</w:t>
      </w:r>
      <w:r w:rsidR="00291914"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{"citationID":"a30sabev05","properties":{"formattedCitation":"\\super 28\\uc0\\u8211{}31\\nosupersub{}","plainCitation":"28–31","noteIndex":0},"citationItems":[{"id":12123,"uris":["http://zotero.org/users/local/xUwQuTPV/items/UJHSJ559"],"uri":["http://zotero.org/users/local/xUwQuTPV/items/UJHSJ559"],"itemData":{"id":12123,"type":"article-journal","container-title":"Science","DOI":"10.1126/science.1121218","ISSN":"0036-8075, 1095-9203","issue":"5762","journalAbbreviation":"Science","language":"en","page":"861-863","source":"DOI.org (Crossref)","title":"Neurochemical Modulation of Response Inhibition and Probabilistic Learning in Humans","volume":"311","author":[{"family":"Chamberlain","given":"S. R."}],"issued":{"date-parts":[["2006",2,10]]}}},{"id":12138,"uris":["http://zotero.org/users/local/xUwQuTPV/items/3CL4D83N"],"uri":["http://zotero.org/users/local/xUwQuTPV/items/3CL4D83N"],"itemData":{"id":12138,"type":"article-journal","container-title":"Neuropsychopharmacology","DOI":"10.1038/sj.npp.1301487","ISSN":"0893-133X, 1740-634X","issue":"5","journalAbbreviation":"Neuropsychopharmacol","language":"en","page":"1028-1037","source":"DOI.org (Crossref)","title":"Similar Effects of the Selective Noradrenaline Reuptake Inhibitor Atomoxetine on Three Distinct Forms of Impulsivity in the Rat","volume":"33","author":[{"family":"Robinson","given":"Emma S J"},{"family":"Eagle","given":"Dawn M"},{"family":"Mar","given":"Adam C"},{"family":"Bari","given":"Andrea"},{"family":"Banerjee","given":"Gargi"},{"family":"Jiang","given":"Xiaosu"},{"family":"Dalley","given":"Jeffrey W"},{"family":"Robbins","given":"Trevor W"}],"issued":{"date-parts":[["2008",4]]}}},{"id":1348,"uris":["http://zotero.org/users/local/xUwQuTPV/items/6KCNP7FM"],"uri":["http://zotero.org/users/local/xUwQuTPV/items/6KCNP7FM"],"itemData":{"id":1348,"type":"article-journal","abstract":"BACKGROUND:Atomoxetine, a selective noradrenaline reuptake inhibitor (SNRI) licensed for the treatment of attention-deficit/hyperactivity disorder (ADHD), has been shown to improve response inhibition in animals, healthy volunteers, and adult patients. However, the mechanisms by which atomoxetine improves inhibitory control have yet to be determined.METHODS:The effects of atomoxetine (40 mg) were measured with a stop-signal functional magnetic resonance imaging (fMRI) paradigm in 19 healthy volunteers, in a within-subject, double-blind, placebo-controlled design.RESULTS:Atomoxetine improved inhibitory control and increased activation in the right inferior frontal gyrus when volunteers attempted to inhibit their responses (irrespective of success). Plasma levels of drug correlated significantly with right inferior frontal gyrus activation only during successful inhibition.CONCLUSIONS:These results show that atomoxetine exerts its beneficial effects on inhibitory control via modulation of right inferior frontal function, with implications for understanding and treating inhibitory dysfunction of ADHD and other disorders.","container-title":"Biological psychiatry","DOI":"10.1016/j.biopsych.2008.10.014","issue":"7","journalAbbreviation":"Biol. Psychiatry","language":"English","page":"550-555","title":"Atomoxetine modulates right inferior frontal activation during inhibitory control: a pharmacological functional magnetic resonance imaging study.","volume":"65","author":[{"family":"Chamberlain","given":"Samuel R."},{"family":"Hampshire","given":"Adam"},{"family":"Müller","given":"Ulrich"},{"family":"Rubia","given":"Katya"},{"family":"Del Campo","given":"Natalia"},{"family":"Craig","given":"Kevin"},{"family":"Regenthal","given":"Ralf"},{"family":"Suckling","given":"John"},{"family":"Roiser","given":"Jonathan P."},{"family":"Grant","given":"Jon E."},{"family":"Bullmore","given":"Edward T."},{"family":"Robbins","given":"Trevor W."},{"family":"Sahakian","given":"Barbara J."}],"issued":{"date-parts":[["2009",4,1]]}}},{"id":10980,"uris":["http://zotero.org/users/local/xUwQuTPV/items/YTMSUSYA"],"uri":["http://zotero.org/users/local/xUwQuTPV/items/YTMSUSYA"],"itemData":{"id":10980,"type":"article-journal","container-title":"Journal of Neuroscience","DOI":"10.1523/JNEUROSCI.1543-11.2011","ISSN":"0270-6474, 1529-2401","issue":"25","journalAbbreviation":"Journal of Neuroscience","language":"en","page":"9254-9263","source":"DOI.org (Crossref)","title":"Prefrontal and Monoaminergic Contributions to Stop-Signal Task Performance in Rats","volume":"31","author":[{"family":"Bari","given":"A."},{"family":"Mar","given":"A. C."},{"family":"Theobald","given":"D. E."},{"family":"Elands","given":"S. A."},{"family":"Oganya","given":"K. C. N. A."},{"family":"Eagle","given":"D. M."},{"family":"Robbins","given":"T. W."}],"issued":{"date-parts":[["2011",6,22]]}}}],"schema":"https://github.com/citation-style-language/schema/raw/master/csl-citation.json"} </w:instrText>
      </w:r>
      <w:r w:rsidR="00291914"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28–31</w:t>
      </w:r>
      <w:r w:rsidR="00291914" w:rsidRPr="000E79AA">
        <w:rPr>
          <w:rFonts w:ascii="Times New Roman" w:hAnsi="Times New Roman" w:cs="Times New Roman"/>
          <w:bCs/>
          <w:lang w:val="en-AU"/>
        </w:rPr>
        <w:fldChar w:fldCharType="end"/>
      </w:r>
      <w:r w:rsidR="00803998" w:rsidRPr="000E79AA">
        <w:rPr>
          <w:rFonts w:ascii="Times New Roman" w:hAnsi="Times New Roman" w:cs="Times New Roman"/>
          <w:bCs/>
          <w:lang w:val="en-AU"/>
        </w:rPr>
        <w:t xml:space="preserve"> </w:t>
      </w:r>
      <w:r w:rsidR="00291914" w:rsidRPr="000E79AA">
        <w:rPr>
          <w:rFonts w:ascii="Times New Roman" w:hAnsi="Times New Roman" w:cs="Times New Roman"/>
          <w:bCs/>
          <w:lang w:val="en-AU"/>
        </w:rPr>
        <w:t xml:space="preserve"> </w:t>
      </w:r>
    </w:p>
    <w:p w14:paraId="2E78ACF8" w14:textId="77777777" w:rsidR="00D22971" w:rsidRPr="000E79AA" w:rsidRDefault="00D22971" w:rsidP="009304F6">
      <w:pPr>
        <w:spacing w:line="360" w:lineRule="auto"/>
        <w:jc w:val="both"/>
        <w:rPr>
          <w:rFonts w:ascii="Times New Roman" w:hAnsi="Times New Roman" w:cs="Times New Roman"/>
          <w:bCs/>
          <w:lang w:val="en-AU"/>
        </w:rPr>
      </w:pPr>
    </w:p>
    <w:p w14:paraId="66906B2D" w14:textId="14C94684" w:rsidR="00A34E15" w:rsidRPr="000E79AA" w:rsidRDefault="00FF0A8E" w:rsidP="004E671C">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Atomoxetine </w:t>
      </w:r>
      <w:r w:rsidR="00B04AC7" w:rsidRPr="000E79AA">
        <w:rPr>
          <w:rFonts w:ascii="Times New Roman" w:hAnsi="Times New Roman" w:cs="Times New Roman"/>
          <w:bCs/>
          <w:lang w:val="en-AU"/>
        </w:rPr>
        <w:t>selectively inhibits</w:t>
      </w:r>
      <w:r w:rsidR="0034239B" w:rsidRPr="000E79AA">
        <w:rPr>
          <w:rFonts w:ascii="Times New Roman" w:hAnsi="Times New Roman" w:cs="Times New Roman"/>
          <w:bCs/>
          <w:lang w:val="en-AU"/>
        </w:rPr>
        <w:t xml:space="preserve"> presynaptic</w:t>
      </w:r>
      <w:r w:rsidR="00B04AC7" w:rsidRPr="000E79AA">
        <w:rPr>
          <w:rFonts w:ascii="Times New Roman" w:hAnsi="Times New Roman" w:cs="Times New Roman"/>
          <w:bCs/>
          <w:lang w:val="en-AU"/>
        </w:rPr>
        <w:t xml:space="preserve"> noradrenaline transporters, resulting in a three-fold increase in extracellular levels of noradrenaline in the prefrontal cortex</w:t>
      </w:r>
      <w:r w:rsidR="001E165A" w:rsidRPr="000E79AA">
        <w:rPr>
          <w:rFonts w:ascii="Times New Roman" w:hAnsi="Times New Roman" w:cs="Times New Roman"/>
          <w:bCs/>
          <w:lang w:val="en-AU"/>
        </w:rPr>
        <w:t>.</w:t>
      </w:r>
      <w:r w:rsidR="00B04AC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{"citationID":"a1n4ja1nhau","properties":{"formattedCitation":"\\super 32\\nosupersub{}","plainCitation":"32","noteIndex":0},"citationItems":[{"id":4327,"uris":["http://zotero.org/users/local/xUwQuTPV/items/RM3YTAXJ"],"uri":["http://zotero.org/users/local/xUwQuTPV/items/RM3YTAXJ"],"itemData":{"id":4327,"type":"article-journal","abstract":"The selective norepinephrine (NE) transporter inhibitor atomoxetine (formerly called tomoxetine or LY139603) has been shown to alleviate symptoms in Attention Deficit/Hyperactivity Disorder (ADHD). We investigated the mechanism of action of atomoxetine in ADHD by evaluating the interaction of atomoxetine with monoamine transporters, the effects on extracellular levels of monoamines, and the expression of the neuronal activity marker Fos in brain regions. Atomoxetine inhibited binding of radioligands to clonal cell lines transfected with human NE, serotonin (5-HT) and dopamine (DA) transporters with dissociation constants (K(i)) values of 5, 77 and 1451 nM, respectively, demonstrating selectivity for NE transporters. In microdialysis studies, atomoxetine increased extracellular (EX) levels of NE in prefrontal cortex (PFC) 3-fold, but did not alter 5-HT(EX) levels. Atomoxetine also increased DA(EX) concentrations in PFC 3-fold, but did not alter DA(EX) in striatum or nucleus accumbens. In contrast, the psychostimulant methylphenidate, which is used in ADHD therapy, increased NE(EX) and DA(EX) equally in PFC, but also increased DA(EX) in the striatum and nucleus accumbens to the same level. The expression of the neuronal activity marker Fos was increased 3.7-fold in PFC by atomoxetine administration, but was not increased in the striatum or nucleus accumbens, consistent with the regional distribution of increased DA(EX). We hypothesize that the atomoxetine-induced increase of catecholamines in PFC, a region involved in attention and memory, mediates the therapeutic effects of atomoxetine in ADHD. In contrast to methylphenidate, atomoxetine did not increase DA in striatum or nucleus accumbens, suggesting it would not have motoric or drug abuse liabilities.","container-title":"Neuropsychopharmacology","DOI":"10.1016/S0893-133X(02)00346-9","issue":"5","journalAbbreviation":"Neuropsychopharmacology","language":"English","page":"699-711","title":"Atomoxetine increases extracellular levels of norepinephrine and dopamine in prefrontal cortex of rat: a potential mechanism for efficacy in attention deficit/hyperactivity disorder.","volume":"27","author":[{"family":"Bymaster","given":"Frank P."},{"family":"Katner","given":"Jason S."},{"family":"Nelson","given":"David L."},{"family":"Hemrick-Luecke","given":"Susan K."},{"family":"Threlkeld","given":"Penny G."},{"family":"Heiligenstein","given":"John H."},{"family":"Morin","given":"S. Michelle"},{"family":"Gehlert","given":"Donald R."},{"family":"Perry","given":"Kenneth W."}],"issued":{"date-parts":[["2002",11]]}}}],"schema":"https://github.com/citation-style-language/schema/raw/master/csl-citation.json"} </w:instrText>
      </w:r>
      <w:r w:rsidR="00B04AC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32</w:t>
      </w:r>
      <w:r w:rsidR="00B04AC7" w:rsidRPr="000E79AA">
        <w:rPr>
          <w:rFonts w:ascii="Times New Roman" w:hAnsi="Times New Roman" w:cs="Times New Roman"/>
          <w:bCs/>
          <w:lang w:val="en-AU"/>
        </w:rPr>
        <w:fldChar w:fldCharType="end"/>
      </w:r>
      <w:r w:rsidR="00B04AC7" w:rsidRPr="000E79AA">
        <w:rPr>
          <w:rFonts w:ascii="Times New Roman" w:hAnsi="Times New Roman" w:cs="Times New Roman"/>
          <w:bCs/>
          <w:lang w:val="en-AU"/>
        </w:rPr>
        <w:t xml:space="preserve"> It </w:t>
      </w:r>
      <w:r w:rsidRPr="000E79AA">
        <w:rPr>
          <w:rFonts w:ascii="Times New Roman" w:hAnsi="Times New Roman" w:cs="Times New Roman"/>
          <w:bCs/>
          <w:lang w:val="en-AU"/>
        </w:rPr>
        <w:t>is</w:t>
      </w:r>
      <w:r w:rsidR="0063688C" w:rsidRPr="000E79AA">
        <w:rPr>
          <w:rFonts w:ascii="Times New Roman" w:hAnsi="Times New Roman" w:cs="Times New Roman"/>
          <w:bCs/>
          <w:lang w:val="en-AU"/>
        </w:rPr>
        <w:t xml:space="preserve"> currently licensed for treating behavioural and cognitive symptoms associated with </w:t>
      </w:r>
      <w:r w:rsidR="00D64E58" w:rsidRPr="000E79AA">
        <w:rPr>
          <w:rFonts w:ascii="Times New Roman" w:hAnsi="Times New Roman" w:cs="Times New Roman"/>
          <w:bCs/>
          <w:lang w:val="en-AU"/>
        </w:rPr>
        <w:t>a</w:t>
      </w:r>
      <w:r w:rsidR="0063688C" w:rsidRPr="000E79AA">
        <w:rPr>
          <w:rFonts w:ascii="Times New Roman" w:hAnsi="Times New Roman" w:cs="Times New Roman"/>
          <w:bCs/>
          <w:lang w:val="en-AU"/>
        </w:rPr>
        <w:t xml:space="preserve">ttention </w:t>
      </w:r>
      <w:r w:rsidR="00D64E58" w:rsidRPr="000E79AA">
        <w:rPr>
          <w:rFonts w:ascii="Times New Roman" w:hAnsi="Times New Roman" w:cs="Times New Roman"/>
          <w:bCs/>
          <w:lang w:val="en-AU"/>
        </w:rPr>
        <w:t>d</w:t>
      </w:r>
      <w:r w:rsidR="0063688C" w:rsidRPr="000E79AA">
        <w:rPr>
          <w:rFonts w:ascii="Times New Roman" w:hAnsi="Times New Roman" w:cs="Times New Roman"/>
          <w:bCs/>
          <w:lang w:val="en-AU"/>
        </w:rPr>
        <w:t>eficit</w:t>
      </w:r>
      <w:r w:rsidR="00D64E58" w:rsidRPr="000E79AA">
        <w:rPr>
          <w:rFonts w:ascii="Times New Roman" w:hAnsi="Times New Roman" w:cs="Times New Roman"/>
          <w:bCs/>
          <w:lang w:val="en-AU"/>
        </w:rPr>
        <w:t xml:space="preserve"> h</w:t>
      </w:r>
      <w:r w:rsidR="0063688C" w:rsidRPr="000E79AA">
        <w:rPr>
          <w:rFonts w:ascii="Times New Roman" w:hAnsi="Times New Roman" w:cs="Times New Roman"/>
          <w:bCs/>
          <w:lang w:val="en-AU"/>
        </w:rPr>
        <w:t xml:space="preserve">yperactivity </w:t>
      </w:r>
      <w:r w:rsidR="00D64E58" w:rsidRPr="000E79AA">
        <w:rPr>
          <w:rFonts w:ascii="Times New Roman" w:hAnsi="Times New Roman" w:cs="Times New Roman"/>
          <w:bCs/>
          <w:lang w:val="en-AU"/>
        </w:rPr>
        <w:t>d</w:t>
      </w:r>
      <w:r w:rsidR="0063688C" w:rsidRPr="000E79AA">
        <w:rPr>
          <w:rFonts w:ascii="Times New Roman" w:hAnsi="Times New Roman" w:cs="Times New Roman"/>
          <w:bCs/>
          <w:lang w:val="en-AU"/>
        </w:rPr>
        <w:t>isorder</w:t>
      </w:r>
      <w:r w:rsidR="00B04AC7" w:rsidRPr="000E79AA">
        <w:rPr>
          <w:rFonts w:ascii="Times New Roman" w:hAnsi="Times New Roman" w:cs="Times New Roman"/>
          <w:bCs/>
          <w:lang w:val="en-AU"/>
        </w:rPr>
        <w:t>. However, experimental psychopharmacolog</w:t>
      </w:r>
      <w:r w:rsidR="00844AD3" w:rsidRPr="000E79AA">
        <w:rPr>
          <w:rFonts w:ascii="Times New Roman" w:hAnsi="Times New Roman" w:cs="Times New Roman"/>
          <w:bCs/>
          <w:lang w:val="en-AU"/>
        </w:rPr>
        <w:t>ical studies</w:t>
      </w:r>
      <w:r w:rsidR="00B04AC7" w:rsidRPr="000E79AA">
        <w:rPr>
          <w:rFonts w:ascii="Times New Roman" w:hAnsi="Times New Roman" w:cs="Times New Roman"/>
          <w:bCs/>
          <w:lang w:val="en-AU"/>
        </w:rPr>
        <w:t xml:space="preserve"> indicate </w:t>
      </w:r>
      <w:r w:rsidR="00844AD3" w:rsidRPr="000E79AA">
        <w:rPr>
          <w:rFonts w:ascii="Times New Roman" w:hAnsi="Times New Roman" w:cs="Times New Roman"/>
          <w:bCs/>
          <w:lang w:val="en-AU"/>
        </w:rPr>
        <w:t xml:space="preserve">it may </w:t>
      </w:r>
      <w:r w:rsidR="00844AD3" w:rsidRPr="000E79AA">
        <w:rPr>
          <w:rFonts w:ascii="Times New Roman" w:hAnsi="Times New Roman" w:cs="Times New Roman"/>
          <w:bCs/>
          <w:lang w:val="en-AU"/>
        </w:rPr>
        <w:lastRenderedPageBreak/>
        <w:t>be of value in</w:t>
      </w:r>
      <w:r w:rsidR="00B04AC7" w:rsidRPr="000E79AA">
        <w:rPr>
          <w:rFonts w:ascii="Times New Roman" w:hAnsi="Times New Roman" w:cs="Times New Roman"/>
          <w:bCs/>
          <w:lang w:val="en-AU"/>
        </w:rPr>
        <w:t xml:space="preserve"> some patients with Parkinson’s disease, by</w:t>
      </w:r>
      <w:r w:rsidR="001F6DF1" w:rsidRPr="000E79AA">
        <w:rPr>
          <w:rFonts w:ascii="Times New Roman" w:hAnsi="Times New Roman" w:cs="Times New Roman"/>
          <w:bCs/>
          <w:lang w:val="en-AU"/>
        </w:rPr>
        <w:t xml:space="preserve"> increasing </w:t>
      </w:r>
      <w:r w:rsidR="00B04AC7" w:rsidRPr="000E79AA">
        <w:rPr>
          <w:rFonts w:ascii="Times New Roman" w:hAnsi="Times New Roman" w:cs="Times New Roman"/>
          <w:bCs/>
          <w:lang w:val="en-AU"/>
        </w:rPr>
        <w:t xml:space="preserve">activity and connectivity </w:t>
      </w:r>
      <w:r w:rsidR="001F6DF1" w:rsidRPr="000E79AA">
        <w:rPr>
          <w:rFonts w:ascii="Times New Roman" w:hAnsi="Times New Roman" w:cs="Times New Roman"/>
          <w:bCs/>
          <w:lang w:val="en-AU"/>
        </w:rPr>
        <w:t>in</w:t>
      </w:r>
      <w:r w:rsidR="004328B5" w:rsidRPr="000E79AA">
        <w:rPr>
          <w:rFonts w:ascii="Times New Roman" w:hAnsi="Times New Roman" w:cs="Times New Roman"/>
          <w:bCs/>
          <w:lang w:val="en-AU"/>
        </w:rPr>
        <w:t xml:space="preserve"> the</w:t>
      </w:r>
      <w:r w:rsidR="00B04AC7" w:rsidRPr="000E79AA">
        <w:rPr>
          <w:rFonts w:ascii="Times New Roman" w:hAnsi="Times New Roman" w:cs="Times New Roman"/>
          <w:bCs/>
          <w:lang w:val="en-AU"/>
        </w:rPr>
        <w:t xml:space="preserve"> fronto-striatal</w:t>
      </w:r>
      <w:r w:rsidR="004328B5" w:rsidRPr="000E79AA">
        <w:rPr>
          <w:rFonts w:ascii="Times New Roman" w:hAnsi="Times New Roman" w:cs="Times New Roman"/>
          <w:bCs/>
          <w:lang w:val="en-AU"/>
        </w:rPr>
        <w:t xml:space="preserve"> </w:t>
      </w:r>
      <w:r w:rsidR="00164B76" w:rsidRPr="000E79AA">
        <w:rPr>
          <w:rFonts w:ascii="Times New Roman" w:hAnsi="Times New Roman" w:cs="Times New Roman"/>
          <w:bCs/>
          <w:lang w:val="en-AU"/>
        </w:rPr>
        <w:t>‘</w:t>
      </w:r>
      <w:r w:rsidR="004328B5" w:rsidRPr="000E79AA">
        <w:rPr>
          <w:rFonts w:ascii="Times New Roman" w:hAnsi="Times New Roman" w:cs="Times New Roman"/>
          <w:bCs/>
          <w:lang w:val="en-AU"/>
        </w:rPr>
        <w:t>stopping network</w:t>
      </w:r>
      <w:r w:rsidR="00164B76" w:rsidRPr="000E79AA">
        <w:rPr>
          <w:rFonts w:ascii="Times New Roman" w:hAnsi="Times New Roman" w:cs="Times New Roman"/>
          <w:bCs/>
          <w:lang w:val="en-AU"/>
        </w:rPr>
        <w:t>’</w:t>
      </w:r>
      <w:r w:rsidR="001E165A" w:rsidRPr="000E79AA">
        <w:rPr>
          <w:rFonts w:ascii="Times New Roman" w:hAnsi="Times New Roman" w:cs="Times New Roman"/>
          <w:bCs/>
          <w:lang w:val="en-AU"/>
        </w:rPr>
        <w:t>.</w:t>
      </w:r>
      <w:r w:rsidR="00B04AC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{"citationID":"abfeiiicsp","properties":{"formattedCitation":"\\super 12,30,31\\nosupersub{}","plainCitation":"12,30,31","noteIndex":0},"citationItems":[{"id":1348,"uris":["http://zotero.org/users/local/xUwQuTPV/items/6KCNP7FM"],"uri":["http://zotero.org/users/local/xUwQuTPV/items/6KCNP7FM"],"itemData":{"id":1348,"type":"article-journal","abstract":"BACKGROUND:Atomoxetine, a selective noradrenaline reuptake inhibitor (SNRI) licensed for the treatment of attention-deficit/hyperactivity disorder (ADHD), has been shown to improve response inhibition in animals, healthy volunteers, and adult patients. However, the mechanisms by which atomoxetine improves inhibitory control have yet to be determined.METHODS:The effects of atomoxetine (40 mg) were measured with a stop-signal functional magnetic resonance imaging (fMRI) paradigm in 19 healthy volunteers, in a within-subject, double-blind, placebo-controlled design.RESULTS:Atomoxetine improved inhibitory control and increased activation in the right inferior frontal gyrus when volunteers attempted to inhibit their responses (irrespective of success). Plasma levels of drug correlated significantly with right inferior frontal gyrus activation only during successful inhibition.CONCLUSIONS:These results show that atomoxetine exerts its beneficial effects on inhibitory control via modulation of right inferior frontal function, with implications for understanding and treating inhibitory dysfunction of ADHD and other disorders.","container-title":"Biological psychiatry","DOI":"10.1016/j.biopsych.2008.10.014","issue":"7","journalAbbreviation":"Biol. Psychiatry","language":"English","page":"550-555","title":"Atomoxetine modulates right inferior frontal activation during inhibitory control: a pharmacological functional magnetic resonance imaging study.","volume":"65","author":[{"family":"Chamberlain","given":"Samuel R."},{"family":"Hampshire","given":"Adam"},{"family":"Müller","given":"Ulrich"},{"family":"Rubia","given":"Katya"},{"family":"Del Campo","given":"Natalia"},{"family":"Craig","given":"Kevin"},{"family":"Regenthal","given":"Ralf"},{"family":"Suckling","given":"John"},{"family":"Roiser","given":"Jonathan P."},{"family":"Grant","given":"Jon E."},{"family":"Bullmore","given":"Edward T."},{"family":"Robbins","given":"Trevor W."},{"family":"Sahakian","given":"Barbara J."}],"issued":{"date-parts":[["2009",4,1]]}}},{"id":10980,"uris":["http://zotero.org/users/local/xUwQuTPV/items/YTMSUSYA"],"uri":["http://zotero.org/users/local/xUwQuTPV/items/YTMSUSYA"],"itemData":{"id":10980,"type":"article-journal","container-title":"Journal of Neuroscience","DOI":"10.1523/JNEUROSCI.1543-11.2011","ISSN":"0270-6474, 1529-2401","issue":"25","journalAbbreviation":"Journal of Neuroscience","language":"en","page":"9254-9263","source":"DOI.org (Crossref)","title":"Prefrontal and Monoaminergic Contributions to Stop-Signal Task Performance in Rats","volume":"31","author":[{"family":"Bari","given":"A."},{"family":"Mar","given":"A. C."},{"family":"Theobald","given":"D. E."},{"family":"Elands","given":"S. A."},{"family":"Oganya","given":"K. C. N. A."},{"family":"Eagle","given":"D. M."},{"family":"Robbins","given":"T. W."}],"issued":{"date-parts":[["2011",6,22]]}}},{"id":1386,"uris":["http://zotero.org/users/local/xUwQuTPV/items/Y275WW4Y"],"uri":["http://zotero.org/users/local/xUwQuTPV/items/Y275WW4Y"],"itemData":{"id":1386,"type":"article-journal","abstract":"Parkinson&amp;apos;s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B04AC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12,30,31</w:t>
      </w:r>
      <w:r w:rsidR="00B04AC7" w:rsidRPr="000E79AA">
        <w:rPr>
          <w:rFonts w:ascii="Times New Roman" w:hAnsi="Times New Roman" w:cs="Times New Roman"/>
          <w:bCs/>
          <w:lang w:val="en-AU"/>
        </w:rPr>
        <w:fldChar w:fldCharType="end"/>
      </w:r>
      <w:r w:rsidR="00CA6C3B" w:rsidRPr="000E79AA">
        <w:rPr>
          <w:rFonts w:ascii="Times New Roman" w:hAnsi="Times New Roman" w:cs="Times New Roman"/>
          <w:bCs/>
          <w:lang w:val="en-AU"/>
        </w:rPr>
        <w:t xml:space="preserve"> </w:t>
      </w:r>
      <w:r w:rsidR="003E080D" w:rsidRPr="000E79AA">
        <w:rPr>
          <w:rFonts w:ascii="Times New Roman" w:hAnsi="Times New Roman" w:cs="Times New Roman"/>
          <w:bCs/>
          <w:lang w:val="en-AU"/>
        </w:rPr>
        <w:t xml:space="preserve">The stopping network </w:t>
      </w:r>
      <w:r w:rsidR="00B04AC7" w:rsidRPr="000E79AA">
        <w:rPr>
          <w:rFonts w:ascii="Times New Roman" w:hAnsi="Times New Roman" w:cs="Times New Roman"/>
          <w:bCs/>
          <w:lang w:val="en-AU"/>
        </w:rPr>
        <w:t xml:space="preserve">includes </w:t>
      </w:r>
      <w:r w:rsidR="00D71122" w:rsidRPr="000E79AA">
        <w:rPr>
          <w:rFonts w:ascii="Times New Roman" w:hAnsi="Times New Roman" w:cs="Times New Roman"/>
          <w:bCs/>
          <w:lang w:val="en-AU"/>
        </w:rPr>
        <w:t>the inferior frontal gyrus and presupplementary motor area, and their excitatory connection with the subthalamic nucleus which</w:t>
      </w:r>
      <w:r w:rsidR="00372F25" w:rsidRPr="000E79AA">
        <w:rPr>
          <w:rFonts w:ascii="Times New Roman" w:hAnsi="Times New Roman" w:cs="Times New Roman"/>
          <w:bCs/>
          <w:lang w:val="en-AU"/>
        </w:rPr>
        <w:t>,</w:t>
      </w:r>
      <w:r w:rsidR="00D71122" w:rsidRPr="000E79AA">
        <w:rPr>
          <w:rFonts w:ascii="Times New Roman" w:hAnsi="Times New Roman" w:cs="Times New Roman"/>
          <w:bCs/>
          <w:lang w:val="en-AU"/>
        </w:rPr>
        <w:t xml:space="preserve"> via the globus pallidus, increases inhibition o</w:t>
      </w:r>
      <w:r w:rsidR="00917CDE" w:rsidRPr="000E79AA">
        <w:rPr>
          <w:rFonts w:ascii="Times New Roman" w:hAnsi="Times New Roman" w:cs="Times New Roman"/>
          <w:bCs/>
          <w:lang w:val="en-AU"/>
        </w:rPr>
        <w:t>ver</w:t>
      </w:r>
      <w:r w:rsidR="00D71122" w:rsidRPr="000E79AA">
        <w:rPr>
          <w:rFonts w:ascii="Times New Roman" w:hAnsi="Times New Roman" w:cs="Times New Roman"/>
          <w:bCs/>
          <w:lang w:val="en-AU"/>
        </w:rPr>
        <w:t xml:space="preserve"> thalamocortical outpu</w:t>
      </w:r>
      <w:r w:rsidR="007829EE" w:rsidRPr="000E79AA">
        <w:rPr>
          <w:rFonts w:ascii="Times New Roman" w:hAnsi="Times New Roman" w:cs="Times New Roman"/>
          <w:bCs/>
          <w:lang w:val="en-AU"/>
        </w:rPr>
        <w:t>t</w:t>
      </w:r>
      <w:r w:rsidR="008545A9" w:rsidRPr="000E79AA">
        <w:rPr>
          <w:rFonts w:ascii="Times New Roman" w:hAnsi="Times New Roman" w:cs="Times New Roman"/>
          <w:bCs/>
          <w:lang w:val="en-AU"/>
        </w:rPr>
        <w:t>.</w:t>
      </w:r>
      <w:r w:rsidR="002E50B9"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{"citationID":"a2jec3kond7","properties":{"formattedCitation":"\\super 33,34\\nosupersub{}","plainCitation":"33,34","noteIndex":0},"citationItems":[{"id":11445,"uris":["http://zotero.org/users/local/xUwQuTPV/items/HFQEAB5V"],"uri":["http://zotero.org/users/local/xUwQuTPV/items/HFQEAB5V"],"itemData":{"id":11445,"type":"article-journal","abstract":"A better understanding of the neural systems underlying impulse control is important for psychiatry. Although most impulses are motivational or emotional rather than motoric per se, it is research into the neural architecture of motor response control that has made the greatest strides. This article reviews recent developments in the cognitive neuroscience of stopping responses. Most research of this kind has focused on reactive control-that is, how subjects stop a response outright when instructed by a signal. It is argued that reactive paradigms are limited as models of control relevant to psychiatry. Instead, a set of paradigms is advocated that begins to model proactive inhibitory control-that is, how a subject prepares to stop an upcoming response tendency. Proactive inhibitory control is generated according to the goals of the subject rather than by an external signal, and it can be selectively targeted at a particular response tendency. This may have wider validity than reactive control as an experimental model for stopping inappropriate responses.","container-title":"Biological psychiatry","DOI":"10.1016/j.biopsych.2010.07.024","issue":"12","journalAbbreviation":"Biol. Psychiatry","language":"English","note":"PMCID: PMC3039712","page":"e55-68","title":"From reactive to proactive and selective control: developing a richer model for stopping inappropriate responses.","volume":"69","author":[{"family":"Aron","given":"Adam R."}],"issued":{"date-parts":[["2011",6,15]]}}},{"id":13757,"uris":["http://zotero.org/users/local/xUwQuTPV/items/7HDQG9HG"],"uri":["http://zotero.org/users/local/xUwQuTPV/items/7HDQG9HG"],"itemData":{"id":13757,"type":"article-journal","abstract":"Voluntary action control requires selection of appropriate responses and stopping of inappropriate responses. Selection and stopping are often investigated separately, but they appear to recruit similar brain regions, including the pre-supplementary motor area (preSMA) and inferior frontal gyrus. We therefore examined the evidence for overlap of selection and stopping using two approaches: a meta-analysis of existing studies of selection and stopping, and a novel within-subject fMRI study in which action selection and a stop signal task were combined factorially. The novel fMRI study also permitted us to investigate hypotheses regarding a common mechanism for selection and stopping. The preSMA was identified by both methods as common to selection and stopping. However, stopping a selected action did not recruit preSMA more than stopping a specified action, nor did stop signal reaction times differ significantly across the two conditions. These findings suggest that the preSMA supports both action selection and stopping, but the two processes may not require access to a common inhibition mechanism. Instead, the preSMA might represent information about potential actions that is used in both action selection and stopping in order to resolve conflict between competing available responses.","container-title":"NeuroImage","DOI":"10.1016/j.neuroimage.2013.10.012","ISSN":"1053-8119","journalAbbreviation":"NeuroImage","language":"en","page":"381-391","source":"ScienceDirect","title":"Selection and stopping in voluntary action: A meta-analysis and combined fMRI study","title-short":"Selection and stopping in voluntary action","volume":"86","author":[{"family":"Rae","given":"Charlotte L."},{"family":"Hughes","given":"Laura E."},{"family":"Weaver","given":"Chelan"},{"family":"Anderson","given":"Michael C."},{"family":"Rowe","given":"James B."}],"issued":{"date-parts":[["2014",2,1]]}}}],"schema":"https://github.com/citation-style-language/schema/raw/master/csl-citation.json"} </w:instrText>
      </w:r>
      <w:r w:rsidR="002E50B9"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33,34</w:t>
      </w:r>
      <w:r w:rsidR="002E50B9" w:rsidRPr="000E79AA">
        <w:rPr>
          <w:rFonts w:ascii="Times New Roman" w:hAnsi="Times New Roman" w:cs="Times New Roman"/>
          <w:bCs/>
          <w:lang w:val="en-AU"/>
        </w:rPr>
        <w:fldChar w:fldCharType="end"/>
      </w:r>
      <w:r w:rsidR="003272D6" w:rsidRPr="000E79AA">
        <w:rPr>
          <w:rFonts w:ascii="Times New Roman" w:hAnsi="Times New Roman" w:cs="Times New Roman"/>
          <w:bCs/>
          <w:lang w:val="en-AU"/>
        </w:rPr>
        <w:t xml:space="preserve"> </w:t>
      </w:r>
      <w:r w:rsidR="00B04AC7" w:rsidRPr="000E79AA">
        <w:rPr>
          <w:rFonts w:ascii="Times New Roman" w:hAnsi="Times New Roman" w:cs="Times New Roman"/>
          <w:bCs/>
          <w:lang w:val="en-AU"/>
        </w:rPr>
        <w:t>Within this network, n</w:t>
      </w:r>
      <w:r w:rsidR="002E50B9" w:rsidRPr="000E79AA">
        <w:rPr>
          <w:rFonts w:ascii="Times New Roman" w:hAnsi="Times New Roman" w:cs="Times New Roman"/>
          <w:bCs/>
          <w:lang w:val="en-AU"/>
        </w:rPr>
        <w:t>oradren</w:t>
      </w:r>
      <w:r w:rsidR="00B04AC7" w:rsidRPr="000E79AA">
        <w:rPr>
          <w:rFonts w:ascii="Times New Roman" w:hAnsi="Times New Roman" w:cs="Times New Roman"/>
          <w:bCs/>
          <w:lang w:val="en-AU"/>
        </w:rPr>
        <w:t>aline increases</w:t>
      </w:r>
      <w:r w:rsidR="00B2743C" w:rsidRPr="000E79AA">
        <w:rPr>
          <w:rFonts w:ascii="Times New Roman" w:hAnsi="Times New Roman" w:cs="Times New Roman"/>
          <w:bCs/>
          <w:lang w:val="en-AU"/>
        </w:rPr>
        <w:t xml:space="preserve"> cortical excitability</w:t>
      </w:r>
      <w:r w:rsidR="008545A9" w:rsidRPr="000E79AA">
        <w:rPr>
          <w:rFonts w:ascii="Times New Roman" w:hAnsi="Times New Roman" w:cs="Times New Roman"/>
          <w:bCs/>
          <w:lang w:val="en-AU"/>
        </w:rPr>
        <w:t>,</w:t>
      </w:r>
      <w:r w:rsidR="00C61F7B" w:rsidRPr="000E79AA">
        <w:rPr>
          <w:rFonts w:ascii="Times New Roman" w:hAnsi="Times New Roman" w:cs="Times New Roman"/>
          <w:bCs/>
          <w:lang w:val="en-AU"/>
        </w:rPr>
        <w:fldChar w:fldCharType="begin"/>
      </w:r>
      <w:r w:rsidR="00FE0233" w:rsidRPr="000E79AA">
        <w:rPr>
          <w:rFonts w:ascii="Times New Roman" w:hAnsi="Times New Roman" w:cs="Times New Roman"/>
          <w:bCs/>
          <w:lang w:val="en-AU"/>
        </w:rPr>
        <w:instrText xml:space="preserve"> ADDIN ZOTERO_ITEM CSL_CITATION {"citationID":"a29lg0e6cll","properties":{"formattedCitation":"\\super 35\\nosupersub{}","plainCitation":"35","noteIndex":0},"citationItems":[{"id":"IttNASIo/CGTqONyi","uris":["http://zotero.org/users/local/xUwQuTPV/items/JJVRYNM3"],"uri":["http://zotero.org/users/local/xUwQuTPV/items/JJVRYNM3"],"itemData":{"id":6373,"type":"article-journal","abstract":"The neural correlates of optimal states for signal detection task performance are largely unknown. One hypothesis holds that optimal states exhibit tonically depolarized cortical neurons with enhanced spiking activity, such as occur during movement. We recorded membrane potentials of auditory cortical neurons in mice trained on a challenging tone-in-noise detection task while assessing arousal with simultaneous pupillometry and hippocampal recordings. Arousal measures accurately predicted multiple modes of membrane potential activity, including rhythmic slow oscillations at low arousal, stable hyperpolarization at intermediate arousal, and depolarization during phasic or tonic periods of hyper-arousal. Walking always occurred during hyper-arousal. Optimal signal detection behavior and sound-evoked responses, at both sub-threshold and spiking levels, occurred at intermediate arousal when pre-decision membrane potentials were stably hyperpolarized. These results reveal a cortical physiological signature of the classically observed inverted-U relationship between task performance and arousal and that optimal detection exhibits enhanced sensory-evoked responses and reduced background synaptic activity.","container-title":"Neuron","DOI":"10.1016/j.neuron.2015.05.038","issue":"1","journalAbbreviation":"Neuron","language":"English","note":"PMCID: PMC4631312","page":"179-192","title":"Cortical Membrane Potential Signature of Optimal States for Sensory Signal Detection.","volume":"87","author":[{"family":"McGinley","given":"Matthew J."},{"family":"David","given":"Stephen V."},{"family":"McCormick","given":"David A."}],"issued":{"date-parts":[["2015",7,1]]}}}],"schema":"https://github.com/citation-style-language/schema/raw/master/csl-citation.json"} </w:instrText>
      </w:r>
      <w:r w:rsidR="00C61F7B"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35</w:t>
      </w:r>
      <w:r w:rsidR="00C61F7B" w:rsidRPr="000E79AA">
        <w:rPr>
          <w:rFonts w:ascii="Times New Roman" w:hAnsi="Times New Roman" w:cs="Times New Roman"/>
          <w:bCs/>
          <w:lang w:val="en-AU"/>
        </w:rPr>
        <w:fldChar w:fldCharType="end"/>
      </w:r>
      <w:r w:rsidR="00C61F7B" w:rsidRPr="000E79AA">
        <w:rPr>
          <w:rFonts w:ascii="Times New Roman" w:hAnsi="Times New Roman" w:cs="Times New Roman"/>
          <w:bCs/>
          <w:lang w:val="en-AU"/>
        </w:rPr>
        <w:t xml:space="preserve"> </w:t>
      </w:r>
      <w:r w:rsidR="00D72129" w:rsidRPr="000E79AA">
        <w:rPr>
          <w:rFonts w:ascii="Times New Roman" w:hAnsi="Times New Roman" w:cs="Times New Roman"/>
          <w:bCs/>
          <w:lang w:val="en-AU"/>
        </w:rPr>
        <w:t>functional connectivity</w:t>
      </w:r>
      <w:r w:rsidR="00A227B2"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{"citationID":"a1tl853m8ur","properties":{"formattedCitation":"\\super 36\\nosupersub{}","plainCitation":"36","noteIndex":0},"citationItems":[{"id":6349,"uris":["http://zotero.org/users/local/xUwQuTPV/items/FCN9A87F"],"uri":["http://zotero.org/users/local/xUwQuTPV/items/FCN9A87F"],"itemData":{"id":6349,"type":"article-journal","abstract":"Nature Neuroscience 16, 1146 (2013). doi:10.1038/nn.3428","container-title":"Nature Publishing Group","DOI":"10.1038/nn.3428","issue":"8","journalAbbreviation":"Nature Publishing Group","page":"1146-1153","title":"The effects of neural gain on attention and learning","volume":"16","author":[{"family":"Eldar","given":"Eran"},{"family":"Cohen","given":"Jonathan D."},{"family":"Niv","given":"Yael"}],"issued":{"date-parts":[["2013",6,16]]}}}],"schema":"https://github.com/citation-style-language/schema/raw/master/csl-citation.json"} </w:instrText>
      </w:r>
      <w:r w:rsidR="00A227B2"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36</w:t>
      </w:r>
      <w:r w:rsidR="00A227B2" w:rsidRPr="000E79AA">
        <w:rPr>
          <w:rFonts w:ascii="Times New Roman" w:hAnsi="Times New Roman" w:cs="Times New Roman"/>
          <w:bCs/>
          <w:lang w:val="en-AU"/>
        </w:rPr>
        <w:fldChar w:fldCharType="end"/>
      </w:r>
      <w:r w:rsidR="00A227B2" w:rsidRPr="000E79AA">
        <w:rPr>
          <w:rFonts w:ascii="Times New Roman" w:hAnsi="Times New Roman" w:cs="Times New Roman"/>
          <w:bCs/>
          <w:lang w:val="en-AU"/>
        </w:rPr>
        <w:t xml:space="preserve"> </w:t>
      </w:r>
      <w:r w:rsidR="00D72129" w:rsidRPr="000E79AA">
        <w:rPr>
          <w:rFonts w:ascii="Times New Roman" w:hAnsi="Times New Roman" w:cs="Times New Roman"/>
          <w:bCs/>
          <w:lang w:val="en-AU"/>
        </w:rPr>
        <w:t>and network integration</w:t>
      </w:r>
      <w:r w:rsidR="008545A9" w:rsidRPr="000E79AA">
        <w:rPr>
          <w:rFonts w:ascii="Times New Roman" w:hAnsi="Times New Roman" w:cs="Times New Roman"/>
          <w:bCs/>
          <w:lang w:val="en-AU"/>
        </w:rPr>
        <w:t>.</w:t>
      </w:r>
      <w:r w:rsidR="008F7E23"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{"citationID":"a1j9dl7t0j7","properties":{"formattedCitation":"\\super 37\\nosupersub{}","plainCitation":"37","noteIndex":0},"citationItems":[{"id":4126,"uris":["http://zotero.org/users/local/xUwQuTPV/items/UWZI5PTN"],"uri":["http://zotero.org/users/local/xUwQuTPV/items/UWZI5PTN"],"itemData":{"id":4126,"type":"article-journal","abstract":"The human brain is able to flexibly adapt its information processing capacity to meet a variety of cognitive challenges. Recent evidence suggests that this flexibility is reflected in the dynamic reorganization of the functional connectome. The ascending catecholaminergic arousal systems of the brain are a plausible candidate mechanism for driving alterations in network architecture, enabling efficient deployment of cognitive resources when the environment demands them. We tested this hypothesis by analyzing both resting-state and task-based fMRI data following the administration of atomoxetine, a noradrenaline reuptake inhibitor, compared with placebo, in two separate human fMRI studies. Our results demonstrate that the manipulation of central catecholamine levels leads to a reorganization of the functional connectome in a manner that is sensitive to ongoing cognitive demands.","container-title":"Network Neuroscience","DOI":"10.1162/netn_a_00042","issue":"3","journalAbbreviation":"Netw Neurosci","language":"English","note":"PMCID: PMC6145851","page":"381-396","title":"Catecholaminergic manipulation alters dynamic network topology across cognitive states.","volume":"2","author":[{"family":"Shine","given":"James M."},{"family":"Brink","given":"Ruud L.","non-dropping-particle":"van den"},{"family":"Hernaus","given":"Dennis"},{"family":"Nieuwenhuis","given":"Sander"},{"family":"Poldrack","given":"Russell A."}],"issued":{"date-parts":[["2018"]]}}}],"schema":"https://github.com/citation-style-language/schema/raw/master/csl-citation.json"} </w:instrText>
      </w:r>
      <w:r w:rsidR="008F7E23"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37</w:t>
      </w:r>
      <w:r w:rsidR="008F7E23" w:rsidRPr="000E79AA">
        <w:rPr>
          <w:rFonts w:ascii="Times New Roman" w:hAnsi="Times New Roman" w:cs="Times New Roman"/>
          <w:bCs/>
          <w:lang w:val="en-AU"/>
        </w:rPr>
        <w:fldChar w:fldCharType="end"/>
      </w:r>
      <w:r w:rsidR="008008EF" w:rsidRPr="000E79AA">
        <w:rPr>
          <w:rFonts w:ascii="Times New Roman" w:hAnsi="Times New Roman" w:cs="Times New Roman"/>
          <w:bCs/>
          <w:lang w:val="en-AU"/>
        </w:rPr>
        <w:t xml:space="preserve"> </w:t>
      </w:r>
      <w:r w:rsidR="00B04AC7" w:rsidRPr="000E79AA">
        <w:rPr>
          <w:rFonts w:ascii="Times New Roman" w:hAnsi="Times New Roman" w:cs="Times New Roman"/>
          <w:bCs/>
          <w:lang w:val="en-AU"/>
        </w:rPr>
        <w:t xml:space="preserve">The prefrontal </w:t>
      </w:r>
      <w:r w:rsidR="008254AF" w:rsidRPr="000E79AA">
        <w:rPr>
          <w:rFonts w:ascii="Times New Roman" w:hAnsi="Times New Roman" w:cs="Times New Roman"/>
          <w:bCs/>
          <w:lang w:val="en-AU"/>
        </w:rPr>
        <w:t>regions</w:t>
      </w:r>
      <w:r w:rsidR="00A6720E" w:rsidRPr="000E79AA">
        <w:rPr>
          <w:rFonts w:ascii="Times New Roman" w:hAnsi="Times New Roman" w:cs="Times New Roman"/>
          <w:bCs/>
          <w:lang w:val="en-AU"/>
        </w:rPr>
        <w:t xml:space="preserve"> also provide descending input to modulate </w:t>
      </w:r>
      <w:r w:rsidR="00DF40CC" w:rsidRPr="000E79AA">
        <w:rPr>
          <w:rFonts w:ascii="Times New Roman" w:hAnsi="Times New Roman" w:cs="Times New Roman"/>
          <w:bCs/>
          <w:lang w:val="en-AU"/>
        </w:rPr>
        <w:t>the locus</w:t>
      </w:r>
      <w:r w:rsidR="00A6720E" w:rsidRPr="000E79AA">
        <w:rPr>
          <w:rFonts w:ascii="Times New Roman" w:hAnsi="Times New Roman" w:cs="Times New Roman"/>
          <w:bCs/>
          <w:lang w:val="en-AU"/>
        </w:rPr>
        <w:t xml:space="preserve"> coeruleu</w:t>
      </w:r>
      <w:r w:rsidR="00DF40CC" w:rsidRPr="000E79AA">
        <w:rPr>
          <w:rFonts w:ascii="Times New Roman" w:hAnsi="Times New Roman" w:cs="Times New Roman"/>
          <w:bCs/>
          <w:lang w:val="en-AU"/>
        </w:rPr>
        <w:t>s</w:t>
      </w:r>
      <w:r w:rsidR="008545A9" w:rsidRPr="000E79AA">
        <w:rPr>
          <w:rFonts w:ascii="Times New Roman" w:hAnsi="Times New Roman" w:cs="Times New Roman"/>
          <w:bCs/>
          <w:lang w:val="en-AU"/>
        </w:rPr>
        <w:t>,</w:t>
      </w:r>
      <w:r w:rsidR="000F1AE0"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{"citationID":"a293fojldc1","properties":{"formattedCitation":"\\super 38,39\\nosupersub{}","plainCitation":"38,39","noteIndex":0},"citationItems":[{"id":12149,"uris":["http://zotero.org/users/local/xUwQuTPV/items/Q2FV33IH"],"uri":["http://zotero.org/users/local/xUwQuTPV/items/Q2FV33IH"],"itemData":{"id":12149,"type":"article-journal","container-title":"Brain Research","DOI":"10.1016/0006-8993(84)90351-2","ISSN":"00068993","issue":"1-2","journalAbbreviation":"Brain Research","language":"en","page":"9-18","source":"DOI.org (Crossref)","title":"Selective prefrontal cortical projections to the region of the locus coeruleus and raphe nuclei in the rhesus monkey","volume":"306","author":[{"family":"Arnsten","given":"A.F.T."},{"family":"Goldman-Rakic","given":"P.S."}],"issued":{"date-parts":[["1984",7]]}}},{"id":12147,"uris":["http://zotero.org/users/local/xUwQuTPV/items/5YTY56YW"],"uri":["http://zotero.org/users/local/xUwQuTPV/items/5YTY56YW"],"itemData":{"id":12147,"type":"article-journal","abstract":"An influence of the prefrontal cortex on noradrenergic locus coeruleus neurons would have profound implications for the function of the locus coeruleus system. Although the medial prefrontal cortex does not substantially innervate the core of the nucleus locus coeruleus, evidence indicates that the medial prefrontal cortex projects to regions containing locus coeruleus dendrites; indirect medial prefrontal cortex-locus coeruleus projections are also possible. Here, we examined influences of prefrontal cortex activity on locus coeruleus firing rates by activating or inactivating the medial prefrontal cortex while recording impulse activity of locus coeruleus neurons extracellularly in anaesthetized rats. Most of our electrical stimulation experiments were conducted in rats which underwent lesions of the ascending dorsal bundle of noradrenergic fibres from the locus coeruleus to eliminate locus coeruleus projections to the prefrontal cortex, because antidromic activation of locus coeruleus from the prefrontal cortex affects even non-driven locus coeruleus neurons through collaterals. Single pulse stimulation (I mA, 0.3-0.5 ms) of the dorsomedial (frontal region 2) or prelimbic region of the medial prefrontal cortex synaptically activated 13/16 (81%) or 16/56 (29%) locus coeruleus neurons, respectively. Train stimulation (20 Hz for 0.5 s) synaptically activated greater percentages of locus coeruleus cells, 11/12 cells (92%) for the dorsomedial prefrontal cortex, and 41/50 cells (82%) for the prelimbic cortex. No inhibitory responses in the locus coeruleus were obtained with dorsomedial prefrontal stimulation, and weak inhibition was found in 16% of locus coeruleus cells with prelimbic stimulation. Electrical stimulation of more lateral frontal cortex (Frl area) had no effects on locus coeruleus activity.","container-title":"Neuroscience","DOI":"10.1016/S0306-4522(97)00372-2","ISSN":"03064522","issue":"1","journalAbbreviation":"Neuroscience","language":"en","page":"63-79","source":"DOI.org (Crossref)","title":"Potent excitatory influence of prefrontal cortex activity on noradrenergic locus coeruleus neurons","volume":"83","author":[{"family":"Jodo","given":"E."},{"family":"Chiang","given":"C."},{"family":"Aston-Jones","given":"G."}],"issued":{"date-parts":[["1998",1]]}}}],"schema":"https://github.com/citation-style-language/schema/raw/master/csl-citation.json"} </w:instrText>
      </w:r>
      <w:r w:rsidR="000F1AE0"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38,39</w:t>
      </w:r>
      <w:r w:rsidR="000F1AE0" w:rsidRPr="000E79AA">
        <w:rPr>
          <w:rFonts w:ascii="Times New Roman" w:hAnsi="Times New Roman" w:cs="Times New Roman"/>
          <w:bCs/>
          <w:lang w:val="en-AU"/>
        </w:rPr>
        <w:fldChar w:fldCharType="end"/>
      </w:r>
      <w:r w:rsidR="00453A69" w:rsidRPr="000E79AA">
        <w:rPr>
          <w:rFonts w:ascii="Times New Roman" w:hAnsi="Times New Roman" w:cs="Times New Roman"/>
          <w:bCs/>
          <w:lang w:val="en-AU"/>
        </w:rPr>
        <w:t xml:space="preserve"> </w:t>
      </w:r>
      <w:r w:rsidR="00B04AC7" w:rsidRPr="000E79AA">
        <w:rPr>
          <w:rFonts w:ascii="Times New Roman" w:hAnsi="Times New Roman" w:cs="Times New Roman"/>
          <w:bCs/>
          <w:lang w:val="en-AU"/>
        </w:rPr>
        <w:t>by which</w:t>
      </w:r>
      <w:r w:rsidR="00101BF5" w:rsidRPr="000E79AA">
        <w:rPr>
          <w:rFonts w:ascii="Times New Roman" w:hAnsi="Times New Roman" w:cs="Times New Roman"/>
          <w:bCs/>
          <w:lang w:val="en-AU"/>
        </w:rPr>
        <w:t xml:space="preserve"> </w:t>
      </w:r>
      <w:r w:rsidR="00477CED" w:rsidRPr="000E79AA">
        <w:rPr>
          <w:rFonts w:ascii="Times New Roman" w:hAnsi="Times New Roman" w:cs="Times New Roman"/>
          <w:bCs/>
          <w:lang w:val="en-AU"/>
        </w:rPr>
        <w:t>prefrontal</w:t>
      </w:r>
      <w:r w:rsidR="00101BF5" w:rsidRPr="000E79AA">
        <w:rPr>
          <w:rFonts w:ascii="Times New Roman" w:hAnsi="Times New Roman" w:cs="Times New Roman"/>
          <w:bCs/>
          <w:lang w:val="en-AU"/>
        </w:rPr>
        <w:t xml:space="preserve"> noradrenaline </w:t>
      </w:r>
      <w:r w:rsidR="00B04AC7" w:rsidRPr="000E79AA">
        <w:rPr>
          <w:rFonts w:ascii="Times New Roman" w:hAnsi="Times New Roman" w:cs="Times New Roman"/>
          <w:bCs/>
          <w:lang w:val="en-AU"/>
        </w:rPr>
        <w:t xml:space="preserve">can </w:t>
      </w:r>
      <w:r w:rsidR="00060D48" w:rsidRPr="000E79AA">
        <w:rPr>
          <w:rFonts w:ascii="Times New Roman" w:hAnsi="Times New Roman" w:cs="Times New Roman"/>
          <w:bCs/>
          <w:lang w:val="en-AU"/>
        </w:rPr>
        <w:t>influence locus coeruleus activit</w:t>
      </w:r>
      <w:r w:rsidR="007E08D6" w:rsidRPr="000E79AA">
        <w:rPr>
          <w:rFonts w:ascii="Times New Roman" w:hAnsi="Times New Roman" w:cs="Times New Roman"/>
          <w:bCs/>
          <w:lang w:val="en-AU"/>
        </w:rPr>
        <w:t>y</w:t>
      </w:r>
      <w:r w:rsidR="00453A69" w:rsidRPr="000E79AA">
        <w:rPr>
          <w:rFonts w:ascii="Times New Roman" w:hAnsi="Times New Roman" w:cs="Times New Roman"/>
          <w:bCs/>
          <w:lang w:val="en-AU"/>
        </w:rPr>
        <w:t xml:space="preserve">. </w:t>
      </w:r>
      <w:r w:rsidR="00B04AC7" w:rsidRPr="000E79AA">
        <w:rPr>
          <w:rFonts w:ascii="Times New Roman" w:hAnsi="Times New Roman" w:cs="Times New Roman"/>
          <w:bCs/>
          <w:lang w:val="en-AU"/>
        </w:rPr>
        <w:t>A</w:t>
      </w:r>
      <w:r w:rsidR="007E08D6" w:rsidRPr="000E79AA">
        <w:rPr>
          <w:rFonts w:ascii="Times New Roman" w:hAnsi="Times New Roman" w:cs="Times New Roman"/>
          <w:bCs/>
          <w:lang w:val="en-AU"/>
        </w:rPr>
        <w:t>tomoxetine alter</w:t>
      </w:r>
      <w:r w:rsidR="00DB0385" w:rsidRPr="000E79AA">
        <w:rPr>
          <w:rFonts w:ascii="Times New Roman" w:hAnsi="Times New Roman" w:cs="Times New Roman"/>
          <w:bCs/>
          <w:lang w:val="en-AU"/>
        </w:rPr>
        <w:t>s</w:t>
      </w:r>
      <w:r w:rsidR="007E08D6" w:rsidRPr="000E79AA">
        <w:rPr>
          <w:rFonts w:ascii="Times New Roman" w:hAnsi="Times New Roman" w:cs="Times New Roman"/>
          <w:bCs/>
          <w:lang w:val="en-AU"/>
        </w:rPr>
        <w:t xml:space="preserve"> locus coeruleus firing patterns to </w:t>
      </w:r>
      <w:r w:rsidR="00453A69" w:rsidRPr="000E79AA">
        <w:rPr>
          <w:rFonts w:ascii="Times New Roman" w:hAnsi="Times New Roman" w:cs="Times New Roman"/>
          <w:bCs/>
          <w:lang w:val="en-AU"/>
        </w:rPr>
        <w:t xml:space="preserve">increase the </w:t>
      </w:r>
      <w:r w:rsidR="000070F2" w:rsidRPr="000E79AA">
        <w:rPr>
          <w:rFonts w:ascii="Times New Roman" w:hAnsi="Times New Roman" w:cs="Times New Roman"/>
          <w:bCs/>
          <w:lang w:val="en-AU"/>
        </w:rPr>
        <w:t>phasic-to-tonic ratio,</w:t>
      </w:r>
      <w:r w:rsidR="0048471B" w:rsidRPr="000E79AA">
        <w:rPr>
          <w:rFonts w:ascii="Times New Roman" w:hAnsi="Times New Roman" w:cs="Times New Roman"/>
          <w:bCs/>
          <w:lang w:val="en-AU"/>
        </w:rPr>
        <w:t xml:space="preserve"> </w:t>
      </w:r>
      <w:r w:rsidR="00B04AC7" w:rsidRPr="000E79AA">
        <w:rPr>
          <w:rFonts w:ascii="Times New Roman" w:hAnsi="Times New Roman" w:cs="Times New Roman"/>
          <w:bCs/>
          <w:lang w:val="en-AU"/>
        </w:rPr>
        <w:t>making</w:t>
      </w:r>
      <w:r w:rsidR="0030297E" w:rsidRPr="000E79AA">
        <w:rPr>
          <w:rFonts w:ascii="Times New Roman" w:hAnsi="Times New Roman" w:cs="Times New Roman"/>
          <w:bCs/>
          <w:lang w:val="en-AU"/>
        </w:rPr>
        <w:t xml:space="preserve"> the </w:t>
      </w:r>
      <w:r w:rsidR="00453A69" w:rsidRPr="000E79AA">
        <w:rPr>
          <w:rFonts w:ascii="Times New Roman" w:hAnsi="Times New Roman" w:cs="Times New Roman"/>
          <w:bCs/>
          <w:lang w:val="en-AU"/>
        </w:rPr>
        <w:t>locus coeruleus</w:t>
      </w:r>
      <w:r w:rsidR="0030297E" w:rsidRPr="000E79AA">
        <w:rPr>
          <w:rFonts w:ascii="Times New Roman" w:hAnsi="Times New Roman" w:cs="Times New Roman"/>
          <w:bCs/>
          <w:lang w:val="en-AU"/>
        </w:rPr>
        <w:t xml:space="preserve"> more responsive to task-rel</w:t>
      </w:r>
      <w:r w:rsidR="00931FE0" w:rsidRPr="000E79AA">
        <w:rPr>
          <w:rFonts w:ascii="Times New Roman" w:hAnsi="Times New Roman" w:cs="Times New Roman"/>
          <w:bCs/>
          <w:lang w:val="en-AU"/>
        </w:rPr>
        <w:t>evant</w:t>
      </w:r>
      <w:r w:rsidR="0030297E" w:rsidRPr="000E79AA">
        <w:rPr>
          <w:rFonts w:ascii="Times New Roman" w:hAnsi="Times New Roman" w:cs="Times New Roman"/>
          <w:bCs/>
          <w:lang w:val="en-AU"/>
        </w:rPr>
        <w:t xml:space="preserve"> stimuli</w:t>
      </w:r>
      <w:r w:rsidR="008545A9" w:rsidRPr="000E79AA">
        <w:rPr>
          <w:rFonts w:ascii="Times New Roman" w:hAnsi="Times New Roman" w:cs="Times New Roman"/>
          <w:bCs/>
          <w:lang w:val="en-AU"/>
        </w:rPr>
        <w:t>.</w:t>
      </w:r>
      <w:r w:rsidR="00A34E15"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{"citationID":"a12bl2ju4tf","properties":{"formattedCitation":"\\super 40\\nosupersub{}","plainCitation":"40","noteIndex":0},"citationItems":[{"id":4331,"uris":["http://zotero.org/users/local/xUwQuTPV/items/T9Z8DCDQ"],"uri":["http://zotero.org/users/local/xUwQuTPV/items/T9Z8DCDQ"],"itemData":{"id":4331,"type":"article-journal","abstract":"Neuropharmacology, 64 (2013) 53-64. doi:10.1016/j.neuropharm.2012.07.020","container-title":"Neuropharmacology","DOI":"10.1016/j.neuropharm.2012.07.020","issue":"c","journalAbbreviation":"Neuropharmacology","page":"53-64","title":"Atomoxetine modulates spontaneous and sensory-evoked discharge of locus coeruleus noradrenergic neurons","volume":"64","author":[{"family":"Bari","given":"A."},{"family":"Aston-Jones","given":"G."}],"issued":{"date-parts":[["2013",1,1]]}}}],"schema":"https://github.com/citation-style-language/schema/raw/master/csl-citation.json"} </w:instrText>
      </w:r>
      <w:r w:rsidR="00A34E15"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40</w:t>
      </w:r>
      <w:r w:rsidR="00A34E15" w:rsidRPr="000E79AA">
        <w:rPr>
          <w:rFonts w:ascii="Times New Roman" w:hAnsi="Times New Roman" w:cs="Times New Roman"/>
          <w:bCs/>
          <w:lang w:val="en-AU"/>
        </w:rPr>
        <w:fldChar w:fldCharType="end"/>
      </w:r>
      <w:r w:rsidR="00A34E15" w:rsidRPr="000E79AA">
        <w:rPr>
          <w:rFonts w:ascii="Times New Roman" w:hAnsi="Times New Roman" w:cs="Times New Roman"/>
          <w:bCs/>
          <w:lang w:val="en-AU"/>
        </w:rPr>
        <w:t xml:space="preserve"> </w:t>
      </w:r>
    </w:p>
    <w:p w14:paraId="4D6C8952" w14:textId="77777777" w:rsidR="00A34E15" w:rsidRPr="000E79AA" w:rsidRDefault="00A34E15" w:rsidP="004E671C">
      <w:pPr>
        <w:spacing w:line="360" w:lineRule="auto"/>
        <w:jc w:val="both"/>
        <w:rPr>
          <w:rFonts w:ascii="Times New Roman" w:hAnsi="Times New Roman" w:cs="Times New Roman"/>
          <w:bCs/>
          <w:lang w:val="en-AU"/>
        </w:rPr>
      </w:pPr>
    </w:p>
    <w:p w14:paraId="57DCDED0" w14:textId="0FEF24FA" w:rsidR="00AE05FE" w:rsidRPr="000E79AA" w:rsidRDefault="00F94C25" w:rsidP="004E671C">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The potential for atomoxetine to modulate locus coeruleus-noradrenaline </w:t>
      </w:r>
      <w:r w:rsidR="00285759" w:rsidRPr="000E79AA">
        <w:rPr>
          <w:rFonts w:ascii="Times New Roman" w:hAnsi="Times New Roman" w:cs="Times New Roman"/>
          <w:bCs/>
          <w:lang w:val="en-AU"/>
        </w:rPr>
        <w:t>function</w:t>
      </w:r>
      <w:r w:rsidR="004F12AA" w:rsidRPr="000E79AA">
        <w:rPr>
          <w:rFonts w:ascii="Times New Roman" w:hAnsi="Times New Roman" w:cs="Times New Roman"/>
          <w:bCs/>
          <w:lang w:val="en-AU"/>
        </w:rPr>
        <w:t xml:space="preserve"> and improve </w:t>
      </w:r>
      <w:r w:rsidR="00CB679A" w:rsidRPr="000E79AA">
        <w:rPr>
          <w:rFonts w:ascii="Times New Roman" w:hAnsi="Times New Roman" w:cs="Times New Roman"/>
          <w:bCs/>
          <w:lang w:val="en-AU"/>
        </w:rPr>
        <w:t>response inhibition</w:t>
      </w:r>
      <w:r w:rsidR="00115BF2" w:rsidRPr="000E79AA">
        <w:rPr>
          <w:rFonts w:ascii="Times New Roman" w:hAnsi="Times New Roman" w:cs="Times New Roman"/>
          <w:bCs/>
          <w:lang w:val="en-AU"/>
        </w:rPr>
        <w:t xml:space="preserve"> </w:t>
      </w:r>
      <w:r w:rsidR="00661CE0" w:rsidRPr="000E79AA">
        <w:rPr>
          <w:rFonts w:ascii="Times New Roman" w:hAnsi="Times New Roman" w:cs="Times New Roman"/>
          <w:bCs/>
          <w:lang w:val="en-AU"/>
        </w:rPr>
        <w:t>holds</w:t>
      </w:r>
      <w:r w:rsidR="00285759" w:rsidRPr="000E79AA">
        <w:rPr>
          <w:rFonts w:ascii="Times New Roman" w:hAnsi="Times New Roman" w:cs="Times New Roman"/>
          <w:bCs/>
          <w:lang w:val="en-AU"/>
        </w:rPr>
        <w:t xml:space="preserve"> therapeutic promise in Parkinson’s disease.</w:t>
      </w:r>
      <w:r w:rsidR="00F377CA" w:rsidRPr="000E79AA">
        <w:rPr>
          <w:rFonts w:ascii="Times New Roman" w:hAnsi="Times New Roman" w:cs="Times New Roman"/>
          <w:bCs/>
          <w:lang w:val="en-AU"/>
        </w:rPr>
        <w:t xml:space="preserve"> </w:t>
      </w:r>
      <w:r w:rsidR="00FB7ABC" w:rsidRPr="000E79AA">
        <w:rPr>
          <w:rFonts w:ascii="Times New Roman" w:hAnsi="Times New Roman" w:cs="Times New Roman"/>
          <w:bCs/>
          <w:lang w:val="en-AU"/>
        </w:rPr>
        <w:t>Previous</w:t>
      </w:r>
      <w:r w:rsidR="00334161" w:rsidRPr="000E79AA">
        <w:rPr>
          <w:rFonts w:ascii="Times New Roman" w:hAnsi="Times New Roman" w:cs="Times New Roman"/>
          <w:bCs/>
          <w:lang w:val="en-AU"/>
        </w:rPr>
        <w:t xml:space="preserve"> work</w:t>
      </w:r>
      <w:r w:rsidR="00780F09" w:rsidRPr="000E79AA">
        <w:rPr>
          <w:rFonts w:ascii="Times New Roman" w:hAnsi="Times New Roman" w:cs="Times New Roman"/>
          <w:bCs/>
          <w:lang w:val="en-AU"/>
        </w:rPr>
        <w:t xml:space="preserve"> using stop</w:t>
      </w:r>
      <w:r w:rsidR="00783380" w:rsidRPr="000E79AA">
        <w:rPr>
          <w:rFonts w:ascii="Times New Roman" w:hAnsi="Times New Roman" w:cs="Times New Roman"/>
          <w:bCs/>
          <w:lang w:val="en-AU"/>
        </w:rPr>
        <w:t>-</w:t>
      </w:r>
      <w:r w:rsidR="00780F09" w:rsidRPr="000E79AA">
        <w:rPr>
          <w:rFonts w:ascii="Times New Roman" w:hAnsi="Times New Roman" w:cs="Times New Roman"/>
          <w:bCs/>
          <w:lang w:val="en-AU"/>
        </w:rPr>
        <w:t>signal task</w:t>
      </w:r>
      <w:r w:rsidR="00D6579D" w:rsidRPr="000E79AA">
        <w:rPr>
          <w:rFonts w:ascii="Times New Roman" w:hAnsi="Times New Roman" w:cs="Times New Roman"/>
          <w:bCs/>
          <w:lang w:val="en-AU"/>
        </w:rPr>
        <w:t>s</w:t>
      </w:r>
      <w:r w:rsidR="00780F09" w:rsidRPr="000E79AA">
        <w:rPr>
          <w:rFonts w:ascii="Times New Roman" w:hAnsi="Times New Roman" w:cs="Times New Roman"/>
          <w:bCs/>
          <w:lang w:val="en-AU"/>
        </w:rPr>
        <w:t xml:space="preserve"> in Parkinson’s disease </w:t>
      </w:r>
      <w:r w:rsidR="00D6579D" w:rsidRPr="000E79AA">
        <w:rPr>
          <w:rFonts w:ascii="Times New Roman" w:hAnsi="Times New Roman" w:cs="Times New Roman"/>
          <w:bCs/>
          <w:lang w:val="en-AU"/>
        </w:rPr>
        <w:t xml:space="preserve">demonstrated </w:t>
      </w:r>
      <w:r w:rsidR="00780F09" w:rsidRPr="000E79AA">
        <w:rPr>
          <w:rFonts w:ascii="Times New Roman" w:hAnsi="Times New Roman" w:cs="Times New Roman"/>
          <w:bCs/>
          <w:lang w:val="en-AU"/>
        </w:rPr>
        <w:t xml:space="preserve">that atomoxetine can improve response inhibition and </w:t>
      </w:r>
      <w:r w:rsidR="00F4086F" w:rsidRPr="000E79AA">
        <w:rPr>
          <w:rFonts w:ascii="Times New Roman" w:hAnsi="Times New Roman" w:cs="Times New Roman"/>
          <w:bCs/>
          <w:lang w:val="en-AU"/>
        </w:rPr>
        <w:t xml:space="preserve">enhance </w:t>
      </w:r>
      <w:r w:rsidR="00780F09" w:rsidRPr="000E79AA">
        <w:rPr>
          <w:rFonts w:ascii="Times New Roman" w:hAnsi="Times New Roman" w:cs="Times New Roman"/>
          <w:bCs/>
          <w:lang w:val="en-AU"/>
        </w:rPr>
        <w:t xml:space="preserve">its attendant </w:t>
      </w:r>
      <w:r w:rsidR="00F4086F" w:rsidRPr="000E79AA">
        <w:rPr>
          <w:rFonts w:ascii="Times New Roman" w:hAnsi="Times New Roman" w:cs="Times New Roman"/>
          <w:bCs/>
          <w:lang w:val="en-AU"/>
        </w:rPr>
        <w:t>stopping network activation</w:t>
      </w:r>
      <w:r w:rsidR="00304E00" w:rsidRPr="000E79AA">
        <w:rPr>
          <w:rFonts w:ascii="Times New Roman" w:hAnsi="Times New Roman" w:cs="Times New Roman"/>
          <w:bCs/>
          <w:lang w:val="en-AU"/>
        </w:rPr>
        <w:t>.</w:t>
      </w:r>
      <w:r w:rsidR="00F377CA"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{"citationID":"a23dmkv4am8","properties":{"formattedCitation":"\\super 10\\uc0\\u8211{}12,41\\nosupersub{}","plainCitation":"10–12,41","noteIndex":0},"citationItems":[{"id":4575,"uris":["http://zotero.org/users/local/xUwQuTPV/items/ESDCSZQE"],"uri":["http://zotero.org/users/local/xUwQuTPV/items/ESDCSZQE"],"itemData":{"id":4575,"type":"article-journal","container-title":"Brain","DOI":"10.1093/brain/awu117","issue":"7","journalAbbreviation":"Brain","language":"English","page":"1986-1997","title":"Targeting impulsivity in Parkinson's disease using atomoxetine","volume":"137","author":[{"family":"Kehagia","given":"A. A."},{"family":"Housden","given":"C. R."},{"family":"Regenthal","given":"R."},{"family":"Barker","given":"R. A."},{"family":"Muller","given":"U."},{"family":"Rowe","given":"J."},{"family":"Sahakian","given":"B. J."},{"family":"Robbins","given":"T. W."}],"issued":{"date-parts":[["2014",6,20]]}}},{"id":4579,"uris":["http://zotero.org/users/local/xUwQuTPV/items/EQ2KR99N"],"uri":["http://zotero.org/users/local/xUwQuTPV/items/EQ2KR99N"],"itemData":{"id":4579,"type":"article-journal","abstract":"Biological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B."}],"issued":{"date-parts":[["2015",4,15]]}}},{"id":13944,"uris":["http://zotero.org/users/local/xUwQuTPV/items/ADZPJ2AC"],"uri":["http://zotero.org/users/local/xUwQuTPV/items/ADZPJ2AC"],"itemData":{"id":13944,"type":"article-journal","container-title":"Human Brain Mapping","DOI":"10.1002/hbm.23087","ISSN":"10659471","issue":"3","journalAbbreviation":"Hum. Brain Mapp.","language":"en","page":"1026-1037","source":"DOI.org (Crossref)","title":"Predicting beneficial effects of atomoxetine and citalopram on response inhibition in Parkinson's disease with clinical and neuroimaging measures: Predicting Treatment Response in PD","title-short":"Predicting beneficial effects of atomoxetine and citalopram on response inhibition in Parkinson's disease with clinical and neuroimaging measures","volume":"37","author":[{"family":"Ye","given":"Zheng"},{"family":"Rae","given":"Charlotte L."},{"family":"Nombela","given":"Cristina"},{"family":"Ham","given":"Timothy"},{"family":"Rittman","given":"Timothy"},{"family":"Jones","given":"Peter Simon"},{"family":"Rodríguez","given":"Patricia Vázquez"},{"family":"Coyle-Gilchrist","given":"Ian"},{"family":"Regenthal","given":"Ralf"},{"family":"Altena","given":"Ellemarije"},{"family":"Housden","given":"Charlotte R."},{"family":"Maxwell","given":"Helen"},{"family":"Sahakian","given":"Barbara J."},{"family":"Barker","given":"Roger A."},{"family":"Robbins","given":"Trevor W."},{"family":"Rowe","given":"James B."}],"issued":{"date-parts":[["2016",3]]}}},{"id":1386,"uris":["http://zotero.org/users/local/xUwQuTPV/items/Y275WW4Y"],"uri":["http://zotero.org/users/local/xUwQuTPV/items/Y275WW4Y"],"itemData":{"id":1386,"type":"article-journal","abstract":"Parkinson&amp;apos;s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F377CA"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10–12,41</w:t>
      </w:r>
      <w:r w:rsidR="00F377CA" w:rsidRPr="000E79AA">
        <w:rPr>
          <w:rFonts w:ascii="Times New Roman" w:hAnsi="Times New Roman" w:cs="Times New Roman"/>
          <w:bCs/>
          <w:lang w:val="en-AU"/>
        </w:rPr>
        <w:fldChar w:fldCharType="end"/>
      </w:r>
      <w:r w:rsidR="00F377CA" w:rsidRPr="000E79AA">
        <w:rPr>
          <w:rFonts w:ascii="Times New Roman" w:hAnsi="Times New Roman" w:cs="Times New Roman"/>
          <w:bCs/>
          <w:lang w:val="en-AU"/>
        </w:rPr>
        <w:t xml:space="preserve"> </w:t>
      </w:r>
      <w:r w:rsidR="005F30EE" w:rsidRPr="000E79AA">
        <w:rPr>
          <w:rFonts w:ascii="Times New Roman" w:hAnsi="Times New Roman" w:cs="Times New Roman"/>
          <w:bCs/>
          <w:lang w:val="en-AU"/>
        </w:rPr>
        <w:t xml:space="preserve">However, </w:t>
      </w:r>
      <w:r w:rsidR="00B04AC7" w:rsidRPr="000E79AA">
        <w:rPr>
          <w:rFonts w:ascii="Times New Roman" w:hAnsi="Times New Roman" w:cs="Times New Roman"/>
          <w:bCs/>
          <w:lang w:val="en-AU"/>
        </w:rPr>
        <w:t>there was considerable heterogeneity in treatment response. To a</w:t>
      </w:r>
      <w:r w:rsidR="00F321D5" w:rsidRPr="000E79AA">
        <w:rPr>
          <w:rFonts w:ascii="Times New Roman" w:hAnsi="Times New Roman" w:cs="Times New Roman"/>
          <w:bCs/>
          <w:lang w:val="en-AU"/>
        </w:rPr>
        <w:t>ccurately p</w:t>
      </w:r>
      <w:r w:rsidR="001B6CC2" w:rsidRPr="000E79AA">
        <w:rPr>
          <w:rFonts w:ascii="Times New Roman" w:hAnsi="Times New Roman" w:cs="Times New Roman"/>
          <w:bCs/>
          <w:lang w:val="en-AU"/>
        </w:rPr>
        <w:t xml:space="preserve">redict </w:t>
      </w:r>
      <w:r w:rsidR="00F321D5" w:rsidRPr="000E79AA">
        <w:rPr>
          <w:rFonts w:ascii="Times New Roman" w:hAnsi="Times New Roman" w:cs="Times New Roman"/>
          <w:bCs/>
          <w:lang w:val="en-AU"/>
        </w:rPr>
        <w:t xml:space="preserve">the </w:t>
      </w:r>
      <w:r w:rsidR="005A22C9" w:rsidRPr="000E79AA">
        <w:rPr>
          <w:rFonts w:ascii="Times New Roman" w:hAnsi="Times New Roman" w:cs="Times New Roman"/>
          <w:bCs/>
          <w:lang w:val="en-AU"/>
        </w:rPr>
        <w:t xml:space="preserve">patients </w:t>
      </w:r>
      <w:r w:rsidR="00C16C79" w:rsidRPr="000E79AA">
        <w:rPr>
          <w:rFonts w:ascii="Times New Roman" w:hAnsi="Times New Roman" w:cs="Times New Roman"/>
          <w:bCs/>
          <w:lang w:val="en-AU"/>
        </w:rPr>
        <w:t xml:space="preserve">who </w:t>
      </w:r>
      <w:r w:rsidR="00B04AC7" w:rsidRPr="000E79AA">
        <w:rPr>
          <w:rFonts w:ascii="Times New Roman" w:hAnsi="Times New Roman" w:cs="Times New Roman"/>
          <w:bCs/>
          <w:lang w:val="en-AU"/>
        </w:rPr>
        <w:t xml:space="preserve">would </w:t>
      </w:r>
      <w:r w:rsidR="005A22C9" w:rsidRPr="000E79AA">
        <w:rPr>
          <w:rFonts w:ascii="Times New Roman" w:hAnsi="Times New Roman" w:cs="Times New Roman"/>
          <w:bCs/>
          <w:lang w:val="en-AU"/>
        </w:rPr>
        <w:t xml:space="preserve">benefit from noradrenergic therapy remains a </w:t>
      </w:r>
      <w:r w:rsidR="00B04AC7" w:rsidRPr="000E79AA">
        <w:rPr>
          <w:rFonts w:ascii="Times New Roman" w:hAnsi="Times New Roman" w:cs="Times New Roman"/>
          <w:bCs/>
          <w:lang w:val="en-AU"/>
        </w:rPr>
        <w:t>critical goal for atomoxetine treatment to be considered therapeutically and to design the necessary</w:t>
      </w:r>
      <w:r w:rsidR="006E0216" w:rsidRPr="000E79AA">
        <w:rPr>
          <w:rFonts w:ascii="Times New Roman" w:hAnsi="Times New Roman" w:cs="Times New Roman"/>
          <w:bCs/>
          <w:lang w:val="en-AU"/>
        </w:rPr>
        <w:t xml:space="preserve"> clinical trials</w:t>
      </w:r>
      <w:r w:rsidR="00B04AC7" w:rsidRPr="000E79AA">
        <w:rPr>
          <w:rFonts w:ascii="Times New Roman" w:hAnsi="Times New Roman" w:cs="Times New Roman"/>
          <w:bCs/>
          <w:lang w:val="en-AU"/>
        </w:rPr>
        <w:t xml:space="preserve"> with str</w:t>
      </w:r>
      <w:r w:rsidR="00802E23" w:rsidRPr="000E79AA">
        <w:rPr>
          <w:rFonts w:ascii="Times New Roman" w:hAnsi="Times New Roman" w:cs="Times New Roman"/>
          <w:bCs/>
          <w:lang w:val="en-AU"/>
        </w:rPr>
        <w:t>atified patient selection</w:t>
      </w:r>
      <w:r w:rsidR="00304E00" w:rsidRPr="000E79AA">
        <w:rPr>
          <w:rFonts w:ascii="Times New Roman" w:hAnsi="Times New Roman" w:cs="Times New Roman"/>
          <w:bCs/>
          <w:lang w:val="en-AU"/>
        </w:rPr>
        <w:t>.</w:t>
      </w:r>
      <w:r w:rsidR="00ED24E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{"citationID":"a1lqdsanf1l","properties":{"formattedCitation":"\\super 41,42\\nosupersub{}","plainCitation":"41,42","noteIndex":0},"citationItems":[{"id":12151,"uris":["http://zotero.org/users/local/xUwQuTPV/items/PZ9A9KTB"],"uri":["http://zotero.org/users/local/xUwQuTPV/items/PZ9A9KTB"],"itemData":{"id":12151,"type":"article-journal","abstract":"Stratified medicine can reduce the costs of neurological care, bringing benefits to both patients and physicians. The availability of routine genetic testing, new biomarkers and advanced imaging, as well as new technologies for patient-centred data collection, has expanded the potential for patient stratification. Several neurology subspecialities, including stroke, epilepsy and behavioural neurology, have already applied stratification for disease prognosis, optimization of disease management and reduction of treatment-related adverse events. Stratification approaches could improve the cost-effectiveness of neurological care that involves treatments with high costs or risks of adverse reactions, as well as guide the use of emerging, highly individualized therapies. There are still major challenges in the development of clinically actionable stratification concepts, and practical barriers can limit adoption of these concepts into clinical practice. However, improved technologies and disease understanding are making more precise stratification practical. We believe that neurologists should become leaders in the development and validation of these practices, and that use of these approaches should be part of a broader strategy for addressing both the growing needs of an ageing population and the rising pressures for rapid improvements in the cost-effectiveness of therapeutics.","container-title":"Nature Reviews Neurology","DOI":"10.1038/nrneurol.2013.245","ISSN":"1759-4758, 1759-4766","issue":"1","journalAbbreviation":"Nat Rev Neurol","language":"en","page":"15-26","source":"DOI.org (Crossref)","title":"The emerging agenda of stratified medicine in neurology","volume":"10","author":[{"family":"Matthews","given":"Paul M."},{"family":"Edison","given":"Paul"},{"family":"Geraghty","given":"Olivia C."},{"family":"Johnson","given":"Michael R."}],"issued":{"date-parts":[["2014",1]]}}},{"id":13944,"uris":["http://zotero.org/users/local/xUwQuTPV/items/ADZPJ2AC"],"uri":["http://zotero.org/users/local/xUwQuTPV/items/ADZPJ2AC"],"itemData":{"id":13944,"type":"article-journal","container-title":"Human Brain Mapping","DOI":"10.1002/hbm.23087","ISSN":"10659471","issue":"3","journalAbbreviation":"Hum. Brain Mapp.","language":"en","page":"1026-1037","source":"DOI.org (Crossref)","title":"Predicting beneficial effects of atomoxetine and citalopram on response inhibition in Parkinson's disease with clinical and neuroimaging measures: Predicting Treatment Response in PD","title-short":"Predicting beneficial effects of atomoxetine and citalopram on response inhibition in Parkinson's disease with clinical and neuroimaging measures","volume":"37","author":[{"family":"Ye","given":"Zheng"},{"family":"Rae","given":"Charlotte L."},{"family":"Nombela","given":"Cristina"},{"family":"Ham","given":"Timothy"},{"family":"Rittman","given":"Timothy"},{"family":"Jones","given":"Peter Simon"},{"family":"Rodríguez","given":"Patricia Vázquez"},{"family":"Coyle-Gilchrist","given":"Ian"},{"family":"Regenthal","given":"Ralf"},{"family":"Altena","given":"Ellemarije"},{"family":"Housden","given":"Charlotte R."},{"family":"Maxwell","given":"Helen"},{"family":"Sahakian","given":"Barbara J."},{"family":"Barker","given":"Roger A."},{"family":"Robbins","given":"Trevor W."},{"family":"Rowe","given":"James B."}],"issued":{"date-parts":[["2016",3]]}}}],"schema":"https://github.com/citation-style-language/schema/raw/master/csl-citation.json"} </w:instrText>
      </w:r>
      <w:r w:rsidR="00ED24E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41,42</w:t>
      </w:r>
      <w:r w:rsidR="00ED24E7" w:rsidRPr="000E79AA">
        <w:rPr>
          <w:rFonts w:ascii="Times New Roman" w:hAnsi="Times New Roman" w:cs="Times New Roman"/>
          <w:bCs/>
          <w:lang w:val="en-AU"/>
        </w:rPr>
        <w:fldChar w:fldCharType="end"/>
      </w:r>
      <w:r w:rsidR="00782969" w:rsidRPr="000E79AA">
        <w:rPr>
          <w:rFonts w:ascii="Times New Roman" w:hAnsi="Times New Roman" w:cs="Times New Roman"/>
          <w:bCs/>
          <w:lang w:val="en-AU"/>
        </w:rPr>
        <w:t xml:space="preserve"> </w:t>
      </w:r>
      <w:r w:rsidR="00C1591F" w:rsidRPr="000E79AA">
        <w:rPr>
          <w:rFonts w:ascii="Times New Roman" w:hAnsi="Times New Roman" w:cs="Times New Roman"/>
          <w:bCs/>
          <w:lang w:val="en-AU"/>
        </w:rPr>
        <w:t xml:space="preserve"> </w:t>
      </w:r>
    </w:p>
    <w:p w14:paraId="4F5CAB1A" w14:textId="77777777" w:rsidR="00AE05FE" w:rsidRPr="000E79AA" w:rsidRDefault="00AE05FE" w:rsidP="004E671C">
      <w:pPr>
        <w:spacing w:line="360" w:lineRule="auto"/>
        <w:jc w:val="both"/>
        <w:rPr>
          <w:rFonts w:ascii="Times New Roman" w:hAnsi="Times New Roman" w:cs="Times New Roman"/>
          <w:bCs/>
          <w:lang w:val="en-AU"/>
        </w:rPr>
      </w:pPr>
    </w:p>
    <w:p w14:paraId="311CE09C" w14:textId="01F9C23A" w:rsidR="006500B3" w:rsidRPr="000E79AA" w:rsidRDefault="000341AE" w:rsidP="004E671C">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Here, </w:t>
      </w:r>
      <w:r w:rsidR="004A156A" w:rsidRPr="000E79AA">
        <w:rPr>
          <w:rFonts w:ascii="Times New Roman" w:hAnsi="Times New Roman" w:cs="Times New Roman"/>
          <w:bCs/>
          <w:lang w:val="en-AU"/>
        </w:rPr>
        <w:t xml:space="preserve">we </w:t>
      </w:r>
      <w:r w:rsidR="003462F0" w:rsidRPr="000E79AA">
        <w:rPr>
          <w:rFonts w:ascii="Times New Roman" w:hAnsi="Times New Roman" w:cs="Times New Roman"/>
          <w:bCs/>
          <w:lang w:val="en-AU"/>
        </w:rPr>
        <w:t>test the hypothesis that</w:t>
      </w:r>
      <w:r w:rsidR="006B0775" w:rsidRPr="000E79AA">
        <w:rPr>
          <w:rFonts w:ascii="Times New Roman" w:hAnsi="Times New Roman" w:cs="Times New Roman"/>
          <w:bCs/>
          <w:lang w:val="en-AU"/>
        </w:rPr>
        <w:t xml:space="preserve"> </w:t>
      </w:r>
      <w:r w:rsidR="00AC16F4" w:rsidRPr="000E79AA">
        <w:rPr>
          <w:rFonts w:ascii="Times New Roman" w:hAnsi="Times New Roman" w:cs="Times New Roman"/>
          <w:bCs/>
          <w:lang w:val="en-AU"/>
        </w:rPr>
        <w:t xml:space="preserve">structural </w:t>
      </w:r>
      <w:r w:rsidR="006B0775" w:rsidRPr="000E79AA">
        <w:rPr>
          <w:rFonts w:ascii="Times New Roman" w:hAnsi="Times New Roman" w:cs="Times New Roman"/>
          <w:bCs/>
          <w:lang w:val="en-AU"/>
        </w:rPr>
        <w:t>integrity of the noradrenergic locus coeruleus</w:t>
      </w:r>
      <w:r w:rsidR="00AB3945" w:rsidRPr="000E79AA">
        <w:rPr>
          <w:rFonts w:ascii="Times New Roman" w:hAnsi="Times New Roman" w:cs="Times New Roman"/>
          <w:bCs/>
          <w:lang w:val="en-AU"/>
        </w:rPr>
        <w:t xml:space="preserve"> </w:t>
      </w:r>
      <w:r w:rsidR="0050716E" w:rsidRPr="000E79AA">
        <w:rPr>
          <w:rFonts w:ascii="Times New Roman" w:hAnsi="Times New Roman" w:cs="Times New Roman"/>
          <w:bCs/>
          <w:lang w:val="en-AU"/>
        </w:rPr>
        <w:t>explain</w:t>
      </w:r>
      <w:r w:rsidR="002348D0" w:rsidRPr="000E79AA">
        <w:rPr>
          <w:rFonts w:ascii="Times New Roman" w:hAnsi="Times New Roman" w:cs="Times New Roman"/>
          <w:bCs/>
          <w:lang w:val="en-AU"/>
        </w:rPr>
        <w:t>s</w:t>
      </w:r>
      <w:r w:rsidR="00CF79A3" w:rsidRPr="000E79AA">
        <w:rPr>
          <w:rFonts w:ascii="Times New Roman" w:hAnsi="Times New Roman" w:cs="Times New Roman"/>
          <w:bCs/>
          <w:lang w:val="en-AU"/>
        </w:rPr>
        <w:t xml:space="preserve"> </w:t>
      </w:r>
      <w:r w:rsidR="002348D0" w:rsidRPr="000E79AA">
        <w:rPr>
          <w:rFonts w:ascii="Times New Roman" w:hAnsi="Times New Roman" w:cs="Times New Roman"/>
          <w:bCs/>
          <w:lang w:val="en-AU"/>
        </w:rPr>
        <w:t xml:space="preserve">the </w:t>
      </w:r>
      <w:r w:rsidR="00164517" w:rsidRPr="000E79AA">
        <w:rPr>
          <w:rFonts w:ascii="Times New Roman" w:hAnsi="Times New Roman" w:cs="Times New Roman"/>
          <w:bCs/>
          <w:lang w:val="en-AU"/>
        </w:rPr>
        <w:t>improvements in response inhibition following atomoxetine.</w:t>
      </w:r>
      <w:r w:rsidR="000F7F26" w:rsidRPr="000E79AA">
        <w:rPr>
          <w:rFonts w:ascii="Times New Roman" w:hAnsi="Times New Roman" w:cs="Times New Roman"/>
          <w:bCs/>
          <w:lang w:val="en-AU"/>
        </w:rPr>
        <w:t xml:space="preserve"> </w:t>
      </w:r>
      <w:r w:rsidR="00AC16F4" w:rsidRPr="000E79AA">
        <w:rPr>
          <w:rFonts w:ascii="Times New Roman" w:hAnsi="Times New Roman" w:cs="Times New Roman"/>
          <w:bCs/>
          <w:lang w:val="en-AU"/>
        </w:rPr>
        <w:t>This is now possible through</w:t>
      </w:r>
      <w:r w:rsidR="002348D0" w:rsidRPr="000E79AA">
        <w:rPr>
          <w:rFonts w:ascii="Times New Roman" w:hAnsi="Times New Roman" w:cs="Times New Roman"/>
          <w:bCs/>
          <w:lang w:val="en-AU"/>
        </w:rPr>
        <w:t xml:space="preserve"> recent developments in ultra-high field 7T imaging of the locus coeruleus</w:t>
      </w:r>
      <w:r w:rsidR="00304E00" w:rsidRPr="000E79AA">
        <w:rPr>
          <w:rFonts w:ascii="Times New Roman" w:hAnsi="Times New Roman" w:cs="Times New Roman"/>
          <w:bCs/>
          <w:lang w:val="en-AU"/>
        </w:rPr>
        <w:t>.</w:t>
      </w:r>
      <w:r w:rsidR="00F61365"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{"citationID":"aei2ph79ts","properties":{"formattedCitation":"\\super 43\\uc0\\u8211{}45\\nosupersub{}","plainCitation":"43–45","noteIndex":0},"citationItems":[{"id":4002,"uris":["http://zotero.org/users/local/xUwQuTPV/items/6PVGI3X7"],"uri":["http://zotero.org/users/local/xUwQuTPV/items/6PVGI3X7"],"itemData":{"id":4002,"type":"article-journal","abstract":"Locus Coeruleus (LC) is a neuromelanin-rich brainstem structure that is the source of noradrenaline in the cortex and is thought to modulate attention and memory. LC imaging in vivo is commonly performed with a 2D T1-weighted Turbo Spin Echo (TSE) MRI sequence, an approach that suffers from several drawbacks at 3T, including long acquisition times and highly anisotropic spatial resolution. In this study, we developed a high-resolution Magnetization Transfer (MT) sequence for LC imaging at both 7T and 3T and compared its performance to a TSE sequence. Results indicate that LC imaging can be achieved with an MT sequence at both 7 and 3T at higher spatial resolution than the 3T TSE. Furthermore, we investigated whether the currently disputed source of contrast in the LC region with a TSE sequence relates to MT effects or shortened T1 and T2* due to increased iron concentration. Our results suggest that the contrast in the LC area relates to MT effects. To conclude, in this study we managed to image the LC, for the first time, at 7T and at an increased resolution compared to the current state-of-the-art. Imaging the LC is highly relevant for clinical diagnostics as structural tissue properties of the LC may hold promise as a biomarker in neurodegenerative diseases.","container-title":"NeuroImage","DOI":"10.1016/j.neuroimage.2017.07.045","journalAbbreviation":"NeuroImage","language":"English","page":"427-436","title":"High-resolution in vivo imaging of human locus coeruleus by magnetization transfer MRI at 3T and 7T.","volume":"168","author":[{"family":"Priovoulos","given":"Nikos"},{"family":"Jacobs","given":"Heidi I. L."},{"family":"Ivanov","given":"Dimo"},{"family":"Uludag","given":"Kamil"},{"family":"Verhey","given":"Frans R. J."},{"family":"Poser","given":"Benedikt A."}],"issued":{"date-parts":[["2018",3]]}}},{"id":10549,"uris":["http://zotero.org/users/local/xUwQuTPV/items/6AW3HIHD"],"uri":["http://zotero.org/users/local/xUwQuTPV/items/6AW3HIHD"],"itemData":{"id":10549,"type":"article-journal","container-title":"Brain","DOI":"10.1093/brain/awz193","journalAbbreviation":"Brain","language":"English","page":"364-14","title":"Locus coeruleus imaging as a biomarker for noradrenergic dysfunction in neurodegenerative diseases","volume":"36","author":[{"family":"Betts","given":"Matthew J."},{"family":"Kirilina","given":"Evgeniya"},{"family":"Otaduy","given":"Maria C. G."},{"family":"Ivanov","given":"Dimo"},{"family":"Acosta-Cabronero","given":"Julio"},{"family":"Callaghan","given":"Martina F."},{"family":"Lambert","given":"Christian"},{"family":"Cardenas-Blanco","given":"Arturo"},{"family":"Pine","given":"Kerrin"},{"family":"Passamonti","given":"Luca"},{"family":"Loane","given":"Clare"},{"family":"Keuken","given":"Max C."},{"family":"Trujillo","given":"Paula"},{"family":"Lüsebrink","given":"Falk"},{"family":"Mattern","given":"Hendrik"},{"family":"Liu","given":"Kathy Y."},{"family":"Priovoulos","given":"Nikos"},{"family":"Fliessbach","given":"Klaus"},{"family":"Dahl","given":"Martin J."},{"family":"Maass","given":"Anne"},{"family":"Madelung","given":"Christopher F."},{"family":"Meder","given":"David"},{"family":"Ehrenberg","given":"Alexander J."},{"family":"Speck","given":"Oliver"},{"family":"Weiskopf","given":"Nikolaus"},{"family":"Dolan","given":"Raymond"},{"family":"Inglis","given":"Ben"},{"family":"Tosun","given":"Duygu"},{"family":"Morawski","given":"Markus"},{"family":"Zucca","given":"Fabio A."},{"family":"Siebner","given":"Hartwig R."},{"family":"Mather","given":"Mara"},{"family":"Uludag","given":"Kamil"},{"family":"Heinsen","given":"Helmut"},{"family":"Poser","given":"Benedikt A."},{"family":"Howard","given":"Robert"},{"family":"Zecca","given":"Luigi"},{"family":"Rowe","given":"James B."},{"family":"Grinberg","given":"Lea T."},{"family":"Jacobs","given":"Heidi I. L."},{"family":"Düzel","given":"Emrah"},{"family":"Hämmerer","given":"Dorothea"}],"issued":{"date-parts":[["2019",7,20]]}}},{"id":14603,"uris":["http://zotero.org/users/local/xUwQuTPV/items/RI5M9KMS"],"uri":["http://zotero.org/users/local/xUwQuTPV/items/RI5M9KMS"],"itemData":{"id":14603,"type":"article-journal","container-title":"NeuroImage","DOI":"10.1016/j.neuroimage.2020.117487","ISSN":"10538119","journalAbbreviation":"NeuroImage","language":"en","page":"117487","source":"DOI.org (Crossref)","title":"An in vivo probabilistic atlas of the human locus coeruleus at ultra-high field","volume":"225","author":[{"family":"Ye","given":"Rong"},{"family":"Rua","given":"Catarina"},{"family":"O'Callaghan","given":"Claire"},{"family":"Jones","given":"P. Simon"},{"family":"Hezemans","given":"Frank H."},{"family":"Kaalund","given":"Sanne S."},{"family":"Tsvetanov","given":"Kamen A."},{"family":"Rodgers","given":"Christopher T."},{"family":"Williams","given":"Guy"},{"family":"Passamonti","given":"Luca"},{"family":"Rowe","given":"James B."}],"issued":{"date-parts":[["2021",1]]}}}],"schema":"https://github.com/citation-style-language/schema/raw/master/csl-citation.json"} </w:instrText>
      </w:r>
      <w:r w:rsidR="00F61365"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43–45</w:t>
      </w:r>
      <w:r w:rsidR="00F61365" w:rsidRPr="000E79AA">
        <w:rPr>
          <w:rFonts w:ascii="Times New Roman" w:hAnsi="Times New Roman" w:cs="Times New Roman"/>
          <w:bCs/>
          <w:lang w:val="en-AU"/>
        </w:rPr>
        <w:fldChar w:fldCharType="end"/>
      </w:r>
      <w:r w:rsidR="0097496E" w:rsidRPr="000E79AA">
        <w:rPr>
          <w:rFonts w:ascii="Times New Roman" w:hAnsi="Times New Roman" w:cs="Times New Roman"/>
          <w:bCs/>
          <w:lang w:val="en-AU"/>
        </w:rPr>
        <w:t xml:space="preserve"> </w:t>
      </w:r>
      <w:r w:rsidR="002348D0" w:rsidRPr="000E79AA">
        <w:rPr>
          <w:rFonts w:ascii="Times New Roman" w:hAnsi="Times New Roman" w:cs="Times New Roman"/>
          <w:bCs/>
          <w:lang w:val="en-AU"/>
        </w:rPr>
        <w:t>We test</w:t>
      </w:r>
      <w:r w:rsidR="00AC16F4" w:rsidRPr="000E79AA">
        <w:rPr>
          <w:rFonts w:ascii="Times New Roman" w:hAnsi="Times New Roman" w:cs="Times New Roman"/>
          <w:bCs/>
          <w:lang w:val="en-AU"/>
        </w:rPr>
        <w:t>ed</w:t>
      </w:r>
      <w:r w:rsidR="002348D0" w:rsidRPr="000E79AA">
        <w:rPr>
          <w:rFonts w:ascii="Times New Roman" w:hAnsi="Times New Roman" w:cs="Times New Roman"/>
          <w:bCs/>
          <w:lang w:val="en-AU"/>
        </w:rPr>
        <w:t xml:space="preserve"> this hypothesis by combining quantification of the locus coeruleus by 7T</w:t>
      </w:r>
      <w:r w:rsidR="00927ACD" w:rsidRPr="000E79AA">
        <w:rPr>
          <w:rFonts w:ascii="Times New Roman" w:hAnsi="Times New Roman" w:cs="Times New Roman"/>
          <w:bCs/>
          <w:lang w:val="en-AU"/>
        </w:rPr>
        <w:t xml:space="preserve"> </w:t>
      </w:r>
      <w:r w:rsidR="002348D0" w:rsidRPr="000E79AA">
        <w:rPr>
          <w:rFonts w:ascii="Times New Roman" w:hAnsi="Times New Roman" w:cs="Times New Roman"/>
          <w:bCs/>
          <w:lang w:val="en-AU"/>
        </w:rPr>
        <w:t>MRI with an acute psychopharmacological challenge</w:t>
      </w:r>
      <w:r w:rsidR="007772D9" w:rsidRPr="000E79AA">
        <w:rPr>
          <w:rFonts w:ascii="Times New Roman" w:hAnsi="Times New Roman" w:cs="Times New Roman"/>
          <w:bCs/>
          <w:lang w:val="en-AU"/>
        </w:rPr>
        <w:t>,</w:t>
      </w:r>
      <w:r w:rsidR="002348D0" w:rsidRPr="000E79AA">
        <w:rPr>
          <w:rFonts w:ascii="Times New Roman" w:hAnsi="Times New Roman" w:cs="Times New Roman"/>
          <w:bCs/>
          <w:lang w:val="en-AU"/>
        </w:rPr>
        <w:t xml:space="preserve"> and </w:t>
      </w:r>
      <w:r w:rsidR="00A661B1" w:rsidRPr="000E79AA">
        <w:rPr>
          <w:rFonts w:ascii="Times New Roman" w:hAnsi="Times New Roman" w:cs="Times New Roman"/>
          <w:bCs/>
          <w:lang w:val="en-AU"/>
        </w:rPr>
        <w:t>measur</w:t>
      </w:r>
      <w:r w:rsidR="00AC16F4" w:rsidRPr="000E79AA">
        <w:rPr>
          <w:rFonts w:ascii="Times New Roman" w:hAnsi="Times New Roman" w:cs="Times New Roman"/>
          <w:bCs/>
          <w:lang w:val="en-AU"/>
        </w:rPr>
        <w:t>ing</w:t>
      </w:r>
      <w:r w:rsidR="002348D0" w:rsidRPr="000E79AA">
        <w:rPr>
          <w:rFonts w:ascii="Times New Roman" w:hAnsi="Times New Roman" w:cs="Times New Roman"/>
          <w:bCs/>
          <w:lang w:val="en-AU"/>
        </w:rPr>
        <w:t xml:space="preserve"> response inhibition using the stop-signal reaction time</w:t>
      </w:r>
      <w:r w:rsidR="00E054A4" w:rsidRPr="000E79AA">
        <w:rPr>
          <w:rFonts w:ascii="Times New Roman" w:hAnsi="Times New Roman" w:cs="Times New Roman"/>
          <w:bCs/>
          <w:lang w:val="en-AU"/>
        </w:rPr>
        <w:t xml:space="preserve">. </w:t>
      </w:r>
      <w:r w:rsidR="005B64D5" w:rsidRPr="000E79AA">
        <w:rPr>
          <w:rFonts w:ascii="Times New Roman" w:hAnsi="Times New Roman" w:cs="Times New Roman"/>
          <w:bCs/>
          <w:lang w:val="en-AU"/>
        </w:rPr>
        <w:t xml:space="preserve"> </w:t>
      </w:r>
      <w:r w:rsidR="00FB486E" w:rsidRPr="000E79AA">
        <w:rPr>
          <w:rFonts w:ascii="Times New Roman" w:hAnsi="Times New Roman" w:cs="Times New Roman"/>
          <w:bCs/>
          <w:lang w:val="en-AU"/>
        </w:rPr>
        <w:t xml:space="preserve">  </w:t>
      </w:r>
    </w:p>
    <w:p w14:paraId="3BE1842F" w14:textId="77777777" w:rsidR="00433CDA" w:rsidRPr="000E79AA" w:rsidRDefault="0006490C" w:rsidP="004E671C">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 </w:t>
      </w:r>
      <w:r w:rsidR="00164517" w:rsidRPr="000E79AA">
        <w:rPr>
          <w:rFonts w:ascii="Times New Roman" w:hAnsi="Times New Roman" w:cs="Times New Roman"/>
          <w:bCs/>
          <w:lang w:val="en-AU"/>
        </w:rPr>
        <w:t xml:space="preserve">  </w:t>
      </w:r>
      <w:r w:rsidR="006B0775" w:rsidRPr="000E79AA">
        <w:rPr>
          <w:rFonts w:ascii="Times New Roman" w:hAnsi="Times New Roman" w:cs="Times New Roman"/>
          <w:bCs/>
          <w:lang w:val="en-AU"/>
        </w:rPr>
        <w:t xml:space="preserve"> </w:t>
      </w:r>
      <w:r w:rsidR="000341AE" w:rsidRPr="000E79AA">
        <w:rPr>
          <w:rFonts w:ascii="Times New Roman" w:hAnsi="Times New Roman" w:cs="Times New Roman"/>
          <w:bCs/>
          <w:lang w:val="en-AU"/>
        </w:rPr>
        <w:t xml:space="preserve"> </w:t>
      </w:r>
      <w:r w:rsidR="00782969" w:rsidRPr="000E79AA">
        <w:rPr>
          <w:rFonts w:ascii="Times New Roman" w:hAnsi="Times New Roman" w:cs="Times New Roman"/>
          <w:bCs/>
          <w:lang w:val="en-AU"/>
        </w:rPr>
        <w:t xml:space="preserve"> </w:t>
      </w:r>
      <w:r w:rsidR="00ED24E7" w:rsidRPr="000E79AA">
        <w:rPr>
          <w:rFonts w:ascii="Times New Roman" w:hAnsi="Times New Roman" w:cs="Times New Roman"/>
          <w:bCs/>
          <w:lang w:val="en-AU"/>
        </w:rPr>
        <w:t xml:space="preserve"> </w:t>
      </w:r>
      <w:r w:rsidR="00780F09" w:rsidRPr="000E79AA">
        <w:rPr>
          <w:rFonts w:ascii="Times New Roman" w:hAnsi="Times New Roman" w:cs="Times New Roman"/>
          <w:bCs/>
          <w:lang w:val="en-AU"/>
        </w:rPr>
        <w:t xml:space="preserve"> </w:t>
      </w:r>
      <w:r w:rsidR="00661CE0" w:rsidRPr="000E79AA">
        <w:rPr>
          <w:rFonts w:ascii="Times New Roman" w:hAnsi="Times New Roman" w:cs="Times New Roman"/>
          <w:bCs/>
          <w:lang w:val="en-AU"/>
        </w:rPr>
        <w:t xml:space="preserve"> </w:t>
      </w:r>
      <w:r w:rsidR="0030297E" w:rsidRPr="000E79AA">
        <w:rPr>
          <w:rFonts w:ascii="Times New Roman" w:hAnsi="Times New Roman" w:cs="Times New Roman"/>
          <w:bCs/>
          <w:lang w:val="en-AU"/>
        </w:rPr>
        <w:t xml:space="preserve"> </w:t>
      </w:r>
      <w:r w:rsidR="000070F2" w:rsidRPr="000E79AA">
        <w:rPr>
          <w:rFonts w:ascii="Times New Roman" w:hAnsi="Times New Roman" w:cs="Times New Roman"/>
          <w:bCs/>
          <w:lang w:val="en-AU"/>
        </w:rPr>
        <w:t xml:space="preserve"> </w:t>
      </w:r>
      <w:r w:rsidR="006034AD" w:rsidRPr="000E79AA">
        <w:rPr>
          <w:rFonts w:ascii="Times New Roman" w:hAnsi="Times New Roman" w:cs="Times New Roman"/>
          <w:bCs/>
          <w:lang w:val="en-AU"/>
        </w:rPr>
        <w:t xml:space="preserve"> </w:t>
      </w:r>
      <w:r w:rsidR="00060D48" w:rsidRPr="000E79AA">
        <w:rPr>
          <w:rFonts w:ascii="Times New Roman" w:hAnsi="Times New Roman" w:cs="Times New Roman"/>
          <w:bCs/>
          <w:lang w:val="en-AU"/>
        </w:rPr>
        <w:t xml:space="preserve"> </w:t>
      </w:r>
      <w:r w:rsidR="00101BF5" w:rsidRPr="000E79AA">
        <w:rPr>
          <w:rFonts w:ascii="Times New Roman" w:hAnsi="Times New Roman" w:cs="Times New Roman"/>
          <w:bCs/>
          <w:lang w:val="en-AU"/>
        </w:rPr>
        <w:t xml:space="preserve"> </w:t>
      </w:r>
      <w:r w:rsidR="00A6720E" w:rsidRPr="000E79AA">
        <w:rPr>
          <w:rFonts w:ascii="Times New Roman" w:hAnsi="Times New Roman" w:cs="Times New Roman"/>
          <w:bCs/>
          <w:lang w:val="en-AU"/>
        </w:rPr>
        <w:t xml:space="preserve"> </w:t>
      </w:r>
      <w:r w:rsidR="008254AF" w:rsidRPr="000E79AA">
        <w:rPr>
          <w:rFonts w:ascii="Times New Roman" w:hAnsi="Times New Roman" w:cs="Times New Roman"/>
          <w:bCs/>
          <w:lang w:val="en-AU"/>
        </w:rPr>
        <w:t xml:space="preserve"> </w:t>
      </w:r>
      <w:r w:rsidR="00AE05FE" w:rsidRPr="000E79AA">
        <w:rPr>
          <w:rFonts w:ascii="Times New Roman" w:hAnsi="Times New Roman" w:cs="Times New Roman"/>
          <w:bCs/>
          <w:lang w:val="en-AU"/>
        </w:rPr>
        <w:t xml:space="preserve"> </w:t>
      </w:r>
    </w:p>
    <w:p w14:paraId="5598CBCD" w14:textId="77777777" w:rsidR="007F1663" w:rsidRPr="000E79AA" w:rsidRDefault="008752D9" w:rsidP="004E671C">
      <w:pPr>
        <w:spacing w:line="360" w:lineRule="auto"/>
        <w:jc w:val="both"/>
        <w:rPr>
          <w:rFonts w:ascii="Times New Roman" w:hAnsi="Times New Roman" w:cs="Times New Roman"/>
          <w:lang w:val="en-AU"/>
        </w:rPr>
      </w:pPr>
      <w:r w:rsidRPr="000E79AA">
        <w:rPr>
          <w:rFonts w:ascii="Times New Roman" w:hAnsi="Times New Roman" w:cs="Times New Roman"/>
          <w:b/>
          <w:lang w:val="en-AU"/>
        </w:rPr>
        <w:t>Methods</w:t>
      </w:r>
    </w:p>
    <w:p w14:paraId="61CF514F" w14:textId="77777777" w:rsidR="007F1663" w:rsidRPr="000E79AA" w:rsidRDefault="007F1663"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Participants</w:t>
      </w:r>
    </w:p>
    <w:p w14:paraId="696F3BBB" w14:textId="10BB7152" w:rsidR="007F1663" w:rsidRPr="000E79AA" w:rsidRDefault="007F1663"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Nineteen </w:t>
      </w:r>
      <w:r w:rsidR="002348D0" w:rsidRPr="000E79AA">
        <w:rPr>
          <w:rFonts w:ascii="Times New Roman" w:hAnsi="Times New Roman" w:cs="Times New Roman"/>
          <w:lang w:val="en-AU"/>
        </w:rPr>
        <w:t xml:space="preserve">people </w:t>
      </w:r>
      <w:r w:rsidRPr="000E79AA">
        <w:rPr>
          <w:rFonts w:ascii="Times New Roman" w:hAnsi="Times New Roman" w:cs="Times New Roman"/>
          <w:lang w:val="en-AU"/>
        </w:rPr>
        <w:t xml:space="preserve">with </w:t>
      </w:r>
      <w:r w:rsidR="002348D0" w:rsidRPr="000E79AA">
        <w:rPr>
          <w:rFonts w:ascii="Times New Roman" w:hAnsi="Times New Roman" w:cs="Times New Roman"/>
          <w:lang w:val="en-AU"/>
        </w:rPr>
        <w:t xml:space="preserve">idiopathic </w:t>
      </w:r>
      <w:r w:rsidRPr="000E79AA">
        <w:rPr>
          <w:rFonts w:ascii="Times New Roman" w:hAnsi="Times New Roman" w:cs="Times New Roman"/>
          <w:lang w:val="en-AU"/>
        </w:rPr>
        <w:t>P</w:t>
      </w:r>
      <w:r w:rsidR="00070FC8" w:rsidRPr="000E79AA">
        <w:rPr>
          <w:rFonts w:ascii="Times New Roman" w:hAnsi="Times New Roman" w:cs="Times New Roman"/>
          <w:lang w:val="en-AU"/>
        </w:rPr>
        <w:t>arkinson’s disease</w:t>
      </w:r>
      <w:r w:rsidRPr="000E79AA">
        <w:rPr>
          <w:rFonts w:ascii="Times New Roman" w:hAnsi="Times New Roman" w:cs="Times New Roman"/>
          <w:lang w:val="en-AU"/>
        </w:rPr>
        <w:t xml:space="preserve"> were recruited via the University of Cambridge Parkinson’s disease research clinic and th</w:t>
      </w:r>
      <w:r w:rsidR="00555385" w:rsidRPr="000E79AA">
        <w:rPr>
          <w:rFonts w:ascii="Times New Roman" w:hAnsi="Times New Roman" w:cs="Times New Roman"/>
          <w:lang w:val="en-AU"/>
        </w:rPr>
        <w:t>e</w:t>
      </w:r>
      <w:r w:rsidRPr="000E79AA">
        <w:rPr>
          <w:rFonts w:ascii="Times New Roman" w:hAnsi="Times New Roman" w:cs="Times New Roman"/>
          <w:lang w:val="en-AU"/>
        </w:rPr>
        <w:t xml:space="preserve"> Parkinson’s UK volun</w:t>
      </w:r>
      <w:r w:rsidR="002348D0" w:rsidRPr="000E79AA">
        <w:rPr>
          <w:rFonts w:ascii="Times New Roman" w:hAnsi="Times New Roman" w:cs="Times New Roman"/>
          <w:lang w:val="en-AU"/>
        </w:rPr>
        <w:t>teer</w:t>
      </w:r>
      <w:r w:rsidR="00555385" w:rsidRPr="000E79AA">
        <w:rPr>
          <w:rFonts w:ascii="Times New Roman" w:hAnsi="Times New Roman" w:cs="Times New Roman"/>
          <w:lang w:val="en-AU"/>
        </w:rPr>
        <w:t xml:space="preserve"> network</w:t>
      </w:r>
      <w:r w:rsidRPr="000E79AA">
        <w:rPr>
          <w:rFonts w:ascii="Times New Roman" w:hAnsi="Times New Roman" w:cs="Times New Roman"/>
          <w:lang w:val="en-AU"/>
        </w:rPr>
        <w:t xml:space="preserve">. </w:t>
      </w:r>
      <w:r w:rsidR="002348D0" w:rsidRPr="000E79AA">
        <w:rPr>
          <w:rFonts w:ascii="Times New Roman" w:hAnsi="Times New Roman" w:cs="Times New Roman"/>
          <w:lang w:val="en-AU"/>
        </w:rPr>
        <w:t>They</w:t>
      </w:r>
      <w:r w:rsidRPr="000E79AA">
        <w:rPr>
          <w:rFonts w:ascii="Times New Roman" w:hAnsi="Times New Roman" w:cs="Times New Roman"/>
          <w:lang w:val="en-AU"/>
        </w:rPr>
        <w:t xml:space="preserve"> </w:t>
      </w:r>
      <w:r w:rsidR="002348D0" w:rsidRPr="000E79AA">
        <w:rPr>
          <w:rFonts w:ascii="Times New Roman" w:hAnsi="Times New Roman" w:cs="Times New Roman"/>
          <w:lang w:val="en-AU"/>
        </w:rPr>
        <w:t xml:space="preserve">met </w:t>
      </w:r>
      <w:r w:rsidRPr="000E79AA">
        <w:rPr>
          <w:rFonts w:ascii="Times New Roman" w:hAnsi="Times New Roman" w:cs="Times New Roman"/>
          <w:lang w:val="en-AU"/>
        </w:rPr>
        <w:t>the United Kingdom Parkinson’s Disease Society Brain Bank criteria</w:t>
      </w:r>
      <w:r w:rsidR="00DC1354" w:rsidRPr="000E79AA">
        <w:rPr>
          <w:rFonts w:ascii="Times New Roman" w:hAnsi="Times New Roman" w:cs="Times New Roman"/>
          <w:lang w:val="en-AU"/>
        </w:rPr>
        <w:t xml:space="preserve"> </w:t>
      </w:r>
      <w:r w:rsidRPr="000E79AA">
        <w:rPr>
          <w:rFonts w:ascii="Times New Roman" w:hAnsi="Times New Roman" w:cs="Times New Roman"/>
          <w:lang w:val="en-AU"/>
        </w:rPr>
        <w:t xml:space="preserve">and </w:t>
      </w:r>
      <w:r w:rsidR="00F70C48" w:rsidRPr="000E79AA">
        <w:rPr>
          <w:rFonts w:ascii="Times New Roman" w:hAnsi="Times New Roman" w:cs="Times New Roman"/>
          <w:lang w:val="en-AU"/>
        </w:rPr>
        <w:t>were not demented</w:t>
      </w:r>
      <w:r w:rsidR="0077586F" w:rsidRPr="000E79AA">
        <w:rPr>
          <w:rFonts w:ascii="Times New Roman" w:hAnsi="Times New Roman" w:cs="Times New Roman"/>
          <w:lang w:val="en-AU"/>
        </w:rPr>
        <w:t xml:space="preserve"> based on MDS criteria for Parkinson’s disease dementia</w:t>
      </w:r>
      <w:r w:rsidR="00A627A5"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{"citationID":"ab5q7s69t4","properties":{"formattedCitation":"\\super 46\\nosupersub{}","plainCitation":"46","noteIndex":0},"citationItems":[{"id":13913,"uris":["http://zotero.org/users/local/xUwQuTPV/items/9F7TUXNN"],"uri":["http://zotero.org/users/local/xUwQuTPV/items/9F7TUXNN"],"itemData":{"id":13913,"type":"article-journal","abstract":"Dementia has been increasingly more recognized to be a common feature in patients with Parkinson's disease (PD), especially in old age. Specific criteria for the clinical diagnosis of dementia associated with PD (PD-D), however, have been lacking. A Task Force, organized by the Movement Disorder Study, was charged with the development of clinical diagnostic criteria for PD-D. The Task Force members were assigned to sub-committees and performed a systematic review of the literature, based on pre-defined selection criteria, in order to identify the epidemiological, clinical, auxillary, and pathological features of PD-D. Clinical diagnostic criteria were then developed based on these findings and group consensus. The incidence of dementia in PD is increased up to six times, point-prevelance is close to 30%, older age and akinetic-rigid form are associated with higher risk. PD-D is characterized by impairment in attention, memory, executive and visuo-spatial functions, behavioral symptoms such as affective changes, hallucinations, and apathy are frequent. There are no specific ancillary investigations for the diagnosis; the main pathological correlate is Lewy body-type degeneration in cerebral cortex and limbic structures. Based on the characteristic features associated with this condition, clinical diagnostic criteria for probable and possible PD-D are proposed. © 2007 Movement Disorder Society","container-title":"Movement Disorders","DOI":"10.1002/mds.21507","ISSN":"1531-8257","issue":"12","language":"en","note":"_eprint: https://onlinelibrary.wiley.com/doi/pdf/10.1002/mds.21507","page":"1689-1707","source":"Wiley Online Library","title":"Clinical diagnostic criteria for dementia associated with Parkinson's disease","volume":"22","author":[{"family":"Emre","given":"Murat"},{"family":"Aarsland","given":"Dag"},{"family":"Brown","given":"Richard"},{"family":"Burn","given":"David J."},{"family":"Duyckaerts","given":"Charles"},{"family":"Mizuno","given":"Yoshikino"},{"family":"Broe","given":"Gerald Anthony"},{"family":"Cummings","given":"Jeffrey"},{"family":"Dickson","given":"Dennis W."},{"family":"Gauthier","given":"Serge"},{"family":"Goldman","given":"Jennifer"},{"family":"Goetz","given":"Christopher"},{"family":"Korczyn","given":"Amos"},{"family":"Lees","given":"Andrew"},{"family":"Levy","given":"Richard"},{"family":"Litvan","given":"Irene"},{"family":"McKeith","given":"Ian"},{"family":"Olanow","given":"Warren"},{"family":"Poewe","given":"Werner"},{"family":"Quinn","given":"Niall"},{"family":"Sampaio","given":"Christina"},{"family":"Tolosa","given":"Eduardo"},{"family":"Dubois","given":"Bruno"}],"issued":{"date-parts":[["2007"]]}}}],"schema":"https://github.com/citation-style-language/schema/raw/master/csl-citation.json"} </w:instrText>
      </w:r>
      <w:r w:rsidR="00A627A5"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46</w:t>
      </w:r>
      <w:r w:rsidR="00A627A5" w:rsidRPr="000E79AA">
        <w:rPr>
          <w:rFonts w:ascii="Times New Roman" w:hAnsi="Times New Roman" w:cs="Times New Roman"/>
          <w:lang w:val="en-AU"/>
        </w:rPr>
        <w:fldChar w:fldCharType="end"/>
      </w:r>
      <w:r w:rsidR="00F70C48" w:rsidRPr="000E79AA">
        <w:rPr>
          <w:rFonts w:ascii="Times New Roman" w:hAnsi="Times New Roman" w:cs="Times New Roman"/>
          <w:lang w:val="en-AU"/>
        </w:rPr>
        <w:t xml:space="preserve"> nor on the </w:t>
      </w:r>
      <w:r w:rsidRPr="000E79AA">
        <w:rPr>
          <w:rFonts w:ascii="Times New Roman" w:hAnsi="Times New Roman" w:cs="Times New Roman"/>
          <w:lang w:val="en-AU"/>
        </w:rPr>
        <w:t xml:space="preserve"> </w:t>
      </w:r>
      <w:r w:rsidR="00E964F8" w:rsidRPr="000E79AA">
        <w:rPr>
          <w:rFonts w:ascii="Times New Roman" w:hAnsi="Times New Roman" w:cs="Times New Roman"/>
          <w:lang w:val="en-AU"/>
        </w:rPr>
        <w:t>m</w:t>
      </w:r>
      <w:r w:rsidRPr="000E79AA">
        <w:rPr>
          <w:rFonts w:ascii="Times New Roman" w:hAnsi="Times New Roman" w:cs="Times New Roman"/>
          <w:lang w:val="en-AU"/>
        </w:rPr>
        <w:t>ini-</w:t>
      </w:r>
      <w:r w:rsidR="00E964F8" w:rsidRPr="000E79AA">
        <w:rPr>
          <w:rFonts w:ascii="Times New Roman" w:hAnsi="Times New Roman" w:cs="Times New Roman"/>
          <w:lang w:val="en-AU"/>
        </w:rPr>
        <w:t>m</w:t>
      </w:r>
      <w:r w:rsidRPr="000E79AA">
        <w:rPr>
          <w:rFonts w:ascii="Times New Roman" w:hAnsi="Times New Roman" w:cs="Times New Roman"/>
          <w:lang w:val="en-AU"/>
        </w:rPr>
        <w:t xml:space="preserve">ental </w:t>
      </w:r>
      <w:r w:rsidR="00E964F8" w:rsidRPr="000E79AA">
        <w:rPr>
          <w:rFonts w:ascii="Times New Roman" w:hAnsi="Times New Roman" w:cs="Times New Roman"/>
          <w:lang w:val="en-AU"/>
        </w:rPr>
        <w:t>s</w:t>
      </w:r>
      <w:r w:rsidRPr="000E79AA">
        <w:rPr>
          <w:rFonts w:ascii="Times New Roman" w:hAnsi="Times New Roman" w:cs="Times New Roman"/>
          <w:lang w:val="en-AU"/>
        </w:rPr>
        <w:t xml:space="preserve">tate </w:t>
      </w:r>
      <w:r w:rsidR="00E964F8" w:rsidRPr="000E79AA">
        <w:rPr>
          <w:rFonts w:ascii="Times New Roman" w:hAnsi="Times New Roman" w:cs="Times New Roman"/>
          <w:lang w:val="en-AU"/>
        </w:rPr>
        <w:t>e</w:t>
      </w:r>
      <w:r w:rsidRPr="000E79AA">
        <w:rPr>
          <w:rFonts w:ascii="Times New Roman" w:hAnsi="Times New Roman" w:cs="Times New Roman"/>
          <w:lang w:val="en-AU"/>
        </w:rPr>
        <w:t xml:space="preserve">xamination </w:t>
      </w:r>
      <w:r w:rsidR="00F70C48" w:rsidRPr="000E79AA">
        <w:rPr>
          <w:rFonts w:ascii="Times New Roman" w:hAnsi="Times New Roman" w:cs="Times New Roman"/>
          <w:lang w:val="en-AU"/>
        </w:rPr>
        <w:t>(</w:t>
      </w:r>
      <w:r w:rsidRPr="000E79AA">
        <w:rPr>
          <w:rFonts w:ascii="Times New Roman" w:hAnsi="Times New Roman" w:cs="Times New Roman"/>
          <w:lang w:val="en-AU"/>
        </w:rPr>
        <w:t>score &gt;26</w:t>
      </w:r>
      <w:r w:rsidR="00F70C48" w:rsidRPr="000E79AA">
        <w:rPr>
          <w:rFonts w:ascii="Times New Roman" w:hAnsi="Times New Roman" w:cs="Times New Roman"/>
          <w:lang w:val="en-AU"/>
        </w:rPr>
        <w:t>)</w:t>
      </w:r>
      <w:r w:rsidR="0078358E"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{"citationID":"a1gutvlvbvs","properties":{"formattedCitation":"\\super 47\\nosupersub{}","plainCitation":"47","noteIndex":0},"citationItems":[{"id":12158,"uris":["http://zotero.org/users/local/xUwQuTPV/items/W5XRM73P"],"uri":["http://zotero.org/users/local/xUwQuTPV/items/W5XRM73P"],"itemData":{"id":12158,"type":"article-journal","abstract":"Background: Diagnostic criteria and procedures for dementia in Parkinson’s disease (PDD) have been proposed by a Movement Disorders Society Task Force (MDS-TF). The objective of this study was to explore the utility of the new MDS-TF criteria and procedures in clinical practice.\nMethods: Two hundred ninety nine PD patients (36.5% with PDD as per MDFS-TF criteria; 33.1% according the DSM-IV) were included in the study. A variety of standardized motor, cognitive, psychiatric, and global severity measures were administered. A multivariate logistic regression model was built to determine the variables producing discrepancy between the MDS-TF and DSM-IV criteria for PDD and the clinical features that distinguished false negative cases.\nResults: Agreement between MDS-TF and DSM-IV criteria was substantial (87.3%; kappa ¼ 0.72), but the DSM-IV criteria failed to identify 22% of patients fulﬁlling MDS-TF criteria. False negative cases were older and had more severe motor symptoms but less psychosis than those true non-demented PD. False positives had less severe motor symptoms than true PDD, although the difference did not reach statistical signiﬁcance.\nConclusions: Our ﬁndings suggest that the MDS-TF criteria are more sensitive than the DSM-IV for a diagnosis of PDD. Old age, absence of psychiatric symptoms, and severe motor impairment can hinder the diagnosis of PDD.","container-title":"Parkinsonism &amp; Related Disorders","DOI":"10.1016/j.parkreldis.2011.05.017","ISSN":"13538020","issue":"8","journalAbbreviation":"Parkinsonism &amp; Related Disorders","language":"en","page":"621-624","source":"DOI.org (Crossref)","title":"Dementia associated with Parkinson’s disease: Applying the Movement Disorder Society Task Force criteria","title-short":"Dementia associated with Parkinson’s disease","volume":"17","author":[{"family":"Martinez-Martin","given":"P."},{"family":"Falup-Pecurariu","given":"C."},{"family":"Rodriguez-Blazquez","given":"C."},{"family":"Serrano-Dueñas","given":"M."},{"family":"Carod Artal","given":"F.J."},{"family":"Rojo Abuin","given":"J.M."},{"family":"Aarsland","given":"D."}],"issued":{"date-parts":[["2011",9]]}}}],"schema":"https://github.com/citation-style-language/schema/raw/master/csl-citation.json"} </w:instrText>
      </w:r>
      <w:r w:rsidR="0078358E"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47</w:t>
      </w:r>
      <w:r w:rsidR="0078358E" w:rsidRPr="000E79AA">
        <w:rPr>
          <w:rFonts w:ascii="Times New Roman" w:hAnsi="Times New Roman" w:cs="Times New Roman"/>
          <w:lang w:val="en-AU"/>
        </w:rPr>
        <w:fldChar w:fldCharType="end"/>
      </w:r>
      <w:r w:rsidRPr="000E79AA">
        <w:rPr>
          <w:rFonts w:ascii="Times New Roman" w:hAnsi="Times New Roman" w:cs="Times New Roman"/>
          <w:lang w:val="en-AU"/>
        </w:rPr>
        <w:t xml:space="preserve">. </w:t>
      </w:r>
      <w:r w:rsidR="002348D0" w:rsidRPr="000E79AA">
        <w:rPr>
          <w:rFonts w:ascii="Times New Roman" w:hAnsi="Times New Roman" w:cs="Times New Roman"/>
          <w:lang w:val="en-AU"/>
        </w:rPr>
        <w:t>They</w:t>
      </w:r>
      <w:r w:rsidRPr="000E79AA">
        <w:rPr>
          <w:rFonts w:ascii="Times New Roman" w:hAnsi="Times New Roman" w:cs="Times New Roman"/>
          <w:lang w:val="en-AU"/>
        </w:rPr>
        <w:t xml:space="preserve"> were aged between 50-80 years, with Hoehn and Yahr stages 1.5-3, and </w:t>
      </w:r>
      <w:r w:rsidR="002348D0" w:rsidRPr="000E79AA">
        <w:rPr>
          <w:rFonts w:ascii="Times New Roman" w:hAnsi="Times New Roman" w:cs="Times New Roman"/>
          <w:lang w:val="en-AU"/>
        </w:rPr>
        <w:t>had</w:t>
      </w:r>
      <w:r w:rsidRPr="000E79AA">
        <w:rPr>
          <w:rFonts w:ascii="Times New Roman" w:hAnsi="Times New Roman" w:cs="Times New Roman"/>
          <w:lang w:val="en-AU"/>
        </w:rPr>
        <w:t xml:space="preserve"> no contraindications to 7T MRI or atomoxetine. No</w:t>
      </w:r>
      <w:r w:rsidR="002348D0" w:rsidRPr="000E79AA">
        <w:rPr>
          <w:rFonts w:ascii="Times New Roman" w:hAnsi="Times New Roman" w:cs="Times New Roman"/>
          <w:lang w:val="en-AU"/>
        </w:rPr>
        <w:t>ne had</w:t>
      </w:r>
      <w:r w:rsidRPr="000E79AA">
        <w:rPr>
          <w:rFonts w:ascii="Times New Roman" w:hAnsi="Times New Roman" w:cs="Times New Roman"/>
          <w:lang w:val="en-AU"/>
        </w:rPr>
        <w:t xml:space="preserve"> current </w:t>
      </w:r>
      <w:r w:rsidRPr="000E79AA">
        <w:rPr>
          <w:rFonts w:ascii="Times New Roman" w:hAnsi="Times New Roman" w:cs="Times New Roman"/>
          <w:lang w:val="en-AU"/>
        </w:rPr>
        <w:lastRenderedPageBreak/>
        <w:t xml:space="preserve">impulse control disorders, based on clinical impression and </w:t>
      </w:r>
      <w:r w:rsidR="002348D0" w:rsidRPr="000E79AA">
        <w:rPr>
          <w:rFonts w:ascii="Times New Roman" w:hAnsi="Times New Roman" w:cs="Times New Roman"/>
          <w:lang w:val="en-AU"/>
        </w:rPr>
        <w:t>the</w:t>
      </w:r>
      <w:r w:rsidR="00215608" w:rsidRPr="000E79AA">
        <w:rPr>
          <w:rFonts w:ascii="Times New Roman" w:hAnsi="Times New Roman" w:cs="Times New Roman"/>
          <w:lang w:val="en-AU"/>
        </w:rPr>
        <w:t xml:space="preserve"> Questionnaire for Impulsive-Compulsive Disorders in Parkinson’s Disease (QUIP-Current Short) screening tool</w:t>
      </w:r>
      <w:r w:rsidR="00705AD6" w:rsidRPr="000E79AA">
        <w:rPr>
          <w:rFonts w:ascii="Times New Roman" w:hAnsi="Times New Roman" w:cs="Times New Roman"/>
          <w:lang w:val="en-AU"/>
        </w:rPr>
        <w:t>.</w:t>
      </w:r>
      <w:r w:rsidR="00666B81"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{"citationID":"ae7optl5g2","properties":{"formattedCitation":"\\super 48\\nosupersub{}","plainCitation":"48","noteIndex":0},"citationItems":[{"id":12159,"uris":["http://zotero.org/users/local/xUwQuTPV/items/4A48AMZT"],"uri":["http://zotero.org/users/local/xUwQuTPV/items/4A48AMZT"],"itemData":{"id":12159,"type":"article-journal","abstract":"As no comprehensive assessment instrument for impulse control disorders (ICDs) in Parkinson's disease (PD) exists, the aim of this study was to design and assess the psychometric properties of a self-administered screening questionnaire for ICDs and other compulsive behaviors in PD. The Questionnaire for Impulsive-Compulsive Disorders in Parkinson's Disease (QUIP) has 3 sections: Section 1 assesses four ICDs (involving gambling, sexual, buying, and eating behaviors), Section 2 other compulsive behaviors (punding, hobbyism, and walkabout), and Section 3 compulsive medication use. For validation, a convenience sample of 157 PD patients at 4 movement disorders centers first completed the QUIP, and then was administered a diagnostic interview by a trained rater blinded to the QUIP results. A shortened instrument (QUIP-S) was then explored. The discriminant validity of the QUIP was high for each disorder or behavior (receiver operating characteristic area under the curve [ROC AUC]: gambling = 0.95, sexual behavior = 0.97, buying = 0.87, eating = 0.88, punding = 0.78, hobbyism = 0.93, walkabout = 0.79). On post hoc analysis, the QUIP-S ICD section had similar properties (ROC AUC: gambling = 0.95, sexual behavior = 0.96, buying = 0.87, eating = 0.88). When disorders/behaviors were combined, the sensitivity of the QUIP and QUIP-S to detect an individual with any disorder was 96 and 94%, respectively. Scores on the QUIP appear to be valid as a self-assessment screening instrument for a range of ICDs and other compulsive behaviors that occur in PD, and a shortened version may perform as well as the full version. A positive screen should be followed by a comprehensive, clinical interview to determine the range and severity of symptoms, as well as need for clinical management. © 2009 Movement Disorder Society","container-title":"Movement Disorders","DOI":"10.1002/mds.22571","ISSN":"1531-8257","issue":"10","language":"en","note":"_eprint: https://onlinelibrary.wiley.com/doi/pdf/10.1002/mds.22571","page":"1461-1467","source":"Wiley Online Library","title":"Validation of the questionnaire for impulsive-compulsive disorders in Parkinson's disease","volume":"24","author":[{"family":"Weintraub","given":"Daniel"},{"family":"Hoops","given":"Staci"},{"family":"Shea","given":"Judy A."},{"family":"Lyons","given":"Kelly E."},{"family":"Pahwa","given":"Rajesh"},{"family":"Driver‐Dunckley","given":"Erika D."},{"family":"Adler","given":"Charles H."},{"family":"Potenza","given":"Marc N."},{"family":"Miyasaki","given":"Janis"},{"family":"Siderowf","given":"Andrew D."},{"family":"Duda","given":"John E."},{"family":"Hurtig","given":"Howard I."},{"family":"Colcher","given":"Amy"},{"family":"Horn","given":"Stacy S."},{"family":"Stern","given":"Matthew B."},{"family":"Voon","given":"Valerie"}],"issued":{"date-parts":[["2009"]]}}}],"schema":"https://github.com/citation-style-language/schema/raw/master/csl-citation.json"} </w:instrText>
      </w:r>
      <w:r w:rsidR="00666B81"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48</w:t>
      </w:r>
      <w:r w:rsidR="00666B81" w:rsidRPr="000E79AA">
        <w:rPr>
          <w:rFonts w:ascii="Times New Roman" w:hAnsi="Times New Roman" w:cs="Times New Roman"/>
          <w:lang w:val="en-AU"/>
        </w:rPr>
        <w:fldChar w:fldCharType="end"/>
      </w:r>
      <w:r w:rsidRPr="000E79AA">
        <w:rPr>
          <w:rFonts w:ascii="Times New Roman" w:hAnsi="Times New Roman" w:cs="Times New Roman"/>
          <w:lang w:val="en-AU"/>
        </w:rPr>
        <w:t xml:space="preserve"> Levodopa equivalent </w:t>
      </w:r>
      <w:r w:rsidR="00D41916" w:rsidRPr="000E79AA">
        <w:rPr>
          <w:rFonts w:ascii="Times New Roman" w:hAnsi="Times New Roman" w:cs="Times New Roman"/>
          <w:lang w:val="en-AU"/>
        </w:rPr>
        <w:t xml:space="preserve">daily </w:t>
      </w:r>
      <w:r w:rsidRPr="000E79AA">
        <w:rPr>
          <w:rFonts w:ascii="Times New Roman" w:hAnsi="Times New Roman" w:cs="Times New Roman"/>
          <w:lang w:val="en-AU"/>
        </w:rPr>
        <w:t>dose (LE</w:t>
      </w:r>
      <w:r w:rsidR="00D41916" w:rsidRPr="000E79AA">
        <w:rPr>
          <w:rFonts w:ascii="Times New Roman" w:hAnsi="Times New Roman" w:cs="Times New Roman"/>
          <w:lang w:val="en-AU"/>
        </w:rPr>
        <w:t>D</w:t>
      </w:r>
      <w:r w:rsidRPr="000E79AA">
        <w:rPr>
          <w:rFonts w:ascii="Times New Roman" w:hAnsi="Times New Roman" w:cs="Times New Roman"/>
          <w:lang w:val="en-AU"/>
        </w:rPr>
        <w:t>D) scores were calculated</w:t>
      </w:r>
      <w:r w:rsidR="00705AD6" w:rsidRPr="000E79AA">
        <w:rPr>
          <w:rFonts w:ascii="Times New Roman" w:hAnsi="Times New Roman" w:cs="Times New Roman"/>
          <w:lang w:val="en-AU"/>
        </w:rPr>
        <w:t>.</w:t>
      </w:r>
      <w:r w:rsidR="00563711"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{"citationID":"ao8im6sbjv","properties":{"formattedCitation":"\\super 49\\nosupersub{}","plainCitation":"49","noteIndex":0},"citationItems":[{"id":10267,"uris":["http://zotero.org/users/local/xUwQuTPV/items/EAJWLLES"],"uri":["http://zotero.org/users/local/xUwQuTPV/items/EAJWLLES"],"itemData":{"id":10267,"type":"article-journal","container-title":"Movement Disorders","DOI":"10.1002/mds.23429","issue":"15","journalAbbreviation":"Mov Disord.","language":"English","page":"2649-2653","title":"Systematic review of levodopa dose equivalency reporting in Parkinson's disease","title-short":"Systematic Review of LED Reporting in PD","volume":"25","author":[{"family":"Tomlinson","given":"Claire L."},{"family":"Stowe","given":"Rebecca"},{"family":"Patel","given":"Smitaa"},{"family":"Rick","given":"Caroline"},{"family":"Gray","given":"Richard"},{"family":"Clarke","given":"Carl E."}],"issued":{"date-parts":[["2010",11,10]]}}}],"schema":"https://github.com/citation-style-language/schema/raw/master/csl-citation.json"} </w:instrText>
      </w:r>
      <w:r w:rsidR="00563711"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49</w:t>
      </w:r>
      <w:r w:rsidR="00563711" w:rsidRPr="000E79AA">
        <w:rPr>
          <w:rFonts w:ascii="Times New Roman" w:hAnsi="Times New Roman" w:cs="Times New Roman"/>
          <w:lang w:val="en-AU"/>
        </w:rPr>
        <w:fldChar w:fldCharType="end"/>
      </w:r>
      <w:r w:rsidR="002348D0" w:rsidRPr="000E79AA">
        <w:rPr>
          <w:rFonts w:ascii="Times New Roman" w:hAnsi="Times New Roman" w:cs="Times New Roman"/>
          <w:lang w:val="en-AU"/>
        </w:rPr>
        <w:t xml:space="preserve"> </w:t>
      </w:r>
      <w:r w:rsidRPr="000E79AA">
        <w:rPr>
          <w:rFonts w:ascii="Times New Roman" w:hAnsi="Times New Roman" w:cs="Times New Roman"/>
          <w:lang w:val="en-AU"/>
        </w:rPr>
        <w:t>Twenty-six age-</w:t>
      </w:r>
      <w:r w:rsidR="002348D0" w:rsidRPr="000E79AA">
        <w:rPr>
          <w:rFonts w:ascii="Times New Roman" w:hAnsi="Times New Roman" w:cs="Times New Roman"/>
          <w:lang w:val="en-AU"/>
        </w:rPr>
        <w:t>, sex-</w:t>
      </w:r>
      <w:r w:rsidRPr="000E79AA">
        <w:rPr>
          <w:rFonts w:ascii="Times New Roman" w:hAnsi="Times New Roman" w:cs="Times New Roman"/>
          <w:lang w:val="en-AU"/>
        </w:rPr>
        <w:t xml:space="preserve"> and education matched healthy controls were recruited from local volunteer panels. Control participants were screened for a history of neurological or psychiatric disorders, and no controls were using psychoactive medications.</w:t>
      </w:r>
      <w:r w:rsidR="00EA628A" w:rsidRPr="000E79AA">
        <w:rPr>
          <w:rFonts w:ascii="Times New Roman" w:hAnsi="Times New Roman" w:cs="Times New Roman"/>
          <w:lang w:val="en-AU"/>
        </w:rPr>
        <w:t xml:space="preserve"> </w:t>
      </w:r>
      <w:r w:rsidRPr="000E79AA">
        <w:rPr>
          <w:rFonts w:ascii="Times New Roman" w:hAnsi="Times New Roman" w:cs="Times New Roman"/>
          <w:lang w:val="en-AU"/>
        </w:rPr>
        <w:t xml:space="preserve">The study was approved by the local Ethics Committees and all participants provided </w:t>
      </w:r>
      <w:r w:rsidR="00EA01CD" w:rsidRPr="000E79AA">
        <w:rPr>
          <w:rFonts w:ascii="Times New Roman" w:hAnsi="Times New Roman" w:cs="Times New Roman"/>
          <w:lang w:val="en-AU"/>
        </w:rPr>
        <w:t xml:space="preserve">written </w:t>
      </w:r>
      <w:r w:rsidRPr="000E79AA">
        <w:rPr>
          <w:rFonts w:ascii="Times New Roman" w:hAnsi="Times New Roman" w:cs="Times New Roman"/>
          <w:lang w:val="en-AU"/>
        </w:rPr>
        <w:t>informed consent</w:t>
      </w:r>
      <w:r w:rsidR="008C63DA" w:rsidRPr="000E79AA">
        <w:rPr>
          <w:rFonts w:ascii="Times New Roman" w:hAnsi="Times New Roman" w:cs="Times New Roman"/>
          <w:lang w:val="en-AU"/>
        </w:rPr>
        <w:t xml:space="preserve"> according to the Declaration of Helsinki</w:t>
      </w:r>
      <w:r w:rsidRPr="000E79AA">
        <w:rPr>
          <w:rFonts w:ascii="Times New Roman" w:hAnsi="Times New Roman" w:cs="Times New Roman"/>
          <w:lang w:val="en-AU"/>
        </w:rPr>
        <w:t>. Demographic details and clinical characteristics are provided in Table 1</w:t>
      </w:r>
      <w:r w:rsidR="00F236AB" w:rsidRPr="000E79AA">
        <w:rPr>
          <w:rFonts w:ascii="Times New Roman" w:hAnsi="Times New Roman" w:cs="Times New Roman"/>
          <w:lang w:val="en-AU"/>
        </w:rPr>
        <w:t xml:space="preserve"> and the Supplementary Material</w:t>
      </w:r>
      <w:r w:rsidRPr="000E79AA">
        <w:rPr>
          <w:rFonts w:ascii="Times New Roman" w:hAnsi="Times New Roman" w:cs="Times New Roman"/>
          <w:lang w:val="en-AU"/>
        </w:rPr>
        <w:t>.</w:t>
      </w:r>
    </w:p>
    <w:p w14:paraId="6B5374AF" w14:textId="77777777" w:rsidR="007F1663" w:rsidRPr="000E79AA" w:rsidRDefault="007F1663" w:rsidP="004E671C">
      <w:pPr>
        <w:spacing w:line="360" w:lineRule="auto"/>
        <w:jc w:val="both"/>
        <w:rPr>
          <w:rFonts w:ascii="Times New Roman" w:hAnsi="Times New Roman" w:cs="Times New Roman"/>
          <w:lang w:val="en-AU"/>
        </w:rPr>
      </w:pPr>
    </w:p>
    <w:p w14:paraId="7BB05229" w14:textId="77777777" w:rsidR="007F1663" w:rsidRPr="000E79AA" w:rsidRDefault="007F1663"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Study procedure</w:t>
      </w:r>
    </w:p>
    <w:p w14:paraId="364CE103" w14:textId="04BEC81E" w:rsidR="00416D7C" w:rsidRPr="000E79AA" w:rsidRDefault="00416D7C"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Participants </w:t>
      </w:r>
      <w:r w:rsidR="007F1663" w:rsidRPr="000E79AA">
        <w:rPr>
          <w:rFonts w:ascii="Times New Roman" w:hAnsi="Times New Roman" w:cs="Times New Roman"/>
          <w:lang w:val="en-AU"/>
        </w:rPr>
        <w:t>with P</w:t>
      </w:r>
      <w:r w:rsidR="00E90F47" w:rsidRPr="000E79AA">
        <w:rPr>
          <w:rFonts w:ascii="Times New Roman" w:hAnsi="Times New Roman" w:cs="Times New Roman"/>
          <w:lang w:val="en-AU"/>
        </w:rPr>
        <w:t>arkinson’s disease</w:t>
      </w:r>
      <w:r w:rsidR="007F1663" w:rsidRPr="000E79AA">
        <w:rPr>
          <w:rFonts w:ascii="Times New Roman" w:hAnsi="Times New Roman" w:cs="Times New Roman"/>
          <w:lang w:val="en-AU"/>
        </w:rPr>
        <w:t xml:space="preserve"> were tested </w:t>
      </w:r>
      <w:r w:rsidR="00E22877" w:rsidRPr="000E79AA">
        <w:rPr>
          <w:rFonts w:ascii="Times New Roman" w:hAnsi="Times New Roman" w:cs="Times New Roman"/>
          <w:lang w:val="en-AU"/>
        </w:rPr>
        <w:t>across</w:t>
      </w:r>
      <w:r w:rsidR="007F1663" w:rsidRPr="000E79AA">
        <w:rPr>
          <w:rFonts w:ascii="Times New Roman" w:hAnsi="Times New Roman" w:cs="Times New Roman"/>
          <w:lang w:val="en-AU"/>
        </w:rPr>
        <w:t xml:space="preserve"> three sessions. Firstly, they</w:t>
      </w:r>
      <w:r w:rsidR="00AB30C1" w:rsidRPr="000E79AA">
        <w:rPr>
          <w:rFonts w:ascii="Times New Roman" w:hAnsi="Times New Roman" w:cs="Times New Roman"/>
          <w:lang w:val="en-AU"/>
        </w:rPr>
        <w:t xml:space="preserve"> underwent</w:t>
      </w:r>
      <w:r w:rsidR="007F1663" w:rsidRPr="000E79AA">
        <w:rPr>
          <w:rFonts w:ascii="Times New Roman" w:hAnsi="Times New Roman" w:cs="Times New Roman"/>
          <w:lang w:val="en-AU"/>
        </w:rPr>
        <w:t xml:space="preserve"> MRI scanning and clinical assessment</w:t>
      </w:r>
      <w:r w:rsidR="00E22877" w:rsidRPr="000E79AA">
        <w:rPr>
          <w:rFonts w:ascii="Times New Roman" w:hAnsi="Times New Roman" w:cs="Times New Roman"/>
          <w:lang w:val="en-AU"/>
        </w:rPr>
        <w:t xml:space="preserve">, including the </w:t>
      </w:r>
      <w:r w:rsidR="007F1663" w:rsidRPr="000E79AA">
        <w:rPr>
          <w:rFonts w:ascii="Times New Roman" w:hAnsi="Times New Roman" w:cs="Times New Roman"/>
          <w:lang w:val="en-AU"/>
        </w:rPr>
        <w:t xml:space="preserve">Movement Disorders </w:t>
      </w:r>
      <w:r w:rsidRPr="000E79AA">
        <w:rPr>
          <w:rFonts w:ascii="Times New Roman" w:hAnsi="Times New Roman" w:cs="Times New Roman"/>
          <w:lang w:val="en-AU"/>
        </w:rPr>
        <w:t xml:space="preserve">Society </w:t>
      </w:r>
      <w:r w:rsidR="007F1663" w:rsidRPr="000E79AA">
        <w:rPr>
          <w:rFonts w:ascii="Times New Roman" w:hAnsi="Times New Roman" w:cs="Times New Roman"/>
          <w:lang w:val="en-AU"/>
        </w:rPr>
        <w:t>Unified Parkinson’s Disease Rating Scale</w:t>
      </w:r>
      <w:r w:rsidR="00741151" w:rsidRPr="000E79AA">
        <w:rPr>
          <w:rFonts w:ascii="Times New Roman" w:hAnsi="Times New Roman" w:cs="Times New Roman"/>
          <w:lang w:val="en-AU"/>
        </w:rPr>
        <w:t xml:space="preserve"> (MDS-UPDRS</w:t>
      </w:r>
      <w:r w:rsidR="00705AD6" w:rsidRPr="000E79AA">
        <w:rPr>
          <w:rFonts w:ascii="Times New Roman" w:hAnsi="Times New Roman" w:cs="Times New Roman"/>
          <w:lang w:val="en-AU"/>
        </w:rPr>
        <w:t>)</w:t>
      </w:r>
      <w:r w:rsidR="00737986"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{"citationID":"a2kcecgkl8r","properties":{"formattedCitation":"\\super 50\\nosupersub{}","plainCitation":"50","noteIndex":0},"citationItems":[{"id":12162,"uris":["http://zotero.org/users/local/xUwQuTPV/items/9JV33IP3"],"uri":["http://zotero.org/users/local/xUwQuTPV/items/9JV33IP3"],"itemData":{"id":12162,"type":"article-journal","abstract":"We present a clinimetric assessment of the Movement Disorder Society (MDS)-sponsored revision of the Unified Parkinson's Disease Rating Scale (MDS-UPDRS). The MDS-UDPRS Task Force revised and expanded the UPDRS using recommendations from a published critique. The MDS-UPDRS has four parts, namely, I: Non-motor Experiences of Daily Living; II: Motor Experiences of Daily Living; III: Motor Examination; IV: Motor Complications. Twenty questions are completed by the patient/caregiver. Item-specific instructions and an appendix of complementary additional scales are provided. Movement disorder specialists and study coordinators administered the UPDRS (55 items) and MDS-UPDRS (65 items) to 877 English speaking (78% non-Latino Caucasian) patients with Parkinson's disease from 39 sites. We compared the two scales using correlative techniques and factor analysis. The MDS-UPDRS showed high internal consistency (Cronbach's alpha = 0.79–0.93 across parts) and correlated with the original UPDRS (ρ = 0.96). MDS-UPDRS across-part correlations ranged from 0.22 to 0.66. Reliable factor structures for each part were obtained (comparative fit index &gt; 0.90 for each part), which support the use of sum scores for each part in preference to a total score of all parts. The combined clinimetric results of this study support the validity of the MDS-UPDRS for rating PD. © 2008 Movement Disorder Society","container-title":"Movement Disorders","DOI":"10.1002/mds.22340","ISSN":"1531-8257","issue":"15","language":"en","note":"_eprint: https://onlinelibrary.wiley.com/doi/pdf/10.1002/mds.22340","page":"2129-2170","source":"Wiley Online Library","title":"Movement Disorder Society-sponsored revision of the Unified Parkinson's Disease Rating Scale (MDS-UPDRS): Scale presentation and clinimetric testing results","title-short":"Movement Disorder Society-sponsored revision of the Unified Parkinson's Disease Rating Scale (MDS-UPDRS)","volume":"23","author":[{"family":"Goetz","given":"Christopher G."},{"family":"Tilley","given":"Barbara C."},{"family":"Shaftman","given":"Stephanie R."},{"family":"Stebbins","given":"Glenn T."},{"family":"Fahn","given":"Stanley"},{"family":"Martinez‐Martin","given":"Pablo"},{"family":"Poewe","given":"Werner"},{"family":"Sampaio","given":"Cristina"},{"family":"Stern","given":"Matthew B."},{"family":"Dodel","given":"Richard"},{"family":"Dubois","given":"Bruno"},{"family":"Holloway","given":"Robert"},{"family":"Jankovic","given":"Joseph"},{"family":"Kulisevsky","given":"Jaime"},{"family":"Lang","given":"Anthony E."},{"family":"Lees","given":"Andrew"},{"family":"Leurgans","given":"Sue"},{"family":"LeWitt","given":"Peter A."},{"family":"Nyenhuis","given":"David"},{"family":"Olanow","given":"C. Warren"},{"family":"Rascol","given":"Olivier"},{"family":"Schrag","given":"Anette"},{"family":"Teresi","given":"Jeanne A."},{"family":"Hilten","given":"Jacobus J.","dropping-particle":"van"},{"family":"LaPelle","given":"Nancy"}],"issued":{"date-parts":[["2008"]]}}}],"schema":"https://github.com/citation-style-language/schema/raw/master/csl-citation.json"} </w:instrText>
      </w:r>
      <w:r w:rsidR="00737986"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50</w:t>
      </w:r>
      <w:r w:rsidR="00737986" w:rsidRPr="000E79AA">
        <w:rPr>
          <w:rFonts w:ascii="Times New Roman" w:hAnsi="Times New Roman" w:cs="Times New Roman"/>
          <w:lang w:val="en-AU"/>
        </w:rPr>
        <w:fldChar w:fldCharType="end"/>
      </w:r>
      <w:r w:rsidR="00E22877" w:rsidRPr="000E79AA">
        <w:rPr>
          <w:rFonts w:ascii="Times New Roman" w:hAnsi="Times New Roman" w:cs="Times New Roman"/>
          <w:lang w:val="en-AU"/>
        </w:rPr>
        <w:t xml:space="preserve">, </w:t>
      </w:r>
      <w:r w:rsidR="007F1663" w:rsidRPr="000E79AA">
        <w:rPr>
          <w:rFonts w:ascii="Times New Roman" w:hAnsi="Times New Roman" w:cs="Times New Roman"/>
          <w:lang w:val="en-AU"/>
        </w:rPr>
        <w:t>mini-mental state examination</w:t>
      </w:r>
      <w:r w:rsidR="00652052" w:rsidRPr="000E79AA">
        <w:rPr>
          <w:rFonts w:ascii="Times New Roman" w:hAnsi="Times New Roman" w:cs="Times New Roman"/>
          <w:lang w:val="en-AU"/>
        </w:rPr>
        <w:t xml:space="preserve"> (MMSE</w:t>
      </w:r>
      <w:r w:rsidR="00741151" w:rsidRPr="000E79AA">
        <w:rPr>
          <w:rFonts w:ascii="Times New Roman" w:hAnsi="Times New Roman" w:cs="Times New Roman"/>
          <w:lang w:val="en-AU"/>
        </w:rPr>
        <w:t>)</w:t>
      </w:r>
      <w:r w:rsidR="00E22877" w:rsidRPr="000E79AA">
        <w:rPr>
          <w:rFonts w:ascii="Times New Roman" w:hAnsi="Times New Roman" w:cs="Times New Roman"/>
          <w:lang w:val="en-AU"/>
        </w:rPr>
        <w:t xml:space="preserve">, </w:t>
      </w:r>
      <w:r w:rsidR="007F1663" w:rsidRPr="000E79AA">
        <w:rPr>
          <w:rFonts w:ascii="Times New Roman" w:hAnsi="Times New Roman" w:cs="Times New Roman"/>
          <w:lang w:val="en-AU"/>
        </w:rPr>
        <w:t xml:space="preserve">Montreal cognitive assessment </w:t>
      </w:r>
      <w:r w:rsidR="00652052" w:rsidRPr="000E79AA">
        <w:rPr>
          <w:rFonts w:ascii="Times New Roman" w:hAnsi="Times New Roman" w:cs="Times New Roman"/>
          <w:lang w:val="en-AU"/>
        </w:rPr>
        <w:t>(MoCA</w:t>
      </w:r>
      <w:r w:rsidR="00705AD6" w:rsidRPr="000E79AA">
        <w:rPr>
          <w:rFonts w:ascii="Times New Roman" w:hAnsi="Times New Roman" w:cs="Times New Roman"/>
          <w:lang w:val="en-AU"/>
        </w:rPr>
        <w:t>)</w:t>
      </w:r>
      <w:r w:rsidR="007F43CC"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{"citationID":"a1pbftucslb","properties":{"formattedCitation":"\\super 51\\nosupersub{}","plainCitation":"51","noteIndex":0},"citationItems":[{"id":12167,"uris":["http://zotero.org/users/local/xUwQuTPV/items/Y3RA5V36"],"uri":["http://zotero.org/users/local/xUwQuTPV/items/Y3RA5V36"],"itemData":{"id":12167,"type":"article-journal","abstract":"Objectives: To develop a 10-minute cognitive screening tool (Montreal Cognitive Assessment, MoCA) to assist first-line physicians in detection of mild cognitive impairment (MCI), a clinical state that often progresses to dementia. Design: Validation study. Setting: A community clinic and an academic center. Participants: Ninety-four patients meeting MCI clinical criteria supported by psychometric measures, 93 patients with mild Alzheimer's disease (AD) (Mini-Mental State Examination (MMSE) score≥17), and 90 healthy elderly controls (NC). Measurements: The MoCA and MMSE were administered to all participants, and sensitivity and specificity of both measures were assessed for detection of MCI and mild AD. Results: Using a cutoff score 26, the MMSE had a sensitivity of 18% to detect MCI, whereas the MoCA detected 90% of MCI subjects. In the mild AD group, the MMSE had a sensitivity of 78%, whereas the MoCA detected 100%. Specificity was excellent for both MMSE and MoCA (100% and 87%, respectively). Conclusion: MCI as an entity is evolving and somewhat controversial. The MoCA is a brief cognitive screening tool with high sensitivity and specificity for detecting MCI as currently conceptualized in patients performing in the normal range on the MMSE.","container-title":"Journal of the American Geriatrics Society","DOI":"10.1111/j.1532-5415.2005.53221.x","ISSN":"1532-5415","issue":"4","language":"en","note":"_eprint: https://onlinelibrary.wiley.com/doi/pdf/10.1111/j.1532-5415.2005.53221.x","page":"695-699","source":"Wiley Online Library","title":"The Montreal Cognitive Assessment, MoCA: A Brief Screening Tool For Mild Cognitive Impairment","title-short":"The Montreal Cognitive Assessment, MoCA","volume":"53","author":[{"family":"Nasreddine","given":"Ziad S."},{"family":"Phillips","given":"Natalie A."},{"family":"Bédirian","given":"Valérie"},{"family":"Charbonneau","given":"Simon"},{"family":"Whitehead","given":"Victor"},{"family":"Collin","given":"Isabelle"},{"family":"Cummings","given":"Jeffrey L."},{"family":"Chertkow","given":"Howard"}],"issued":{"date-parts":[["2005"]]}}}],"schema":"https://github.com/citation-style-language/schema/raw/master/csl-citation.json"} </w:instrText>
      </w:r>
      <w:r w:rsidR="007F43CC"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51</w:t>
      </w:r>
      <w:r w:rsidR="007F43CC" w:rsidRPr="000E79AA">
        <w:rPr>
          <w:rFonts w:ascii="Times New Roman" w:hAnsi="Times New Roman" w:cs="Times New Roman"/>
          <w:lang w:val="en-AU"/>
        </w:rPr>
        <w:fldChar w:fldCharType="end"/>
      </w:r>
      <w:r w:rsidR="00652052" w:rsidRPr="000E79AA">
        <w:rPr>
          <w:rFonts w:ascii="Times New Roman" w:hAnsi="Times New Roman" w:cs="Times New Roman"/>
          <w:lang w:val="en-AU"/>
        </w:rPr>
        <w:t xml:space="preserve"> </w:t>
      </w:r>
      <w:r w:rsidR="007F1663" w:rsidRPr="000E79AA">
        <w:rPr>
          <w:rFonts w:ascii="Times New Roman" w:hAnsi="Times New Roman" w:cs="Times New Roman"/>
          <w:lang w:val="en-AU"/>
        </w:rPr>
        <w:t xml:space="preserve">and the </w:t>
      </w:r>
      <w:r w:rsidRPr="000E79AA">
        <w:rPr>
          <w:rFonts w:ascii="Times New Roman" w:hAnsi="Times New Roman" w:cs="Times New Roman"/>
          <w:lang w:val="en-AU"/>
        </w:rPr>
        <w:t xml:space="preserve">revised </w:t>
      </w:r>
      <w:r w:rsidR="007F1663" w:rsidRPr="000E79AA">
        <w:rPr>
          <w:rFonts w:ascii="Times New Roman" w:hAnsi="Times New Roman" w:cs="Times New Roman"/>
          <w:lang w:val="en-AU"/>
        </w:rPr>
        <w:t>Addenbrooke’s cognitive examination</w:t>
      </w:r>
      <w:r w:rsidRPr="000E79AA">
        <w:rPr>
          <w:rFonts w:ascii="Times New Roman" w:hAnsi="Times New Roman" w:cs="Times New Roman"/>
          <w:lang w:val="en-AU"/>
        </w:rPr>
        <w:t xml:space="preserve"> (</w:t>
      </w:r>
      <w:r w:rsidR="00652052" w:rsidRPr="000E79AA">
        <w:rPr>
          <w:rFonts w:ascii="Times New Roman" w:hAnsi="Times New Roman" w:cs="Times New Roman"/>
          <w:lang w:val="en-AU"/>
        </w:rPr>
        <w:t>ACE-R</w:t>
      </w:r>
      <w:r w:rsidR="00705AD6" w:rsidRPr="000E79AA">
        <w:rPr>
          <w:rFonts w:ascii="Times New Roman" w:hAnsi="Times New Roman" w:cs="Times New Roman"/>
          <w:lang w:val="en-AU"/>
        </w:rPr>
        <w:t>)</w:t>
      </w:r>
      <w:r w:rsidR="00620C1C"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{"citationID":"ael5mf0cg3","properties":{"formattedCitation":"\\super 52\\nosupersub{}","plainCitation":"52","noteIndex":0},"citationItems":[{"id":12170,"uris":["http://zotero.org/users/local/xUwQuTPV/items/XCJI3VLM"],"uri":["http://zotero.org/users/local/xUwQuTPV/items/XCJI3VLM"],"itemData":{"id":12170,"type":"article-journal","abstract":"There is a clear need for brief, but sensitive and specific, cognitive screening instruments as evidenced by the popularity of the Addenbrooke's Cognitive Examination (ACE). Objectives We aimed to validate an improved revision (the ACE-R) which incorporates five sub-domain scores (orientation/attention, memory, verbal fluency, language and visuo-spatial). Methods Standard tests for evaluating dementia screening tests were applied. A total of 241 subjects participated in this study (Alzheimer's disease = 67, frontotemporal dementia = 55, dementia of Lewy Bodies = 20; mild cognitive impairment–MCI = 36; controls = 63). Results Reliability of the ACE-R was very good (alpha coefficient = 0.8). Correlation with the Clinical Dementia Scale was significant (r = −0.321, p &lt; 0.001). Two cut-offs were defined (88: sensitivity = 0.94, specificity = 0.89; 82: sensitivity = 0.84, specificity = 1.0). Likelihood ratios of dementia were generated for scores between 88 and 82: at a cut-off of 82 the likelihood of dementia is 100:1. A comparison of individual age and education matched groups of MCI, AD and controls placed the MCI group performance between controls and AD and revealed MCI patients to be impaired in areas other than memory (attention/orientation, verbal fluency and language). Conclusions The ACE-R accomplishes standards of a valid dementia screening test, sensitive to early cognitive dysfunction. Copyright © 2006 John Wiley &amp; Sons, Ltd.","container-title":"International Journal of Geriatric Psychiatry","DOI":"10.1002/gps.1610","ISSN":"1099-1166","issue":"11","language":"en","note":"_eprint: https://onlinelibrary.wiley.com/doi/pdf/10.1002/gps.1610","page":"1078-1085","source":"Wiley Online Library","title":"The Addenbrooke's Cognitive Examination Revised (ACE-R): a brief cognitive test battery for dementia screening","title-short":"The Addenbrooke's Cognitive Examination Revised (ACE-R)","volume":"21","author":[{"family":"Mioshi","given":"Eneida"},{"family":"Dawson","given":"Kate"},{"family":"Mitchell","given":"Joanna"},{"family":"Arnold","given":"Robert"},{"family":"Hodges","given":"John R."}],"issued":{"date-parts":[["2006"]]}}}],"schema":"https://github.com/citation-style-language/schema/raw/master/csl-citation.json"} </w:instrText>
      </w:r>
      <w:r w:rsidR="00620C1C"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52</w:t>
      </w:r>
      <w:r w:rsidR="00620C1C" w:rsidRPr="000E79AA">
        <w:rPr>
          <w:rFonts w:ascii="Times New Roman" w:hAnsi="Times New Roman" w:cs="Times New Roman"/>
          <w:lang w:val="en-AU"/>
        </w:rPr>
        <w:fldChar w:fldCharType="end"/>
      </w:r>
      <w:r w:rsidR="007F1663" w:rsidRPr="000E79AA">
        <w:rPr>
          <w:rFonts w:ascii="Times New Roman" w:hAnsi="Times New Roman" w:cs="Times New Roman"/>
          <w:lang w:val="en-AU"/>
        </w:rPr>
        <w:t>.</w:t>
      </w:r>
      <w:r w:rsidR="00E22877" w:rsidRPr="000E79AA">
        <w:rPr>
          <w:rFonts w:ascii="Times New Roman" w:hAnsi="Times New Roman" w:cs="Times New Roman"/>
          <w:lang w:val="en-AU"/>
        </w:rPr>
        <w:t xml:space="preserve"> </w:t>
      </w:r>
    </w:p>
    <w:p w14:paraId="3E60FC24" w14:textId="77777777" w:rsidR="00416D7C" w:rsidRPr="000E79AA" w:rsidRDefault="00416D7C" w:rsidP="004E671C">
      <w:pPr>
        <w:spacing w:line="360" w:lineRule="auto"/>
        <w:jc w:val="both"/>
        <w:rPr>
          <w:rFonts w:ascii="Times New Roman" w:hAnsi="Times New Roman" w:cs="Times New Roman"/>
          <w:lang w:val="en-AU"/>
        </w:rPr>
      </w:pPr>
    </w:p>
    <w:p w14:paraId="29B5D8EE" w14:textId="5F24E0A8" w:rsidR="007F1663" w:rsidRPr="000E79AA" w:rsidRDefault="007F1663"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On the second and third sessions, patients completed a double-blind randomised placebo-controlled crossover study</w:t>
      </w:r>
      <w:r w:rsidR="00B04B7C" w:rsidRPr="000E79AA">
        <w:rPr>
          <w:rFonts w:ascii="Times New Roman" w:hAnsi="Times New Roman" w:cs="Times New Roman"/>
          <w:lang w:val="en-AU"/>
        </w:rPr>
        <w:t>,</w:t>
      </w:r>
      <w:r w:rsidRPr="000E79AA">
        <w:rPr>
          <w:rFonts w:ascii="Times New Roman" w:hAnsi="Times New Roman" w:cs="Times New Roman"/>
          <w:lang w:val="en-AU"/>
        </w:rPr>
        <w:t xml:space="preserve"> </w:t>
      </w:r>
      <w:r w:rsidR="00416D7C" w:rsidRPr="000E79AA">
        <w:rPr>
          <w:rFonts w:ascii="Times New Roman" w:hAnsi="Times New Roman" w:cs="Times New Roman"/>
          <w:lang w:val="en-AU"/>
        </w:rPr>
        <w:t>with</w:t>
      </w:r>
      <w:r w:rsidRPr="000E79AA">
        <w:rPr>
          <w:rFonts w:ascii="Times New Roman" w:hAnsi="Times New Roman" w:cs="Times New Roman"/>
          <w:lang w:val="en-AU"/>
        </w:rPr>
        <w:t xml:space="preserve"> 40 mg </w:t>
      </w:r>
      <w:r w:rsidR="00F70C48" w:rsidRPr="000E79AA">
        <w:rPr>
          <w:rFonts w:ascii="Times New Roman" w:hAnsi="Times New Roman" w:cs="Times New Roman"/>
          <w:lang w:val="en-AU"/>
        </w:rPr>
        <w:t xml:space="preserve">of </w:t>
      </w:r>
      <w:r w:rsidRPr="000E79AA">
        <w:rPr>
          <w:rFonts w:ascii="Times New Roman" w:hAnsi="Times New Roman" w:cs="Times New Roman"/>
          <w:lang w:val="en-AU"/>
        </w:rPr>
        <w:t xml:space="preserve">oral atomoxetine </w:t>
      </w:r>
      <w:r w:rsidR="00416D7C" w:rsidRPr="000E79AA">
        <w:rPr>
          <w:rFonts w:ascii="Times New Roman" w:hAnsi="Times New Roman" w:cs="Times New Roman"/>
          <w:lang w:val="en-AU"/>
        </w:rPr>
        <w:t>or</w:t>
      </w:r>
      <w:r w:rsidRPr="000E79AA">
        <w:rPr>
          <w:rFonts w:ascii="Times New Roman" w:hAnsi="Times New Roman" w:cs="Times New Roman"/>
          <w:lang w:val="en-AU"/>
        </w:rPr>
        <w:t xml:space="preserve"> placebo</w:t>
      </w:r>
      <w:r w:rsidR="00FF420E" w:rsidRPr="000E79AA">
        <w:rPr>
          <w:rFonts w:ascii="Times New Roman" w:hAnsi="Times New Roman" w:cs="Times New Roman"/>
          <w:lang w:val="en-AU"/>
        </w:rPr>
        <w:t xml:space="preserve">. </w:t>
      </w:r>
      <w:r w:rsidR="007F0F16" w:rsidRPr="000E79AA">
        <w:rPr>
          <w:rFonts w:ascii="Times New Roman" w:hAnsi="Times New Roman" w:cs="Times New Roman"/>
          <w:lang w:val="en-AU"/>
        </w:rPr>
        <w:t>Atomoxetine 40 mg was chosen as this is at the lower end of the clinical dose range and very well tolerated</w:t>
      </w:r>
      <w:r w:rsidR="003B4C4B" w:rsidRPr="000E79AA">
        <w:rPr>
          <w:rFonts w:ascii="Times New Roman" w:hAnsi="Times New Roman" w:cs="Times New Roman"/>
          <w:lang w:val="en-AU"/>
        </w:rPr>
        <w:t>,</w:t>
      </w:r>
      <w:r w:rsidR="00A55BD4"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{"citationID":"a10g9i3t8rp","properties":{"formattedCitation":"\\super 53,54\\nosupersub{}","plainCitation":"53,54","noteIndex":0},"citationItems":[{"id":1358,"uris":["http://zotero.org/users/local/xUwQuTPV/items/PEVYYMGR"],"uri":["http://zotero.org/users/local/xUwQuTPV/items/PEVYYMGR"],"itemData":{"id":1358,"type":"article-journal","abstract":"OBJECTIVES:Depression and antidepressant use, especially selective serotonin reuptake inhibitors (SSRIs), are common in Parkinson disease (PD). The objective of this clinical trial was to assess the efficacy of atomoxetine, a selective norepinephrine reuptake inhibitor (SNRI), for the treatment of clinically significant depressive symptoms and common comorbid neuropsychiatric symptoms in PD.METHODS:A total of 55 subjects with PD and an Inventory of Depressive Symptomatology-Clinician (IDS-C) score &amp;gt; or = 22 were randomized to 8 weeks of atomoxetine or placebo treatment (target dosage = 80 mg/day). Depression response (&amp;gt; 50% decrease in IDS-C score or Clinical Global Impression-Improvement [CGI-I] score of 1 or 2) was assessed using intention-to-treat modeling procedures. Secondary outcomes included global cognition, daytime sleepiness, anxiety, apathy, and motor function.RESULTS:There were no between-groups differences in a priori-defined response rates. Using a more liberal response criterion of &amp;gt; 40% decrease in IDS score from baseline, there was a trend (p = 0.08) favoring atomoxetine. Patients receiving atomoxetine experienced significantly greater improvement in global cognition (p = 0.003) and daytime sleepiness (p = 0.001), and atomoxetine was well-tolerated.CONCLUSIONS:Atomoxetine treatment was not efficacious for the treatment of clinically significant depressive symptoms in PD, but was associated with improvement in global cognitive performance and daytime sleepiness. Larger studies of SNRIs in PD for disorders of mood, cognition, and wakefulness are appropriate.CLASSIFICATION OF EVIDENCE:This interventional study provides Class II evidence that atomoxetine (target dosage = 80 mg/day) is not efficacious in improving clinically significant depression in PD.","container-title":"Neurology","DOI":"10.1212/WNL.0b013e3181ebdd79","issue":"5","journalAbbreviation":"Neurology","language":"English","note":"PMCID: PMC2918470","page":"448-455","title":"Atomoxetine for depression and other neuropsychiatric symptoms in Parkinson disease.","volume":"75","author":[{"family":"Weintraub","given":"D."},{"family":"Mavandadi","given":"S."},{"family":"Mamikonyan","given":"E."},{"family":"Siderowf","given":"A. D."},{"family":"Duda","given":"J. E."},{"family":"Hurtig","given":"H. I."},{"family":"Colcher","given":"A."},{"family":"Horn","given":"S. S."},{"family":"Nazem","given":"S."},{"family":"Ten Have","given":"T. R."},{"family":"Stern","given":"M. B."}],"issued":{"date-parts":[["2010",8,3]]}}},{"id":1374,"uris":["http://zotero.org/users/local/xUwQuTPV/items/Q9L36Y23"],"uri":["http://zotero.org/users/local/xUwQuTPV/items/Q9L36Y23"],"itemData":{"id":1374,"type":"article-journal","abstract":"Background:Mild cognitive impairment in Parkinson&amp;apos;s disease (PD-MCI) is associated with diminished norepinephrine from the locus coeruleus to the prefrontal cortex. Atomoxetine is a specific norepinephrine reuptake inhibitor that has been approved by the US Food and Drug Administration to treat attention deficit hyperactivity disorder in adults. The authors hypothesized that atomoxetine would improve attention and executive functioning in patients with PD-MCI.Methods:Thirty participants who met Movement Disorder Society Task Force Level I criteria for PD-MCI were enrolled in a randomized controlled trial of atomoxetine. Cognitive evaluations were performed at baseline and after 10 weeks of treatment or placebo. A safety visit was performed at Week 12. A global statistical test was used to examine treatment effects on standardized tests of attention, working memory, processing speed, and set shifting (primary outcome measure). Secondary outcomes included cognitive measures hypothesized to be insensitive to atomoxetine, the Conners Adult Attention Deficit Hyperactivity Disorder Rating Scale, and safety measures.Results:Fifteen participants were randomized to each arm. Groups were similar on medical and demographic variables and baseline cognition. Three serious adverse events occurred; 2 on atomoxetine (syncope, isolated episode of atrial fibrillation) and 1 on placebo (atrial fibrillation). The global statistical test of primary outcome measures did not reveal a significant difference between groups. However, significant improvements were observed for atomoxetine but not placebo on subjective measures of attention and impulsivity (Conners Adult Attention Deficit Hyperactivity Disorder Rating Scale).Conclusions:Atomoxetine treatment produced subjective, but not objective, improvements in PD-MCI. Failure to detect objective differences may be due to insensitivity of cognitive tests or severity of cognitive deficits in the study participants.","container-title":"Movement Disorders Clinical Practice","DOI":"10.1002/mdc3.12455","issue":"3","journalAbbreviation":"Mov Disord Clin Pract","language":"English","note":"PMCID: PMC6174374","page":"416-423","title":"A Randomized Clinical Trial of Atomoxetine for Mild Cognitive Impairment in Parkinson's Disease.","volume":"4","author":[{"family":"Hinson","given":"Vanessa K."},{"family":"Delambo","given":"Amy"},{"family":"Elm","given":"Jordan"},{"family":"Turner","given":"Travis"}],"issued":{"date-parts":[["2017",5]]}}}],"schema":"https://github.com/citation-style-language/schema/raw/master/csl-citation.json"} </w:instrText>
      </w:r>
      <w:r w:rsidR="00A55BD4"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53,54</w:t>
      </w:r>
      <w:r w:rsidR="00A55BD4" w:rsidRPr="000E79AA">
        <w:rPr>
          <w:rFonts w:ascii="Times New Roman" w:hAnsi="Times New Roman" w:cs="Times New Roman"/>
          <w:lang w:val="en-AU"/>
        </w:rPr>
        <w:fldChar w:fldCharType="end"/>
      </w:r>
      <w:r w:rsidR="007F0F16" w:rsidRPr="000E79AA">
        <w:rPr>
          <w:rFonts w:ascii="Times New Roman" w:hAnsi="Times New Roman" w:cs="Times New Roman"/>
          <w:lang w:val="en-AU"/>
        </w:rPr>
        <w:t xml:space="preserve"> and previous studies have confirmed this dose is sufficient to modulate behaviour and functional brain activation in Parkinson’s disease patients</w:t>
      </w:r>
      <w:r w:rsidR="003B4C4B" w:rsidRPr="000E79AA">
        <w:rPr>
          <w:rFonts w:ascii="Times New Roman" w:hAnsi="Times New Roman" w:cs="Times New Roman"/>
          <w:lang w:val="en-AU"/>
        </w:rPr>
        <w:t>.</w:t>
      </w:r>
      <w:r w:rsidR="00A55BD4"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{"citationID":"a1t7fou6l5h","properties":{"formattedCitation":"\\super 10\\uc0\\u8211{}12\\nosupersub{}","plainCitation":"10–12","noteIndex":0},"citationItems":[{"id":4575,"uris":["http://zotero.org/users/local/xUwQuTPV/items/ESDCSZQE"],"uri":["http://zotero.org/users/local/xUwQuTPV/items/ESDCSZQE"],"itemData":{"id":4575,"type":"article-journal","container-title":"Brain","DOI":"10.1093/brain/awu117","issue":"7","journalAbbreviation":"Brain","language":"English","page":"1986-1997","title":"Targeting impulsivity in Parkinson's disease using atomoxetine","volume":"137","author":[{"family":"Kehagia","given":"A. A."},{"family":"Housden","given":"C. R."},{"family":"Regenthal","given":"R."},{"family":"Barker","given":"R. A."},{"family":"Muller","given":"U."},{"family":"Rowe","given":"J."},{"family":"Sahakian","given":"B. J."},{"family":"Robbins","given":"T. W."}],"issued":{"date-parts":[["2014",6,20]]}}},{"id":4579,"uris":["http://zotero.org/users/local/xUwQuTPV/items/EQ2KR99N"],"uri":["http://zotero.org/users/local/xUwQuTPV/items/EQ2KR99N"],"itemData":{"id":4579,"type":"article-journal","abstract":"Biological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lang w:val="en-AU"/>
        </w:rPr>
        <w:instrText>∼</w:instrText>
      </w:r>
      <w:r w:rsidR="00C868EB" w:rsidRPr="000E79AA">
        <w:rPr>
          <w:rFonts w:ascii="Times New Roman" w:hAnsi="Times New Roman" w:cs="Times New Roman"/>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A55BD4"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10–12</w:t>
      </w:r>
      <w:r w:rsidR="00A55BD4" w:rsidRPr="000E79AA">
        <w:rPr>
          <w:rFonts w:ascii="Times New Roman" w:hAnsi="Times New Roman" w:cs="Times New Roman"/>
          <w:lang w:val="en-AU"/>
        </w:rPr>
        <w:fldChar w:fldCharType="end"/>
      </w:r>
      <w:r w:rsidR="00D80080" w:rsidRPr="000E79AA">
        <w:rPr>
          <w:rFonts w:ascii="Times New Roman" w:hAnsi="Times New Roman" w:cs="Times New Roman"/>
          <w:lang w:val="en-AU"/>
        </w:rPr>
        <w:t xml:space="preserve"> </w:t>
      </w:r>
      <w:r w:rsidR="00416D7C" w:rsidRPr="000E79AA">
        <w:rPr>
          <w:rFonts w:ascii="Times New Roman" w:hAnsi="Times New Roman" w:cs="Times New Roman"/>
          <w:lang w:val="en-AU"/>
        </w:rPr>
        <w:t>Drug/placebo order was randomly permuted in groups of six successive recruits</w:t>
      </w:r>
      <w:r w:rsidR="006347C5" w:rsidRPr="000E79AA">
        <w:rPr>
          <w:rFonts w:ascii="Times New Roman" w:hAnsi="Times New Roman" w:cs="Times New Roman"/>
          <w:lang w:val="en-AU"/>
        </w:rPr>
        <w:t xml:space="preserve">, </w:t>
      </w:r>
      <w:r w:rsidR="000A3402" w:rsidRPr="000E79AA">
        <w:rPr>
          <w:rFonts w:ascii="Times New Roman" w:hAnsi="Times New Roman" w:cs="Times New Roman"/>
          <w:lang w:val="en-AU"/>
        </w:rPr>
        <w:t>that is, we randomised three people to placebo and three to atomoxetine within each successive block of 1-6, 7-12, 13-18, 19-24. This strategy guards against unequal randomisation that can arise if one were to randomise across the entire group</w:t>
      </w:r>
      <w:r w:rsidRPr="000E79AA">
        <w:rPr>
          <w:rFonts w:ascii="Times New Roman" w:hAnsi="Times New Roman" w:cs="Times New Roman"/>
          <w:lang w:val="en-AU"/>
        </w:rPr>
        <w:t xml:space="preserve">. The visits were </w:t>
      </w:r>
      <w:r w:rsidR="00FC51E9" w:rsidRPr="000E79AA">
        <w:rPr>
          <w:rFonts w:ascii="Times New Roman" w:hAnsi="Times New Roman" w:cs="Times New Roman"/>
          <w:lang w:val="en-AU"/>
        </w:rPr>
        <w:t>≥</w:t>
      </w:r>
      <w:r w:rsidR="00A22320" w:rsidRPr="000E79AA">
        <w:rPr>
          <w:rFonts w:ascii="Times New Roman" w:hAnsi="Times New Roman" w:cs="Times New Roman"/>
          <w:lang w:val="en-AU"/>
        </w:rPr>
        <w:t xml:space="preserve"> </w:t>
      </w:r>
      <w:r w:rsidRPr="000E79AA">
        <w:rPr>
          <w:rFonts w:ascii="Times New Roman" w:hAnsi="Times New Roman" w:cs="Times New Roman"/>
          <w:lang w:val="en-AU"/>
        </w:rPr>
        <w:t xml:space="preserve">6 days apart (mean 7.4 days; standard deviation 1.7 days; range 6-14 days). Blood samples were taken two hours after administration of drug/placebo, to coincide with </w:t>
      </w:r>
      <w:r w:rsidR="00F70C48" w:rsidRPr="000E79AA">
        <w:rPr>
          <w:rFonts w:ascii="Times New Roman" w:hAnsi="Times New Roman" w:cs="Times New Roman"/>
          <w:lang w:val="en-AU"/>
        </w:rPr>
        <w:t xml:space="preserve">predicted </w:t>
      </w:r>
      <w:r w:rsidRPr="000E79AA">
        <w:rPr>
          <w:rFonts w:ascii="Times New Roman" w:hAnsi="Times New Roman" w:cs="Times New Roman"/>
          <w:lang w:val="en-AU"/>
        </w:rPr>
        <w:t>peak plasma concentration of atomoxetine after a single oral dose</w:t>
      </w:r>
      <w:r w:rsidR="00EB14B5" w:rsidRPr="000E79AA">
        <w:rPr>
          <w:rFonts w:ascii="Times New Roman" w:hAnsi="Times New Roman" w:cs="Times New Roman"/>
          <w:lang w:val="en-AU"/>
        </w:rPr>
        <w:t>.</w:t>
      </w:r>
      <w:r w:rsidR="0030231F"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{"citationID":"a1e9q667dri","properties":{"formattedCitation":"\\super 55\\nosupersub{}","plainCitation":"55","noteIndex":0},"citationItems":[{"id":1395,"uris":["http://zotero.org/users/local/xUwQuTPV/items/D8C2IY5T"],"uri":["http://zotero.org/users/local/xUwQuTPV/items/D8C2IY5T"],"itemData":{"id":1395,"type":"article-journal","abstract":"Atomoxetine (Strattera, a potent and selective inhibitor of the presynaptic norepinephrine transporter, is used clinically for the treatment of attention-deficit hyperactivity disorder (ADHD) in children, adolescents and adults. Atomoxetine has high aqueous solubility and biological membrane permeability that facilitates its rapid and complete absorption after oral administration. Absolute oral bioavailability ranges from 63 to 94%, which is governed by the extent of its first-pass metabolism. Three oxidative metabolic pathways are involved in the systemic clearance of atomoxetine: aromatic ring-hydroxylation, benzylic hydroxylation and N-demethylation. Aromatic ring-hydroxylation results in the formation of the primary oxidative metabolite of atomoxetine, 4-hydroxyatomoxetine, which is subsequently glucuronidated and excreted in urine. The formation of 4-hydroxyatomoxetine is primarily mediated by the polymorphically expressed enzyme cytochrome P450 (CYP) 2D6. This results in two distinct populations of individuals: those exhibiting active metabolic capabilities (CYP2D6 extensive metabolisers) and those exhibiting poor metabolic capabilities (CYP2D6 poor metabolisers) for atomoxetine. The oral bioavailability and clearance of atomoxetine are influenced by the activity of CYP2D6; nonetheless, plasma pharmacokinetic parameters are predictable in extensive and poor metaboliser patients. After single oral dose, atomoxetine reaches maximum plasma concentration within about 1-2 hours of administration. In extensive metabolisers, atomoxetine has a plasma half-life of 5.2 hours, while in poor metabolisers, atomoxetine has a plasma half-life of 21.6 hours. The systemic plasma clearance of atomoxetine is 0.35 and 0.03 L/h/kg in extensive and poor metabolisers, respectively. Correspondingly, the average steady-state plasma concentrations are approximately 10-fold higher in poor metabolisers compared with extensive metabolisers. Upon multiple dosing there is plasma accumulation of atomoxetine in poor metabolisers, but very little accumulation in extensive metabolisers. The volume of distribution is 0.85 L/kg, indicating that atomoxetine is distributed in total body water in both extensive and poor metabolisers. Atomoxetine is highly bound to plasma albumin (approximately 99% bound in plasma). Although steady-state concentrations of atomoxetine in poor metabolisers are higher than those in extensive metabolisers following administration of the same mg/kg/day dosage, the frequency and severity of adverse events are similar regardless of CYP2D6 phenotype.Atomoxetine administration does not inhibit or induce the clearance of other drugs metabolised by CYP enzymes. In extensive metabolisers, potent and selective CYP2D6 inhibitors reduce atomoxetine clearance; however, administration of CYP inhibitors to poor metabolisers has no effect on the steady-state plasma concentrations of atomoxetine.","container-title":"Clinical pharmacokinetics","DOI":"10.2165/00003088-200544060-00002","issue":"6","journalAbbreviation":"Clin Pharmacokinet","language":"English","page":"571-590","title":"Clinical pharmacokinetics of atomoxetine.","volume":"44","author":[{"family":"Sauer","given":"John-Michael"},{"family":"Ring","given":"Barbara J."},{"family":"Witcher","given":"Jennifer W."}],"issued":{"date-parts":[["2005"]]}}}],"schema":"https://github.com/citation-style-language/schema/raw/master/csl-citation.json"} </w:instrText>
      </w:r>
      <w:r w:rsidR="0030231F"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55</w:t>
      </w:r>
      <w:r w:rsidR="0030231F" w:rsidRPr="000E79AA">
        <w:rPr>
          <w:rFonts w:ascii="Times New Roman" w:hAnsi="Times New Roman" w:cs="Times New Roman"/>
          <w:lang w:val="en-AU"/>
        </w:rPr>
        <w:fldChar w:fldCharType="end"/>
      </w:r>
      <w:r w:rsidR="004E00A3" w:rsidRPr="000E79AA">
        <w:rPr>
          <w:rFonts w:ascii="Times New Roman" w:hAnsi="Times New Roman" w:cs="Times New Roman"/>
          <w:lang w:val="en-AU"/>
        </w:rPr>
        <w:t xml:space="preserve"> Mean </w:t>
      </w:r>
      <w:r w:rsidR="00D41916" w:rsidRPr="000E79AA">
        <w:rPr>
          <w:rFonts w:ascii="Times New Roman" w:hAnsi="Times New Roman" w:cs="Times New Roman"/>
          <w:lang w:val="en-AU"/>
        </w:rPr>
        <w:t xml:space="preserve">plasma </w:t>
      </w:r>
      <w:r w:rsidR="004E00A3" w:rsidRPr="000E79AA">
        <w:rPr>
          <w:rFonts w:ascii="Times New Roman" w:hAnsi="Times New Roman" w:cs="Times New Roman"/>
          <w:lang w:val="en-AU"/>
        </w:rPr>
        <w:t>concentration</w:t>
      </w:r>
      <w:r w:rsidR="00CD3FA6"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{"citationID":"aaq4ul8krd","properties":{"formattedCitation":"\\super 56\\nosupersub{}","plainCitation":"56","noteIndex":0},"citationItems":[{"id":13993,"uris":["http://zotero.org/users/local/xUwQuTPV/items/NNQN9LX7"],"uri":["http://zotero.org/users/local/xUwQuTPV/items/NNQN9LX7"],"itemData":{"id":13993,"type":"article-journal","archive":"PubMed","archive_location":"32449675","container-title":"International journal of clinical pharmacology and therapeutics","DOI":"10.5414/cp203705","ISSN":"0946-1965","issue":"8","journalAbbreviation":"International journal of clinical pharmacology and therapeutics","language":"eng","page":"426-438","title":"Determination of atomoxetine or escitalopram in human plasma by HPLC: Applications in neuroscience research studies","volume":"58","author":[{"family":"Teichert","given":"Jens"},{"family":"Rowe","given":"James B"},{"family":"Ersche","given":"Karen D"},{"family":"Skandali","given":"Nikolina"},{"family":"Sacher","given":"Julia"},{"family":"Aigner","given":"Achim"},{"family":"Regenthal","given":"Ralf"}],"issued":{"date-parts":[["2020",8]]}}}],"schema":"https://github.com/citation-style-language/schema/raw/master/csl-citation.json"} </w:instrText>
      </w:r>
      <w:r w:rsidR="00CD3FA6"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56</w:t>
      </w:r>
      <w:r w:rsidR="00CD3FA6" w:rsidRPr="000E79AA">
        <w:rPr>
          <w:rFonts w:ascii="Times New Roman" w:hAnsi="Times New Roman" w:cs="Times New Roman"/>
          <w:lang w:val="en-AU"/>
        </w:rPr>
        <w:fldChar w:fldCharType="end"/>
      </w:r>
      <w:r w:rsidR="00CD3FA6" w:rsidRPr="000E79AA">
        <w:rPr>
          <w:rFonts w:ascii="Times New Roman" w:hAnsi="Times New Roman" w:cs="Times New Roman"/>
          <w:lang w:val="en-AU"/>
        </w:rPr>
        <w:t xml:space="preserve"> </w:t>
      </w:r>
      <w:r w:rsidR="004E00A3" w:rsidRPr="000E79AA">
        <w:rPr>
          <w:rFonts w:ascii="Times New Roman" w:hAnsi="Times New Roman" w:cs="Times New Roman"/>
          <w:lang w:val="en-AU"/>
        </w:rPr>
        <w:t>was 261.32 ng/mL after atomoxetine (standard deviation 117.33 ng/mL, range 90.92-595.11 ng/mL) and 0 ng/mL after placebo.</w:t>
      </w:r>
      <w:r w:rsidR="00652052" w:rsidRPr="000E79AA">
        <w:rPr>
          <w:rFonts w:ascii="Times New Roman" w:hAnsi="Times New Roman" w:cs="Times New Roman"/>
          <w:lang w:val="en-AU"/>
        </w:rPr>
        <w:t xml:space="preserve"> </w:t>
      </w:r>
      <w:r w:rsidRPr="000E79AA">
        <w:rPr>
          <w:rFonts w:ascii="Times New Roman" w:hAnsi="Times New Roman" w:cs="Times New Roman"/>
          <w:lang w:val="en-AU"/>
        </w:rPr>
        <w:t xml:space="preserve">After the blood sample, patients commenced an experimental task battery that included a </w:t>
      </w:r>
      <w:r w:rsidR="00652052" w:rsidRPr="000E79AA">
        <w:rPr>
          <w:rFonts w:ascii="Times New Roman" w:hAnsi="Times New Roman" w:cs="Times New Roman"/>
          <w:lang w:val="en-AU"/>
        </w:rPr>
        <w:t>stop</w:t>
      </w:r>
      <w:r w:rsidR="009D3238" w:rsidRPr="000E79AA">
        <w:rPr>
          <w:rFonts w:ascii="Times New Roman" w:hAnsi="Times New Roman" w:cs="Times New Roman"/>
          <w:lang w:val="en-AU"/>
        </w:rPr>
        <w:t>-</w:t>
      </w:r>
      <w:r w:rsidR="00652052" w:rsidRPr="000E79AA">
        <w:rPr>
          <w:rFonts w:ascii="Times New Roman" w:hAnsi="Times New Roman" w:cs="Times New Roman"/>
          <w:lang w:val="en-AU"/>
        </w:rPr>
        <w:t>signal response inhibition</w:t>
      </w:r>
      <w:r w:rsidRPr="000E79AA">
        <w:rPr>
          <w:rFonts w:ascii="Times New Roman" w:hAnsi="Times New Roman" w:cs="Times New Roman"/>
          <w:lang w:val="en-AU"/>
        </w:rPr>
        <w:t xml:space="preserve"> task.</w:t>
      </w:r>
      <w:r w:rsidR="00E22877" w:rsidRPr="000E79AA">
        <w:rPr>
          <w:rFonts w:ascii="Times New Roman" w:hAnsi="Times New Roman" w:cs="Times New Roman"/>
          <w:lang w:val="en-AU"/>
        </w:rPr>
        <w:t xml:space="preserve"> </w:t>
      </w:r>
      <w:r w:rsidR="008E5562" w:rsidRPr="000E79AA">
        <w:rPr>
          <w:rFonts w:ascii="Times New Roman" w:hAnsi="Times New Roman" w:cs="Times New Roman"/>
          <w:lang w:val="en-AU"/>
        </w:rPr>
        <w:t>Supine/lying and upright b</w:t>
      </w:r>
      <w:r w:rsidR="006E0F0A" w:rsidRPr="000E79AA">
        <w:rPr>
          <w:rFonts w:ascii="Times New Roman" w:hAnsi="Times New Roman" w:cs="Times New Roman"/>
          <w:lang w:val="en-AU"/>
        </w:rPr>
        <w:t>lood pressure and pulse rate</w:t>
      </w:r>
      <w:r w:rsidR="008E5562" w:rsidRPr="000E79AA">
        <w:rPr>
          <w:rFonts w:ascii="Times New Roman" w:hAnsi="Times New Roman" w:cs="Times New Roman"/>
          <w:lang w:val="en-AU"/>
        </w:rPr>
        <w:t xml:space="preserve"> measures</w:t>
      </w:r>
      <w:r w:rsidR="006E0F0A" w:rsidRPr="000E79AA">
        <w:rPr>
          <w:rFonts w:ascii="Times New Roman" w:hAnsi="Times New Roman" w:cs="Times New Roman"/>
          <w:lang w:val="en-AU"/>
        </w:rPr>
        <w:t xml:space="preserve"> were monitored three times across the session (on arrival, two</w:t>
      </w:r>
      <w:r w:rsidR="005E01CC" w:rsidRPr="000E79AA">
        <w:rPr>
          <w:rFonts w:ascii="Times New Roman" w:hAnsi="Times New Roman" w:cs="Times New Roman"/>
          <w:lang w:val="en-AU"/>
        </w:rPr>
        <w:t xml:space="preserve"> </w:t>
      </w:r>
      <w:r w:rsidR="006E0F0A" w:rsidRPr="000E79AA">
        <w:rPr>
          <w:rFonts w:ascii="Times New Roman" w:hAnsi="Times New Roman" w:cs="Times New Roman"/>
          <w:lang w:val="en-AU"/>
        </w:rPr>
        <w:t xml:space="preserve">hours post </w:t>
      </w:r>
      <w:r w:rsidR="00DE15FD" w:rsidRPr="000E79AA">
        <w:rPr>
          <w:rFonts w:ascii="Times New Roman" w:hAnsi="Times New Roman" w:cs="Times New Roman"/>
          <w:lang w:val="en-AU"/>
        </w:rPr>
        <w:t xml:space="preserve">tablet </w:t>
      </w:r>
      <w:r w:rsidR="006E0F0A" w:rsidRPr="000E79AA">
        <w:rPr>
          <w:rFonts w:ascii="Times New Roman" w:hAnsi="Times New Roman" w:cs="Times New Roman"/>
          <w:lang w:val="en-AU"/>
        </w:rPr>
        <w:t>administration, on completion of testing).</w:t>
      </w:r>
      <w:r w:rsidR="00DE15FD" w:rsidRPr="000E79AA">
        <w:rPr>
          <w:rFonts w:ascii="Times New Roman" w:hAnsi="Times New Roman" w:cs="Times New Roman"/>
          <w:lang w:val="en-AU"/>
        </w:rPr>
        <w:t xml:space="preserve"> </w:t>
      </w:r>
      <w:r w:rsidR="000803B9" w:rsidRPr="000E79AA">
        <w:rPr>
          <w:rFonts w:ascii="Times New Roman" w:hAnsi="Times New Roman" w:cs="Times New Roman"/>
          <w:lang w:val="en-AU"/>
        </w:rPr>
        <w:t xml:space="preserve">To monitor </w:t>
      </w:r>
      <w:r w:rsidR="00DE15FD" w:rsidRPr="000E79AA">
        <w:rPr>
          <w:rFonts w:ascii="Times New Roman" w:hAnsi="Times New Roman" w:cs="Times New Roman"/>
          <w:lang w:val="en-AU"/>
        </w:rPr>
        <w:t xml:space="preserve">any changes in subjective feelings following the drug/placebo, prior to tablet </w:t>
      </w:r>
      <w:r w:rsidR="00DE15FD" w:rsidRPr="000E79AA">
        <w:rPr>
          <w:rFonts w:ascii="Times New Roman" w:hAnsi="Times New Roman" w:cs="Times New Roman"/>
          <w:lang w:val="en-AU"/>
        </w:rPr>
        <w:lastRenderedPageBreak/>
        <w:t xml:space="preserve">administration and </w:t>
      </w:r>
      <w:r w:rsidR="000803B9" w:rsidRPr="000E79AA">
        <w:rPr>
          <w:rFonts w:ascii="Times New Roman" w:hAnsi="Times New Roman" w:cs="Times New Roman"/>
          <w:lang w:val="en-AU"/>
        </w:rPr>
        <w:t>two</w:t>
      </w:r>
      <w:r w:rsidR="005E01CC" w:rsidRPr="000E79AA">
        <w:rPr>
          <w:rFonts w:ascii="Times New Roman" w:hAnsi="Times New Roman" w:cs="Times New Roman"/>
          <w:lang w:val="en-AU"/>
        </w:rPr>
        <w:t xml:space="preserve"> </w:t>
      </w:r>
      <w:r w:rsidR="000803B9" w:rsidRPr="000E79AA">
        <w:rPr>
          <w:rFonts w:ascii="Times New Roman" w:hAnsi="Times New Roman" w:cs="Times New Roman"/>
          <w:lang w:val="en-AU"/>
        </w:rPr>
        <w:t>hours post</w:t>
      </w:r>
      <w:r w:rsidR="0075283B" w:rsidRPr="000E79AA">
        <w:rPr>
          <w:rFonts w:ascii="Times New Roman" w:hAnsi="Times New Roman" w:cs="Times New Roman"/>
          <w:lang w:val="en-AU"/>
        </w:rPr>
        <w:t>,</w:t>
      </w:r>
      <w:r w:rsidR="00DE15FD" w:rsidRPr="000E79AA">
        <w:rPr>
          <w:rFonts w:ascii="Times New Roman" w:hAnsi="Times New Roman" w:cs="Times New Roman"/>
          <w:lang w:val="en-AU"/>
        </w:rPr>
        <w:t xml:space="preserve"> we administered a set of </w:t>
      </w:r>
      <w:r w:rsidR="00CD3FA6" w:rsidRPr="000E79AA">
        <w:rPr>
          <w:rFonts w:ascii="Times New Roman" w:hAnsi="Times New Roman" w:cs="Times New Roman"/>
          <w:lang w:val="en-AU"/>
        </w:rPr>
        <w:t xml:space="preserve">16 </w:t>
      </w:r>
      <w:r w:rsidRPr="000E79AA">
        <w:rPr>
          <w:rFonts w:ascii="Times New Roman" w:hAnsi="Times New Roman" w:cs="Times New Roman"/>
          <w:lang w:val="en-AU"/>
        </w:rPr>
        <w:t>visual analogue scales</w:t>
      </w:r>
      <w:r w:rsidR="004F3A18" w:rsidRPr="000E79AA">
        <w:rPr>
          <w:rFonts w:ascii="Times New Roman" w:hAnsi="Times New Roman" w:cs="Times New Roman"/>
          <w:lang w:val="en-AU"/>
        </w:rPr>
        <w:t xml:space="preserve"> (VAS)</w:t>
      </w:r>
      <w:r w:rsidRPr="000E79AA">
        <w:rPr>
          <w:rFonts w:ascii="Times New Roman" w:hAnsi="Times New Roman" w:cs="Times New Roman"/>
          <w:lang w:val="en-AU"/>
        </w:rPr>
        <w:t xml:space="preserve"> rating</w:t>
      </w:r>
      <w:r w:rsidR="00DE15FD" w:rsidRPr="000E79AA">
        <w:rPr>
          <w:rFonts w:ascii="Times New Roman" w:hAnsi="Times New Roman" w:cs="Times New Roman"/>
          <w:lang w:val="en-AU"/>
        </w:rPr>
        <w:t xml:space="preserve"> current mood and arousal levels</w:t>
      </w:r>
      <w:r w:rsidRPr="000E79AA">
        <w:rPr>
          <w:rFonts w:ascii="Times New Roman" w:hAnsi="Times New Roman" w:cs="Times New Roman"/>
          <w:lang w:val="en-AU"/>
        </w:rPr>
        <w:t>.</w:t>
      </w:r>
      <w:r w:rsidR="00DE15FD" w:rsidRPr="000E79AA">
        <w:rPr>
          <w:rFonts w:ascii="Times New Roman" w:hAnsi="Times New Roman" w:cs="Times New Roman"/>
          <w:lang w:val="en-AU"/>
        </w:rPr>
        <w:t xml:space="preserve"> All </w:t>
      </w:r>
      <w:r w:rsidR="001A0D07" w:rsidRPr="000E79AA">
        <w:rPr>
          <w:rFonts w:ascii="Times New Roman" w:hAnsi="Times New Roman" w:cs="Times New Roman"/>
          <w:lang w:val="en-AU"/>
        </w:rPr>
        <w:t>sessions</w:t>
      </w:r>
      <w:r w:rsidR="00DE15FD" w:rsidRPr="000E79AA">
        <w:rPr>
          <w:rFonts w:ascii="Times New Roman" w:hAnsi="Times New Roman" w:cs="Times New Roman"/>
          <w:lang w:val="en-AU"/>
        </w:rPr>
        <w:t xml:space="preserve"> and MRI scanning were conducted with patients on their regular anti</w:t>
      </w:r>
      <w:r w:rsidR="00416D7C" w:rsidRPr="000E79AA">
        <w:rPr>
          <w:rFonts w:ascii="Times New Roman" w:hAnsi="Times New Roman" w:cs="Times New Roman"/>
          <w:lang w:val="en-AU"/>
        </w:rPr>
        <w:t>-</w:t>
      </w:r>
      <w:r w:rsidR="00DE15FD" w:rsidRPr="000E79AA">
        <w:rPr>
          <w:rFonts w:ascii="Times New Roman" w:hAnsi="Times New Roman" w:cs="Times New Roman"/>
          <w:lang w:val="en-AU"/>
        </w:rPr>
        <w:t>parkinson</w:t>
      </w:r>
      <w:r w:rsidR="00416D7C" w:rsidRPr="000E79AA">
        <w:rPr>
          <w:rFonts w:ascii="Times New Roman" w:hAnsi="Times New Roman" w:cs="Times New Roman"/>
          <w:lang w:val="en-AU"/>
        </w:rPr>
        <w:t>ian</w:t>
      </w:r>
      <w:r w:rsidR="00DE15FD" w:rsidRPr="000E79AA">
        <w:rPr>
          <w:rFonts w:ascii="Times New Roman" w:hAnsi="Times New Roman" w:cs="Times New Roman"/>
          <w:lang w:val="en-AU"/>
        </w:rPr>
        <w:t xml:space="preserve"> medications</w:t>
      </w:r>
      <w:r w:rsidR="00416D7C" w:rsidRPr="000E79AA">
        <w:rPr>
          <w:rFonts w:ascii="Times New Roman" w:hAnsi="Times New Roman" w:cs="Times New Roman"/>
          <w:lang w:val="en-AU"/>
        </w:rPr>
        <w:t xml:space="preserve"> and at a similar time of day</w:t>
      </w:r>
      <w:r w:rsidR="00DE15FD" w:rsidRPr="000E79AA">
        <w:rPr>
          <w:rFonts w:ascii="Times New Roman" w:hAnsi="Times New Roman" w:cs="Times New Roman"/>
          <w:lang w:val="en-AU"/>
        </w:rPr>
        <w:t xml:space="preserve">.  </w:t>
      </w:r>
    </w:p>
    <w:p w14:paraId="404FF2DC" w14:textId="77777777" w:rsidR="00B62BEF" w:rsidRPr="000E79AA" w:rsidRDefault="00B62BEF" w:rsidP="004E671C">
      <w:pPr>
        <w:spacing w:line="360" w:lineRule="auto"/>
        <w:jc w:val="both"/>
        <w:rPr>
          <w:rFonts w:ascii="Times New Roman" w:hAnsi="Times New Roman" w:cs="Times New Roman"/>
          <w:lang w:val="en-AU"/>
        </w:rPr>
      </w:pPr>
    </w:p>
    <w:p w14:paraId="5624B7F0" w14:textId="77777777" w:rsidR="007F1663" w:rsidRPr="000E79AA" w:rsidRDefault="007F1663"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Control participants were tested in one session</w:t>
      </w:r>
      <w:r w:rsidR="00AB55C6" w:rsidRPr="000E79AA">
        <w:rPr>
          <w:rFonts w:ascii="Times New Roman" w:hAnsi="Times New Roman" w:cs="Times New Roman"/>
          <w:lang w:val="en-AU"/>
        </w:rPr>
        <w:t xml:space="preserve"> to provide normative data on the task</w:t>
      </w:r>
      <w:r w:rsidRPr="000E79AA">
        <w:rPr>
          <w:rFonts w:ascii="Times New Roman" w:hAnsi="Times New Roman" w:cs="Times New Roman"/>
          <w:lang w:val="en-AU"/>
        </w:rPr>
        <w:t xml:space="preserve">, in which they underwent MRI scanning and completed the same experimental task battery as the patients. </w:t>
      </w:r>
      <w:r w:rsidR="00F236AB" w:rsidRPr="000E79AA">
        <w:rPr>
          <w:rFonts w:ascii="Times New Roman" w:hAnsi="Times New Roman" w:cs="Times New Roman"/>
          <w:lang w:val="en-AU"/>
        </w:rPr>
        <w:t xml:space="preserve">The control group </w:t>
      </w:r>
      <w:r w:rsidRPr="000E79AA">
        <w:rPr>
          <w:rFonts w:ascii="Times New Roman" w:hAnsi="Times New Roman" w:cs="Times New Roman"/>
          <w:lang w:val="en-AU"/>
        </w:rPr>
        <w:t>did not undergo the drug/placebo manipulation.</w:t>
      </w:r>
      <w:r w:rsidR="00E62795" w:rsidRPr="000E79AA">
        <w:rPr>
          <w:rFonts w:ascii="Times New Roman" w:hAnsi="Times New Roman" w:cs="Times New Roman"/>
          <w:lang w:val="en-AU"/>
        </w:rPr>
        <w:t xml:space="preserve"> Both the patient and control groups completed</w:t>
      </w:r>
      <w:r w:rsidR="00C651AF" w:rsidRPr="000E79AA">
        <w:rPr>
          <w:rFonts w:ascii="Times New Roman" w:hAnsi="Times New Roman" w:cs="Times New Roman"/>
          <w:lang w:val="en-AU"/>
        </w:rPr>
        <w:t xml:space="preserve"> a set of self-</w:t>
      </w:r>
      <w:r w:rsidR="00F448B8" w:rsidRPr="000E79AA">
        <w:rPr>
          <w:rFonts w:ascii="Times New Roman" w:hAnsi="Times New Roman" w:cs="Times New Roman"/>
          <w:lang w:val="en-AU"/>
        </w:rPr>
        <w:t xml:space="preserve"> and informant-</w:t>
      </w:r>
      <w:r w:rsidR="00C651AF" w:rsidRPr="000E79AA">
        <w:rPr>
          <w:rFonts w:ascii="Times New Roman" w:hAnsi="Times New Roman" w:cs="Times New Roman"/>
          <w:lang w:val="en-AU"/>
        </w:rPr>
        <w:t>rated questionnaires</w:t>
      </w:r>
      <w:r w:rsidR="00F26FA7" w:rsidRPr="000E79AA">
        <w:rPr>
          <w:rFonts w:ascii="Times New Roman" w:hAnsi="Times New Roman" w:cs="Times New Roman"/>
          <w:lang w:val="en-AU"/>
        </w:rPr>
        <w:t xml:space="preserve"> to assess mood and behaviour</w:t>
      </w:r>
      <w:r w:rsidR="00815150" w:rsidRPr="000E79AA">
        <w:rPr>
          <w:rFonts w:ascii="Times New Roman" w:hAnsi="Times New Roman" w:cs="Times New Roman"/>
          <w:lang w:val="en-AU"/>
        </w:rPr>
        <w:t xml:space="preserve">, which are reported in detail </w:t>
      </w:r>
      <w:r w:rsidR="00481EDC" w:rsidRPr="000E79AA">
        <w:rPr>
          <w:rFonts w:ascii="Times New Roman" w:hAnsi="Times New Roman" w:cs="Times New Roman"/>
          <w:lang w:val="en-AU"/>
        </w:rPr>
        <w:t>in the</w:t>
      </w:r>
      <w:r w:rsidR="00815150" w:rsidRPr="000E79AA">
        <w:rPr>
          <w:rFonts w:ascii="Times New Roman" w:hAnsi="Times New Roman" w:cs="Times New Roman"/>
          <w:lang w:val="en-AU"/>
        </w:rPr>
        <w:t xml:space="preserve"> Supplementary </w:t>
      </w:r>
      <w:r w:rsidR="00481EDC" w:rsidRPr="000E79AA">
        <w:rPr>
          <w:rFonts w:ascii="Times New Roman" w:hAnsi="Times New Roman" w:cs="Times New Roman"/>
          <w:lang w:val="en-AU"/>
        </w:rPr>
        <w:t>M</w:t>
      </w:r>
      <w:r w:rsidR="00815150" w:rsidRPr="000E79AA">
        <w:rPr>
          <w:rFonts w:ascii="Times New Roman" w:hAnsi="Times New Roman" w:cs="Times New Roman"/>
          <w:lang w:val="en-AU"/>
        </w:rPr>
        <w:t xml:space="preserve">aterial. </w:t>
      </w:r>
    </w:p>
    <w:p w14:paraId="59B1601B" w14:textId="77777777" w:rsidR="00B62BEF" w:rsidRPr="000E79AA" w:rsidRDefault="00B62BEF" w:rsidP="004E671C">
      <w:pPr>
        <w:spacing w:line="360" w:lineRule="auto"/>
        <w:jc w:val="both"/>
        <w:rPr>
          <w:rFonts w:ascii="Times New Roman" w:hAnsi="Times New Roman" w:cs="Times New Roman"/>
          <w:lang w:val="en-AU"/>
        </w:rPr>
      </w:pPr>
    </w:p>
    <w:p w14:paraId="04C0D78F" w14:textId="77777777" w:rsidR="007F1663" w:rsidRPr="000E79AA" w:rsidRDefault="007F1663"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Sto</w:t>
      </w:r>
      <w:r w:rsidR="000F4EE2" w:rsidRPr="000E79AA">
        <w:rPr>
          <w:rFonts w:ascii="Times New Roman" w:hAnsi="Times New Roman" w:cs="Times New Roman"/>
          <w:b/>
          <w:i/>
          <w:iCs/>
          <w:lang w:val="en-AU"/>
        </w:rPr>
        <w:t>p-</w:t>
      </w:r>
      <w:r w:rsidRPr="000E79AA">
        <w:rPr>
          <w:rFonts w:ascii="Times New Roman" w:hAnsi="Times New Roman" w:cs="Times New Roman"/>
          <w:b/>
          <w:i/>
          <w:iCs/>
          <w:lang w:val="en-AU"/>
        </w:rPr>
        <w:t>signal task</w:t>
      </w:r>
    </w:p>
    <w:p w14:paraId="751A4411" w14:textId="77777777" w:rsidR="00A2131D" w:rsidRPr="000E79AA" w:rsidRDefault="00DF12D0"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We used a</w:t>
      </w:r>
      <w:r w:rsidR="0068398F" w:rsidRPr="000E79AA">
        <w:rPr>
          <w:rFonts w:ascii="Times New Roman" w:hAnsi="Times New Roman" w:cs="Times New Roman"/>
          <w:lang w:val="en-AU"/>
        </w:rPr>
        <w:t xml:space="preserve"> stop</w:t>
      </w:r>
      <w:r w:rsidR="008F0A6D" w:rsidRPr="000E79AA">
        <w:rPr>
          <w:rFonts w:ascii="Times New Roman" w:hAnsi="Times New Roman" w:cs="Times New Roman"/>
          <w:lang w:val="en-AU"/>
        </w:rPr>
        <w:t>-</w:t>
      </w:r>
      <w:r w:rsidR="0068398F" w:rsidRPr="000E79AA">
        <w:rPr>
          <w:rFonts w:ascii="Times New Roman" w:hAnsi="Times New Roman" w:cs="Times New Roman"/>
          <w:lang w:val="en-AU"/>
        </w:rPr>
        <w:t xml:space="preserve">signal task to measure </w:t>
      </w:r>
      <w:r w:rsidR="00A91EC8" w:rsidRPr="000E79AA">
        <w:rPr>
          <w:rFonts w:ascii="Times New Roman" w:hAnsi="Times New Roman" w:cs="Times New Roman"/>
          <w:lang w:val="en-AU"/>
        </w:rPr>
        <w:t>response</w:t>
      </w:r>
      <w:r w:rsidR="0068398F" w:rsidRPr="000E79AA">
        <w:rPr>
          <w:rFonts w:ascii="Times New Roman" w:hAnsi="Times New Roman" w:cs="Times New Roman"/>
          <w:lang w:val="en-AU"/>
        </w:rPr>
        <w:t xml:space="preserve"> inhibition. </w:t>
      </w:r>
      <w:r w:rsidR="00045852" w:rsidRPr="000E79AA">
        <w:rPr>
          <w:rFonts w:ascii="Times New Roman" w:hAnsi="Times New Roman" w:cs="Times New Roman"/>
          <w:lang w:val="en-AU"/>
        </w:rPr>
        <w:t xml:space="preserve">This paradigm </w:t>
      </w:r>
      <w:r w:rsidR="00481AD5" w:rsidRPr="000E79AA">
        <w:rPr>
          <w:rFonts w:ascii="Times New Roman" w:hAnsi="Times New Roman" w:cs="Times New Roman"/>
          <w:lang w:val="en-AU"/>
        </w:rPr>
        <w:t>involves</w:t>
      </w:r>
      <w:r w:rsidR="00045852" w:rsidRPr="000E79AA">
        <w:rPr>
          <w:rFonts w:ascii="Times New Roman" w:hAnsi="Times New Roman" w:cs="Times New Roman"/>
          <w:lang w:val="en-AU"/>
        </w:rPr>
        <w:t xml:space="preserve"> a two-choice re</w:t>
      </w:r>
      <w:r w:rsidR="00A91EC8" w:rsidRPr="000E79AA">
        <w:rPr>
          <w:rFonts w:ascii="Times New Roman" w:hAnsi="Times New Roman" w:cs="Times New Roman"/>
          <w:lang w:val="en-AU"/>
        </w:rPr>
        <w:t>action</w:t>
      </w:r>
      <w:r w:rsidR="00045852" w:rsidRPr="000E79AA">
        <w:rPr>
          <w:rFonts w:ascii="Times New Roman" w:hAnsi="Times New Roman" w:cs="Times New Roman"/>
          <w:lang w:val="en-AU"/>
        </w:rPr>
        <w:t xml:space="preserve"> time (RT) ‘go’ task that is occasionally interrupted by a ‘stop signal’</w:t>
      </w:r>
      <w:r w:rsidR="00C6073B" w:rsidRPr="000E79AA">
        <w:rPr>
          <w:rFonts w:ascii="Times New Roman" w:hAnsi="Times New Roman" w:cs="Times New Roman"/>
          <w:lang w:val="en-AU"/>
        </w:rPr>
        <w:t xml:space="preserve">, which </w:t>
      </w:r>
      <w:r w:rsidR="00045852" w:rsidRPr="000E79AA">
        <w:rPr>
          <w:rFonts w:ascii="Times New Roman" w:hAnsi="Times New Roman" w:cs="Times New Roman"/>
          <w:lang w:val="en-AU"/>
        </w:rPr>
        <w:t xml:space="preserve">requires </w:t>
      </w:r>
      <w:r w:rsidR="008F0A6D" w:rsidRPr="000E79AA">
        <w:rPr>
          <w:rFonts w:ascii="Times New Roman" w:hAnsi="Times New Roman" w:cs="Times New Roman"/>
          <w:lang w:val="en-AU"/>
        </w:rPr>
        <w:t>the initiated</w:t>
      </w:r>
      <w:r w:rsidR="00045852" w:rsidRPr="000E79AA">
        <w:rPr>
          <w:rFonts w:ascii="Times New Roman" w:hAnsi="Times New Roman" w:cs="Times New Roman"/>
          <w:lang w:val="en-AU"/>
        </w:rPr>
        <w:t xml:space="preserve"> response to be </w:t>
      </w:r>
      <w:r w:rsidR="00F04B84" w:rsidRPr="000E79AA">
        <w:rPr>
          <w:rFonts w:ascii="Times New Roman" w:hAnsi="Times New Roman" w:cs="Times New Roman"/>
          <w:lang w:val="en-AU"/>
        </w:rPr>
        <w:t>cancelled</w:t>
      </w:r>
      <w:r w:rsidR="00B044AE" w:rsidRPr="000E79AA">
        <w:rPr>
          <w:rFonts w:ascii="Times New Roman" w:hAnsi="Times New Roman" w:cs="Times New Roman"/>
          <w:lang w:val="en-AU"/>
        </w:rPr>
        <w:t xml:space="preserve"> (Figure 1A)</w:t>
      </w:r>
      <w:r w:rsidR="00EC147E" w:rsidRPr="000E79AA">
        <w:rPr>
          <w:rFonts w:ascii="Times New Roman" w:hAnsi="Times New Roman" w:cs="Times New Roman"/>
          <w:lang w:val="en-AU"/>
        </w:rPr>
        <w:t xml:space="preserve">. </w:t>
      </w:r>
      <w:r w:rsidR="0068398F" w:rsidRPr="000E79AA">
        <w:rPr>
          <w:rFonts w:ascii="Times New Roman" w:hAnsi="Times New Roman" w:cs="Times New Roman"/>
          <w:lang w:val="en-AU"/>
        </w:rPr>
        <w:t>On go trials,</w:t>
      </w:r>
      <w:r w:rsidR="00C6073B" w:rsidRPr="000E79AA">
        <w:rPr>
          <w:rFonts w:ascii="Times New Roman" w:hAnsi="Times New Roman" w:cs="Times New Roman"/>
          <w:lang w:val="en-AU"/>
        </w:rPr>
        <w:t xml:space="preserve"> a </w:t>
      </w:r>
      <w:r w:rsidR="001C37F1" w:rsidRPr="000E79AA">
        <w:rPr>
          <w:rFonts w:ascii="Times New Roman" w:hAnsi="Times New Roman" w:cs="Times New Roman"/>
          <w:lang w:val="en-AU"/>
        </w:rPr>
        <w:t xml:space="preserve">left- or right-pointing </w:t>
      </w:r>
      <w:r w:rsidR="00C6073B" w:rsidRPr="000E79AA">
        <w:rPr>
          <w:rFonts w:ascii="Times New Roman" w:hAnsi="Times New Roman" w:cs="Times New Roman"/>
          <w:lang w:val="en-AU"/>
        </w:rPr>
        <w:t xml:space="preserve">black arrow was presented </w:t>
      </w:r>
      <w:r w:rsidR="001C37F1" w:rsidRPr="000E79AA">
        <w:rPr>
          <w:rFonts w:ascii="Times New Roman" w:hAnsi="Times New Roman" w:cs="Times New Roman"/>
          <w:lang w:val="en-AU"/>
        </w:rPr>
        <w:t xml:space="preserve">on the screen, and participants indicated its orientation by pressing </w:t>
      </w:r>
      <w:r w:rsidR="00B4264B" w:rsidRPr="000E79AA">
        <w:rPr>
          <w:rFonts w:ascii="Times New Roman" w:hAnsi="Times New Roman" w:cs="Times New Roman"/>
          <w:lang w:val="en-AU"/>
        </w:rPr>
        <w:t>a</w:t>
      </w:r>
      <w:r w:rsidR="001C37F1" w:rsidRPr="000E79AA">
        <w:rPr>
          <w:rFonts w:ascii="Times New Roman" w:hAnsi="Times New Roman" w:cs="Times New Roman"/>
          <w:lang w:val="en-AU"/>
        </w:rPr>
        <w:t xml:space="preserve"> left or right response button. </w:t>
      </w:r>
      <w:r w:rsidR="0068398F" w:rsidRPr="000E79AA">
        <w:rPr>
          <w:rFonts w:ascii="Times New Roman" w:hAnsi="Times New Roman" w:cs="Times New Roman"/>
          <w:lang w:val="en-AU"/>
        </w:rPr>
        <w:t xml:space="preserve">On stop trials, </w:t>
      </w:r>
      <w:r w:rsidR="00776F29" w:rsidRPr="000E79AA">
        <w:rPr>
          <w:rFonts w:ascii="Times New Roman" w:hAnsi="Times New Roman" w:cs="Times New Roman"/>
          <w:lang w:val="en-AU"/>
        </w:rPr>
        <w:t>the</w:t>
      </w:r>
      <w:r w:rsidR="0068398F" w:rsidRPr="000E79AA">
        <w:rPr>
          <w:rFonts w:ascii="Times New Roman" w:hAnsi="Times New Roman" w:cs="Times New Roman"/>
          <w:lang w:val="en-AU"/>
        </w:rPr>
        <w:t xml:space="preserve"> arrow changed colour from black to red </w:t>
      </w:r>
      <w:r w:rsidR="00776F29" w:rsidRPr="000E79AA">
        <w:rPr>
          <w:rFonts w:ascii="Times New Roman" w:hAnsi="Times New Roman" w:cs="Times New Roman"/>
          <w:lang w:val="en-AU"/>
        </w:rPr>
        <w:t>at the same time as</w:t>
      </w:r>
      <w:r w:rsidR="0068398F" w:rsidRPr="000E79AA">
        <w:rPr>
          <w:rFonts w:ascii="Times New Roman" w:hAnsi="Times New Roman" w:cs="Times New Roman"/>
          <w:lang w:val="en-AU"/>
        </w:rPr>
        <w:t xml:space="preserve"> a tone (</w:t>
      </w:r>
      <w:r w:rsidR="00776F29" w:rsidRPr="000E79AA">
        <w:rPr>
          <w:rFonts w:ascii="Times New Roman" w:hAnsi="Times New Roman" w:cs="Times New Roman"/>
          <w:lang w:val="en-AU"/>
        </w:rPr>
        <w:t xml:space="preserve">i.e., </w:t>
      </w:r>
      <w:r w:rsidR="0068398F" w:rsidRPr="000E79AA">
        <w:rPr>
          <w:rFonts w:ascii="Times New Roman" w:hAnsi="Times New Roman" w:cs="Times New Roman"/>
          <w:lang w:val="en-AU"/>
        </w:rPr>
        <w:t>the stop</w:t>
      </w:r>
      <w:r w:rsidR="00B4264B" w:rsidRPr="000E79AA">
        <w:rPr>
          <w:rFonts w:ascii="Times New Roman" w:hAnsi="Times New Roman" w:cs="Times New Roman"/>
          <w:lang w:val="en-AU"/>
        </w:rPr>
        <w:t>-</w:t>
      </w:r>
      <w:r w:rsidR="0068398F" w:rsidRPr="000E79AA">
        <w:rPr>
          <w:rFonts w:ascii="Times New Roman" w:hAnsi="Times New Roman" w:cs="Times New Roman"/>
          <w:lang w:val="en-AU"/>
        </w:rPr>
        <w:t>signal), after a short and variable delay (</w:t>
      </w:r>
      <w:r w:rsidR="00776F29" w:rsidRPr="000E79AA">
        <w:rPr>
          <w:rFonts w:ascii="Times New Roman" w:hAnsi="Times New Roman" w:cs="Times New Roman"/>
          <w:lang w:val="en-AU"/>
        </w:rPr>
        <w:t xml:space="preserve">i.e., </w:t>
      </w:r>
      <w:r w:rsidR="00FD4D54" w:rsidRPr="000E79AA">
        <w:rPr>
          <w:rFonts w:ascii="Times New Roman" w:hAnsi="Times New Roman" w:cs="Times New Roman"/>
          <w:lang w:val="en-AU"/>
        </w:rPr>
        <w:t>the stop</w:t>
      </w:r>
      <w:r w:rsidR="00B4264B" w:rsidRPr="000E79AA">
        <w:rPr>
          <w:rFonts w:ascii="Times New Roman" w:hAnsi="Times New Roman" w:cs="Times New Roman"/>
          <w:lang w:val="en-AU"/>
        </w:rPr>
        <w:t>-</w:t>
      </w:r>
      <w:r w:rsidR="00FD4D54" w:rsidRPr="000E79AA">
        <w:rPr>
          <w:rFonts w:ascii="Times New Roman" w:hAnsi="Times New Roman" w:cs="Times New Roman"/>
          <w:lang w:val="en-AU"/>
        </w:rPr>
        <w:t xml:space="preserve">signal delay, </w:t>
      </w:r>
      <w:r w:rsidR="0068398F" w:rsidRPr="000E79AA">
        <w:rPr>
          <w:rFonts w:ascii="Times New Roman" w:hAnsi="Times New Roman" w:cs="Times New Roman"/>
          <w:lang w:val="en-AU"/>
        </w:rPr>
        <w:t>SSD)</w:t>
      </w:r>
      <w:r w:rsidR="00345528" w:rsidRPr="000E79AA">
        <w:rPr>
          <w:rFonts w:ascii="Times New Roman" w:hAnsi="Times New Roman" w:cs="Times New Roman"/>
          <w:lang w:val="en-AU"/>
        </w:rPr>
        <w:t xml:space="preserve">. </w:t>
      </w:r>
      <w:r w:rsidR="00EC147E" w:rsidRPr="000E79AA">
        <w:rPr>
          <w:rFonts w:ascii="Times New Roman" w:hAnsi="Times New Roman" w:cs="Times New Roman"/>
          <w:lang w:val="en-AU"/>
        </w:rPr>
        <w:t xml:space="preserve">Participants were instructed to inhibit any imminent response if the arrow became red. </w:t>
      </w:r>
      <w:r w:rsidR="00B32EB4" w:rsidRPr="000E79AA">
        <w:rPr>
          <w:rFonts w:ascii="Times New Roman" w:hAnsi="Times New Roman" w:cs="Times New Roman"/>
          <w:lang w:val="en-AU"/>
        </w:rPr>
        <w:t>The length of</w:t>
      </w:r>
      <w:r w:rsidR="0068398F" w:rsidRPr="000E79AA">
        <w:rPr>
          <w:rFonts w:ascii="Times New Roman" w:hAnsi="Times New Roman" w:cs="Times New Roman"/>
          <w:lang w:val="en-AU"/>
        </w:rPr>
        <w:t xml:space="preserve"> the SSD was varied </w:t>
      </w:r>
      <w:r w:rsidR="00B32EB4" w:rsidRPr="000E79AA">
        <w:rPr>
          <w:rFonts w:ascii="Times New Roman" w:hAnsi="Times New Roman" w:cs="Times New Roman"/>
          <w:lang w:val="en-AU"/>
        </w:rPr>
        <w:t xml:space="preserve">across stop trials </w:t>
      </w:r>
      <w:r w:rsidR="0068398F" w:rsidRPr="000E79AA">
        <w:rPr>
          <w:rFonts w:ascii="Times New Roman" w:hAnsi="Times New Roman" w:cs="Times New Roman"/>
          <w:lang w:val="en-AU"/>
        </w:rPr>
        <w:t>using a staircase method to target a stop accuracy of 50</w:t>
      </w:r>
      <w:r w:rsidRPr="000E79AA">
        <w:rPr>
          <w:rFonts w:ascii="Times New Roman" w:hAnsi="Times New Roman" w:cs="Times New Roman"/>
          <w:lang w:val="en-AU"/>
        </w:rPr>
        <w:t>%</w:t>
      </w:r>
      <w:r w:rsidR="0068398F" w:rsidRPr="000E79AA">
        <w:rPr>
          <w:rFonts w:ascii="Times New Roman" w:hAnsi="Times New Roman" w:cs="Times New Roman"/>
          <w:lang w:val="en-AU"/>
        </w:rPr>
        <w:t>.</w:t>
      </w:r>
      <w:r w:rsidR="00591F5D" w:rsidRPr="000E79AA">
        <w:rPr>
          <w:rFonts w:ascii="Times New Roman" w:hAnsi="Times New Roman" w:cs="Times New Roman"/>
          <w:lang w:val="en-AU"/>
        </w:rPr>
        <w:t xml:space="preserve"> </w:t>
      </w:r>
      <w:r w:rsidR="00AB28DC" w:rsidRPr="000E79AA">
        <w:rPr>
          <w:rFonts w:ascii="Times New Roman" w:hAnsi="Times New Roman" w:cs="Times New Roman"/>
          <w:lang w:val="en-AU"/>
        </w:rPr>
        <w:t>T</w:t>
      </w:r>
      <w:r w:rsidR="00591F5D" w:rsidRPr="000E79AA">
        <w:rPr>
          <w:rFonts w:ascii="Times New Roman" w:hAnsi="Times New Roman" w:cs="Times New Roman"/>
          <w:lang w:val="en-AU"/>
        </w:rPr>
        <w:t>he SSD ranged from 50 ms to 1500 ms and increased or decreased by 50 ms after a successful or failed stop trial, respectively.</w:t>
      </w:r>
      <w:r w:rsidR="0068398F" w:rsidRPr="000E79AA">
        <w:rPr>
          <w:rFonts w:ascii="Times New Roman" w:hAnsi="Times New Roman" w:cs="Times New Roman"/>
          <w:lang w:val="en-AU"/>
        </w:rPr>
        <w:t xml:space="preserve"> On no-go trials, the SSD was set to zero.</w:t>
      </w:r>
      <w:r w:rsidR="001B1EDF" w:rsidRPr="000E79AA">
        <w:rPr>
          <w:rFonts w:ascii="Times New Roman" w:hAnsi="Times New Roman" w:cs="Times New Roman"/>
          <w:lang w:val="en-AU"/>
        </w:rPr>
        <w:t xml:space="preserve"> </w:t>
      </w:r>
      <w:r w:rsidR="00EC59A5" w:rsidRPr="000E79AA">
        <w:rPr>
          <w:rFonts w:ascii="Times New Roman" w:hAnsi="Times New Roman" w:cs="Times New Roman"/>
          <w:lang w:val="en-AU"/>
        </w:rPr>
        <w:t>The task consisted of 4 blocks of 1</w:t>
      </w:r>
      <w:r w:rsidR="00FA0197" w:rsidRPr="000E79AA">
        <w:rPr>
          <w:rFonts w:ascii="Times New Roman" w:hAnsi="Times New Roman" w:cs="Times New Roman"/>
          <w:lang w:val="en-AU"/>
        </w:rPr>
        <w:t>4</w:t>
      </w:r>
      <w:r w:rsidR="00F9569D" w:rsidRPr="000E79AA">
        <w:rPr>
          <w:rFonts w:ascii="Times New Roman" w:hAnsi="Times New Roman" w:cs="Times New Roman"/>
          <w:lang w:val="en-AU"/>
        </w:rPr>
        <w:t>0</w:t>
      </w:r>
      <w:r w:rsidR="00EC59A5" w:rsidRPr="000E79AA">
        <w:rPr>
          <w:rFonts w:ascii="Times New Roman" w:hAnsi="Times New Roman" w:cs="Times New Roman"/>
          <w:lang w:val="en-AU"/>
        </w:rPr>
        <w:t xml:space="preserve"> trials</w:t>
      </w:r>
      <w:r w:rsidR="00522F6A" w:rsidRPr="000E79AA">
        <w:rPr>
          <w:rFonts w:ascii="Times New Roman" w:hAnsi="Times New Roman" w:cs="Times New Roman"/>
          <w:lang w:val="en-AU"/>
        </w:rPr>
        <w:t xml:space="preserve"> each</w:t>
      </w:r>
      <w:r w:rsidR="00380BC0" w:rsidRPr="000E79AA">
        <w:rPr>
          <w:rFonts w:ascii="Times New Roman" w:hAnsi="Times New Roman" w:cs="Times New Roman"/>
          <w:lang w:val="en-AU"/>
        </w:rPr>
        <w:t>,</w:t>
      </w:r>
      <w:r w:rsidR="00EC59A5" w:rsidRPr="000E79AA">
        <w:rPr>
          <w:rFonts w:ascii="Times New Roman" w:hAnsi="Times New Roman" w:cs="Times New Roman"/>
          <w:lang w:val="en-AU"/>
        </w:rPr>
        <w:t xml:space="preserve"> </w:t>
      </w:r>
      <w:r w:rsidR="00A62E3E" w:rsidRPr="000E79AA">
        <w:rPr>
          <w:rFonts w:ascii="Times New Roman" w:hAnsi="Times New Roman" w:cs="Times New Roman"/>
          <w:lang w:val="en-AU"/>
        </w:rPr>
        <w:t>including</w:t>
      </w:r>
      <w:r w:rsidR="00EC59A5" w:rsidRPr="000E79AA">
        <w:rPr>
          <w:rFonts w:ascii="Times New Roman" w:hAnsi="Times New Roman" w:cs="Times New Roman"/>
          <w:lang w:val="en-AU"/>
        </w:rPr>
        <w:t xml:space="preserve"> </w:t>
      </w:r>
      <w:r w:rsidR="00FA0197" w:rsidRPr="000E79AA">
        <w:rPr>
          <w:rFonts w:ascii="Times New Roman" w:hAnsi="Times New Roman" w:cs="Times New Roman"/>
          <w:lang w:val="en-AU"/>
        </w:rPr>
        <w:t>110</w:t>
      </w:r>
      <w:r w:rsidR="00F9569D" w:rsidRPr="000E79AA">
        <w:rPr>
          <w:rFonts w:ascii="Times New Roman" w:hAnsi="Times New Roman" w:cs="Times New Roman"/>
          <w:lang w:val="en-AU"/>
        </w:rPr>
        <w:t xml:space="preserve"> </w:t>
      </w:r>
      <w:r w:rsidR="00EC59A5" w:rsidRPr="000E79AA">
        <w:rPr>
          <w:rFonts w:ascii="Times New Roman" w:hAnsi="Times New Roman" w:cs="Times New Roman"/>
          <w:lang w:val="en-AU"/>
        </w:rPr>
        <w:t>go trials, 10 no-go trials</w:t>
      </w:r>
      <w:r w:rsidR="00AB28DC" w:rsidRPr="000E79AA">
        <w:rPr>
          <w:rFonts w:ascii="Times New Roman" w:hAnsi="Times New Roman" w:cs="Times New Roman"/>
          <w:lang w:val="en-AU"/>
        </w:rPr>
        <w:t xml:space="preserve"> (very low commission error rate)</w:t>
      </w:r>
      <w:r w:rsidR="00EC59A5" w:rsidRPr="000E79AA">
        <w:rPr>
          <w:rFonts w:ascii="Times New Roman" w:hAnsi="Times New Roman" w:cs="Times New Roman"/>
          <w:lang w:val="en-AU"/>
        </w:rPr>
        <w:t xml:space="preserve">, and </w:t>
      </w:r>
      <w:r w:rsidR="00380BC0" w:rsidRPr="000E79AA">
        <w:rPr>
          <w:rFonts w:ascii="Times New Roman" w:hAnsi="Times New Roman" w:cs="Times New Roman"/>
          <w:lang w:val="en-AU"/>
        </w:rPr>
        <w:t>20 stop trials per block</w:t>
      </w:r>
      <w:r w:rsidR="00AB28DC" w:rsidRPr="000E79AA">
        <w:rPr>
          <w:rFonts w:ascii="Times New Roman" w:hAnsi="Times New Roman" w:cs="Times New Roman"/>
          <w:lang w:val="en-AU"/>
        </w:rPr>
        <w:t xml:space="preserve"> (approximately 50% commission error rate)</w:t>
      </w:r>
      <w:r w:rsidR="00380BC0" w:rsidRPr="000E79AA">
        <w:rPr>
          <w:rFonts w:ascii="Times New Roman" w:hAnsi="Times New Roman" w:cs="Times New Roman"/>
          <w:lang w:val="en-AU"/>
        </w:rPr>
        <w:t>.</w:t>
      </w:r>
      <w:r w:rsidR="00F9569D" w:rsidRPr="000E79AA">
        <w:rPr>
          <w:rFonts w:ascii="Times New Roman" w:hAnsi="Times New Roman" w:cs="Times New Roman"/>
          <w:lang w:val="en-AU"/>
        </w:rPr>
        <w:t xml:space="preserve"> The first 20 trials of each block were go trials, to</w:t>
      </w:r>
      <w:r w:rsidR="00B54C3E" w:rsidRPr="000E79AA">
        <w:rPr>
          <w:rFonts w:ascii="Times New Roman" w:hAnsi="Times New Roman" w:cs="Times New Roman"/>
          <w:lang w:val="en-AU"/>
        </w:rPr>
        <w:t xml:space="preserve"> compute a</w:t>
      </w:r>
      <w:r w:rsidR="00F9569D" w:rsidRPr="000E79AA">
        <w:rPr>
          <w:rFonts w:ascii="Times New Roman" w:hAnsi="Times New Roman" w:cs="Times New Roman"/>
          <w:lang w:val="en-AU"/>
        </w:rPr>
        <w:t xml:space="preserve"> starting value for the SSD</w:t>
      </w:r>
      <w:r w:rsidR="0078745D" w:rsidRPr="000E79AA">
        <w:rPr>
          <w:rFonts w:ascii="Times New Roman" w:hAnsi="Times New Roman" w:cs="Times New Roman"/>
          <w:lang w:val="en-AU"/>
        </w:rPr>
        <w:t xml:space="preserve"> (mean RT minus 200 ms)</w:t>
      </w:r>
      <w:r w:rsidR="00F9569D" w:rsidRPr="000E79AA">
        <w:rPr>
          <w:rFonts w:ascii="Times New Roman" w:hAnsi="Times New Roman" w:cs="Times New Roman"/>
          <w:lang w:val="en-AU"/>
        </w:rPr>
        <w:t xml:space="preserve">. The remaining trials within each block </w:t>
      </w:r>
      <w:r w:rsidR="00A2131D" w:rsidRPr="000E79AA">
        <w:rPr>
          <w:rFonts w:ascii="Times New Roman" w:hAnsi="Times New Roman" w:cs="Times New Roman"/>
          <w:lang w:val="en-AU"/>
        </w:rPr>
        <w:t>were pseudorandomly interleaved, with the constraints that</w:t>
      </w:r>
      <w:r w:rsidR="00F9569D" w:rsidRPr="000E79AA">
        <w:rPr>
          <w:rFonts w:ascii="Times New Roman" w:hAnsi="Times New Roman" w:cs="Times New Roman"/>
          <w:lang w:val="en-AU"/>
        </w:rPr>
        <w:t xml:space="preserve"> there could be</w:t>
      </w:r>
      <w:r w:rsidR="002469EF" w:rsidRPr="000E79AA">
        <w:rPr>
          <w:rFonts w:ascii="Times New Roman" w:hAnsi="Times New Roman" w:cs="Times New Roman"/>
          <w:lang w:val="en-AU"/>
        </w:rPr>
        <w:t xml:space="preserve"> no</w:t>
      </w:r>
      <w:r w:rsidR="00F9569D" w:rsidRPr="000E79AA">
        <w:rPr>
          <w:rFonts w:ascii="Times New Roman" w:hAnsi="Times New Roman" w:cs="Times New Roman"/>
          <w:lang w:val="en-AU"/>
        </w:rPr>
        <w:t xml:space="preserve"> more than seven consecutive go trials, </w:t>
      </w:r>
      <w:r w:rsidR="00B54C3E" w:rsidRPr="000E79AA">
        <w:rPr>
          <w:rFonts w:ascii="Times New Roman" w:hAnsi="Times New Roman" w:cs="Times New Roman"/>
          <w:lang w:val="en-AU"/>
        </w:rPr>
        <w:t xml:space="preserve">and no </w:t>
      </w:r>
      <w:r w:rsidR="00F9569D" w:rsidRPr="000E79AA">
        <w:rPr>
          <w:rFonts w:ascii="Times New Roman" w:hAnsi="Times New Roman" w:cs="Times New Roman"/>
          <w:lang w:val="en-AU"/>
        </w:rPr>
        <w:t xml:space="preserve">more than two consecutive no-go </w:t>
      </w:r>
      <w:r w:rsidR="00B54C3E" w:rsidRPr="000E79AA">
        <w:rPr>
          <w:rFonts w:ascii="Times New Roman" w:hAnsi="Times New Roman" w:cs="Times New Roman"/>
          <w:lang w:val="en-AU"/>
        </w:rPr>
        <w:t xml:space="preserve">or stop </w:t>
      </w:r>
      <w:r w:rsidR="00F9569D" w:rsidRPr="000E79AA">
        <w:rPr>
          <w:rFonts w:ascii="Times New Roman" w:hAnsi="Times New Roman" w:cs="Times New Roman"/>
          <w:lang w:val="en-AU"/>
        </w:rPr>
        <w:t>trials.</w:t>
      </w:r>
      <w:r w:rsidR="00BB6F29" w:rsidRPr="000E79AA">
        <w:rPr>
          <w:rFonts w:ascii="Times New Roman" w:hAnsi="Times New Roman" w:cs="Times New Roman"/>
          <w:lang w:val="en-AU"/>
        </w:rPr>
        <w:t xml:space="preserve"> </w:t>
      </w:r>
      <w:r w:rsidR="008852DD" w:rsidRPr="000E79AA">
        <w:rPr>
          <w:rFonts w:ascii="Times New Roman" w:hAnsi="Times New Roman" w:cs="Times New Roman"/>
          <w:lang w:val="en-AU"/>
        </w:rPr>
        <w:t>At the start of each trial, a fixation cross was presented for 500 ms.</w:t>
      </w:r>
    </w:p>
    <w:p w14:paraId="0BB22615" w14:textId="77777777" w:rsidR="00DF12D0" w:rsidRPr="000E79AA" w:rsidRDefault="00DF12D0" w:rsidP="004E671C">
      <w:pPr>
        <w:spacing w:line="360" w:lineRule="auto"/>
        <w:jc w:val="both"/>
        <w:rPr>
          <w:rFonts w:ascii="Times New Roman" w:hAnsi="Times New Roman" w:cs="Times New Roman"/>
          <w:lang w:val="en-AU"/>
        </w:rPr>
      </w:pPr>
    </w:p>
    <w:p w14:paraId="4C6BA84E" w14:textId="6E9A6C01" w:rsidR="00DF12D0" w:rsidRPr="000E79AA" w:rsidRDefault="00DF12D0"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Participants were given standardised instructions at the start of the experiment</w:t>
      </w:r>
      <w:r w:rsidR="0059139B" w:rsidRPr="000E79AA">
        <w:rPr>
          <w:rFonts w:ascii="Times New Roman" w:hAnsi="Times New Roman" w:cs="Times New Roman"/>
          <w:lang w:val="en-AU"/>
        </w:rPr>
        <w:t xml:space="preserve">. They were asked to respond as </w:t>
      </w:r>
      <w:r w:rsidR="00AB28DC" w:rsidRPr="000E79AA">
        <w:rPr>
          <w:rFonts w:ascii="Times New Roman" w:hAnsi="Times New Roman" w:cs="Times New Roman"/>
          <w:lang w:val="en-AU"/>
        </w:rPr>
        <w:t>‘</w:t>
      </w:r>
      <w:r w:rsidR="0059139B" w:rsidRPr="000E79AA">
        <w:rPr>
          <w:rFonts w:ascii="Times New Roman" w:hAnsi="Times New Roman" w:cs="Times New Roman"/>
          <w:lang w:val="en-AU"/>
        </w:rPr>
        <w:t>quickly and accurately as possible</w:t>
      </w:r>
      <w:r w:rsidR="00AB28DC" w:rsidRPr="000E79AA">
        <w:rPr>
          <w:rFonts w:ascii="Times New Roman" w:hAnsi="Times New Roman" w:cs="Times New Roman"/>
          <w:lang w:val="en-AU"/>
        </w:rPr>
        <w:t>’</w:t>
      </w:r>
      <w:r w:rsidR="0059139B" w:rsidRPr="000E79AA">
        <w:rPr>
          <w:rFonts w:ascii="Times New Roman" w:hAnsi="Times New Roman" w:cs="Times New Roman"/>
          <w:lang w:val="en-AU"/>
        </w:rPr>
        <w:t>, and were discouraged from strategically slowing down in anticipation of a stop signal</w:t>
      </w:r>
      <w:r w:rsidR="001477A3" w:rsidRPr="000E79AA">
        <w:rPr>
          <w:rFonts w:ascii="Times New Roman" w:hAnsi="Times New Roman" w:cs="Times New Roman"/>
          <w:lang w:val="en-AU"/>
        </w:rPr>
        <w:t>.</w:t>
      </w:r>
      <w:r w:rsidR="00445FC6"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{"citationID":"a1fdojo4h5j","properties":{"formattedCitation":"\\super 57\\nosupersub{}","plainCitation":"57","noteIndex":0},"citationItems":[{"id":7421,"uris":["http://zotero.org/users/local/xUwQuTPV/items/W39PXV5S"],"uri":["http://zotero.org/users/local/xUwQuTPV/items/W39PXV5S"],"itemData":{"id":7421,"type":"article-journal","container-title":"eLife","DOI":"10.7554/eLife.46323","journalAbbreviation":"eLife","language":"English","page":"e55-26","title":"A consensus guide to capturing the ability to inhibit actions and impulsive behaviors in the stop-signal task","volume":"8","author":[{"family":"Verbruggen","given":"Frederick"},{"family":"Aron","given":"Adam R."},{"family":"Band","given":"Guido PH"},{"family":"Beste","given":"Christian"},{"family":"Bissett","given":"Patrick G."},{"family":"Brockett","given":"Adam T."},{"family":"Brown","given":"Joshua W."},{"family":"Chamberlain","given":"Samuel R."},{"family":"Chambers","given":"Christopher D."},{"family":"Colonius","given":"Hans"},{"family":"Colzato","given":"Lorenza S."},{"family":"Corneil","given":"Brian D."},{"family":"Coxon","given":"James P."},{"family":"Dupuis","given":"Annie"},{"family":"Eagle","given":"Dawn M."},{"family":"Garavan","given":"Hugh"},{"family":"Greenhouse","given":"Ian"},{"family":"Heathcote","given":"Andrew"},{"family":"Huster","given":"René J."},{"family":"Jahfari","given":"Sara"},{"family":"Kenemans","given":"J. Leon"},{"family":"Leunissen","given":"Inge"},{"family":"Li","given":"Chiang-Shan R."},{"family":"Logan","given":"Gordon D."},{"family":"Matzke","given":"Dora"},{"family":"Morein-Zamir","given":"Sharon"},{"family":"Murthy","given":"Aditya"},{"family":"Paré","given":"Martin"},{"family":"Poldrack","given":"Russell A."},{"family":"Ridderinkhof","given":"K. Richard"},{"family":"Robbins","given":"Trevor W."},{"family":"Roesch","given":"Matthew"},{"family":"Rubia","given":"Katya"},{"family":"Schachar","given":"Russell J."},{"family":"Schall","given":"Jeffrey D."},{"family":"Stock","given":"Ann-Kathrin"},{"family":"Swann","given":"Nicole C."},{"family":"Thakkar","given":"Katharine N."},{"family":"Molen","given":"Maurits W.","non-dropping-particle":"van der"},{"family":"Vermeylen","given":"Luc"},{"family":"Vink","given":"Matthijs"},{"family":"Wessel","given":"Jan R."},{"family":"Whelan","given":"Robert"},{"family":"Zandbelt","given":"Bram B."},{"family":"Boehler","given":"C. Nico"}],"issued":{"date-parts":[["2019",4,29]]}}}],"schema":"https://github.com/citation-style-language/schema/raw/master/csl-citation.json"} </w:instrText>
      </w:r>
      <w:r w:rsidR="00445FC6"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57</w:t>
      </w:r>
      <w:r w:rsidR="00445FC6" w:rsidRPr="000E79AA">
        <w:rPr>
          <w:rFonts w:ascii="Times New Roman" w:hAnsi="Times New Roman" w:cs="Times New Roman"/>
          <w:lang w:val="en-AU"/>
        </w:rPr>
        <w:fldChar w:fldCharType="end"/>
      </w:r>
      <w:r w:rsidR="0059139B" w:rsidRPr="000E79AA">
        <w:rPr>
          <w:rFonts w:ascii="Times New Roman" w:hAnsi="Times New Roman" w:cs="Times New Roman"/>
          <w:lang w:val="en-AU"/>
        </w:rPr>
        <w:t xml:space="preserve"> After these instructions, </w:t>
      </w:r>
      <w:r w:rsidR="00DA5F25" w:rsidRPr="000E79AA">
        <w:rPr>
          <w:rFonts w:ascii="Times New Roman" w:hAnsi="Times New Roman" w:cs="Times New Roman"/>
          <w:lang w:val="en-AU"/>
        </w:rPr>
        <w:t>they</w:t>
      </w:r>
      <w:r w:rsidR="0059139B" w:rsidRPr="000E79AA">
        <w:rPr>
          <w:rFonts w:ascii="Times New Roman" w:hAnsi="Times New Roman" w:cs="Times New Roman"/>
          <w:lang w:val="en-AU"/>
        </w:rPr>
        <w:t xml:space="preserve"> were given a practice block of 2</w:t>
      </w:r>
      <w:r w:rsidR="008852DD" w:rsidRPr="000E79AA">
        <w:rPr>
          <w:rFonts w:ascii="Times New Roman" w:hAnsi="Times New Roman" w:cs="Times New Roman"/>
          <w:lang w:val="en-AU"/>
        </w:rPr>
        <w:t>5</w:t>
      </w:r>
      <w:r w:rsidR="0059139B" w:rsidRPr="000E79AA">
        <w:rPr>
          <w:rFonts w:ascii="Times New Roman" w:hAnsi="Times New Roman" w:cs="Times New Roman"/>
          <w:lang w:val="en-AU"/>
        </w:rPr>
        <w:t xml:space="preserve"> trials (</w:t>
      </w:r>
      <w:r w:rsidR="008852DD" w:rsidRPr="000E79AA">
        <w:rPr>
          <w:rFonts w:ascii="Times New Roman" w:hAnsi="Times New Roman" w:cs="Times New Roman"/>
          <w:lang w:val="en-AU"/>
        </w:rPr>
        <w:t>20</w:t>
      </w:r>
      <w:r w:rsidR="008B32E3" w:rsidRPr="000E79AA">
        <w:rPr>
          <w:rFonts w:ascii="Times New Roman" w:hAnsi="Times New Roman" w:cs="Times New Roman"/>
          <w:lang w:val="en-AU"/>
        </w:rPr>
        <w:t xml:space="preserve"> go trials, 2 no-go trials, and 3 stop trials</w:t>
      </w:r>
      <w:r w:rsidR="0059139B" w:rsidRPr="000E79AA">
        <w:rPr>
          <w:rFonts w:ascii="Times New Roman" w:hAnsi="Times New Roman" w:cs="Times New Roman"/>
          <w:lang w:val="en-AU"/>
        </w:rPr>
        <w:t xml:space="preserve">). The experimenters verified that the participant understood the task, and if necessary the practice </w:t>
      </w:r>
      <w:r w:rsidR="0059139B" w:rsidRPr="000E79AA">
        <w:rPr>
          <w:rFonts w:ascii="Times New Roman" w:hAnsi="Times New Roman" w:cs="Times New Roman"/>
          <w:lang w:val="en-AU"/>
        </w:rPr>
        <w:lastRenderedPageBreak/>
        <w:t>block was repeated.</w:t>
      </w:r>
      <w:r w:rsidR="008852DD" w:rsidRPr="000E79AA">
        <w:rPr>
          <w:rFonts w:ascii="Times New Roman" w:hAnsi="Times New Roman" w:cs="Times New Roman"/>
          <w:lang w:val="en-AU"/>
        </w:rPr>
        <w:t xml:space="preserve"> The practice data was not analysed further.</w:t>
      </w:r>
      <w:r w:rsidR="00F0612D" w:rsidRPr="000E79AA">
        <w:rPr>
          <w:rFonts w:ascii="Times New Roman" w:hAnsi="Times New Roman" w:cs="Times New Roman"/>
          <w:lang w:val="en-AU"/>
        </w:rPr>
        <w:t xml:space="preserve"> </w:t>
      </w:r>
      <w:r w:rsidR="00C4375B" w:rsidRPr="000E79AA">
        <w:rPr>
          <w:rFonts w:ascii="Times New Roman" w:hAnsi="Times New Roman" w:cs="Times New Roman"/>
          <w:lang w:val="en-AU"/>
        </w:rPr>
        <w:t>More extensive details about the task</w:t>
      </w:r>
      <w:r w:rsidR="00D25A97" w:rsidRPr="000E79AA">
        <w:rPr>
          <w:rFonts w:ascii="Times New Roman" w:hAnsi="Times New Roman" w:cs="Times New Roman"/>
          <w:lang w:val="en-AU"/>
        </w:rPr>
        <w:t>,</w:t>
      </w:r>
      <w:r w:rsidR="006B508C" w:rsidRPr="000E79AA">
        <w:rPr>
          <w:rFonts w:ascii="Times New Roman" w:hAnsi="Times New Roman" w:cs="Times New Roman"/>
          <w:lang w:val="en-AU"/>
        </w:rPr>
        <w:t xml:space="preserve"> conforming</w:t>
      </w:r>
      <w:r w:rsidR="00C4375B" w:rsidRPr="000E79AA">
        <w:rPr>
          <w:rFonts w:ascii="Times New Roman" w:hAnsi="Times New Roman" w:cs="Times New Roman"/>
          <w:lang w:val="en-AU"/>
        </w:rPr>
        <w:t xml:space="preserve"> with</w:t>
      </w:r>
      <w:r w:rsidR="00396B0D" w:rsidRPr="000E79AA">
        <w:rPr>
          <w:rFonts w:ascii="Times New Roman" w:hAnsi="Times New Roman" w:cs="Times New Roman"/>
          <w:lang w:val="en-AU"/>
        </w:rPr>
        <w:t xml:space="preserve"> the</w:t>
      </w:r>
      <w:r w:rsidR="00C4375B" w:rsidRPr="000E79AA">
        <w:rPr>
          <w:rFonts w:ascii="Times New Roman" w:hAnsi="Times New Roman" w:cs="Times New Roman"/>
          <w:lang w:val="en-AU"/>
        </w:rPr>
        <w:t xml:space="preserve"> “check list for reporting stop-signal studies” advised by</w:t>
      </w:r>
      <w:r w:rsidR="006347BF" w:rsidRPr="000E79AA">
        <w:rPr>
          <w:rFonts w:ascii="Times New Roman" w:hAnsi="Times New Roman" w:cs="Times New Roman"/>
          <w:lang w:val="en-AU"/>
        </w:rPr>
        <w:t xml:space="preserve"> Verbruggen et </w:t>
      </w:r>
      <w:r w:rsidR="00EF3D02" w:rsidRPr="000E79AA">
        <w:rPr>
          <w:rFonts w:ascii="Times New Roman" w:hAnsi="Times New Roman" w:cs="Times New Roman"/>
          <w:lang w:val="en-AU"/>
        </w:rPr>
        <w:t>al</w:t>
      </w:r>
      <w:r w:rsidR="001477A3" w:rsidRPr="000E79AA">
        <w:rPr>
          <w:rFonts w:ascii="Times New Roman" w:hAnsi="Times New Roman" w:cs="Times New Roman"/>
          <w:lang w:val="en-AU"/>
        </w:rPr>
        <w:t>,</w:t>
      </w:r>
      <w:r w:rsidR="00EF3D02"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{"citationID":"a1de07mhp82","properties":{"formattedCitation":"\\super 57\\nosupersub{}","plainCitation":"57","noteIndex":0},"citationItems":[{"id":7421,"uris":["http://zotero.org/users/local/xUwQuTPV/items/W39PXV5S"],"uri":["http://zotero.org/users/local/xUwQuTPV/items/W39PXV5S"],"itemData":{"id":7421,"type":"article-journal","container-title":"eLife","DOI":"10.7554/eLife.46323","journalAbbreviation":"eLife","language":"English","page":"e55-26","title":"A consensus guide to capturing the ability to inhibit actions and impulsive behaviors in the stop-signal task","volume":"8","author":[{"family":"Verbruggen","given":"Frederick"},{"family":"Aron","given":"Adam R."},{"family":"Band","given":"Guido PH"},{"family":"Beste","given":"Christian"},{"family":"Bissett","given":"Patrick G."},{"family":"Brockett","given":"Adam T."},{"family":"Brown","given":"Joshua W."},{"family":"Chamberlain","given":"Samuel R."},{"family":"Chambers","given":"Christopher D."},{"family":"Colonius","given":"Hans"},{"family":"Colzato","given":"Lorenza S."},{"family":"Corneil","given":"Brian D."},{"family":"Coxon","given":"James P."},{"family":"Dupuis","given":"Annie"},{"family":"Eagle","given":"Dawn M."},{"family":"Garavan","given":"Hugh"},{"family":"Greenhouse","given":"Ian"},{"family":"Heathcote","given":"Andrew"},{"family":"Huster","given":"René J."},{"family":"Jahfari","given":"Sara"},{"family":"Kenemans","given":"J. Leon"},{"family":"Leunissen","given":"Inge"},{"family":"Li","given":"Chiang-Shan R."},{"family":"Logan","given":"Gordon D."},{"family":"Matzke","given":"Dora"},{"family":"Morein-Zamir","given":"Sharon"},{"family":"Murthy","given":"Aditya"},{"family":"Paré","given":"Martin"},{"family":"Poldrack","given":"Russell A."},{"family":"Ridderinkhof","given":"K. Richard"},{"family":"Robbins","given":"Trevor W."},{"family":"Roesch","given":"Matthew"},{"family":"Rubia","given":"Katya"},{"family":"Schachar","given":"Russell J."},{"family":"Schall","given":"Jeffrey D."},{"family":"Stock","given":"Ann-Kathrin"},{"family":"Swann","given":"Nicole C."},{"family":"Thakkar","given":"Katharine N."},{"family":"Molen","given":"Maurits W.","non-dropping-particle":"van der"},{"family":"Vermeylen","given":"Luc"},{"family":"Vink","given":"Matthijs"},{"family":"Wessel","given":"Jan R."},{"family":"Whelan","given":"Robert"},{"family":"Zandbelt","given":"Bram B."},{"family":"Boehler","given":"C. Nico"}],"issued":{"date-parts":[["2019",4,29]]}},"suppress-author":true}],"schema":"https://github.com/citation-style-language/schema/raw/master/csl-citation.json"} </w:instrText>
      </w:r>
      <w:r w:rsidR="00EF3D02"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57</w:t>
      </w:r>
      <w:r w:rsidR="00EF3D02" w:rsidRPr="000E79AA">
        <w:rPr>
          <w:rFonts w:ascii="Times New Roman" w:hAnsi="Times New Roman" w:cs="Times New Roman"/>
          <w:lang w:val="en-AU"/>
        </w:rPr>
        <w:fldChar w:fldCharType="end"/>
      </w:r>
      <w:r w:rsidR="00C4375B" w:rsidRPr="000E79AA">
        <w:rPr>
          <w:rFonts w:ascii="Times New Roman" w:hAnsi="Times New Roman" w:cs="Times New Roman"/>
          <w:lang w:val="en-AU"/>
        </w:rPr>
        <w:t xml:space="preserve"> can be found in </w:t>
      </w:r>
      <w:r w:rsidR="00147C71" w:rsidRPr="000E79AA">
        <w:rPr>
          <w:rFonts w:ascii="Times New Roman" w:hAnsi="Times New Roman" w:cs="Times New Roman"/>
          <w:lang w:val="en-AU"/>
        </w:rPr>
        <w:t xml:space="preserve">the </w:t>
      </w:r>
      <w:r w:rsidR="00C4375B" w:rsidRPr="000E79AA">
        <w:rPr>
          <w:rFonts w:ascii="Times New Roman" w:hAnsi="Times New Roman" w:cs="Times New Roman"/>
          <w:lang w:val="en-AU"/>
        </w:rPr>
        <w:t>Supplementary Material</w:t>
      </w:r>
      <w:r w:rsidR="005A5993" w:rsidRPr="000E79AA">
        <w:rPr>
          <w:rFonts w:ascii="Times New Roman" w:hAnsi="Times New Roman" w:cs="Times New Roman"/>
          <w:lang w:val="en-AU"/>
        </w:rPr>
        <w:t xml:space="preserve">. </w:t>
      </w:r>
      <w:r w:rsidR="00F0612D" w:rsidRPr="000E79AA">
        <w:rPr>
          <w:rFonts w:ascii="Times New Roman" w:hAnsi="Times New Roman" w:cs="Times New Roman"/>
          <w:lang w:val="en-AU"/>
        </w:rPr>
        <w:t xml:space="preserve"> </w:t>
      </w:r>
    </w:p>
    <w:p w14:paraId="2336413A" w14:textId="77777777" w:rsidR="00F0612D" w:rsidRPr="000E79AA" w:rsidRDefault="00F0612D" w:rsidP="004E671C">
      <w:pPr>
        <w:spacing w:line="360" w:lineRule="auto"/>
        <w:jc w:val="both"/>
        <w:rPr>
          <w:rFonts w:ascii="Times New Roman" w:hAnsi="Times New Roman" w:cs="Times New Roman"/>
          <w:lang w:val="en-AU"/>
        </w:rPr>
      </w:pPr>
    </w:p>
    <w:p w14:paraId="59248669" w14:textId="77777777" w:rsidR="003F3D01" w:rsidRPr="000E79AA" w:rsidRDefault="003F3D01" w:rsidP="004E671C">
      <w:pPr>
        <w:spacing w:line="360" w:lineRule="auto"/>
        <w:jc w:val="both"/>
        <w:rPr>
          <w:rFonts w:ascii="Times New Roman" w:hAnsi="Times New Roman" w:cs="Times New Roman"/>
          <w:lang w:val="en-AU"/>
        </w:rPr>
      </w:pPr>
    </w:p>
    <w:p w14:paraId="69454E52" w14:textId="77777777" w:rsidR="009758F6" w:rsidRPr="000E79AA" w:rsidRDefault="002F56B3" w:rsidP="004E671C">
      <w:pPr>
        <w:jc w:val="both"/>
        <w:rPr>
          <w:rFonts w:ascii="Times New Roman" w:hAnsi="Times New Roman" w:cs="Times New Roman"/>
          <w:lang w:val="en-AU"/>
        </w:rPr>
      </w:pPr>
      <w:r w:rsidRPr="000E79AA">
        <w:rPr>
          <w:rFonts w:ascii="Times New Roman" w:hAnsi="Times New Roman" w:cs="Times New Roman"/>
          <w:noProof/>
          <w:lang w:val="en-AU" w:eastAsia="en-GB"/>
        </w:rPr>
        <w:drawing>
          <wp:inline distT="0" distB="0" distL="0" distR="0" wp14:anchorId="596F278E" wp14:editId="184D4BFA">
            <wp:extent cx="4325815" cy="3692289"/>
            <wp:effectExtent l="0" t="0" r="508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ST_Fig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347277" cy="3710608"/>
                    </a:xfrm>
                    <a:prstGeom prst="rect">
                      <a:avLst/>
                    </a:prstGeom>
                  </pic:spPr>
                </pic:pic>
              </a:graphicData>
            </a:graphic>
          </wp:inline>
        </w:drawing>
      </w:r>
    </w:p>
    <w:p w14:paraId="22DA9A60" w14:textId="77777777" w:rsidR="00F877BE" w:rsidRPr="000E79AA" w:rsidRDefault="00F877BE" w:rsidP="004E671C">
      <w:pPr>
        <w:jc w:val="both"/>
        <w:rPr>
          <w:rFonts w:ascii="Times New Roman" w:hAnsi="Times New Roman" w:cs="Times New Roman"/>
          <w:i/>
          <w:lang w:val="en-AU"/>
        </w:rPr>
      </w:pPr>
    </w:p>
    <w:p w14:paraId="37610EA5" w14:textId="32C3A301" w:rsidR="00920577" w:rsidRPr="000E79AA" w:rsidRDefault="00920577" w:rsidP="004E671C">
      <w:pPr>
        <w:jc w:val="both"/>
        <w:rPr>
          <w:rFonts w:ascii="Times New Roman" w:hAnsi="Times New Roman" w:cs="Times New Roman"/>
          <w:i/>
          <w:lang w:val="en-AU"/>
        </w:rPr>
      </w:pPr>
      <w:r w:rsidRPr="000E79AA">
        <w:rPr>
          <w:rFonts w:ascii="Times New Roman" w:hAnsi="Times New Roman" w:cs="Times New Roman"/>
          <w:i/>
          <w:lang w:val="en-AU"/>
        </w:rPr>
        <w:t>Figure 1</w:t>
      </w:r>
      <w:r w:rsidRPr="000E79AA">
        <w:rPr>
          <w:rFonts w:ascii="Times New Roman" w:hAnsi="Times New Roman" w:cs="Times New Roman"/>
          <w:lang w:val="en-AU"/>
        </w:rPr>
        <w:t xml:space="preserve">. </w:t>
      </w:r>
      <w:r w:rsidR="009334FC" w:rsidRPr="000E79AA">
        <w:rPr>
          <w:rFonts w:ascii="Times New Roman" w:hAnsi="Times New Roman" w:cs="Times New Roman"/>
          <w:i/>
          <w:lang w:val="en-AU"/>
        </w:rPr>
        <w:t>Design of the stop</w:t>
      </w:r>
      <w:r w:rsidR="00404BBC" w:rsidRPr="000E79AA">
        <w:rPr>
          <w:rFonts w:ascii="Times New Roman" w:hAnsi="Times New Roman" w:cs="Times New Roman"/>
          <w:i/>
          <w:lang w:val="en-AU"/>
        </w:rPr>
        <w:t>-</w:t>
      </w:r>
      <w:r w:rsidR="009334FC" w:rsidRPr="000E79AA">
        <w:rPr>
          <w:rFonts w:ascii="Times New Roman" w:hAnsi="Times New Roman" w:cs="Times New Roman"/>
          <w:i/>
          <w:lang w:val="en-AU"/>
        </w:rPr>
        <w:t xml:space="preserve">signal task </w:t>
      </w:r>
      <w:r w:rsidRPr="000E79AA">
        <w:rPr>
          <w:rFonts w:ascii="Times New Roman" w:hAnsi="Times New Roman" w:cs="Times New Roman"/>
          <w:i/>
          <w:lang w:val="en-AU"/>
        </w:rPr>
        <w:t>(</w:t>
      </w:r>
      <w:r w:rsidR="009334FC" w:rsidRPr="000E79AA">
        <w:rPr>
          <w:rFonts w:ascii="Times New Roman" w:hAnsi="Times New Roman" w:cs="Times New Roman"/>
          <w:i/>
          <w:lang w:val="en-AU"/>
        </w:rPr>
        <w:t>A</w:t>
      </w:r>
      <w:r w:rsidRPr="000E79AA">
        <w:rPr>
          <w:rFonts w:ascii="Times New Roman" w:hAnsi="Times New Roman" w:cs="Times New Roman"/>
          <w:i/>
          <w:lang w:val="en-AU"/>
        </w:rPr>
        <w:t xml:space="preserve">) and ex-Gaussian race model </w:t>
      </w:r>
      <w:r w:rsidR="009334FC" w:rsidRPr="000E79AA">
        <w:rPr>
          <w:rFonts w:ascii="Times New Roman" w:hAnsi="Times New Roman" w:cs="Times New Roman"/>
          <w:i/>
          <w:lang w:val="en-AU"/>
        </w:rPr>
        <w:t xml:space="preserve">of response inhibition </w:t>
      </w:r>
      <w:r w:rsidRPr="000E79AA">
        <w:rPr>
          <w:rFonts w:ascii="Times New Roman" w:hAnsi="Times New Roman" w:cs="Times New Roman"/>
          <w:i/>
          <w:lang w:val="en-AU"/>
        </w:rPr>
        <w:t>(</w:t>
      </w:r>
      <w:r w:rsidR="00356127" w:rsidRPr="000E79AA">
        <w:rPr>
          <w:rFonts w:ascii="Times New Roman" w:hAnsi="Times New Roman" w:cs="Times New Roman"/>
          <w:i/>
          <w:lang w:val="en-AU"/>
        </w:rPr>
        <w:t>B</w:t>
      </w:r>
      <w:r w:rsidRPr="000E79AA">
        <w:rPr>
          <w:rFonts w:ascii="Times New Roman" w:hAnsi="Times New Roman" w:cs="Times New Roman"/>
          <w:i/>
          <w:lang w:val="en-AU"/>
        </w:rPr>
        <w:t>).</w:t>
      </w:r>
      <w:r w:rsidR="00800E6E" w:rsidRPr="000E79AA">
        <w:rPr>
          <w:rFonts w:ascii="Times New Roman" w:hAnsi="Times New Roman" w:cs="Times New Roman"/>
          <w:i/>
          <w:lang w:val="en-AU"/>
        </w:rPr>
        <w:t xml:space="preserve"> </w:t>
      </w:r>
      <w:r w:rsidR="00356127" w:rsidRPr="000E79AA">
        <w:rPr>
          <w:rFonts w:ascii="Times New Roman" w:hAnsi="Times New Roman" w:cs="Times New Roman"/>
          <w:i/>
          <w:lang w:val="en-AU"/>
        </w:rPr>
        <w:t xml:space="preserve">(A) </w:t>
      </w:r>
      <w:r w:rsidR="00800E6E" w:rsidRPr="000E79AA">
        <w:rPr>
          <w:rFonts w:ascii="Times New Roman" w:hAnsi="Times New Roman" w:cs="Times New Roman"/>
          <w:i/>
          <w:lang w:val="en-AU"/>
        </w:rPr>
        <w:t>In the</w:t>
      </w:r>
      <w:r w:rsidR="009334FC" w:rsidRPr="000E79AA">
        <w:rPr>
          <w:rFonts w:ascii="Times New Roman" w:hAnsi="Times New Roman" w:cs="Times New Roman"/>
          <w:i/>
          <w:lang w:val="en-AU"/>
        </w:rPr>
        <w:t xml:space="preserve"> stop-signal go/no-go task</w:t>
      </w:r>
      <w:r w:rsidR="00800E6E" w:rsidRPr="000E79AA">
        <w:rPr>
          <w:rFonts w:ascii="Times New Roman" w:hAnsi="Times New Roman" w:cs="Times New Roman"/>
          <w:i/>
          <w:lang w:val="en-AU"/>
        </w:rPr>
        <w:t>, participants respond as quickly and accurately as possible to the direction of a black arrow (go trials). Occasionally, this task is interrupted by a stop</w:t>
      </w:r>
      <w:r w:rsidR="009444B1" w:rsidRPr="000E79AA">
        <w:rPr>
          <w:rFonts w:ascii="Times New Roman" w:hAnsi="Times New Roman" w:cs="Times New Roman"/>
          <w:i/>
          <w:lang w:val="en-AU"/>
        </w:rPr>
        <w:t>-</w:t>
      </w:r>
      <w:r w:rsidR="00800E6E" w:rsidRPr="000E79AA">
        <w:rPr>
          <w:rFonts w:ascii="Times New Roman" w:hAnsi="Times New Roman" w:cs="Times New Roman"/>
          <w:i/>
          <w:lang w:val="en-AU"/>
        </w:rPr>
        <w:t xml:space="preserve">signal (red arrow and beep tone), which requires any imminent response to be inhibited. For </w:t>
      </w:r>
      <w:r w:rsidR="003D42CB" w:rsidRPr="000E79AA">
        <w:rPr>
          <w:rFonts w:ascii="Times New Roman" w:hAnsi="Times New Roman" w:cs="Times New Roman"/>
          <w:i/>
          <w:lang w:val="en-AU"/>
        </w:rPr>
        <w:t>no-go trials, the stop</w:t>
      </w:r>
      <w:r w:rsidR="009444B1" w:rsidRPr="000E79AA">
        <w:rPr>
          <w:rFonts w:ascii="Times New Roman" w:hAnsi="Times New Roman" w:cs="Times New Roman"/>
          <w:i/>
          <w:lang w:val="en-AU"/>
        </w:rPr>
        <w:t>-</w:t>
      </w:r>
      <w:r w:rsidR="003D42CB" w:rsidRPr="000E79AA">
        <w:rPr>
          <w:rFonts w:ascii="Times New Roman" w:hAnsi="Times New Roman" w:cs="Times New Roman"/>
          <w:i/>
          <w:lang w:val="en-AU"/>
        </w:rPr>
        <w:t xml:space="preserve">signal is presented immediately after the fixation cross. For </w:t>
      </w:r>
      <w:r w:rsidR="00800E6E" w:rsidRPr="000E79AA">
        <w:rPr>
          <w:rFonts w:ascii="Times New Roman" w:hAnsi="Times New Roman" w:cs="Times New Roman"/>
          <w:i/>
          <w:lang w:val="en-AU"/>
        </w:rPr>
        <w:t xml:space="preserve">stop trials, </w:t>
      </w:r>
      <w:r w:rsidR="003D42CB" w:rsidRPr="000E79AA">
        <w:rPr>
          <w:rFonts w:ascii="Times New Roman" w:hAnsi="Times New Roman" w:cs="Times New Roman"/>
          <w:i/>
          <w:lang w:val="en-AU"/>
        </w:rPr>
        <w:t>the stop</w:t>
      </w:r>
      <w:r w:rsidR="009444B1" w:rsidRPr="000E79AA">
        <w:rPr>
          <w:rFonts w:ascii="Times New Roman" w:hAnsi="Times New Roman" w:cs="Times New Roman"/>
          <w:i/>
          <w:lang w:val="en-AU"/>
        </w:rPr>
        <w:t>-</w:t>
      </w:r>
      <w:r w:rsidR="003D42CB" w:rsidRPr="000E79AA">
        <w:rPr>
          <w:rFonts w:ascii="Times New Roman" w:hAnsi="Times New Roman" w:cs="Times New Roman"/>
          <w:i/>
          <w:lang w:val="en-AU"/>
        </w:rPr>
        <w:t>signal is presented after an initial go stimulus, with a short and variable delay</w:t>
      </w:r>
      <w:r w:rsidR="00317CD6" w:rsidRPr="000E79AA">
        <w:rPr>
          <w:rFonts w:ascii="Times New Roman" w:hAnsi="Times New Roman" w:cs="Times New Roman"/>
          <w:i/>
          <w:lang w:val="en-AU"/>
        </w:rPr>
        <w:t>.</w:t>
      </w:r>
      <w:r w:rsidR="00DC7BFA" w:rsidRPr="000E79AA">
        <w:rPr>
          <w:rFonts w:ascii="Times New Roman" w:hAnsi="Times New Roman" w:cs="Times New Roman"/>
          <w:i/>
          <w:lang w:val="en-AU"/>
        </w:rPr>
        <w:t xml:space="preserve"> </w:t>
      </w:r>
      <w:r w:rsidR="00356127" w:rsidRPr="000E79AA">
        <w:rPr>
          <w:rFonts w:ascii="Times New Roman" w:hAnsi="Times New Roman" w:cs="Times New Roman"/>
          <w:i/>
          <w:lang w:val="en-AU"/>
        </w:rPr>
        <w:t xml:space="preserve">(B) </w:t>
      </w:r>
      <w:r w:rsidR="00331811" w:rsidRPr="000E79AA">
        <w:rPr>
          <w:rFonts w:ascii="Times New Roman" w:hAnsi="Times New Roman" w:cs="Times New Roman"/>
          <w:i/>
          <w:lang w:val="en-AU"/>
        </w:rPr>
        <w:t>The ex-Gaussian race model characterises task performance as a race between three competin</w:t>
      </w:r>
      <w:r w:rsidR="001B3564" w:rsidRPr="000E79AA">
        <w:rPr>
          <w:rFonts w:ascii="Times New Roman" w:hAnsi="Times New Roman" w:cs="Times New Roman"/>
          <w:i/>
          <w:lang w:val="en-AU"/>
        </w:rPr>
        <w:t>g processes or ‘runners’</w:t>
      </w:r>
      <w:r w:rsidR="00331811" w:rsidRPr="000E79AA">
        <w:rPr>
          <w:rFonts w:ascii="Times New Roman" w:hAnsi="Times New Roman" w:cs="Times New Roman"/>
          <w:i/>
          <w:lang w:val="en-AU"/>
        </w:rPr>
        <w:t xml:space="preserve">: </w:t>
      </w:r>
      <w:r w:rsidR="00854AB8" w:rsidRPr="000E79AA">
        <w:rPr>
          <w:rFonts w:ascii="Times New Roman" w:hAnsi="Times New Roman" w:cs="Times New Roman"/>
          <w:i/>
          <w:lang w:val="en-AU"/>
        </w:rPr>
        <w:t>One</w:t>
      </w:r>
      <w:r w:rsidR="001B3564" w:rsidRPr="000E79AA">
        <w:rPr>
          <w:rFonts w:ascii="Times New Roman" w:hAnsi="Times New Roman" w:cs="Times New Roman"/>
          <w:i/>
          <w:lang w:val="en-AU"/>
        </w:rPr>
        <w:t xml:space="preserve"> stop process, </w:t>
      </w:r>
      <w:r w:rsidR="00854AB8" w:rsidRPr="000E79AA">
        <w:rPr>
          <w:rFonts w:ascii="Times New Roman" w:hAnsi="Times New Roman" w:cs="Times New Roman"/>
          <w:i/>
          <w:lang w:val="en-AU"/>
        </w:rPr>
        <w:t xml:space="preserve">and two </w:t>
      </w:r>
      <w:r w:rsidR="001B3564" w:rsidRPr="000E79AA">
        <w:rPr>
          <w:rFonts w:ascii="Times New Roman" w:hAnsi="Times New Roman" w:cs="Times New Roman"/>
          <w:i/>
          <w:lang w:val="en-AU"/>
        </w:rPr>
        <w:t>go process</w:t>
      </w:r>
      <w:r w:rsidR="00854AB8" w:rsidRPr="000E79AA">
        <w:rPr>
          <w:rFonts w:ascii="Times New Roman" w:hAnsi="Times New Roman" w:cs="Times New Roman"/>
          <w:i/>
          <w:lang w:val="en-AU"/>
        </w:rPr>
        <w:t>es that match</w:t>
      </w:r>
      <w:r w:rsidR="001B3564" w:rsidRPr="000E79AA">
        <w:rPr>
          <w:rFonts w:ascii="Times New Roman" w:hAnsi="Times New Roman" w:cs="Times New Roman"/>
          <w:i/>
          <w:lang w:val="en-AU"/>
        </w:rPr>
        <w:t xml:space="preserve"> </w:t>
      </w:r>
      <w:r w:rsidR="00854AB8" w:rsidRPr="000E79AA">
        <w:rPr>
          <w:rFonts w:ascii="Times New Roman" w:hAnsi="Times New Roman" w:cs="Times New Roman"/>
          <w:i/>
          <w:lang w:val="en-AU"/>
        </w:rPr>
        <w:t>or</w:t>
      </w:r>
      <w:r w:rsidR="001B3564" w:rsidRPr="000E79AA">
        <w:rPr>
          <w:rFonts w:ascii="Times New Roman" w:hAnsi="Times New Roman" w:cs="Times New Roman"/>
          <w:i/>
          <w:lang w:val="en-AU"/>
        </w:rPr>
        <w:t xml:space="preserve"> mismatch </w:t>
      </w:r>
      <w:r w:rsidR="00854AB8" w:rsidRPr="000E79AA">
        <w:rPr>
          <w:rFonts w:ascii="Times New Roman" w:hAnsi="Times New Roman" w:cs="Times New Roman"/>
          <w:i/>
          <w:lang w:val="en-AU"/>
        </w:rPr>
        <w:t xml:space="preserve">the </w:t>
      </w:r>
      <w:r w:rsidR="001B3564" w:rsidRPr="000E79AA">
        <w:rPr>
          <w:rFonts w:ascii="Times New Roman" w:hAnsi="Times New Roman" w:cs="Times New Roman"/>
          <w:i/>
          <w:lang w:val="en-AU"/>
        </w:rPr>
        <w:t>go</w:t>
      </w:r>
      <w:r w:rsidR="00854AB8" w:rsidRPr="000E79AA">
        <w:rPr>
          <w:rFonts w:ascii="Times New Roman" w:hAnsi="Times New Roman" w:cs="Times New Roman"/>
          <w:i/>
          <w:lang w:val="en-AU"/>
        </w:rPr>
        <w:t xml:space="preserve"> stimulus</w:t>
      </w:r>
      <w:r w:rsidR="001B3564" w:rsidRPr="000E79AA">
        <w:rPr>
          <w:rFonts w:ascii="Times New Roman" w:hAnsi="Times New Roman" w:cs="Times New Roman"/>
          <w:i/>
          <w:lang w:val="en-AU"/>
        </w:rPr>
        <w:t>. The finishing time</w:t>
      </w:r>
      <w:r w:rsidR="005624CC" w:rsidRPr="000E79AA">
        <w:rPr>
          <w:rFonts w:ascii="Times New Roman" w:hAnsi="Times New Roman" w:cs="Times New Roman"/>
          <w:i/>
          <w:lang w:val="en-AU"/>
        </w:rPr>
        <w:t>s</w:t>
      </w:r>
      <w:r w:rsidR="001B3564" w:rsidRPr="000E79AA">
        <w:rPr>
          <w:rFonts w:ascii="Times New Roman" w:hAnsi="Times New Roman" w:cs="Times New Roman"/>
          <w:i/>
          <w:lang w:val="en-AU"/>
        </w:rPr>
        <w:t xml:space="preserve"> of </w:t>
      </w:r>
      <w:r w:rsidR="005624CC" w:rsidRPr="000E79AA">
        <w:rPr>
          <w:rFonts w:ascii="Times New Roman" w:hAnsi="Times New Roman" w:cs="Times New Roman"/>
          <w:i/>
          <w:lang w:val="en-AU"/>
        </w:rPr>
        <w:t>each</w:t>
      </w:r>
      <w:r w:rsidR="001B3564" w:rsidRPr="000E79AA">
        <w:rPr>
          <w:rFonts w:ascii="Times New Roman" w:hAnsi="Times New Roman" w:cs="Times New Roman"/>
          <w:i/>
          <w:lang w:val="en-AU"/>
        </w:rPr>
        <w:t xml:space="preserve"> proce</w:t>
      </w:r>
      <w:r w:rsidR="005624CC" w:rsidRPr="000E79AA">
        <w:rPr>
          <w:rFonts w:ascii="Times New Roman" w:hAnsi="Times New Roman" w:cs="Times New Roman"/>
          <w:i/>
          <w:lang w:val="en-AU"/>
        </w:rPr>
        <w:t>ss</w:t>
      </w:r>
      <w:r w:rsidR="001B3564" w:rsidRPr="000E79AA">
        <w:rPr>
          <w:rFonts w:ascii="Times New Roman" w:hAnsi="Times New Roman" w:cs="Times New Roman"/>
          <w:i/>
          <w:lang w:val="en-AU"/>
        </w:rPr>
        <w:t xml:space="preserve"> </w:t>
      </w:r>
      <w:r w:rsidR="005624CC" w:rsidRPr="000E79AA">
        <w:rPr>
          <w:rFonts w:ascii="Times New Roman" w:hAnsi="Times New Roman" w:cs="Times New Roman"/>
          <w:i/>
          <w:lang w:val="en-AU"/>
        </w:rPr>
        <w:t>are</w:t>
      </w:r>
      <w:r w:rsidR="001B3564" w:rsidRPr="000E79AA">
        <w:rPr>
          <w:rFonts w:ascii="Times New Roman" w:hAnsi="Times New Roman" w:cs="Times New Roman"/>
          <w:i/>
          <w:lang w:val="en-AU"/>
        </w:rPr>
        <w:t xml:space="preserve"> assumed to follow an ex-Gaussian distribution. Successful inhibition in stop trials occurs when the stop process finishes before both go processes. A correct go response occurs when the matching go process finishes before the mismatching go process. </w:t>
      </w:r>
      <w:r w:rsidR="00B85ED1" w:rsidRPr="000E79AA">
        <w:rPr>
          <w:rFonts w:ascii="Times New Roman" w:hAnsi="Times New Roman" w:cs="Times New Roman"/>
          <w:i/>
          <w:lang w:val="en-AU"/>
        </w:rPr>
        <w:t>F</w:t>
      </w:r>
      <w:r w:rsidR="001B3564" w:rsidRPr="000E79AA">
        <w:rPr>
          <w:rFonts w:ascii="Times New Roman" w:hAnsi="Times New Roman" w:cs="Times New Roman"/>
          <w:i/>
          <w:lang w:val="en-AU"/>
        </w:rPr>
        <w:t xml:space="preserve">or simplicity, the finishing time distribution of the mismatching go process is </w:t>
      </w:r>
      <w:r w:rsidR="006C7B0F" w:rsidRPr="000E79AA">
        <w:rPr>
          <w:rFonts w:ascii="Times New Roman" w:hAnsi="Times New Roman" w:cs="Times New Roman"/>
          <w:i/>
          <w:lang w:val="en-AU"/>
        </w:rPr>
        <w:t xml:space="preserve">not </w:t>
      </w:r>
      <w:r w:rsidR="00B85ED1" w:rsidRPr="000E79AA">
        <w:rPr>
          <w:rFonts w:ascii="Times New Roman" w:hAnsi="Times New Roman" w:cs="Times New Roman"/>
          <w:i/>
          <w:lang w:val="en-AU"/>
        </w:rPr>
        <w:t>illustrated</w:t>
      </w:r>
      <w:r w:rsidR="001B3564" w:rsidRPr="000E79AA">
        <w:rPr>
          <w:rFonts w:ascii="Times New Roman" w:hAnsi="Times New Roman" w:cs="Times New Roman"/>
          <w:i/>
          <w:lang w:val="en-AU"/>
        </w:rPr>
        <w:t xml:space="preserve">. </w:t>
      </w:r>
      <w:r w:rsidR="00356127" w:rsidRPr="000E79AA">
        <w:rPr>
          <w:rFonts w:ascii="Times New Roman" w:hAnsi="Times New Roman" w:cs="Times New Roman"/>
          <w:i/>
          <w:lang w:val="en-AU"/>
        </w:rPr>
        <w:t xml:space="preserve">Acknowledgements: The speaker symbol in Figure 1A was copied from the Twitter emoji library, available at https://twemoji.twitter.com/ under a CC-BY 4.0 license (https://creativecommons.org/licenses/by/4.0/). </w:t>
      </w:r>
      <w:r w:rsidR="00DC7BFA" w:rsidRPr="000E79AA">
        <w:rPr>
          <w:rFonts w:ascii="Times New Roman" w:hAnsi="Times New Roman" w:cs="Times New Roman"/>
          <w:i/>
          <w:lang w:val="en-AU"/>
        </w:rPr>
        <w:t>Figure 1B was copied from Heathcote et al.</w:t>
      </w:r>
      <w:r w:rsidR="00960996" w:rsidRPr="000E79AA">
        <w:rPr>
          <w:rFonts w:ascii="Times New Roman" w:hAnsi="Times New Roman" w:cs="Times New Roman"/>
          <w:i/>
          <w:lang w:val="en-AU"/>
        </w:rPr>
        <w:fldChar w:fldCharType="begin"/>
      </w:r>
      <w:r w:rsidR="00960996" w:rsidRPr="000E79AA">
        <w:rPr>
          <w:rFonts w:ascii="Times New Roman" w:hAnsi="Times New Roman" w:cs="Times New Roman"/>
          <w:i/>
          <w:lang w:val="en-AU"/>
        </w:rPr>
        <w:instrText xml:space="preserve"> ADDIN ZOTERO_ITEM CSL_CITATION {"citationID":"a150nc2ohip","properties":{"formattedCitation":"\\super 58\\nosupersub{}","plainCitation":"58","noteIndex":0},"citationItems":[{"id":12190,"uris":["http://zotero.org/users/local/xUwQuTPV/items/R8ES6T4Q"],"uri":["http://zotero.org/users/local/xUwQuTPV/items/R8ES6T4Q"],"itemData":{"id":12190,"type":"article-journal","abstract":"Parameter estimation in evidence-accumulation models of choice response times is demanding of both the data and the user. We outline how to fit evidence-accumulation models using the flexible, open-source, R-based Dynamic Models of Choice (DMC) software. DMC provides a hands-on introduction to the Bayesian implementation of two popular evidence-accumulation models: the diffusion decision model (DDM) and the linear ballistic accumulator (LBA). It enables individual and hierarchical estimation, as well as assessment of the quality of a model’s parameter estimates and descriptive accuracy. First, we introduce the basic concepts of Bayesian parameter estimation, guiding the reader through a simple DDM analysis. We then illustrate the challenges of fitting evidence-accumulation models using a set of LBA analyses. We emphasize best practices in modeling and discuss the importance of parameter- and model-recovery simulations, exploring the strengths and weaknesses of models in different experimental designs and parameter regions. We also demonstrate how DMC can be used to model complex cognitive processes, using as an example a race model of the stop-signal paradigm, which is used to measure inhibitory ability. We illustrate the flexibility of DMC by extending this model to account for mixtures of cognitive processes resulting from attention failures. We then guide the reader through the practical details of a Bayesian hierarchical analysis, from specifying priors to obtaining posterior distributions that encapsulate what has been learned from the data. Finally, we illustrate how the Bayesian approach leads to a quantitatively cumulative science, showing how to use posterior distributions to specify priors that can be used to inform the analysis of future experiments.","container-title":"Behavior Research Methods","DOI":"10.3758/s13428-018-1067-y","ISSN":"1554-3528","issue":"2","journalAbbreviation":"Behav Res","language":"en","page":"961-985","source":"DOI.org (Crossref)","title":"Dynamic models of choice","volume":"51","author":[{"family":"Heathcote","given":"Andrew"},{"family":"Lin","given":"Yi-Shin"},{"family":"Reynolds","given":"Angus"},{"family":"Strickland","given":"Luke"},{"family":"Gretton","given":"Matthew"},{"family":"Matzke","given":"Dora"}],"issued":{"date-parts":[["2019",4]]}}}],"schema":"https://github.com/citation-style-language/schema/raw/master/csl-citation.json"} </w:instrText>
      </w:r>
      <w:r w:rsidR="00960996" w:rsidRPr="000E79AA">
        <w:rPr>
          <w:rFonts w:ascii="Times New Roman" w:hAnsi="Times New Roman" w:cs="Times New Roman"/>
          <w:i/>
          <w:lang w:val="en-AU"/>
        </w:rPr>
        <w:fldChar w:fldCharType="separate"/>
      </w:r>
      <w:r w:rsidR="00960996" w:rsidRPr="000E79AA">
        <w:rPr>
          <w:rFonts w:ascii="Times New Roman" w:hAnsi="Times New Roman" w:cs="Times New Roman"/>
          <w:vertAlign w:val="superscript"/>
        </w:rPr>
        <w:t>58</w:t>
      </w:r>
      <w:r w:rsidR="00960996" w:rsidRPr="000E79AA">
        <w:rPr>
          <w:rFonts w:ascii="Times New Roman" w:hAnsi="Times New Roman" w:cs="Times New Roman"/>
          <w:i/>
          <w:lang w:val="en-AU"/>
        </w:rPr>
        <w:fldChar w:fldCharType="end"/>
      </w:r>
      <w:r w:rsidR="00AD5B5F" w:rsidRPr="000E79AA">
        <w:rPr>
          <w:rFonts w:ascii="Times New Roman" w:hAnsi="Times New Roman" w:cs="Times New Roman"/>
          <w:i/>
          <w:lang w:val="en-AU"/>
        </w:rPr>
        <w:t>,</w:t>
      </w:r>
      <w:r w:rsidR="00D331D4" w:rsidRPr="000E79AA">
        <w:rPr>
          <w:rFonts w:ascii="Times New Roman" w:hAnsi="Times New Roman" w:cs="Times New Roman"/>
          <w:i/>
          <w:lang w:val="en-AU"/>
        </w:rPr>
        <w:t xml:space="preserve"> available</w:t>
      </w:r>
      <w:r w:rsidR="00AD5B5F" w:rsidRPr="000E79AA">
        <w:rPr>
          <w:rFonts w:ascii="Times New Roman" w:hAnsi="Times New Roman" w:cs="Times New Roman"/>
          <w:i/>
          <w:lang w:val="en-AU"/>
        </w:rPr>
        <w:t xml:space="preserve"> at https://flic.kr/p/24g3sip</w:t>
      </w:r>
      <w:r w:rsidR="00DC7BFA" w:rsidRPr="000E79AA">
        <w:rPr>
          <w:rFonts w:ascii="Times New Roman" w:hAnsi="Times New Roman" w:cs="Times New Roman"/>
          <w:i/>
          <w:lang w:val="en-AU"/>
        </w:rPr>
        <w:t xml:space="preserve"> under a CC</w:t>
      </w:r>
      <w:r w:rsidR="003D42CB" w:rsidRPr="000E79AA">
        <w:rPr>
          <w:rFonts w:ascii="Times New Roman" w:hAnsi="Times New Roman" w:cs="Times New Roman"/>
          <w:i/>
          <w:lang w:val="en-AU"/>
        </w:rPr>
        <w:t>-</w:t>
      </w:r>
      <w:r w:rsidR="00DC7BFA" w:rsidRPr="000E79AA">
        <w:rPr>
          <w:rFonts w:ascii="Times New Roman" w:hAnsi="Times New Roman" w:cs="Times New Roman"/>
          <w:i/>
          <w:lang w:val="en-AU"/>
        </w:rPr>
        <w:t>BY 2.0 license (https://creativecommons.org/licenses/by/2.0/).</w:t>
      </w:r>
    </w:p>
    <w:p w14:paraId="217BAB82" w14:textId="77777777" w:rsidR="00CB21E7" w:rsidRPr="000E79AA" w:rsidRDefault="00CB21E7" w:rsidP="004E671C">
      <w:pPr>
        <w:spacing w:line="360" w:lineRule="auto"/>
        <w:jc w:val="both"/>
        <w:rPr>
          <w:rFonts w:ascii="Times New Roman" w:hAnsi="Times New Roman" w:cs="Times New Roman"/>
          <w:b/>
          <w:lang w:val="en-AU"/>
        </w:rPr>
      </w:pPr>
    </w:p>
    <w:p w14:paraId="32596752" w14:textId="77777777" w:rsidR="00314FF8" w:rsidRPr="000E79AA" w:rsidRDefault="00314FF8" w:rsidP="004E671C">
      <w:pPr>
        <w:spacing w:line="360" w:lineRule="auto"/>
        <w:jc w:val="both"/>
        <w:rPr>
          <w:rFonts w:ascii="Times New Roman" w:hAnsi="Times New Roman" w:cs="Times New Roman"/>
          <w:b/>
          <w:i/>
          <w:iCs/>
          <w:lang w:val="en-AU"/>
        </w:rPr>
      </w:pPr>
    </w:p>
    <w:p w14:paraId="206F4C5B" w14:textId="35FFD349" w:rsidR="007F1663" w:rsidRPr="000E79AA" w:rsidRDefault="000460A4"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lastRenderedPageBreak/>
        <w:t xml:space="preserve">Ex-Gaussian </w:t>
      </w:r>
      <w:r w:rsidR="00A754C1" w:rsidRPr="000E79AA">
        <w:rPr>
          <w:rFonts w:ascii="Times New Roman" w:hAnsi="Times New Roman" w:cs="Times New Roman"/>
          <w:b/>
          <w:i/>
          <w:iCs/>
          <w:lang w:val="en-AU"/>
        </w:rPr>
        <w:t>race model of response inhibition</w:t>
      </w:r>
    </w:p>
    <w:p w14:paraId="68D10663" w14:textId="48537738" w:rsidR="00C36532" w:rsidRPr="000E79AA" w:rsidRDefault="0036046E"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We used a</w:t>
      </w:r>
      <w:r w:rsidR="0068398F" w:rsidRPr="000E79AA">
        <w:rPr>
          <w:rFonts w:ascii="Times New Roman" w:hAnsi="Times New Roman" w:cs="Times New Roman"/>
          <w:lang w:val="en-AU"/>
        </w:rPr>
        <w:t xml:space="preserve"> Bayesian parametric model of the stop</w:t>
      </w:r>
      <w:r w:rsidR="0025596F" w:rsidRPr="000E79AA">
        <w:rPr>
          <w:rFonts w:ascii="Times New Roman" w:hAnsi="Times New Roman" w:cs="Times New Roman"/>
          <w:lang w:val="en-AU"/>
        </w:rPr>
        <w:t>-</w:t>
      </w:r>
      <w:r w:rsidR="0068398F" w:rsidRPr="000E79AA">
        <w:rPr>
          <w:rFonts w:ascii="Times New Roman" w:hAnsi="Times New Roman" w:cs="Times New Roman"/>
          <w:lang w:val="en-AU"/>
        </w:rPr>
        <w:t xml:space="preserve">signal task to </w:t>
      </w:r>
      <w:r w:rsidR="003B6079" w:rsidRPr="000E79AA">
        <w:rPr>
          <w:rFonts w:ascii="Times New Roman" w:hAnsi="Times New Roman" w:cs="Times New Roman"/>
          <w:lang w:val="en-AU"/>
        </w:rPr>
        <w:t>infer</w:t>
      </w:r>
      <w:r w:rsidR="0068398F" w:rsidRPr="000E79AA">
        <w:rPr>
          <w:rFonts w:ascii="Times New Roman" w:hAnsi="Times New Roman" w:cs="Times New Roman"/>
          <w:lang w:val="en-AU"/>
        </w:rPr>
        <w:t xml:space="preserve"> the latency of the </w:t>
      </w:r>
      <w:r w:rsidR="00E56D8E" w:rsidRPr="000E79AA">
        <w:rPr>
          <w:rFonts w:ascii="Times New Roman" w:hAnsi="Times New Roman" w:cs="Times New Roman"/>
          <w:lang w:val="en-AU"/>
        </w:rPr>
        <w:t xml:space="preserve">unobservable </w:t>
      </w:r>
      <w:r w:rsidR="0068398F" w:rsidRPr="000E79AA">
        <w:rPr>
          <w:rFonts w:ascii="Times New Roman" w:hAnsi="Times New Roman" w:cs="Times New Roman"/>
          <w:lang w:val="en-AU"/>
        </w:rPr>
        <w:t>stop response</w:t>
      </w:r>
      <w:r w:rsidR="00533C86" w:rsidRPr="000E79AA">
        <w:rPr>
          <w:rFonts w:ascii="Times New Roman" w:hAnsi="Times New Roman" w:cs="Times New Roman"/>
          <w:lang w:val="en-AU"/>
        </w:rPr>
        <w:t xml:space="preserve"> – </w:t>
      </w:r>
      <w:r w:rsidR="0068398F" w:rsidRPr="000E79AA">
        <w:rPr>
          <w:rFonts w:ascii="Times New Roman" w:hAnsi="Times New Roman" w:cs="Times New Roman"/>
          <w:lang w:val="en-AU"/>
        </w:rPr>
        <w:t>the stop-signal reaction time (SSRT</w:t>
      </w:r>
      <w:r w:rsidR="004018C3" w:rsidRPr="000E79AA">
        <w:rPr>
          <w:rFonts w:ascii="Times New Roman" w:hAnsi="Times New Roman" w:cs="Times New Roman"/>
          <w:lang w:val="en-AU"/>
        </w:rPr>
        <w:t>)</w:t>
      </w:r>
      <w:r w:rsidR="00690504"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{"citationID":"a2ot0kc98en","properties":{"formattedCitation":"\\super 57\\nosupersub{}","plainCitation":"57","noteIndex":0},"citationItems":[{"id":7421,"uris":["http://zotero.org/users/local/xUwQuTPV/items/W39PXV5S"],"uri":["http://zotero.org/users/local/xUwQuTPV/items/W39PXV5S"],"itemData":{"id":7421,"type":"article-journal","container-title":"eLife","DOI":"10.7554/eLife.46323","journalAbbreviation":"eLife","language":"English","page":"e55-26","title":"A consensus guide to capturing the ability to inhibit actions and impulsive behaviors in the stop-signal task","volume":"8","author":[{"family":"Verbruggen","given":"Frederick"},{"family":"Aron","given":"Adam R."},{"family":"Band","given":"Guido PH"},{"family":"Beste","given":"Christian"},{"family":"Bissett","given":"Patrick G."},{"family":"Brockett","given":"Adam T."},{"family":"Brown","given":"Joshua W."},{"family":"Chamberlain","given":"Samuel R."},{"family":"Chambers","given":"Christopher D."},{"family":"Colonius","given":"Hans"},{"family":"Colzato","given":"Lorenza S."},{"family":"Corneil","given":"Brian D."},{"family":"Coxon","given":"James P."},{"family":"Dupuis","given":"Annie"},{"family":"Eagle","given":"Dawn M."},{"family":"Garavan","given":"Hugh"},{"family":"Greenhouse","given":"Ian"},{"family":"Heathcote","given":"Andrew"},{"family":"Huster","given":"René J."},{"family":"Jahfari","given":"Sara"},{"family":"Kenemans","given":"J. Leon"},{"family":"Leunissen","given":"Inge"},{"family":"Li","given":"Chiang-Shan R."},{"family":"Logan","given":"Gordon D."},{"family":"Matzke","given":"Dora"},{"family":"Morein-Zamir","given":"Sharon"},{"family":"Murthy","given":"Aditya"},{"family":"Paré","given":"Martin"},{"family":"Poldrack","given":"Russell A."},{"family":"Ridderinkhof","given":"K. Richard"},{"family":"Robbins","given":"Trevor W."},{"family":"Roesch","given":"Matthew"},{"family":"Rubia","given":"Katya"},{"family":"Schachar","given":"Russell J."},{"family":"Schall","given":"Jeffrey D."},{"family":"Stock","given":"Ann-Kathrin"},{"family":"Swann","given":"Nicole C."},{"family":"Thakkar","given":"Katharine N."},{"family":"Molen","given":"Maurits W.","non-dropping-particle":"van der"},{"family":"Vermeylen","given":"Luc"},{"family":"Vink","given":"Matthijs"},{"family":"Wessel","given":"Jan R."},{"family":"Whelan","given":"Robert"},{"family":"Zandbelt","given":"Bram B."},{"family":"Boehler","given":"C. Nico"}],"issued":{"date-parts":[["2019",4,29]]}}}],"schema":"https://github.com/citation-style-language/schema/raw/master/csl-citation.json"} </w:instrText>
      </w:r>
      <w:r w:rsidR="00690504"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57</w:t>
      </w:r>
      <w:r w:rsidR="00690504" w:rsidRPr="000E79AA">
        <w:rPr>
          <w:rFonts w:ascii="Times New Roman" w:hAnsi="Times New Roman" w:cs="Times New Roman"/>
          <w:lang w:val="en-AU"/>
        </w:rPr>
        <w:fldChar w:fldCharType="end"/>
      </w:r>
      <w:r w:rsidR="00084C08" w:rsidRPr="000E79AA">
        <w:rPr>
          <w:rFonts w:ascii="Times New Roman" w:hAnsi="Times New Roman" w:cs="Times New Roman"/>
          <w:lang w:val="en-AU"/>
        </w:rPr>
        <w:t xml:space="preserve">. </w:t>
      </w:r>
      <w:r w:rsidR="0068398F" w:rsidRPr="000E79AA">
        <w:rPr>
          <w:rFonts w:ascii="Times New Roman" w:hAnsi="Times New Roman" w:cs="Times New Roman"/>
          <w:lang w:val="en-AU"/>
        </w:rPr>
        <w:t>This model assumes a race between three independent processes: one corresponding to the stop process, and two corresponding to go processes that match or mismatch the go stimulus</w:t>
      </w:r>
      <w:r w:rsidR="006C7B0F" w:rsidRPr="000E79AA">
        <w:rPr>
          <w:rFonts w:ascii="Times New Roman" w:hAnsi="Times New Roman" w:cs="Times New Roman"/>
          <w:lang w:val="en-AU"/>
        </w:rPr>
        <w:t xml:space="preserve"> (Figure 1B)</w:t>
      </w:r>
      <w:r w:rsidR="0068398F" w:rsidRPr="000E79AA">
        <w:rPr>
          <w:rFonts w:ascii="Times New Roman" w:hAnsi="Times New Roman" w:cs="Times New Roman"/>
          <w:lang w:val="en-AU"/>
        </w:rPr>
        <w:t>. For a given stop trial, successful inhibition occurs when the stop process finishes before both go processes. For a given go trial, a correct response occurs when the matching go process finishes before the mismatching go process.</w:t>
      </w:r>
      <w:r w:rsidR="00C166A6" w:rsidRPr="000E79AA">
        <w:rPr>
          <w:rFonts w:ascii="Times New Roman" w:hAnsi="Times New Roman" w:cs="Times New Roman"/>
          <w:lang w:val="en-AU"/>
        </w:rPr>
        <w:t xml:space="preserve"> </w:t>
      </w:r>
      <w:r w:rsidR="006D11CC" w:rsidRPr="000E79AA">
        <w:rPr>
          <w:rFonts w:ascii="Times New Roman" w:hAnsi="Times New Roman" w:cs="Times New Roman"/>
          <w:lang w:val="en-AU"/>
        </w:rPr>
        <w:t>The finis</w:t>
      </w:r>
      <w:r w:rsidR="004A09E8" w:rsidRPr="000E79AA">
        <w:rPr>
          <w:rFonts w:ascii="Times New Roman" w:hAnsi="Times New Roman" w:cs="Times New Roman"/>
          <w:lang w:val="en-AU"/>
        </w:rPr>
        <w:t>h</w:t>
      </w:r>
      <w:r w:rsidR="006D11CC" w:rsidRPr="000E79AA">
        <w:rPr>
          <w:rFonts w:ascii="Times New Roman" w:hAnsi="Times New Roman" w:cs="Times New Roman"/>
          <w:lang w:val="en-AU"/>
        </w:rPr>
        <w:t xml:space="preserve"> time distribution of the stop process is inferred by estimating the RT distribution of </w:t>
      </w:r>
      <w:r w:rsidR="00A754C1" w:rsidRPr="000E79AA">
        <w:rPr>
          <w:rFonts w:ascii="Times New Roman" w:hAnsi="Times New Roman" w:cs="Times New Roman"/>
          <w:lang w:val="en-AU"/>
        </w:rPr>
        <w:t xml:space="preserve">unsuccessful </w:t>
      </w:r>
      <w:r w:rsidR="00C36532" w:rsidRPr="000E79AA">
        <w:rPr>
          <w:rFonts w:ascii="Times New Roman" w:hAnsi="Times New Roman" w:cs="Times New Roman"/>
          <w:lang w:val="en-AU"/>
        </w:rPr>
        <w:t>stop trials (i.e.</w:t>
      </w:r>
      <w:r w:rsidR="0093021D" w:rsidRPr="000E79AA">
        <w:rPr>
          <w:rFonts w:ascii="Times New Roman" w:hAnsi="Times New Roman" w:cs="Times New Roman"/>
          <w:lang w:val="en-AU"/>
        </w:rPr>
        <w:t>,</w:t>
      </w:r>
      <w:r w:rsidR="00C36532" w:rsidRPr="000E79AA">
        <w:rPr>
          <w:rFonts w:ascii="Times New Roman" w:hAnsi="Times New Roman" w:cs="Times New Roman"/>
          <w:lang w:val="en-AU"/>
        </w:rPr>
        <w:t xml:space="preserve"> signal respond RTs). Specifically, the signal respond RT distribution is assumed to be a right-censored go RT distribution, where the censoring point for a given stop trial is drawn from the finish time distribution of the stop process (see</w:t>
      </w:r>
      <w:r w:rsidR="00A54F2D"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{"citationID":"a2a0is1oukq","properties":{"formattedCitation":"\\super 59\\nosupersub{}","plainCitation":"59","noteIndex":0},"citationItems":[{"id":7385,"uris":["http://zotero.org/users/local/xUwQuTPV/items/I485G7AS"],"uri":["http://zotero.org/users/local/xUwQuTPV/items/I485G7AS"],"itemData":{"id":7385,"type":"article-journal","container-title":"Journal of experimental psychology. General","DOI":"10.1037/a0030543","issue":"4","journalAbbreviation":"J Exp Psychol Gen","language":"English","page":"1047-1073","title":"Bayesian parametric estimation of stop-signal reaction time distributions.","volume":"142","author":[{"family":"Matzke","given":"Dora"},{"family":"Dolan","given":"Conor V."},{"family":"Logan","given":"Gordon D."},{"family":"Brown","given":"Scott D."},{"family":"Wagenmakers","given":"Eric-Jan"}],"issued":{"date-parts":[["2013"]]}}}],"schema":"https://github.com/citation-style-language/schema/raw/master/csl-citation.json"} </w:instrText>
      </w:r>
      <w:r w:rsidR="00A54F2D"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59</w:t>
      </w:r>
      <w:r w:rsidR="00A54F2D" w:rsidRPr="000E79AA">
        <w:rPr>
          <w:rFonts w:ascii="Times New Roman" w:hAnsi="Times New Roman" w:cs="Times New Roman"/>
          <w:lang w:val="en-AU"/>
        </w:rPr>
        <w:fldChar w:fldCharType="end"/>
      </w:r>
      <w:r w:rsidR="00C36532" w:rsidRPr="000E79AA">
        <w:rPr>
          <w:rFonts w:ascii="Times New Roman" w:hAnsi="Times New Roman" w:cs="Times New Roman"/>
          <w:lang w:val="en-AU"/>
        </w:rPr>
        <w:t xml:space="preserve"> for details).</w:t>
      </w:r>
    </w:p>
    <w:p w14:paraId="35EF012C" w14:textId="77777777" w:rsidR="00C166A6" w:rsidRPr="000E79AA" w:rsidRDefault="00C166A6" w:rsidP="004E671C">
      <w:pPr>
        <w:spacing w:line="360" w:lineRule="auto"/>
        <w:jc w:val="both"/>
        <w:rPr>
          <w:rFonts w:ascii="Times New Roman" w:hAnsi="Times New Roman" w:cs="Times New Roman"/>
          <w:lang w:val="en-AU"/>
        </w:rPr>
      </w:pPr>
    </w:p>
    <w:p w14:paraId="2D0CBC78" w14:textId="52D85B2F" w:rsidR="008F79CB" w:rsidRPr="000E79AA" w:rsidRDefault="0068398F"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The model assumes that the finish times of </w:t>
      </w:r>
      <w:r w:rsidR="00EF3F50" w:rsidRPr="000E79AA">
        <w:rPr>
          <w:rFonts w:ascii="Times New Roman" w:hAnsi="Times New Roman" w:cs="Times New Roman"/>
          <w:lang w:val="en-AU"/>
        </w:rPr>
        <w:t>the stop and go</w:t>
      </w:r>
      <w:r w:rsidRPr="000E79AA">
        <w:rPr>
          <w:rFonts w:ascii="Times New Roman" w:hAnsi="Times New Roman" w:cs="Times New Roman"/>
          <w:lang w:val="en-AU"/>
        </w:rPr>
        <w:t xml:space="preserve"> processes follow an ex-Gaussian distribution, which is a positively skewed unimodal distribution that is commonly used to describe RT data</w:t>
      </w:r>
      <w:r w:rsidR="00610EA4" w:rsidRPr="000E79AA">
        <w:rPr>
          <w:rFonts w:ascii="Times New Roman" w:hAnsi="Times New Roman" w:cs="Times New Roman"/>
          <w:lang w:val="en-AU"/>
        </w:rPr>
        <w:t>.</w:t>
      </w:r>
      <w:r w:rsidR="008D6615"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{"citationID":"a2n1kn578is","properties":{"formattedCitation":"\\super 60,61\\nosupersub{}","plainCitation":"60,61","noteIndex":0},"citationItems":[{"id":12178,"uris":["http://zotero.org/users/local/xUwQuTPV/items/PSIGQBIL"],"uri":["http://zotero.org/users/local/xUwQuTPV/items/PSIGQBIL"],"itemData":{"id":12178,"type":"article-journal","abstract":"Describes a method of obtaining an average reaction time (RT) distribution for a group of Ss. The method is particularly useful for cases in which data from many Ss are available but there are only 10–20 RT observations per S cell. Essentially, RTs for each S are organized in ascending order, and quantiles are calculated. The quantiles are then averaged over Ss to give group quantiles (Vincent learning curves). From the group quantiles, a group RT distribution can be constructed. It is shown that this method of averaging is exact for certain distributions (i.e., the resulting distribution belongs to the same family as the individual distributions). Furthermore, Monte Carlo studies and application of the method to the combined data from 3 large experiments provide evidence that properties derived from the group RT distribution are much the same as average properties derived from the data of individual Ss. This article also examines how to quantitatively describe the shape of RT distributions. The use of moments and cumulants as sources of information about distribution shape is evaluated and rejected because of extreme dependence on long, outlier reaction times. As an alternative, the use of explicit distribution functions as approximations to RT distributions is considered. (28 ref) (PsycINFO Database Record (c) 2016 APA, all rights reserved)","container-title":"Psychological Bulletin","DOI":"10.1037/0033-2909.86.3.446","ISSN":"1939-1455(Electronic),0033-2909(Print)","issue":"3","note":"publisher-place: US\npublisher: American Psychological Association","page":"446-461","source":"APA PsycNET","title":"Group reaction time distributions and an analysis of distribution statistics","volume":"86","author":[{"family":"Ratcliff","given":"Roger"}],"issued":{"date-parts":[["1979"]]}}},{"id":12182,"uris":["http://zotero.org/users/local/xUwQuTPV/items/9F8YUPZF"],"uri":["http://zotero.org/users/local/xUwQuTPV/items/9F8YUPZF"],"itemData":{"id":12182,"type":"article-journal","abstract":"The shape of a reaction time (RT) distribution can be described by a 3-parameter model consisting of the convolution of the normal and exponential distributions, the ex-Gaussian. Analyses based on mean RT do not take the distribution's shape into account and, for that reason, may obscure aspects of performance. To illustrate the point, the ex-Gaussian model was applied to data obtained from a Stroop task. Mean RT revealed strong interference but no facilitation, whereas the analysis based on the ex-Gaussian model showed both interference and facilitation. In short, analyses that do not take the shape of RT distributions into account can mislead and, therefore, should be avoided. (PsycINFO Database Record (c) 2016 APA, all rights reserved)","container-title":"Psychological Bulletin","DOI":"10.1037/0033-2909.109.2.340","ISSN":"1939-1455(Electronic),0033-2909(Print)","issue":"2","note":"publisher-place: US\npublisher: American Psychological Association","page":"340-347","source":"APA PsycNET","title":"Analysis of response time distributions: An example using the Stroop task","title-short":"Analysis of response time distributions","volume":"109","author":[{"family":"Heathcote","given":"Andrew"},{"family":"Popiel","given":"Stephen J."},{"family":"Mewhort","given":"D. J."}],"issued":{"date-parts":[["1991"]]}}}],"schema":"https://github.com/citation-style-language/schema/raw/master/csl-citation.json"} </w:instrText>
      </w:r>
      <w:r w:rsidR="008D6615"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60,61</w:t>
      </w:r>
      <w:r w:rsidR="008D6615" w:rsidRPr="000E79AA">
        <w:rPr>
          <w:rFonts w:ascii="Times New Roman" w:hAnsi="Times New Roman" w:cs="Times New Roman"/>
          <w:lang w:val="en-AU"/>
        </w:rPr>
        <w:fldChar w:fldCharType="end"/>
      </w:r>
      <w:r w:rsidR="008D6615" w:rsidRPr="000E79AA">
        <w:rPr>
          <w:rFonts w:ascii="Times New Roman" w:hAnsi="Times New Roman" w:cs="Times New Roman"/>
          <w:lang w:val="en-AU"/>
        </w:rPr>
        <w:t xml:space="preserve"> </w:t>
      </w:r>
      <w:r w:rsidR="00C36532" w:rsidRPr="000E79AA">
        <w:rPr>
          <w:rFonts w:ascii="Times New Roman" w:hAnsi="Times New Roman" w:cs="Times New Roman"/>
          <w:lang w:val="en-AU"/>
        </w:rPr>
        <w:t>Thus, f</w:t>
      </w:r>
      <w:r w:rsidRPr="000E79AA">
        <w:rPr>
          <w:rFonts w:ascii="Times New Roman" w:hAnsi="Times New Roman" w:cs="Times New Roman"/>
          <w:lang w:val="en-AU"/>
        </w:rPr>
        <w:t xml:space="preserve">or each process, </w:t>
      </w:r>
      <w:r w:rsidR="00C36532" w:rsidRPr="000E79AA">
        <w:rPr>
          <w:rFonts w:ascii="Times New Roman" w:hAnsi="Times New Roman" w:cs="Times New Roman"/>
          <w:lang w:val="en-AU"/>
        </w:rPr>
        <w:t xml:space="preserve">we </w:t>
      </w:r>
      <w:r w:rsidRPr="000E79AA">
        <w:rPr>
          <w:rFonts w:ascii="Times New Roman" w:hAnsi="Times New Roman" w:cs="Times New Roman"/>
          <w:lang w:val="en-AU"/>
        </w:rPr>
        <w:t>estimate</w:t>
      </w:r>
      <w:r w:rsidR="00C36532" w:rsidRPr="000E79AA">
        <w:rPr>
          <w:rFonts w:ascii="Times New Roman" w:hAnsi="Times New Roman" w:cs="Times New Roman"/>
          <w:lang w:val="en-AU"/>
        </w:rPr>
        <w:t>d</w:t>
      </w:r>
      <w:r w:rsidRPr="000E79AA">
        <w:rPr>
          <w:rFonts w:ascii="Times New Roman" w:hAnsi="Times New Roman" w:cs="Times New Roman"/>
          <w:lang w:val="en-AU"/>
        </w:rPr>
        <w:t xml:space="preserve"> the three parameters of the ex-Gaussian distribution: The mean μ and standard deviation σ of the Gaussian component, and the mean</w:t>
      </w:r>
      <w:r w:rsidR="006C40C1" w:rsidRPr="000E79AA">
        <w:rPr>
          <w:rFonts w:ascii="Times New Roman" w:hAnsi="Times New Roman" w:cs="Times New Roman"/>
          <w:lang w:val="en-AU"/>
        </w:rPr>
        <w:t xml:space="preserve"> (i.e., inverse rate)</w:t>
      </w:r>
      <w:r w:rsidRPr="000E79AA">
        <w:rPr>
          <w:rFonts w:ascii="Times New Roman" w:hAnsi="Times New Roman" w:cs="Times New Roman"/>
          <w:lang w:val="en-AU"/>
        </w:rPr>
        <w:t xml:space="preserve"> τ of the exponential component. </w:t>
      </w:r>
    </w:p>
    <w:p w14:paraId="5CA70602" w14:textId="77777777" w:rsidR="008F79CB" w:rsidRPr="000E79AA" w:rsidRDefault="008F79CB" w:rsidP="004E671C">
      <w:pPr>
        <w:spacing w:line="360" w:lineRule="auto"/>
        <w:jc w:val="both"/>
        <w:rPr>
          <w:rFonts w:ascii="Times New Roman" w:hAnsi="Times New Roman" w:cs="Times New Roman"/>
          <w:lang w:val="en-AU"/>
        </w:rPr>
      </w:pPr>
    </w:p>
    <w:p w14:paraId="0E9E6055" w14:textId="642D2945" w:rsidR="00D114F4" w:rsidRPr="000E79AA" w:rsidRDefault="007B3555"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We</w:t>
      </w:r>
      <w:r w:rsidR="0068398F" w:rsidRPr="000E79AA">
        <w:rPr>
          <w:rFonts w:ascii="Times New Roman" w:hAnsi="Times New Roman" w:cs="Times New Roman"/>
          <w:lang w:val="en-AU"/>
        </w:rPr>
        <w:t xml:space="preserve"> additionally estimate</w:t>
      </w:r>
      <w:r w:rsidRPr="000E79AA">
        <w:rPr>
          <w:rFonts w:ascii="Times New Roman" w:hAnsi="Times New Roman" w:cs="Times New Roman"/>
          <w:lang w:val="en-AU"/>
        </w:rPr>
        <w:t>d</w:t>
      </w:r>
      <w:r w:rsidR="0068398F" w:rsidRPr="000E79AA">
        <w:rPr>
          <w:rFonts w:ascii="Times New Roman" w:hAnsi="Times New Roman" w:cs="Times New Roman"/>
          <w:lang w:val="en-AU"/>
        </w:rPr>
        <w:t xml:space="preserve"> two parameters that represent the probability that the stop and go processes failed to start, referred to as “trigger failure” and “go failure”</w:t>
      </w:r>
      <w:r w:rsidR="00502460" w:rsidRPr="000E79AA">
        <w:rPr>
          <w:rFonts w:ascii="Times New Roman" w:hAnsi="Times New Roman" w:cs="Times New Roman"/>
          <w:lang w:val="en-AU"/>
        </w:rPr>
        <w:t>,</w:t>
      </w:r>
      <w:r w:rsidR="0068398F" w:rsidRPr="000E79AA">
        <w:rPr>
          <w:rFonts w:ascii="Times New Roman" w:hAnsi="Times New Roman" w:cs="Times New Roman"/>
          <w:lang w:val="en-AU"/>
        </w:rPr>
        <w:t xml:space="preserve"> respectively</w:t>
      </w:r>
      <w:r w:rsidR="00393667" w:rsidRPr="000E79AA">
        <w:rPr>
          <w:rFonts w:ascii="Times New Roman" w:hAnsi="Times New Roman" w:cs="Times New Roman"/>
          <w:lang w:val="en-AU"/>
        </w:rPr>
        <w:t>.</w:t>
      </w:r>
      <w:r w:rsidR="00516B6A"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{"citationID":"a146g0l71eh","properties":{"formattedCitation":"\\super 62\\nosupersub{}","plainCitation":"62","noteIndex":0},"citationItems":[{"id":12177,"uris":["http://zotero.org/users/local/xUwQuTPV/items/4GZS53AL"],"uri":["http://zotero.org/users/local/xUwQuTPV/items/4GZS53AL"],"itemData":{"id":12177,"type":"article-journal","abstract":"The stop-signal paradigm is a widely used procedure to study response inhibition. It consists of a 2-choice response-time task (a “go” task) that is occasionally interrupted by a stop signal instructing participants to withhold their responses. The paradigm owes its popularity to the underlying race model that enables estimation of the otherwise unobservable latency of stopping. As the race model assumes a single go runner that produces the response unless it is beaten by an inhibitory stop runner, it cannot account for errors on the go task. We propose a parametric framework that extends the standard 2-runner race model to account for go errors, and hence expand the scope of the stop-signal paradigm to the study of response inhibition in the context of difficult choices. We combine our treatment of go errors with the ability to address 2 common contaminants in stop-signal data: failure to trigger the go or the stop runner. We show with simulations that applying 2-runner parametric race models to difficult choices can severely bias conclusions about response inhibition. Notably, we also show that even infrequent errors, which have been common in previous stop-signal studies, can result in underestimation of stopping latencies. We demonstrate that our framework enables researchers to study difficult-choice inhibition even in relatively small samples by applying it to novel stop-signal data with high error rates and a manipulation of task difficulty, showing that it provides an accurate characterization of behavior and precise stop estimates.","container-title":"Journal of Experimental Psychology: General","DOI":"10.1037/xge0000525","ISSN":"1939-2222, 0096-3445","issue":"1","journalAbbreviation":"Journal of Experimental Psychology: General","language":"en","page":"124-142","source":"DOI.org (Crossref)","title":"Inhibiting responses to difficult choices.","volume":"148","author":[{"family":"Matzke","given":"Dora"},{"family":"Curley","given":"Samuel"},{"family":"Gong","given":"Charlene Q."},{"family":"Heathcote","given":"Andrew"}],"issued":{"date-parts":[["2019",1]]}}}],"schema":"https://github.com/citation-style-language/schema/raw/master/csl-citation.json"} </w:instrText>
      </w:r>
      <w:r w:rsidR="00516B6A"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62</w:t>
      </w:r>
      <w:r w:rsidR="00516B6A" w:rsidRPr="000E79AA">
        <w:rPr>
          <w:rFonts w:ascii="Times New Roman" w:hAnsi="Times New Roman" w:cs="Times New Roman"/>
          <w:lang w:val="en-AU"/>
        </w:rPr>
        <w:fldChar w:fldCharType="end"/>
      </w:r>
      <w:r w:rsidR="00516B6A" w:rsidRPr="000E79AA">
        <w:rPr>
          <w:rFonts w:ascii="Times New Roman" w:hAnsi="Times New Roman" w:cs="Times New Roman"/>
          <w:lang w:val="en-AU"/>
        </w:rPr>
        <w:t xml:space="preserve"> </w:t>
      </w:r>
      <w:r w:rsidR="00F7700C" w:rsidRPr="000E79AA">
        <w:rPr>
          <w:rFonts w:ascii="Times New Roman" w:hAnsi="Times New Roman" w:cs="Times New Roman"/>
          <w:lang w:val="en-AU"/>
        </w:rPr>
        <w:t>These</w:t>
      </w:r>
      <w:r w:rsidR="0068398F" w:rsidRPr="000E79AA">
        <w:rPr>
          <w:rFonts w:ascii="Times New Roman" w:hAnsi="Times New Roman" w:cs="Times New Roman"/>
          <w:lang w:val="en-AU"/>
        </w:rPr>
        <w:t xml:space="preserve"> attentional failures are common in </w:t>
      </w:r>
      <w:r w:rsidR="00502460" w:rsidRPr="000E79AA">
        <w:rPr>
          <w:rFonts w:ascii="Times New Roman" w:hAnsi="Times New Roman" w:cs="Times New Roman"/>
          <w:lang w:val="en-AU"/>
        </w:rPr>
        <w:t xml:space="preserve">both </w:t>
      </w:r>
      <w:r w:rsidR="00516B6A" w:rsidRPr="000E79AA">
        <w:rPr>
          <w:rFonts w:ascii="Times New Roman" w:hAnsi="Times New Roman" w:cs="Times New Roman"/>
          <w:lang w:val="en-AU"/>
        </w:rPr>
        <w:t>healthy</w:t>
      </w:r>
      <w:r w:rsidR="00502460" w:rsidRPr="000E79AA">
        <w:rPr>
          <w:rFonts w:ascii="Times New Roman" w:hAnsi="Times New Roman" w:cs="Times New Roman"/>
          <w:lang w:val="en-AU"/>
        </w:rPr>
        <w:t xml:space="preserve"> </w:t>
      </w:r>
      <w:r w:rsidR="00516B6A" w:rsidRPr="000E79AA">
        <w:rPr>
          <w:rFonts w:ascii="Times New Roman" w:hAnsi="Times New Roman" w:cs="Times New Roman"/>
          <w:lang w:val="en-AU"/>
        </w:rPr>
        <w:t>participants</w:t>
      </w:r>
      <w:r w:rsidR="00B85156"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{"citationID":"a229in1o0j5","properties":{"formattedCitation":"\\super 63,64\\nosupersub{}","plainCitation":"63,64","noteIndex":0},"citationItems":[{"id":7393,"uris":["http://zotero.org/users/local/xUwQuTPV/items/98RY9SYX"],"uri":["http://zotero.org/users/local/xUwQuTPV/items/98RY9SYX"],"itemData":{"id":7393,"type":"article-journal","abstract":"Behav Res, doi:10.3758/s13428-015-0695-8","DOI":"10.3758/s13428-015-0695-8","page":"1-15","title":"A Bayesian approach for estimating the probability of trigger failures in the stop-signal paradigm","author":[{"family":"Matzke","given":"Dora"},{"family":"Love","given":"Jonathon"},{"family":"Heathcote","given":"Andrew"}],"issued":{"date-parts":[["2017",2,20]]}}},{"id":7413,"uris":["http://zotero.org/users/local/xUwQuTPV/items/VLXW5HT7"],"uri":["http://zotero.org/users/local/xUwQuTPV/items/VLXW5HT7"],"itemData":{"id":7413,"type":"article-journal","abstract":"Acta Psychologica, 192 (2018) 104-117. doi:10.1016/j.actpsy.2018.10.016","container-title":"ACTPSY","DOI":"10.1016/j.actpsy.2018.10.016","journalAbbreviation":"ACTPSY","page":"104-117","title":"Reliability of triggering inhibitory process is a better predictor of impulsivity than SSRT","volume":"192","author":[{"family":"Skippen","given":"Patrick"},{"family":"Matzke","given":"Dora"},{"family":"Heathcote","given":"Andrew"},{"family":"Fulham","given":"William Ross"},{"family":"Michie","given":"Patricia"},{"family":"Karayanidis","given":"Frini"}],"issued":{"date-parts":[["2019",1,1]]}}}],"schema":"https://github.com/citation-style-language/schema/raw/master/csl-citation.json"} </w:instrText>
      </w:r>
      <w:r w:rsidR="00B85156"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63,64</w:t>
      </w:r>
      <w:r w:rsidR="00B85156" w:rsidRPr="000E79AA">
        <w:rPr>
          <w:rFonts w:ascii="Times New Roman" w:hAnsi="Times New Roman" w:cs="Times New Roman"/>
          <w:lang w:val="en-AU"/>
        </w:rPr>
        <w:fldChar w:fldCharType="end"/>
      </w:r>
      <w:r w:rsidR="00502460" w:rsidRPr="000E79AA">
        <w:rPr>
          <w:rFonts w:ascii="Times New Roman" w:hAnsi="Times New Roman" w:cs="Times New Roman"/>
          <w:lang w:val="en-AU"/>
        </w:rPr>
        <w:t xml:space="preserve"> </w:t>
      </w:r>
      <w:r w:rsidR="0068398F" w:rsidRPr="000E79AA">
        <w:rPr>
          <w:rFonts w:ascii="Times New Roman" w:hAnsi="Times New Roman" w:cs="Times New Roman"/>
          <w:lang w:val="en-AU"/>
        </w:rPr>
        <w:t xml:space="preserve">and </w:t>
      </w:r>
      <w:r w:rsidR="00F7700C" w:rsidRPr="000E79AA">
        <w:rPr>
          <w:rFonts w:ascii="Times New Roman" w:hAnsi="Times New Roman" w:cs="Times New Roman"/>
          <w:lang w:val="en-AU"/>
        </w:rPr>
        <w:t xml:space="preserve">in </w:t>
      </w:r>
      <w:r w:rsidR="00502460" w:rsidRPr="000E79AA">
        <w:rPr>
          <w:rFonts w:ascii="Times New Roman" w:hAnsi="Times New Roman" w:cs="Times New Roman"/>
          <w:lang w:val="en-AU"/>
        </w:rPr>
        <w:t>clinical cohorts</w:t>
      </w:r>
      <w:r w:rsidR="00393667" w:rsidRPr="000E79AA">
        <w:rPr>
          <w:rFonts w:ascii="Times New Roman" w:hAnsi="Times New Roman" w:cs="Times New Roman"/>
          <w:lang w:val="en-AU"/>
        </w:rPr>
        <w:t>,</w:t>
      </w:r>
      <w:r w:rsidR="003706BE"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{"citationID":"a2i807jdg5e","properties":{"formattedCitation":"\\super 65,66\\nosupersub{}","plainCitation":"65,66","noteIndex":0},"citationItems":[{"id":7389,"uris":["http://zotero.org/users/local/xUwQuTPV/items/ENZEVVLK"],"uri":["http://zotero.org/users/local/xUwQuTPV/items/ENZEVVLK"],"itemData":{"id":7389,"type":"article-journal","container-title":"Attention, Perception, &amp; Psychophysics","DOI":"10.3758/s13414-017-1287-8","issue":"4","journalAbbreviation":"Atten Percept Psychophys","language":"English","page":"1078-1086","title":"Failures of cognitive control or attention? The case of stop-signal deficits in schizophrenia","volume":"79","author":[{"family":"Matzke","given":"Dora"},{"family":"Hughes","given":"Matthew"},{"family":"Badcock","given":"Johanna C."},{"family":"Michie","given":"Patricia"},{"family":"Heathcote","given":"Andrew"}],"issued":{"date-parts":[["2017",2,9]]}}},{"id":12185,"uris":["http://zotero.org/users/local/xUwQuTPV/items/D8LUE27C"],"uri":["http://zotero.org/users/local/xUwQuTPV/items/D8LUE27C"],"itemData":{"id":12185,"type":"article-journal","abstract":"Mean stop-signal reaction time (SSRT) is frequently employed as a measure of response inhibition in cognitive neuroscience research on attention deficit/hyperactivity disorder (ADHD). However, this measurement model is limited by two factors that may bias SSRT estimation in this population: (a) excessive skew in “go” RT distributions and (b) trigger failures, or instances in which individuals fail to trigger an inhibition process in response to the stop signal. We used a Bayesian parametric approach that allows unbiased estimation of the shape of entire SSRT distributions and the probability of trigger failures to clarify mechanisms of stop-signal task deficits in ADHD. Children with ADHD displayed greater positive skew than their peers in both go RT and SSRT distributions. However, they also displayed more frequent trigger failures, which appeared to drive ADHD-related stopping difficulties. Results suggest that performance on the stop-signal task among children with ADHD reflects impairments in early attentional processes, rather than inefficiency in the stop process.","container-title":"Clinical Psychological Science","DOI":"10.1177/2167702619838466","ISSN":"2167-7026","issue":"4","journalAbbreviation":"Clinical Psychological Science","language":"en","note":"publisher: SAGE Publications Inc","page":"856-872","source":"SAGE Journals","title":"Cognitive Modeling Suggests That Attentional Failures Drive Longer Stop-Signal Reaction Time Estimates in Attention Deficit/Hyperactivity Disorder","volume":"7","author":[{"family":"Weigard","given":"Alexander"},{"family":"Heathcote","given":"Andrew"},{"family":"Matzke","given":"Dóra"},{"family":"Huang-Pollock","given":"Cynthia"}],"issued":{"date-parts":[["2019",7,1]]}}}],"schema":"https://github.com/citation-style-language/schema/raw/master/csl-citation.json"} </w:instrText>
      </w:r>
      <w:r w:rsidR="003706BE"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65,66</w:t>
      </w:r>
      <w:r w:rsidR="003706BE" w:rsidRPr="000E79AA">
        <w:rPr>
          <w:rFonts w:ascii="Times New Roman" w:hAnsi="Times New Roman" w:cs="Times New Roman"/>
          <w:lang w:val="en-AU"/>
        </w:rPr>
        <w:fldChar w:fldCharType="end"/>
      </w:r>
      <w:r w:rsidR="003706BE" w:rsidRPr="000E79AA">
        <w:rPr>
          <w:rFonts w:ascii="Times New Roman" w:hAnsi="Times New Roman" w:cs="Times New Roman"/>
          <w:lang w:val="en-AU"/>
        </w:rPr>
        <w:t xml:space="preserve"> </w:t>
      </w:r>
      <w:r w:rsidR="0068398F" w:rsidRPr="000E79AA">
        <w:rPr>
          <w:rFonts w:ascii="Times New Roman" w:hAnsi="Times New Roman" w:cs="Times New Roman"/>
          <w:lang w:val="en-AU"/>
        </w:rPr>
        <w:t xml:space="preserve">and if not modelled can severely bias </w:t>
      </w:r>
      <w:r w:rsidR="00C10700" w:rsidRPr="000E79AA">
        <w:rPr>
          <w:rFonts w:ascii="Times New Roman" w:hAnsi="Times New Roman" w:cs="Times New Roman"/>
          <w:lang w:val="en-AU"/>
        </w:rPr>
        <w:t>estimation of the stop process</w:t>
      </w:r>
      <w:r w:rsidR="00393667" w:rsidRPr="000E79AA">
        <w:rPr>
          <w:rFonts w:ascii="Times New Roman" w:hAnsi="Times New Roman" w:cs="Times New Roman"/>
          <w:lang w:val="en-AU"/>
        </w:rPr>
        <w:t>.</w:t>
      </w:r>
      <w:r w:rsidR="002B41F3"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{"citationID":"a90j8ig4br","properties":{"formattedCitation":"\\super 62,64,67\\nosupersub{}","plainCitation":"62,64,67","noteIndex":0},"citationItems":[{"id":12188,"uris":["http://zotero.org/users/local/xUwQuTPV/items/XUQ2Z4MP"],"uri":["http://zotero.org/users/local/xUwQuTPV/items/XUQ2Z4MP"],"itemData":{"id":12188,"type":"article-journal","abstract":"In the stop-signal paradigm, subjects perform a standard two-choice reaction task in which, occasionally and unpredictably, a stop-signal is presented requiring the inhibition of the response to the choice signal. The stop-signal paradigm has been successfully applied to assess the ability to inhibit under a wide range of experimental conditions and in various populations. The current study presents a set of evidence-based guidelines for using the stop-signal paradigm. The evidence was derived from a series of simulations aimed at (a) examining the eﬀects of experimental design features on inhibition indices, and (b) testing the assumptions of the horse-race model that underlies the stop-signal paradigm. The simulations indicate that, under most conditions, the latency, but not variability, of response inhibition can be reliably estimated. Ó 2002 Elsevier Science B.V. All rights reserved.","container-title":"Acta Psychologica","DOI":"10.1016/S0001-6918(02)00079-3","ISSN":"00016918","issue":"2","journalAbbreviation":"Acta Psychologica","language":"en","page":"105-142","source":"DOI.org (Crossref)","title":"Horse-race model simulations of the stop-signal procedure","volume":"112","author":[{"family":"Band","given":"Guido P.H."},{"family":"Molen","given":"Maurits W.","non-dropping-particle":"van der"},{"family":"Logan","given":"Gordon D."}],"issued":{"date-parts":[["2003",2]]}}},{"id":12177,"uris":["http://zotero.org/users/local/xUwQuTPV/items/4GZS53AL"],"uri":["http://zotero.org/users/local/xUwQuTPV/items/4GZS53AL"],"itemData":{"id":12177,"type":"article-journal","abstract":"The stop-signal paradigm is a widely used procedure to study response inhibition. It consists of a 2-choice response-time task (a “go” task) that is occasionally interrupted by a stop signal instructing participants to withhold their responses. The paradigm owes its popularity to the underlying race model that enables estimation of the otherwise unobservable latency of stopping. As the race model assumes a single go runner that produces the response unless it is beaten by an inhibitory stop runner, it cannot account for errors on the go task. We propose a parametric framework that extends the standard 2-runner race model to account for go errors, and hence expand the scope of the stop-signal paradigm to the study of response inhibition in the context of difficult choices. We combine our treatment of go errors with the ability to address 2 common contaminants in stop-signal data: failure to trigger the go or the stop runner. We show with simulations that applying 2-runner parametric race models to difficult choices can severely bias conclusions about response inhibition. Notably, we also show that even infrequent errors, which have been common in previous stop-signal studies, can result in underestimation of stopping latencies. We demonstrate that our framework enables researchers to study difficult-choice inhibition even in relatively small samples by applying it to novel stop-signal data with high error rates and a manipulation of task difficulty, showing that it provides an accurate characterization of behavior and precise stop estimates.","container-title":"Journal of Experimental Psychology: General","DOI":"10.1037/xge0000525","ISSN":"1939-2222, 0096-3445","issue":"1","journalAbbreviation":"Journal of Experimental Psychology: General","language":"en","page":"124-142","source":"DOI.org (Crossref)","title":"Inhibiting responses to difficult choices.","volume":"148","author":[{"family":"Matzke","given":"Dora"},{"family":"Curley","given":"Samuel"},{"family":"Gong","given":"Charlene Q."},{"family":"Heathcote","given":"Andrew"}],"issued":{"date-parts":[["2019",1]]}}},{"id":7413,"uris":["http://zotero.org/users/local/xUwQuTPV/items/VLXW5HT7"],"uri":["http://zotero.org/users/local/xUwQuTPV/items/VLXW5HT7"],"itemData":{"id":7413,"type":"article-journal","abstract":"Acta Psychologica, 192 (2018) 104-117. doi:10.1016/j.actpsy.2018.10.016","container-title":"ACTPSY","DOI":"10.1016/j.actpsy.2018.10.016","journalAbbreviation":"ACTPSY","page":"104-117","title":"Reliability of triggering inhibitory process is a better predictor of impulsivity than SSRT","volume":"192","author":[{"family":"Skippen","given":"Patrick"},{"family":"Matzke","given":"Dora"},{"family":"Heathcote","given":"Andrew"},{"family":"Fulham","given":"William Ross"},{"family":"Michie","given":"Patricia"},{"family":"Karayanidis","given":"Frini"}],"issued":{"date-parts":[["2019",1,1]]}}}],"schema":"https://github.com/citation-style-language/schema/raw/master/csl-citation.json"} </w:instrText>
      </w:r>
      <w:r w:rsidR="002B41F3"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62,64,67</w:t>
      </w:r>
      <w:r w:rsidR="002B41F3" w:rsidRPr="000E79AA">
        <w:rPr>
          <w:rFonts w:ascii="Times New Roman" w:hAnsi="Times New Roman" w:cs="Times New Roman"/>
          <w:lang w:val="en-AU"/>
        </w:rPr>
        <w:fldChar w:fldCharType="end"/>
      </w:r>
      <w:r w:rsidR="002B41F3" w:rsidRPr="000E79AA">
        <w:rPr>
          <w:rFonts w:ascii="Times New Roman" w:hAnsi="Times New Roman" w:cs="Times New Roman"/>
          <w:lang w:val="en-AU"/>
        </w:rPr>
        <w:t xml:space="preserve"> </w:t>
      </w:r>
      <w:r w:rsidR="00FA500A" w:rsidRPr="000E79AA">
        <w:rPr>
          <w:rFonts w:ascii="Times New Roman" w:hAnsi="Times New Roman" w:cs="Times New Roman"/>
          <w:lang w:val="en-AU"/>
        </w:rPr>
        <w:t>Prior to fitting the model, we removed implausibly short (&lt; 0.25 s) or long (&gt; 4.5 s) RTs, as well as go RTs more extreme than ±2.5 standard deviations from the participant’s mean</w:t>
      </w:r>
      <w:r w:rsidR="006739CF" w:rsidRPr="000E79AA">
        <w:rPr>
          <w:rFonts w:ascii="Times New Roman" w:hAnsi="Times New Roman" w:cs="Times New Roman"/>
          <w:lang w:val="en-AU"/>
        </w:rPr>
        <w:t>.</w:t>
      </w:r>
      <w:r w:rsidR="00A414AE"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{"citationID":"a1a76i9ctbd","properties":{"formattedCitation":"\\super 59\\nosupersub{}","plainCitation":"59","noteIndex":0},"citationItems":[{"id":7385,"uris":["http://zotero.org/users/local/xUwQuTPV/items/I485G7AS"],"uri":["http://zotero.org/users/local/xUwQuTPV/items/I485G7AS"],"itemData":{"id":7385,"type":"article-journal","container-title":"Journal of experimental psychology. General","DOI":"10.1037/a0030543","issue":"4","journalAbbreviation":"J Exp Psychol Gen","language":"English","page":"1047-1073","title":"Bayesian parametric estimation of stop-signal reaction time distributions.","volume":"142","author":[{"family":"Matzke","given":"Dora"},{"family":"Dolan","given":"Conor V."},{"family":"Logan","given":"Gordon D."},{"family":"Brown","given":"Scott D."},{"family":"Wagenmakers","given":"Eric-Jan"}],"issued":{"date-parts":[["2013"]]}}}],"schema":"https://github.com/citation-style-language/schema/raw/master/csl-citation.json"} </w:instrText>
      </w:r>
      <w:r w:rsidR="00A414AE"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59</w:t>
      </w:r>
      <w:r w:rsidR="00A414AE" w:rsidRPr="000E79AA">
        <w:rPr>
          <w:rFonts w:ascii="Times New Roman" w:hAnsi="Times New Roman" w:cs="Times New Roman"/>
          <w:lang w:val="en-AU"/>
        </w:rPr>
        <w:fldChar w:fldCharType="end"/>
      </w:r>
    </w:p>
    <w:p w14:paraId="6CE25C0B" w14:textId="77777777" w:rsidR="00D114F4" w:rsidRPr="000E79AA" w:rsidRDefault="00D114F4" w:rsidP="004E671C">
      <w:pPr>
        <w:spacing w:line="360" w:lineRule="auto"/>
        <w:jc w:val="both"/>
        <w:rPr>
          <w:rFonts w:ascii="Times New Roman" w:hAnsi="Times New Roman" w:cs="Times New Roman"/>
          <w:lang w:val="en-AU"/>
        </w:rPr>
      </w:pPr>
    </w:p>
    <w:p w14:paraId="42F1F08E" w14:textId="753FEE90" w:rsidR="0068398F" w:rsidRPr="000E79AA" w:rsidRDefault="007B3555"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We used </w:t>
      </w:r>
      <w:r w:rsidR="0068398F" w:rsidRPr="000E79AA">
        <w:rPr>
          <w:rFonts w:ascii="Times New Roman" w:hAnsi="Times New Roman" w:cs="Times New Roman"/>
          <w:lang w:val="en-AU"/>
        </w:rPr>
        <w:t xml:space="preserve">Markov Chain Monte Carlo (MCMC) sampling to </w:t>
      </w:r>
      <w:r w:rsidR="00522F6A" w:rsidRPr="000E79AA">
        <w:rPr>
          <w:rFonts w:ascii="Times New Roman" w:hAnsi="Times New Roman" w:cs="Times New Roman"/>
          <w:lang w:val="en-AU"/>
        </w:rPr>
        <w:t xml:space="preserve">estimate </w:t>
      </w:r>
      <w:r w:rsidR="0068398F" w:rsidRPr="000E79AA">
        <w:rPr>
          <w:rFonts w:ascii="Times New Roman" w:hAnsi="Times New Roman" w:cs="Times New Roman"/>
          <w:lang w:val="en-AU"/>
        </w:rPr>
        <w:t>the posterior distributions of the parameters.</w:t>
      </w:r>
      <w:r w:rsidR="00515BE0" w:rsidRPr="000E79AA">
        <w:rPr>
          <w:rFonts w:ascii="Times New Roman" w:hAnsi="Times New Roman" w:cs="Times New Roman"/>
          <w:lang w:val="en-AU"/>
        </w:rPr>
        <w:t xml:space="preserve"> The parameters were estimated hierarchically, such that parameters for a given participant were sampled from corresponding group-level distributions. We fitted this hierarchical model separately for the control group, the P</w:t>
      </w:r>
      <w:r w:rsidR="00654B1A" w:rsidRPr="000E79AA">
        <w:rPr>
          <w:rFonts w:ascii="Times New Roman" w:hAnsi="Times New Roman" w:cs="Times New Roman"/>
          <w:lang w:val="en-AU"/>
        </w:rPr>
        <w:t>arkinson’s disease</w:t>
      </w:r>
      <w:r w:rsidR="00515BE0" w:rsidRPr="000E79AA">
        <w:rPr>
          <w:rFonts w:ascii="Times New Roman" w:hAnsi="Times New Roman" w:cs="Times New Roman"/>
          <w:lang w:val="en-AU"/>
        </w:rPr>
        <w:t xml:space="preserve"> group on placebo, and the </w:t>
      </w:r>
      <w:r w:rsidR="00654B1A" w:rsidRPr="000E79AA">
        <w:rPr>
          <w:rFonts w:ascii="Times New Roman" w:hAnsi="Times New Roman" w:cs="Times New Roman"/>
          <w:lang w:val="en-AU"/>
        </w:rPr>
        <w:t>Parkinson’s disease</w:t>
      </w:r>
      <w:r w:rsidR="00515BE0" w:rsidRPr="000E79AA">
        <w:rPr>
          <w:rFonts w:ascii="Times New Roman" w:hAnsi="Times New Roman" w:cs="Times New Roman"/>
          <w:lang w:val="en-AU"/>
        </w:rPr>
        <w:t xml:space="preserve"> group on atomoxetine. </w:t>
      </w:r>
      <w:r w:rsidR="00B644D9" w:rsidRPr="000E79AA">
        <w:rPr>
          <w:rFonts w:ascii="Times New Roman" w:hAnsi="Times New Roman" w:cs="Times New Roman"/>
          <w:lang w:val="en-AU"/>
        </w:rPr>
        <w:t xml:space="preserve">We placed the same set of prior distributions on the group-level parameters for each of these </w:t>
      </w:r>
      <w:r w:rsidR="00A754C1" w:rsidRPr="000E79AA">
        <w:rPr>
          <w:rFonts w:ascii="Times New Roman" w:hAnsi="Times New Roman" w:cs="Times New Roman"/>
          <w:lang w:val="en-AU"/>
        </w:rPr>
        <w:t xml:space="preserve">three </w:t>
      </w:r>
      <w:r w:rsidR="00B644D9" w:rsidRPr="000E79AA">
        <w:rPr>
          <w:rFonts w:ascii="Times New Roman" w:hAnsi="Times New Roman" w:cs="Times New Roman"/>
          <w:lang w:val="en-AU"/>
        </w:rPr>
        <w:t xml:space="preserve">groups. </w:t>
      </w:r>
      <w:r w:rsidR="0068398F" w:rsidRPr="000E79AA">
        <w:rPr>
          <w:rFonts w:ascii="Times New Roman" w:hAnsi="Times New Roman" w:cs="Times New Roman"/>
          <w:lang w:val="en-AU"/>
        </w:rPr>
        <w:t xml:space="preserve">The prior distributions were </w:t>
      </w:r>
      <w:r w:rsidR="00B644D9" w:rsidRPr="000E79AA">
        <w:rPr>
          <w:rFonts w:ascii="Times New Roman" w:hAnsi="Times New Roman" w:cs="Times New Roman"/>
          <w:lang w:val="en-AU"/>
        </w:rPr>
        <w:t xml:space="preserve">identical to those </w:t>
      </w:r>
      <w:r w:rsidR="00522F6A" w:rsidRPr="000E79AA">
        <w:rPr>
          <w:rFonts w:ascii="Times New Roman" w:hAnsi="Times New Roman" w:cs="Times New Roman"/>
          <w:lang w:val="en-AU"/>
        </w:rPr>
        <w:t xml:space="preserve">suggested </w:t>
      </w:r>
      <w:r w:rsidR="0068398F" w:rsidRPr="000E79AA">
        <w:rPr>
          <w:rFonts w:ascii="Times New Roman" w:hAnsi="Times New Roman" w:cs="Times New Roman"/>
          <w:lang w:val="en-AU"/>
        </w:rPr>
        <w:t>by the model developers</w:t>
      </w:r>
      <w:r w:rsidR="00BA4D74" w:rsidRPr="000E79AA">
        <w:rPr>
          <w:rFonts w:ascii="Times New Roman" w:hAnsi="Times New Roman" w:cs="Times New Roman"/>
          <w:lang w:val="en-AU"/>
        </w:rPr>
        <w:t>,</w:t>
      </w:r>
      <w:r w:rsidR="002C027E"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{"citationID":"a1o793sme7d","properties":{"formattedCitation":"\\super 58\\nosupersub{}","plainCitation":"58","noteIndex":0},"citationItems":[{"id":12190,"uris":["http://zotero.org/users/local/xUwQuTPV/items/R8ES6T4Q"],"uri":["http://zotero.org/users/local/xUwQuTPV/items/R8ES6T4Q"],"itemData":{"id":12190,"type":"article-journal","abstract":"Parameter estimation in evidence-accumulation models of choice response times is demanding of both the data and the user. We outline how to fit evidence-accumulation models using the flexible, open-source, R-based Dynamic Models of Choice (DMC) software. DMC provides a hands-on introduction to the Bayesian implementation of two popular evidence-accumulation models: the diffusion decision model (DDM) and the linear ballistic accumulator (LBA). It enables individual and hierarchical estimation, as well as assessment of the quality of a model’s parameter estimates and descriptive accuracy. First, we introduce the basic concepts of Bayesian parameter estimation, guiding the reader through a simple DDM analysis. We then illustrate the challenges of fitting evidence-accumulation models using a set of LBA analyses. We emphasize best practices in modeling and discuss the importance of parameter- and model-recovery simulations, exploring the strengths and weaknesses of models in different experimental designs and parameter regions. We also demonstrate how DMC can be used to model complex cognitive processes, using as an example a race model of the stop-signal paradigm, which is used to measure inhibitory ability. We illustrate the flexibility of DMC by extending this model to account for mixtures of cognitive processes resulting from attention failures. We then guide the reader through the practical details of a Bayesian hierarchical analysis, from specifying priors to obtaining posterior distributions that encapsulate what has been learned from the data. Finally, we illustrate how the Bayesian approach leads to a quantitatively cumulative science, showing how to use posterior distributions to specify priors that can be used to inform the analysis of future experiments.","container-title":"Behavior Research Methods","DOI":"10.3758/s13428-018-1067-y","ISSN":"1554-3528","issue":"2","journalAbbreviation":"Behav Res","language":"en","page":"961-985","source":"DOI.org (Crossref)","title":"Dynamic models of choice","volume":"51","author":[{"family":"Heathcote","given":"Andrew"},{"family":"Lin","given":"Yi-Shin"},{"family":"Reynolds","given":"Angus"},{"family":"Strickland","given":"Luke"},{"family":"Gretton","given":"Matthew"},{"family":"Matzke","given":"Dora"}],"issued":{"date-parts":[["2019",4]]}}}],"schema":"https://github.com/citation-style-language/schema/raw/master/csl-citation.json"} </w:instrText>
      </w:r>
      <w:r w:rsidR="002C027E"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58</w:t>
      </w:r>
      <w:r w:rsidR="002C027E" w:rsidRPr="000E79AA">
        <w:rPr>
          <w:rFonts w:ascii="Times New Roman" w:hAnsi="Times New Roman" w:cs="Times New Roman"/>
          <w:lang w:val="en-AU"/>
        </w:rPr>
        <w:fldChar w:fldCharType="end"/>
      </w:r>
      <w:r w:rsidR="002C027E" w:rsidRPr="000E79AA">
        <w:rPr>
          <w:rFonts w:ascii="Times New Roman" w:hAnsi="Times New Roman" w:cs="Times New Roman"/>
          <w:lang w:val="en-AU"/>
        </w:rPr>
        <w:t xml:space="preserve"> </w:t>
      </w:r>
      <w:r w:rsidR="0068398F" w:rsidRPr="000E79AA">
        <w:rPr>
          <w:rFonts w:ascii="Times New Roman" w:hAnsi="Times New Roman" w:cs="Times New Roman"/>
          <w:lang w:val="en-AU"/>
        </w:rPr>
        <w:t>except for slightly higher prior mean values for μ</w:t>
      </w:r>
      <w:r w:rsidR="0068398F" w:rsidRPr="000E79AA">
        <w:rPr>
          <w:rFonts w:ascii="Times New Roman" w:hAnsi="Times New Roman" w:cs="Times New Roman"/>
          <w:vertAlign w:val="subscript"/>
          <w:lang w:val="en-AU"/>
        </w:rPr>
        <w:t xml:space="preserve">go-match </w:t>
      </w:r>
      <w:r w:rsidR="0068398F" w:rsidRPr="000E79AA">
        <w:rPr>
          <w:rFonts w:ascii="Times New Roman" w:hAnsi="Times New Roman" w:cs="Times New Roman"/>
          <w:lang w:val="en-AU"/>
        </w:rPr>
        <w:t>(1.5 s), μ</w:t>
      </w:r>
      <w:r w:rsidR="0068398F" w:rsidRPr="000E79AA">
        <w:rPr>
          <w:rFonts w:ascii="Times New Roman" w:hAnsi="Times New Roman" w:cs="Times New Roman"/>
          <w:vertAlign w:val="subscript"/>
          <w:lang w:val="en-AU"/>
        </w:rPr>
        <w:t xml:space="preserve">go-mismatch </w:t>
      </w:r>
      <w:r w:rsidR="0068398F" w:rsidRPr="000E79AA">
        <w:rPr>
          <w:rFonts w:ascii="Times New Roman" w:hAnsi="Times New Roman" w:cs="Times New Roman"/>
          <w:lang w:val="en-AU"/>
        </w:rPr>
        <w:t>(1.5 s) and μ</w:t>
      </w:r>
      <w:r w:rsidR="0068398F" w:rsidRPr="000E79AA">
        <w:rPr>
          <w:rFonts w:ascii="Times New Roman" w:hAnsi="Times New Roman" w:cs="Times New Roman"/>
          <w:vertAlign w:val="subscript"/>
          <w:lang w:val="en-AU"/>
        </w:rPr>
        <w:t>stop</w:t>
      </w:r>
      <w:r w:rsidR="0068398F" w:rsidRPr="000E79AA">
        <w:rPr>
          <w:rFonts w:ascii="Times New Roman" w:hAnsi="Times New Roman" w:cs="Times New Roman"/>
          <w:lang w:val="en-AU"/>
        </w:rPr>
        <w:t xml:space="preserve"> (1 s), to account for </w:t>
      </w:r>
      <w:r w:rsidR="0068398F" w:rsidRPr="000E79AA">
        <w:rPr>
          <w:rFonts w:ascii="Times New Roman" w:hAnsi="Times New Roman" w:cs="Times New Roman"/>
          <w:lang w:val="en-AU"/>
        </w:rPr>
        <w:lastRenderedPageBreak/>
        <w:t>slower RT in older age</w:t>
      </w:r>
      <w:r w:rsidR="00B644D9" w:rsidRPr="000E79AA">
        <w:rPr>
          <w:rFonts w:ascii="Times New Roman" w:hAnsi="Times New Roman" w:cs="Times New Roman"/>
          <w:lang w:val="en-AU"/>
        </w:rPr>
        <w:t xml:space="preserve"> (see </w:t>
      </w:r>
      <w:r w:rsidR="00A754C1" w:rsidRPr="000E79AA">
        <w:rPr>
          <w:rFonts w:ascii="Times New Roman" w:hAnsi="Times New Roman" w:cs="Times New Roman"/>
          <w:lang w:val="en-AU"/>
        </w:rPr>
        <w:t>Supplement</w:t>
      </w:r>
      <w:r w:rsidR="004252C3" w:rsidRPr="000E79AA">
        <w:rPr>
          <w:rFonts w:ascii="Times New Roman" w:hAnsi="Times New Roman" w:cs="Times New Roman"/>
          <w:lang w:val="en-AU"/>
        </w:rPr>
        <w:t>al Material</w:t>
      </w:r>
      <w:r w:rsidR="00B644D9" w:rsidRPr="000E79AA">
        <w:rPr>
          <w:rFonts w:ascii="Times New Roman" w:hAnsi="Times New Roman" w:cs="Times New Roman"/>
          <w:lang w:val="en-AU"/>
        </w:rPr>
        <w:t xml:space="preserve"> for full list of priors)</w:t>
      </w:r>
      <w:r w:rsidR="0068398F" w:rsidRPr="000E79AA">
        <w:rPr>
          <w:rFonts w:ascii="Times New Roman" w:hAnsi="Times New Roman" w:cs="Times New Roman"/>
          <w:lang w:val="en-AU"/>
        </w:rPr>
        <w:t xml:space="preserve">. The model </w:t>
      </w:r>
      <w:r w:rsidR="00522F6A" w:rsidRPr="000E79AA">
        <w:rPr>
          <w:rFonts w:ascii="Times New Roman" w:hAnsi="Times New Roman" w:cs="Times New Roman"/>
          <w:lang w:val="en-AU"/>
        </w:rPr>
        <w:t xml:space="preserve">MCMC sampling </w:t>
      </w:r>
      <w:r w:rsidR="0068398F" w:rsidRPr="000E79AA">
        <w:rPr>
          <w:rFonts w:ascii="Times New Roman" w:hAnsi="Times New Roman" w:cs="Times New Roman"/>
          <w:lang w:val="en-AU"/>
        </w:rPr>
        <w:t>initially ran with 33 chains (i.e.</w:t>
      </w:r>
      <w:r w:rsidR="007744C2" w:rsidRPr="000E79AA">
        <w:rPr>
          <w:rFonts w:ascii="Times New Roman" w:hAnsi="Times New Roman" w:cs="Times New Roman"/>
          <w:lang w:val="en-AU"/>
        </w:rPr>
        <w:t>,</w:t>
      </w:r>
      <w:r w:rsidR="0068398F" w:rsidRPr="000E79AA">
        <w:rPr>
          <w:rFonts w:ascii="Times New Roman" w:hAnsi="Times New Roman" w:cs="Times New Roman"/>
          <w:lang w:val="en-AU"/>
        </w:rPr>
        <w:t xml:space="preserve"> three times the number of parameters), with thinning of every 10th sample and a 5% probability of migration. Model convergence was assessed with the potential scale reduction statistic </w:t>
      </w:r>
      <m:oMath>
        <m:acc>
          <m:accPr>
            <m:ctrlPr>
              <w:rPr>
                <w:rFonts w:ascii="Cambria Math" w:hAnsi="Cambria Math" w:cs="Times New Roman"/>
                <w:i/>
                <w:lang w:val="en-AU"/>
              </w:rPr>
            </m:ctrlPr>
          </m:accPr>
          <m:e>
            <m:r>
              <w:rPr>
                <w:rFonts w:ascii="Cambria Math" w:hAnsi="Cambria Math" w:cs="Times New Roman"/>
                <w:lang w:val="en-AU"/>
              </w:rPr>
              <m:t>R</m:t>
            </m:r>
          </m:e>
        </m:acc>
      </m:oMath>
      <w:r w:rsidR="00B644D9" w:rsidRPr="000E79AA">
        <w:rPr>
          <w:rFonts w:ascii="Times New Roman" w:eastAsiaTheme="minorEastAsia" w:hAnsi="Times New Roman" w:cs="Times New Roman"/>
          <w:lang w:val="en-AU"/>
        </w:rPr>
        <w:t xml:space="preserve"> </w:t>
      </w:r>
      <w:r w:rsidR="0068398F" w:rsidRPr="000E79AA">
        <w:rPr>
          <w:rFonts w:ascii="Times New Roman" w:hAnsi="Times New Roman" w:cs="Times New Roman"/>
          <w:lang w:val="en-AU"/>
        </w:rPr>
        <w:t xml:space="preserve">(&lt;1.1 for all parameters), and with visual inspection of the time-series plots of the chains. After this, an additional 500 iterations for each chain were </w:t>
      </w:r>
      <w:r w:rsidR="00936D0C" w:rsidRPr="000E79AA">
        <w:rPr>
          <w:rFonts w:ascii="Times New Roman" w:hAnsi="Times New Roman" w:cs="Times New Roman"/>
          <w:lang w:val="en-AU"/>
        </w:rPr>
        <w:t>run</w:t>
      </w:r>
      <w:r w:rsidR="0068398F" w:rsidRPr="000E79AA">
        <w:rPr>
          <w:rFonts w:ascii="Times New Roman" w:hAnsi="Times New Roman" w:cs="Times New Roman"/>
          <w:lang w:val="en-AU"/>
        </w:rPr>
        <w:t xml:space="preserve"> to create a final posterior distribution </w:t>
      </w:r>
      <w:r w:rsidR="00D40E5A" w:rsidRPr="000E79AA">
        <w:rPr>
          <w:rFonts w:ascii="Times New Roman" w:hAnsi="Times New Roman" w:cs="Times New Roman"/>
          <w:lang w:val="en-AU"/>
        </w:rPr>
        <w:t>for</w:t>
      </w:r>
      <w:r w:rsidR="0068398F" w:rsidRPr="000E79AA">
        <w:rPr>
          <w:rFonts w:ascii="Times New Roman" w:hAnsi="Times New Roman" w:cs="Times New Roman"/>
          <w:lang w:val="en-AU"/>
        </w:rPr>
        <w:t xml:space="preserve"> each parameter. To assess the model’s goodness of fit, the observed data was compared to simulated data generated from the model’s posterior predictive distribution (</w:t>
      </w:r>
      <w:r w:rsidR="001F7596" w:rsidRPr="000E79AA">
        <w:rPr>
          <w:rFonts w:ascii="Times New Roman" w:hAnsi="Times New Roman" w:cs="Times New Roman"/>
          <w:lang w:val="en-AU"/>
        </w:rPr>
        <w:t xml:space="preserve">see </w:t>
      </w:r>
      <w:r w:rsidR="00971306" w:rsidRPr="000E79AA">
        <w:rPr>
          <w:rFonts w:ascii="Times New Roman" w:hAnsi="Times New Roman" w:cs="Times New Roman"/>
          <w:lang w:val="en-AU"/>
        </w:rPr>
        <w:t>S</w:t>
      </w:r>
      <w:r w:rsidR="00B644D9" w:rsidRPr="000E79AA">
        <w:rPr>
          <w:rFonts w:ascii="Times New Roman" w:hAnsi="Times New Roman" w:cs="Times New Roman"/>
          <w:lang w:val="en-AU"/>
        </w:rPr>
        <w:t>upplement</w:t>
      </w:r>
      <w:r w:rsidR="00971306" w:rsidRPr="000E79AA">
        <w:rPr>
          <w:rFonts w:ascii="Times New Roman" w:hAnsi="Times New Roman" w:cs="Times New Roman"/>
          <w:lang w:val="en-AU"/>
        </w:rPr>
        <w:t>ary Material Fig</w:t>
      </w:r>
      <w:r w:rsidR="004252C3" w:rsidRPr="000E79AA">
        <w:rPr>
          <w:rFonts w:ascii="Times New Roman" w:hAnsi="Times New Roman" w:cs="Times New Roman"/>
          <w:lang w:val="en-AU"/>
        </w:rPr>
        <w:t xml:space="preserve">ures </w:t>
      </w:r>
      <w:r w:rsidR="00D76DBB" w:rsidRPr="000E79AA">
        <w:rPr>
          <w:rFonts w:ascii="Times New Roman" w:hAnsi="Times New Roman" w:cs="Times New Roman"/>
          <w:lang w:val="en-AU"/>
        </w:rPr>
        <w:t>8</w:t>
      </w:r>
      <w:r w:rsidR="000271F6" w:rsidRPr="000E79AA">
        <w:rPr>
          <w:rFonts w:ascii="Times New Roman" w:hAnsi="Times New Roman" w:cs="Times New Roman"/>
          <w:lang w:val="en-AU"/>
        </w:rPr>
        <w:t xml:space="preserve"> - </w:t>
      </w:r>
      <w:r w:rsidR="00D76DBB" w:rsidRPr="000E79AA">
        <w:rPr>
          <w:rFonts w:ascii="Times New Roman" w:hAnsi="Times New Roman" w:cs="Times New Roman"/>
          <w:lang w:val="en-AU"/>
        </w:rPr>
        <w:t>1</w:t>
      </w:r>
      <w:r w:rsidR="00F0313C" w:rsidRPr="000E79AA">
        <w:rPr>
          <w:rFonts w:ascii="Times New Roman" w:hAnsi="Times New Roman" w:cs="Times New Roman"/>
          <w:lang w:val="en-AU"/>
        </w:rPr>
        <w:t>0</w:t>
      </w:r>
      <w:r w:rsidR="0068398F" w:rsidRPr="000E79AA">
        <w:rPr>
          <w:rFonts w:ascii="Times New Roman" w:hAnsi="Times New Roman" w:cs="Times New Roman"/>
          <w:lang w:val="en-AU"/>
        </w:rPr>
        <w:t>).</w:t>
      </w:r>
      <w:r w:rsidR="00B543EB" w:rsidRPr="000E79AA">
        <w:rPr>
          <w:rFonts w:ascii="Times New Roman" w:hAnsi="Times New Roman" w:cs="Times New Roman"/>
          <w:lang w:val="en-AU"/>
        </w:rPr>
        <w:t xml:space="preserve"> </w:t>
      </w:r>
    </w:p>
    <w:p w14:paraId="56A65A6A" w14:textId="77777777" w:rsidR="0068398F" w:rsidRPr="000E79AA" w:rsidRDefault="0068398F" w:rsidP="004E671C">
      <w:pPr>
        <w:spacing w:line="360" w:lineRule="auto"/>
        <w:jc w:val="both"/>
        <w:rPr>
          <w:rFonts w:ascii="Times New Roman" w:hAnsi="Times New Roman" w:cs="Times New Roman"/>
          <w:lang w:val="en-AU"/>
        </w:rPr>
      </w:pPr>
    </w:p>
    <w:p w14:paraId="46E784C0" w14:textId="77777777" w:rsidR="006978CC" w:rsidRPr="000E79AA" w:rsidRDefault="0068398F" w:rsidP="006978CC">
      <w:pPr>
        <w:spacing w:line="360" w:lineRule="auto"/>
        <w:jc w:val="both"/>
        <w:rPr>
          <w:rFonts w:ascii="Times New Roman" w:hAnsi="Times New Roman" w:cs="Times New Roman"/>
          <w:color w:val="FF0000"/>
          <w:lang w:val="en-AU"/>
        </w:rPr>
      </w:pPr>
      <w:r w:rsidRPr="000E79AA">
        <w:rPr>
          <w:rFonts w:ascii="Times New Roman" w:hAnsi="Times New Roman" w:cs="Times New Roman"/>
          <w:lang w:val="en-AU"/>
        </w:rPr>
        <w:t>The primary outcome of interest, SSRT, was computed as the mean of the ex-Gaussian finish time distribution of the stop process, which is given by μ</w:t>
      </w:r>
      <w:r w:rsidRPr="000E79AA">
        <w:rPr>
          <w:rFonts w:ascii="Times New Roman" w:hAnsi="Times New Roman" w:cs="Times New Roman"/>
          <w:vertAlign w:val="subscript"/>
          <w:lang w:val="en-AU"/>
        </w:rPr>
        <w:t>stop</w:t>
      </w:r>
      <w:r w:rsidRPr="000E79AA">
        <w:rPr>
          <w:rFonts w:ascii="Times New Roman" w:hAnsi="Times New Roman" w:cs="Times New Roman"/>
          <w:lang w:val="en-AU"/>
        </w:rPr>
        <w:t xml:space="preserve"> + τ</w:t>
      </w:r>
      <w:r w:rsidRPr="000E79AA">
        <w:rPr>
          <w:rFonts w:ascii="Times New Roman" w:hAnsi="Times New Roman" w:cs="Times New Roman"/>
          <w:vertAlign w:val="subscript"/>
          <w:lang w:val="en-AU"/>
        </w:rPr>
        <w:t>stop</w:t>
      </w:r>
      <w:r w:rsidRPr="000E79AA">
        <w:rPr>
          <w:rFonts w:ascii="Times New Roman" w:hAnsi="Times New Roman" w:cs="Times New Roman"/>
          <w:lang w:val="en-AU"/>
        </w:rPr>
        <w:t xml:space="preserve">. </w:t>
      </w:r>
      <w:r w:rsidR="00B644D9" w:rsidRPr="000E79AA">
        <w:rPr>
          <w:rFonts w:ascii="Times New Roman" w:hAnsi="Times New Roman" w:cs="Times New Roman"/>
          <w:lang w:val="en-AU"/>
        </w:rPr>
        <w:t>We repeated this</w:t>
      </w:r>
      <w:r w:rsidRPr="000E79AA">
        <w:rPr>
          <w:rFonts w:ascii="Times New Roman" w:hAnsi="Times New Roman" w:cs="Times New Roman"/>
          <w:lang w:val="en-AU"/>
        </w:rPr>
        <w:t xml:space="preserve"> for each MCMC sample</w:t>
      </w:r>
      <w:r w:rsidR="00B644D9" w:rsidRPr="000E79AA">
        <w:rPr>
          <w:rFonts w:ascii="Times New Roman" w:hAnsi="Times New Roman" w:cs="Times New Roman"/>
          <w:lang w:val="en-AU"/>
        </w:rPr>
        <w:t xml:space="preserve"> to approximate </w:t>
      </w:r>
      <w:r w:rsidRPr="000E79AA">
        <w:rPr>
          <w:rFonts w:ascii="Times New Roman" w:hAnsi="Times New Roman" w:cs="Times New Roman"/>
          <w:lang w:val="en-AU"/>
        </w:rPr>
        <w:t xml:space="preserve">a posterior distribution of SSRT. </w:t>
      </w:r>
      <w:r w:rsidR="00B644D9" w:rsidRPr="000E79AA">
        <w:rPr>
          <w:rFonts w:ascii="Times New Roman" w:hAnsi="Times New Roman" w:cs="Times New Roman"/>
          <w:lang w:val="en-AU"/>
        </w:rPr>
        <w:t>Th</w:t>
      </w:r>
      <w:r w:rsidR="00190E8F" w:rsidRPr="000E79AA">
        <w:rPr>
          <w:rFonts w:ascii="Times New Roman" w:hAnsi="Times New Roman" w:cs="Times New Roman"/>
          <w:lang w:val="en-AU"/>
        </w:rPr>
        <w:t xml:space="preserve">is </w:t>
      </w:r>
      <w:r w:rsidRPr="000E79AA">
        <w:rPr>
          <w:rFonts w:ascii="Times New Roman" w:hAnsi="Times New Roman" w:cs="Times New Roman"/>
          <w:lang w:val="en-AU"/>
        </w:rPr>
        <w:t>approach was</w:t>
      </w:r>
      <w:r w:rsidR="00F57BEF" w:rsidRPr="000E79AA">
        <w:rPr>
          <w:rFonts w:ascii="Times New Roman" w:hAnsi="Times New Roman" w:cs="Times New Roman"/>
          <w:lang w:val="en-AU"/>
        </w:rPr>
        <w:t xml:space="preserve"> also</w:t>
      </w:r>
      <w:r w:rsidRPr="000E79AA">
        <w:rPr>
          <w:rFonts w:ascii="Times New Roman" w:hAnsi="Times New Roman" w:cs="Times New Roman"/>
          <w:lang w:val="en-AU"/>
        </w:rPr>
        <w:t xml:space="preserve"> used to </w:t>
      </w:r>
      <w:r w:rsidR="00B644D9" w:rsidRPr="000E79AA">
        <w:rPr>
          <w:rFonts w:ascii="Times New Roman" w:hAnsi="Times New Roman" w:cs="Times New Roman"/>
          <w:lang w:val="en-AU"/>
        </w:rPr>
        <w:t xml:space="preserve">approximate </w:t>
      </w:r>
      <w:r w:rsidRPr="000E79AA">
        <w:rPr>
          <w:rFonts w:ascii="Times New Roman" w:hAnsi="Times New Roman" w:cs="Times New Roman"/>
          <w:lang w:val="en-AU"/>
        </w:rPr>
        <w:t>a posterior distribution of go RT (μ</w:t>
      </w:r>
      <w:r w:rsidRPr="000E79AA">
        <w:rPr>
          <w:rFonts w:ascii="Times New Roman" w:hAnsi="Times New Roman" w:cs="Times New Roman"/>
          <w:vertAlign w:val="subscript"/>
          <w:lang w:val="en-AU"/>
        </w:rPr>
        <w:t xml:space="preserve">go-match </w:t>
      </w:r>
      <w:r w:rsidRPr="000E79AA">
        <w:rPr>
          <w:rFonts w:ascii="Times New Roman" w:hAnsi="Times New Roman" w:cs="Times New Roman"/>
          <w:lang w:val="en-AU"/>
        </w:rPr>
        <w:t>+ τ</w:t>
      </w:r>
      <w:r w:rsidRPr="000E79AA">
        <w:rPr>
          <w:rFonts w:ascii="Times New Roman" w:hAnsi="Times New Roman" w:cs="Times New Roman"/>
          <w:vertAlign w:val="subscript"/>
          <w:lang w:val="en-AU"/>
        </w:rPr>
        <w:t>go-match</w:t>
      </w:r>
      <w:r w:rsidRPr="000E79AA">
        <w:rPr>
          <w:rFonts w:ascii="Times New Roman" w:hAnsi="Times New Roman" w:cs="Times New Roman"/>
          <w:lang w:val="en-AU"/>
        </w:rPr>
        <w:t>).</w:t>
      </w:r>
    </w:p>
    <w:p w14:paraId="3ADC9756" w14:textId="77777777" w:rsidR="00EE0B23" w:rsidRPr="000E79AA" w:rsidRDefault="00EE0B23" w:rsidP="004E671C">
      <w:pPr>
        <w:spacing w:line="360" w:lineRule="auto"/>
        <w:jc w:val="both"/>
        <w:rPr>
          <w:rFonts w:ascii="Times New Roman" w:hAnsi="Times New Roman" w:cs="Times New Roman"/>
          <w:lang w:val="en-AU"/>
        </w:rPr>
      </w:pPr>
    </w:p>
    <w:p w14:paraId="3BA69310" w14:textId="77777777" w:rsidR="00EE0B23" w:rsidRPr="000E79AA" w:rsidRDefault="00EE0B23"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Statistical analysis</w:t>
      </w:r>
    </w:p>
    <w:p w14:paraId="006497F8" w14:textId="77777777" w:rsidR="00907BED" w:rsidRPr="000E79AA" w:rsidRDefault="00704669"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T</w:t>
      </w:r>
      <w:r w:rsidR="009A3DB5" w:rsidRPr="000E79AA">
        <w:rPr>
          <w:rFonts w:ascii="Times New Roman" w:hAnsi="Times New Roman" w:cs="Times New Roman"/>
          <w:lang w:val="en-AU"/>
        </w:rPr>
        <w:t>he</w:t>
      </w:r>
      <w:r w:rsidR="00AB2EF2" w:rsidRPr="000E79AA">
        <w:rPr>
          <w:rFonts w:ascii="Times New Roman" w:hAnsi="Times New Roman" w:cs="Times New Roman"/>
          <w:lang w:val="en-AU"/>
        </w:rPr>
        <w:t xml:space="preserve"> go error rate and stop </w:t>
      </w:r>
      <w:r w:rsidR="00371CD2" w:rsidRPr="000E79AA">
        <w:rPr>
          <w:rFonts w:ascii="Times New Roman" w:hAnsi="Times New Roman" w:cs="Times New Roman"/>
          <w:lang w:val="en-AU"/>
        </w:rPr>
        <w:t xml:space="preserve">accuracy </w:t>
      </w:r>
      <w:r w:rsidR="00AB2EF2" w:rsidRPr="000E79AA">
        <w:rPr>
          <w:rFonts w:ascii="Times New Roman" w:hAnsi="Times New Roman" w:cs="Times New Roman"/>
          <w:lang w:val="en-AU"/>
        </w:rPr>
        <w:t>rate</w:t>
      </w:r>
      <w:r w:rsidR="009A3DB5" w:rsidRPr="000E79AA">
        <w:rPr>
          <w:rFonts w:ascii="Times New Roman" w:hAnsi="Times New Roman" w:cs="Times New Roman"/>
          <w:lang w:val="en-AU"/>
        </w:rPr>
        <w:t xml:space="preserve"> </w:t>
      </w:r>
      <w:r w:rsidRPr="000E79AA">
        <w:rPr>
          <w:rFonts w:ascii="Times New Roman" w:hAnsi="Times New Roman" w:cs="Times New Roman"/>
          <w:lang w:val="en-AU"/>
        </w:rPr>
        <w:t xml:space="preserve">served </w:t>
      </w:r>
      <w:r w:rsidR="00AB2EF2" w:rsidRPr="000E79AA">
        <w:rPr>
          <w:rFonts w:ascii="Times New Roman" w:hAnsi="Times New Roman" w:cs="Times New Roman"/>
          <w:lang w:val="en-AU"/>
        </w:rPr>
        <w:t xml:space="preserve">as </w:t>
      </w:r>
      <w:r w:rsidRPr="000E79AA">
        <w:rPr>
          <w:rFonts w:ascii="Times New Roman" w:hAnsi="Times New Roman" w:cs="Times New Roman"/>
          <w:lang w:val="en-AU"/>
        </w:rPr>
        <w:t xml:space="preserve">basic </w:t>
      </w:r>
      <w:r w:rsidR="009A3DB5" w:rsidRPr="000E79AA">
        <w:rPr>
          <w:rFonts w:ascii="Times New Roman" w:hAnsi="Times New Roman" w:cs="Times New Roman"/>
          <w:lang w:val="en-AU"/>
        </w:rPr>
        <w:t xml:space="preserve">descriptive statistics </w:t>
      </w:r>
      <w:r w:rsidR="00C309CE" w:rsidRPr="000E79AA">
        <w:rPr>
          <w:rFonts w:ascii="Times New Roman" w:hAnsi="Times New Roman" w:cs="Times New Roman"/>
          <w:lang w:val="en-AU"/>
        </w:rPr>
        <w:t>for</w:t>
      </w:r>
      <w:r w:rsidR="009A3DB5" w:rsidRPr="000E79AA">
        <w:rPr>
          <w:rFonts w:ascii="Times New Roman" w:hAnsi="Times New Roman" w:cs="Times New Roman"/>
          <w:lang w:val="en-AU"/>
        </w:rPr>
        <w:t xml:space="preserve"> </w:t>
      </w:r>
      <w:r w:rsidRPr="000E79AA">
        <w:rPr>
          <w:rFonts w:ascii="Times New Roman" w:hAnsi="Times New Roman" w:cs="Times New Roman"/>
          <w:lang w:val="en-AU"/>
        </w:rPr>
        <w:t>stop</w:t>
      </w:r>
      <w:r w:rsidR="00B543EB" w:rsidRPr="000E79AA">
        <w:rPr>
          <w:rFonts w:ascii="Times New Roman" w:hAnsi="Times New Roman" w:cs="Times New Roman"/>
          <w:lang w:val="en-AU"/>
        </w:rPr>
        <w:t>-</w:t>
      </w:r>
      <w:r w:rsidRPr="000E79AA">
        <w:rPr>
          <w:rFonts w:ascii="Times New Roman" w:hAnsi="Times New Roman" w:cs="Times New Roman"/>
          <w:lang w:val="en-AU"/>
        </w:rPr>
        <w:t xml:space="preserve">signal </w:t>
      </w:r>
      <w:r w:rsidR="009A3DB5" w:rsidRPr="000E79AA">
        <w:rPr>
          <w:rFonts w:ascii="Times New Roman" w:hAnsi="Times New Roman" w:cs="Times New Roman"/>
          <w:lang w:val="en-AU"/>
        </w:rPr>
        <w:t>task performance</w:t>
      </w:r>
      <w:r w:rsidR="00371CD2" w:rsidRPr="000E79AA">
        <w:rPr>
          <w:rFonts w:ascii="Times New Roman" w:hAnsi="Times New Roman" w:cs="Times New Roman"/>
          <w:lang w:val="en-AU"/>
        </w:rPr>
        <w:t>. We defined the go error rate as the proportion of go trials with an incorrect response, including commission errors (responses that mismatch the arrow direction) and omission errors (missing responses).</w:t>
      </w:r>
      <w:r w:rsidR="008E0F70" w:rsidRPr="000E79AA">
        <w:rPr>
          <w:rFonts w:ascii="Times New Roman" w:hAnsi="Times New Roman" w:cs="Times New Roman"/>
          <w:lang w:val="en-AU"/>
        </w:rPr>
        <w:t xml:space="preserve"> </w:t>
      </w:r>
      <w:r w:rsidR="00371CD2" w:rsidRPr="000E79AA">
        <w:rPr>
          <w:rFonts w:ascii="Times New Roman" w:hAnsi="Times New Roman" w:cs="Times New Roman"/>
          <w:lang w:val="en-AU"/>
        </w:rPr>
        <w:t>The stop accuracy rate was defined as the proportion of stop trials with successfully inhibited responses (missing responses)</w:t>
      </w:r>
      <w:r w:rsidR="0003045C" w:rsidRPr="000E79AA">
        <w:rPr>
          <w:rFonts w:ascii="Times New Roman" w:hAnsi="Times New Roman" w:cs="Times New Roman"/>
          <w:lang w:val="en-AU"/>
        </w:rPr>
        <w:t>.</w:t>
      </w:r>
      <w:r w:rsidR="00782479" w:rsidRPr="000E79AA">
        <w:rPr>
          <w:rFonts w:ascii="Times New Roman" w:hAnsi="Times New Roman" w:cs="Times New Roman"/>
          <w:lang w:val="en-AU"/>
        </w:rPr>
        <w:t xml:space="preserve"> </w:t>
      </w:r>
      <w:r w:rsidR="00371CD2" w:rsidRPr="000E79AA">
        <w:rPr>
          <w:rFonts w:ascii="Times New Roman" w:hAnsi="Times New Roman" w:cs="Times New Roman"/>
          <w:lang w:val="en-AU"/>
        </w:rPr>
        <w:t>For both outcomes, w</w:t>
      </w:r>
      <w:r w:rsidR="001D2AFE" w:rsidRPr="000E79AA">
        <w:rPr>
          <w:rFonts w:ascii="Times New Roman" w:hAnsi="Times New Roman" w:cs="Times New Roman"/>
          <w:lang w:val="en-AU"/>
        </w:rPr>
        <w:t>e examined differences between groups (P</w:t>
      </w:r>
      <w:r w:rsidR="00B543EB" w:rsidRPr="000E79AA">
        <w:rPr>
          <w:rFonts w:ascii="Times New Roman" w:hAnsi="Times New Roman" w:cs="Times New Roman"/>
          <w:lang w:val="en-AU"/>
        </w:rPr>
        <w:t>arkinson’s disease</w:t>
      </w:r>
      <w:r w:rsidR="001D2AFE" w:rsidRPr="000E79AA">
        <w:rPr>
          <w:rFonts w:ascii="Times New Roman" w:hAnsi="Times New Roman" w:cs="Times New Roman"/>
          <w:lang w:val="en-AU"/>
        </w:rPr>
        <w:t xml:space="preserve"> placebo vs. controls) and drug conditions (</w:t>
      </w:r>
      <w:r w:rsidR="00B543EB" w:rsidRPr="000E79AA">
        <w:rPr>
          <w:rFonts w:ascii="Times New Roman" w:hAnsi="Times New Roman" w:cs="Times New Roman"/>
          <w:lang w:val="en-AU"/>
        </w:rPr>
        <w:t>Parkinson’s disease</w:t>
      </w:r>
      <w:r w:rsidR="001D2AFE" w:rsidRPr="000E79AA">
        <w:rPr>
          <w:rFonts w:ascii="Times New Roman" w:hAnsi="Times New Roman" w:cs="Times New Roman"/>
          <w:lang w:val="en-AU"/>
        </w:rPr>
        <w:t xml:space="preserve"> placebo vs.</w:t>
      </w:r>
      <w:r w:rsidR="00B543EB" w:rsidRPr="000E79AA">
        <w:rPr>
          <w:rFonts w:ascii="Times New Roman" w:hAnsi="Times New Roman" w:cs="Times New Roman"/>
          <w:lang w:val="en-AU"/>
        </w:rPr>
        <w:t xml:space="preserve"> </w:t>
      </w:r>
      <w:r w:rsidR="001D2AFE" w:rsidRPr="000E79AA">
        <w:rPr>
          <w:rFonts w:ascii="Times New Roman" w:hAnsi="Times New Roman" w:cs="Times New Roman"/>
          <w:lang w:val="en-AU"/>
        </w:rPr>
        <w:t xml:space="preserve">atomoxetine) using independent and paired samples </w:t>
      </w:r>
      <w:r w:rsidR="001D2AFE" w:rsidRPr="000E79AA">
        <w:rPr>
          <w:rFonts w:ascii="Times New Roman" w:hAnsi="Times New Roman" w:cs="Times New Roman"/>
          <w:i/>
          <w:lang w:val="en-AU"/>
        </w:rPr>
        <w:t>t</w:t>
      </w:r>
      <w:r w:rsidR="001D2AFE" w:rsidRPr="000E79AA">
        <w:rPr>
          <w:rFonts w:ascii="Times New Roman" w:hAnsi="Times New Roman" w:cs="Times New Roman"/>
          <w:lang w:val="en-AU"/>
        </w:rPr>
        <w:t>-tests respectively.</w:t>
      </w:r>
    </w:p>
    <w:p w14:paraId="2E26BFB0" w14:textId="77777777" w:rsidR="007E4B41" w:rsidRPr="000E79AA" w:rsidRDefault="007E4B41" w:rsidP="004E671C">
      <w:pPr>
        <w:spacing w:line="360" w:lineRule="auto"/>
        <w:jc w:val="both"/>
        <w:rPr>
          <w:rFonts w:ascii="Times New Roman" w:hAnsi="Times New Roman" w:cs="Times New Roman"/>
          <w:lang w:val="en-AU"/>
        </w:rPr>
      </w:pPr>
    </w:p>
    <w:p w14:paraId="1F949E6E" w14:textId="06868915" w:rsidR="00152649" w:rsidRPr="000E79AA" w:rsidRDefault="00195B21"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We then examined</w:t>
      </w:r>
      <w:r w:rsidR="002E5F24" w:rsidRPr="000E79AA">
        <w:rPr>
          <w:rFonts w:ascii="Times New Roman" w:hAnsi="Times New Roman" w:cs="Times New Roman"/>
          <w:lang w:val="en-AU"/>
        </w:rPr>
        <w:t xml:space="preserve"> the group- and participant-level parameter estimates from the ex-Gaussian race model</w:t>
      </w:r>
      <w:r w:rsidR="00522F6A" w:rsidRPr="000E79AA">
        <w:rPr>
          <w:rFonts w:ascii="Times New Roman" w:hAnsi="Times New Roman" w:cs="Times New Roman"/>
          <w:lang w:val="en-AU"/>
        </w:rPr>
        <w:t xml:space="preserve"> described above</w:t>
      </w:r>
      <w:r w:rsidR="002E5F24" w:rsidRPr="000E79AA">
        <w:rPr>
          <w:rFonts w:ascii="Times New Roman" w:hAnsi="Times New Roman" w:cs="Times New Roman"/>
          <w:lang w:val="en-AU"/>
        </w:rPr>
        <w:t xml:space="preserve">. </w:t>
      </w:r>
      <w:r w:rsidR="00004368" w:rsidRPr="000E79AA">
        <w:rPr>
          <w:rFonts w:ascii="Times New Roman" w:hAnsi="Times New Roman" w:cs="Times New Roman"/>
          <w:lang w:val="en-AU"/>
        </w:rPr>
        <w:t>For group-level inference</w:t>
      </w:r>
      <w:r w:rsidR="002E5F24" w:rsidRPr="000E79AA">
        <w:rPr>
          <w:rFonts w:ascii="Times New Roman" w:hAnsi="Times New Roman" w:cs="Times New Roman"/>
          <w:lang w:val="en-AU"/>
        </w:rPr>
        <w:t xml:space="preserve">, </w:t>
      </w:r>
      <w:r w:rsidR="00004368" w:rsidRPr="000E79AA">
        <w:rPr>
          <w:rFonts w:ascii="Times New Roman" w:hAnsi="Times New Roman" w:cs="Times New Roman"/>
          <w:lang w:val="en-AU"/>
        </w:rPr>
        <w:t xml:space="preserve">we examined the posterior distributions of the group-level means of SSRT and go RT. For a given posterior distribution, </w:t>
      </w:r>
      <w:r w:rsidR="00CD1C52" w:rsidRPr="000E79AA">
        <w:rPr>
          <w:rFonts w:ascii="Times New Roman" w:hAnsi="Times New Roman" w:cs="Times New Roman"/>
          <w:lang w:val="en-AU"/>
        </w:rPr>
        <w:t>we took the</w:t>
      </w:r>
      <w:r w:rsidR="00004368" w:rsidRPr="000E79AA">
        <w:rPr>
          <w:rFonts w:ascii="Times New Roman" w:hAnsi="Times New Roman" w:cs="Times New Roman"/>
          <w:lang w:val="en-AU"/>
        </w:rPr>
        <w:t xml:space="preserve"> median as the posterior estimate, and the 95% quantile interval </w:t>
      </w:r>
      <w:r w:rsidR="00901CB5" w:rsidRPr="000E79AA">
        <w:rPr>
          <w:rFonts w:ascii="Times New Roman" w:hAnsi="Times New Roman" w:cs="Times New Roman"/>
          <w:lang w:val="en-AU"/>
        </w:rPr>
        <w:t xml:space="preserve">(QI) </w:t>
      </w:r>
      <w:r w:rsidR="00004368" w:rsidRPr="000E79AA">
        <w:rPr>
          <w:rFonts w:ascii="Times New Roman" w:hAnsi="Times New Roman" w:cs="Times New Roman"/>
          <w:lang w:val="en-AU"/>
        </w:rPr>
        <w:t xml:space="preserve">as the range of most credible values. We </w:t>
      </w:r>
      <w:r w:rsidR="00CD1C52" w:rsidRPr="000E79AA">
        <w:rPr>
          <w:rFonts w:ascii="Times New Roman" w:hAnsi="Times New Roman" w:cs="Times New Roman"/>
          <w:lang w:val="en-AU"/>
        </w:rPr>
        <w:t>also obtained</w:t>
      </w:r>
      <w:r w:rsidR="00004368" w:rsidRPr="000E79AA">
        <w:rPr>
          <w:rFonts w:ascii="Times New Roman" w:hAnsi="Times New Roman" w:cs="Times New Roman"/>
          <w:lang w:val="en-AU"/>
        </w:rPr>
        <w:t xml:space="preserve"> posterior distributions for</w:t>
      </w:r>
      <w:r w:rsidR="00CD1C52" w:rsidRPr="000E79AA">
        <w:rPr>
          <w:rFonts w:ascii="Times New Roman" w:hAnsi="Times New Roman" w:cs="Times New Roman"/>
          <w:lang w:val="en-AU"/>
        </w:rPr>
        <w:t xml:space="preserve"> </w:t>
      </w:r>
      <w:r w:rsidR="00004368" w:rsidRPr="000E79AA">
        <w:rPr>
          <w:rFonts w:ascii="Times New Roman" w:hAnsi="Times New Roman" w:cs="Times New Roman"/>
          <w:lang w:val="en-AU"/>
        </w:rPr>
        <w:t>contrasts of interest (</w:t>
      </w:r>
      <w:r w:rsidR="00E07AC4" w:rsidRPr="000E79AA">
        <w:rPr>
          <w:rFonts w:ascii="Times New Roman" w:hAnsi="Times New Roman" w:cs="Times New Roman"/>
          <w:lang w:val="en-AU"/>
        </w:rPr>
        <w:t>Parkinson’s disease</w:t>
      </w:r>
      <w:r w:rsidR="00004368" w:rsidRPr="000E79AA">
        <w:rPr>
          <w:rFonts w:ascii="Times New Roman" w:hAnsi="Times New Roman" w:cs="Times New Roman"/>
          <w:lang w:val="en-AU"/>
        </w:rPr>
        <w:t xml:space="preserve"> placebo vs. controls</w:t>
      </w:r>
      <w:r w:rsidR="007E64A2" w:rsidRPr="000E79AA">
        <w:rPr>
          <w:rFonts w:ascii="Times New Roman" w:hAnsi="Times New Roman" w:cs="Times New Roman"/>
          <w:lang w:val="en-AU"/>
        </w:rPr>
        <w:t>;</w:t>
      </w:r>
      <w:r w:rsidR="00004368" w:rsidRPr="000E79AA">
        <w:rPr>
          <w:rFonts w:ascii="Times New Roman" w:hAnsi="Times New Roman" w:cs="Times New Roman"/>
          <w:lang w:val="en-AU"/>
        </w:rPr>
        <w:t xml:space="preserve"> </w:t>
      </w:r>
      <w:r w:rsidR="00E07AC4" w:rsidRPr="000E79AA">
        <w:rPr>
          <w:rFonts w:ascii="Times New Roman" w:hAnsi="Times New Roman" w:cs="Times New Roman"/>
          <w:lang w:val="en-AU"/>
        </w:rPr>
        <w:t>Parkinson’s disease</w:t>
      </w:r>
      <w:r w:rsidR="00004368" w:rsidRPr="000E79AA">
        <w:rPr>
          <w:rFonts w:ascii="Times New Roman" w:hAnsi="Times New Roman" w:cs="Times New Roman"/>
          <w:lang w:val="en-AU"/>
        </w:rPr>
        <w:t xml:space="preserve"> placebo vs</w:t>
      </w:r>
      <w:r w:rsidR="00E07AC4" w:rsidRPr="000E79AA">
        <w:rPr>
          <w:rFonts w:ascii="Times New Roman" w:hAnsi="Times New Roman" w:cs="Times New Roman"/>
          <w:lang w:val="en-AU"/>
        </w:rPr>
        <w:t xml:space="preserve">. </w:t>
      </w:r>
      <w:r w:rsidR="00004368" w:rsidRPr="000E79AA">
        <w:rPr>
          <w:rFonts w:ascii="Times New Roman" w:hAnsi="Times New Roman" w:cs="Times New Roman"/>
          <w:lang w:val="en-AU"/>
        </w:rPr>
        <w:t>atomoxetine)</w:t>
      </w:r>
      <w:r w:rsidR="00C068BA" w:rsidRPr="000E79AA">
        <w:rPr>
          <w:rFonts w:ascii="Times New Roman" w:hAnsi="Times New Roman" w:cs="Times New Roman"/>
          <w:lang w:val="en-AU"/>
        </w:rPr>
        <w:t xml:space="preserve"> by subtracting the sets of MCMC samples of the two groups under consideration. </w:t>
      </w:r>
      <w:r w:rsidR="00C812BF" w:rsidRPr="000E79AA">
        <w:rPr>
          <w:rFonts w:ascii="Times New Roman" w:hAnsi="Times New Roman" w:cs="Times New Roman"/>
          <w:lang w:val="en-AU"/>
        </w:rPr>
        <w:t xml:space="preserve">That is, for a given parameter, we computed the difference between </w:t>
      </w:r>
      <w:r w:rsidR="00CD1C52" w:rsidRPr="000E79AA">
        <w:rPr>
          <w:rFonts w:ascii="Times New Roman" w:hAnsi="Times New Roman" w:cs="Times New Roman"/>
          <w:lang w:val="en-AU"/>
        </w:rPr>
        <w:t>the two groups</w:t>
      </w:r>
      <w:r w:rsidR="00C812BF" w:rsidRPr="000E79AA">
        <w:rPr>
          <w:rFonts w:ascii="Times New Roman" w:hAnsi="Times New Roman" w:cs="Times New Roman"/>
          <w:lang w:val="en-AU"/>
        </w:rPr>
        <w:t xml:space="preserve"> for each MCMC sample, thereby yielding a</w:t>
      </w:r>
      <w:r w:rsidR="00CD1C52" w:rsidRPr="000E79AA">
        <w:rPr>
          <w:rFonts w:ascii="Times New Roman" w:hAnsi="Times New Roman" w:cs="Times New Roman"/>
          <w:lang w:val="en-AU"/>
        </w:rPr>
        <w:t>n approximate</w:t>
      </w:r>
      <w:r w:rsidR="00C812BF" w:rsidRPr="000E79AA">
        <w:rPr>
          <w:rFonts w:ascii="Times New Roman" w:hAnsi="Times New Roman" w:cs="Times New Roman"/>
          <w:lang w:val="en-AU"/>
        </w:rPr>
        <w:t xml:space="preserve"> posterior distribution of the difference</w:t>
      </w:r>
      <w:r w:rsidR="000E36CC" w:rsidRPr="000E79AA">
        <w:rPr>
          <w:rFonts w:ascii="Times New Roman" w:hAnsi="Times New Roman" w:cs="Times New Roman"/>
          <w:lang w:val="en-AU"/>
        </w:rPr>
        <w:t>.</w:t>
      </w:r>
      <w:r w:rsidR="00D741B5"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{"citationID":"a20snm9ab44","properties":{"formattedCitation":"\\super 68\\nosupersub{}","plainCitation":"68","noteIndex":0},"citationItems":[{"id":12191,"uris":["http://zotero.org/users/local/xUwQuTPV/items/6J4LKT2U"],"uri":["http://zotero.org/users/local/xUwQuTPV/items/6J4LKT2U"],"itemData":{"id":12191,"type":"article-journal","abstract":"Bayesian estimation for 2 groups provides complete distributions of credible values for the effect size, group means and their difference, standard deviations and their difference, and the normality of the data. The method handles outliers. The decision rule can accept the null value (unlike traditional t tests) when certainty in the estimate is high (unlike Bayesian model comparison using Bayes factors). The method also yields precise estimates of statistical power for various research goals. The software and programs are free and run on Macintosh, Windows, and Linux platforms. (PsycINFO Database Record (c) 2016 APA, all rights reserved)","container-title":"Journal of Experimental Psychology: General","DOI":"10.1037/a0029146","ISSN":"1939-2222(Electronic),0096-3445(Print)","issue":"2","note":"publisher-place: US\npublisher: American Psychological Association","page":"573-603","source":"APA PsycNET","title":"Bayesian estimation supersedes the t test","volume":"142","author":[{"family":"Kruschke","given":"John K."}],"issued":{"date-parts":[["2013"]]}}}],"schema":"https://github.com/citation-style-language/schema/raw/master/csl-citation.json"} </w:instrText>
      </w:r>
      <w:r w:rsidR="00D741B5"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68</w:t>
      </w:r>
      <w:r w:rsidR="00D741B5" w:rsidRPr="000E79AA">
        <w:rPr>
          <w:rFonts w:ascii="Times New Roman" w:hAnsi="Times New Roman" w:cs="Times New Roman"/>
          <w:lang w:val="en-AU"/>
        </w:rPr>
        <w:fldChar w:fldCharType="end"/>
      </w:r>
    </w:p>
    <w:p w14:paraId="238E9B82" w14:textId="77777777" w:rsidR="00152649" w:rsidRPr="000E79AA" w:rsidRDefault="00152649" w:rsidP="004E671C">
      <w:pPr>
        <w:spacing w:line="360" w:lineRule="auto"/>
        <w:jc w:val="both"/>
        <w:rPr>
          <w:rFonts w:ascii="Times New Roman" w:hAnsi="Times New Roman" w:cs="Times New Roman"/>
          <w:lang w:val="en-AU"/>
        </w:rPr>
      </w:pPr>
    </w:p>
    <w:p w14:paraId="30F090E3" w14:textId="77777777" w:rsidR="00687E31" w:rsidRPr="000E79AA" w:rsidRDefault="00351E55"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lastRenderedPageBreak/>
        <w:t xml:space="preserve">To </w:t>
      </w:r>
      <w:r w:rsidR="00DF28CA" w:rsidRPr="000E79AA">
        <w:rPr>
          <w:rFonts w:ascii="Times New Roman" w:hAnsi="Times New Roman" w:cs="Times New Roman"/>
          <w:lang w:val="en-AU"/>
        </w:rPr>
        <w:t>test for</w:t>
      </w:r>
      <w:r w:rsidRPr="000E79AA">
        <w:rPr>
          <w:rFonts w:ascii="Times New Roman" w:hAnsi="Times New Roman" w:cs="Times New Roman"/>
          <w:lang w:val="en-AU"/>
        </w:rPr>
        <w:t xml:space="preserve"> individual differences in the effect of atomoxetine on SSRT</w:t>
      </w:r>
      <w:r w:rsidR="00D659FA" w:rsidRPr="000E79AA">
        <w:rPr>
          <w:rFonts w:ascii="Times New Roman" w:hAnsi="Times New Roman" w:cs="Times New Roman"/>
          <w:lang w:val="en-AU"/>
        </w:rPr>
        <w:t xml:space="preserve"> and go RT</w:t>
      </w:r>
      <w:r w:rsidRPr="000E79AA">
        <w:rPr>
          <w:rFonts w:ascii="Times New Roman" w:hAnsi="Times New Roman" w:cs="Times New Roman"/>
          <w:lang w:val="en-AU"/>
        </w:rPr>
        <w:t xml:space="preserve">, we extracted the medians of the participant-level posterior distributions of SSRT </w:t>
      </w:r>
      <w:r w:rsidR="00D659FA" w:rsidRPr="000E79AA">
        <w:rPr>
          <w:rFonts w:ascii="Times New Roman" w:hAnsi="Times New Roman" w:cs="Times New Roman"/>
          <w:lang w:val="en-AU"/>
        </w:rPr>
        <w:t xml:space="preserve">and go RT </w:t>
      </w:r>
      <w:r w:rsidRPr="000E79AA">
        <w:rPr>
          <w:rFonts w:ascii="Times New Roman" w:hAnsi="Times New Roman" w:cs="Times New Roman"/>
          <w:lang w:val="en-AU"/>
        </w:rPr>
        <w:t xml:space="preserve">from the placebo and atomoxetine model fits. We hypothesised that the effect of atomoxetine would depend on the </w:t>
      </w:r>
      <w:r w:rsidR="00315B4D" w:rsidRPr="000E79AA">
        <w:rPr>
          <w:rFonts w:ascii="Times New Roman" w:hAnsi="Times New Roman" w:cs="Times New Roman"/>
          <w:lang w:val="en-AU"/>
        </w:rPr>
        <w:t xml:space="preserve">integrity of the </w:t>
      </w:r>
      <w:r w:rsidR="00C37897" w:rsidRPr="000E79AA">
        <w:rPr>
          <w:rFonts w:ascii="Times New Roman" w:hAnsi="Times New Roman" w:cs="Times New Roman"/>
          <w:lang w:val="en-AU"/>
        </w:rPr>
        <w:t>locus coeruleus</w:t>
      </w:r>
      <w:r w:rsidRPr="000E79AA">
        <w:rPr>
          <w:rFonts w:ascii="Times New Roman" w:hAnsi="Times New Roman" w:cs="Times New Roman"/>
          <w:lang w:val="en-AU"/>
        </w:rPr>
        <w:t xml:space="preserve">, indexed by the </w:t>
      </w:r>
      <w:r w:rsidR="00C37897" w:rsidRPr="000E79AA">
        <w:rPr>
          <w:rFonts w:ascii="Times New Roman" w:hAnsi="Times New Roman" w:cs="Times New Roman"/>
          <w:lang w:val="en-AU"/>
        </w:rPr>
        <w:t>contrast-to-noise ratio (CNR</w:t>
      </w:r>
      <w:r w:rsidR="009978A4" w:rsidRPr="000E79AA">
        <w:rPr>
          <w:rFonts w:ascii="Times New Roman" w:hAnsi="Times New Roman" w:cs="Times New Roman"/>
          <w:lang w:val="en-AU"/>
        </w:rPr>
        <w:t>; described below</w:t>
      </w:r>
      <w:r w:rsidR="00C37897" w:rsidRPr="000E79AA">
        <w:rPr>
          <w:rFonts w:ascii="Times New Roman" w:hAnsi="Times New Roman" w:cs="Times New Roman"/>
          <w:lang w:val="en-AU"/>
        </w:rPr>
        <w:t>)</w:t>
      </w:r>
      <w:r w:rsidRPr="000E79AA">
        <w:rPr>
          <w:rFonts w:ascii="Times New Roman" w:hAnsi="Times New Roman" w:cs="Times New Roman"/>
          <w:lang w:val="en-AU"/>
        </w:rPr>
        <w:t xml:space="preserve">. Therefore, the posterior </w:t>
      </w:r>
      <w:r w:rsidR="00D659FA" w:rsidRPr="000E79AA">
        <w:rPr>
          <w:rFonts w:ascii="Times New Roman" w:hAnsi="Times New Roman" w:cs="Times New Roman"/>
          <w:lang w:val="en-AU"/>
        </w:rPr>
        <w:t xml:space="preserve">parameter </w:t>
      </w:r>
      <w:r w:rsidRPr="000E79AA">
        <w:rPr>
          <w:rFonts w:ascii="Times New Roman" w:hAnsi="Times New Roman" w:cs="Times New Roman"/>
          <w:lang w:val="en-AU"/>
        </w:rPr>
        <w:t xml:space="preserve">estimates were entered as </w:t>
      </w:r>
      <w:r w:rsidR="00FF67B4" w:rsidRPr="000E79AA">
        <w:rPr>
          <w:rFonts w:ascii="Times New Roman" w:hAnsi="Times New Roman" w:cs="Times New Roman"/>
          <w:lang w:val="en-AU"/>
        </w:rPr>
        <w:t>the dependent variable with drug condition (placebo vs. atomoxetine), CNR, and their interaction as fixed effects, allowing the intercept to vary across participants (random effect).</w:t>
      </w:r>
      <w:r w:rsidR="009F0C44" w:rsidRPr="000E79AA">
        <w:rPr>
          <w:rFonts w:ascii="Times New Roman" w:hAnsi="Times New Roman" w:cs="Times New Roman"/>
          <w:lang w:val="en-AU"/>
        </w:rPr>
        <w:t xml:space="preserve"> We additionally included </w:t>
      </w:r>
      <w:r w:rsidR="00256E66" w:rsidRPr="000E79AA">
        <w:rPr>
          <w:rFonts w:ascii="Times New Roman" w:hAnsi="Times New Roman" w:cs="Times New Roman"/>
          <w:lang w:val="en-AU"/>
        </w:rPr>
        <w:t xml:space="preserve">a fixed effect of session (first vs. second) as a covariate of no interest. Taking the analysis of SSRT as an example, the model was specified in R formula syntax as follows: </w:t>
      </w:r>
      <w:r w:rsidR="00256E66" w:rsidRPr="000E79AA">
        <w:rPr>
          <w:rFonts w:ascii="Courier New" w:hAnsi="Courier New" w:cs="Courier New"/>
          <w:lang w:val="en-AU"/>
        </w:rPr>
        <w:t>SSRT ~ drug * CNR + session + (1 | subject)</w:t>
      </w:r>
      <w:r w:rsidR="00256E66" w:rsidRPr="000E79AA">
        <w:rPr>
          <w:rFonts w:ascii="Times New Roman" w:hAnsi="Times New Roman" w:cs="Times New Roman"/>
          <w:lang w:val="en-AU"/>
        </w:rPr>
        <w:t>.</w:t>
      </w:r>
    </w:p>
    <w:p w14:paraId="17F312F5" w14:textId="77777777" w:rsidR="007F0EE8" w:rsidRPr="000E79AA" w:rsidRDefault="007F0EE8" w:rsidP="004E671C">
      <w:pPr>
        <w:spacing w:line="360" w:lineRule="auto"/>
        <w:jc w:val="both"/>
        <w:rPr>
          <w:rFonts w:ascii="Times New Roman" w:hAnsi="Times New Roman" w:cs="Times New Roman"/>
          <w:lang w:val="en-AU"/>
        </w:rPr>
      </w:pPr>
    </w:p>
    <w:p w14:paraId="632B0736" w14:textId="5F02226D" w:rsidR="00B70B26" w:rsidRPr="000E79AA" w:rsidRDefault="007F0EE8"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For </w:t>
      </w:r>
      <w:r w:rsidR="00B70B26" w:rsidRPr="000E79AA">
        <w:rPr>
          <w:rFonts w:ascii="Times New Roman" w:hAnsi="Times New Roman" w:cs="Times New Roman"/>
          <w:lang w:val="en-AU"/>
        </w:rPr>
        <w:t>linear models, we report</w:t>
      </w:r>
      <w:r w:rsidRPr="000E79AA">
        <w:rPr>
          <w:rFonts w:ascii="Times New Roman" w:hAnsi="Times New Roman" w:cs="Times New Roman"/>
          <w:lang w:val="en-AU"/>
        </w:rPr>
        <w:t xml:space="preserve"> </w:t>
      </w:r>
      <w:r w:rsidR="00234BEC" w:rsidRPr="000E79AA">
        <w:rPr>
          <w:rFonts w:ascii="Times New Roman" w:hAnsi="Times New Roman" w:cs="Times New Roman"/>
          <w:lang w:val="en-AU"/>
        </w:rPr>
        <w:t xml:space="preserve">both frequentist and Bayes factor (BF) analyses for hypothesis testing, with a significance threshold of p = .05 </w:t>
      </w:r>
      <w:r w:rsidR="00426686" w:rsidRPr="000E79AA">
        <w:rPr>
          <w:rFonts w:ascii="Times New Roman" w:hAnsi="Times New Roman" w:cs="Times New Roman"/>
          <w:lang w:val="en-AU"/>
        </w:rPr>
        <w:t xml:space="preserve">(two-sided) </w:t>
      </w:r>
      <w:r w:rsidR="00234BEC" w:rsidRPr="000E79AA">
        <w:rPr>
          <w:rFonts w:ascii="Times New Roman" w:hAnsi="Times New Roman" w:cs="Times New Roman"/>
          <w:lang w:val="en-AU"/>
        </w:rPr>
        <w:t>for frequentist analyses. We present the BF for the alternative hypothesis over the null hypothesis (i.e.</w:t>
      </w:r>
      <w:r w:rsidR="0039436C" w:rsidRPr="000E79AA">
        <w:rPr>
          <w:rFonts w:ascii="Times New Roman" w:hAnsi="Times New Roman" w:cs="Times New Roman"/>
          <w:lang w:val="en-AU"/>
        </w:rPr>
        <w:t>,</w:t>
      </w:r>
      <w:r w:rsidR="00234BEC" w:rsidRPr="000E79AA">
        <w:rPr>
          <w:rFonts w:ascii="Times New Roman" w:hAnsi="Times New Roman" w:cs="Times New Roman"/>
          <w:lang w:val="en-AU"/>
        </w:rPr>
        <w:t xml:space="preserve"> BF</w:t>
      </w:r>
      <w:r w:rsidR="00234BEC" w:rsidRPr="000E79AA">
        <w:rPr>
          <w:rFonts w:ascii="Times New Roman" w:hAnsi="Times New Roman" w:cs="Times New Roman"/>
          <w:vertAlign w:val="subscript"/>
          <w:lang w:val="en-AU"/>
        </w:rPr>
        <w:t>10</w:t>
      </w:r>
      <w:r w:rsidR="00234BEC" w:rsidRPr="000E79AA">
        <w:rPr>
          <w:rFonts w:ascii="Times New Roman" w:hAnsi="Times New Roman" w:cs="Times New Roman"/>
          <w:lang w:val="en-AU"/>
        </w:rPr>
        <w:t xml:space="preserve">), such that BF &gt; 1 indicates relative </w:t>
      </w:r>
      <w:r w:rsidR="00B855DB" w:rsidRPr="000E79AA">
        <w:rPr>
          <w:rFonts w:ascii="Times New Roman" w:hAnsi="Times New Roman" w:cs="Times New Roman"/>
          <w:lang w:val="en-AU"/>
        </w:rPr>
        <w:t xml:space="preserve">evidence </w:t>
      </w:r>
      <w:r w:rsidR="00234BEC" w:rsidRPr="000E79AA">
        <w:rPr>
          <w:rFonts w:ascii="Times New Roman" w:hAnsi="Times New Roman" w:cs="Times New Roman"/>
          <w:lang w:val="en-AU"/>
        </w:rPr>
        <w:t>for the alternative hypothesis</w:t>
      </w:r>
      <w:r w:rsidR="00371CD2" w:rsidRPr="000E79AA">
        <w:rPr>
          <w:rFonts w:ascii="Times New Roman" w:hAnsi="Times New Roman" w:cs="Times New Roman"/>
          <w:lang w:val="en-AU"/>
        </w:rPr>
        <w:t>, and BF &gt; 3 indicates “positive evidence” for the alternative hypothesis</w:t>
      </w:r>
      <w:r w:rsidR="00B36A83" w:rsidRPr="000E79AA">
        <w:rPr>
          <w:rFonts w:ascii="Times New Roman" w:hAnsi="Times New Roman" w:cs="Times New Roman"/>
          <w:lang w:val="en-AU"/>
        </w:rPr>
        <w:t>.</w:t>
      </w:r>
      <w:r w:rsidR="000F033F"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{"citationID":"a2d4ds9c7pr","properties":{"formattedCitation":"\\super 69\\nosupersub{}","plainCitation":"69","noteIndex":0},"citationItems":[{"id":12194,"uris":["http://zotero.org/users/local/xUwQuTPV/items/7YRIHMBH"],"uri":["http://zotero.org/users/local/xUwQuTPV/items/7YRIHMBH"],"itemData":{"id":12194,"type":"article-journal","abstract":"In a 1935 paper and in his book Theory of Probability, Jeffreys developed a methodology for quantifying the evidence in favor of a scientific theory. The centerpiece was a number, now called the Bayes factor, which is the posterior odds of the null hypothesis when the prior probability on the null is one-half. Although there has been much discussion of Bayesian hypothesis testing in the context of criticism of P-values, less attention has been given to the Bayes factor as a practical tool of applied statistics. In this article we review and discuss the uses of Bayes factors in the context of five scientific applications in genetics, sports, ecology, sociology, and psychology. We emphasize the following points: • From Jeffreys' Bayesian viewpoint, the purpose of hypothesis testing is to evaluate the evidence in favor of a scientific theory. • Bayes factors offer a way of evaluating evidence in favor of a null hypothesis. • Bayes factors provide a way of incorporating external information into the evaluation of evidence about a hypothesis. • Bayes factors are very general and do not require alternative models to be nested. • Several techniques are available for computing Bayes factors, including asymptotic approximations that are easy to compute using the output from standard packages that maximize likelihoods. • In “nonstandard” statistical models that do not satisfy common regularity conditions, it can be technically simpler to calculate Bayes factors than to derive non-Bayesian significance tests. • The Schwarz criterion (or BIC) gives a rough approximation to the logarithm of the Bayes factor, which is easy to use and does not require evaluation of prior distributions. • When one is interested in estimation or prediction, Bayes factors may be converted to weights to be attached to various models so that a composite estimate or prediction may be obtained that takes account of structural or model uncertainty. • Algorithms have been proposed that allow model uncertainty to be taken into account when the class of models initially considered is very large. • Bayes factors are useful for guiding an evolutionary model-building process. • It is important, and feasible, to assess the sensitivity of conclusions to the prior distributions used.","container-title":"Journal of the American Statistical Association","DOI":"10.1080/01621459.1995.10476572","ISSN":"0162-1459","issue":"430","note":"publisher: Taylor &amp; Francis\n_eprint: https://www.tandfonline.com/doi/pdf/10.1080/01621459.1995.10476572","page":"773-795","source":"Taylor and Francis+NEJM","title":"Bayes Factors","volume":"90","author":[{"family":"Kass","given":"Robert E."},{"family":"Raftery","given":"Adrian E."}],"issued":{"date-parts":[["1995",6,1]]}}}],"schema":"https://github.com/citation-style-language/schema/raw/master/csl-citation.json"} </w:instrText>
      </w:r>
      <w:r w:rsidR="000F033F"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69</w:t>
      </w:r>
      <w:r w:rsidR="000F033F" w:rsidRPr="000E79AA">
        <w:rPr>
          <w:rFonts w:ascii="Times New Roman" w:hAnsi="Times New Roman" w:cs="Times New Roman"/>
          <w:lang w:val="en-AU"/>
        </w:rPr>
        <w:fldChar w:fldCharType="end"/>
      </w:r>
      <w:r w:rsidR="00234BEC" w:rsidRPr="000E79AA">
        <w:rPr>
          <w:rFonts w:ascii="Times New Roman" w:hAnsi="Times New Roman" w:cs="Times New Roman"/>
          <w:lang w:val="en-AU"/>
        </w:rPr>
        <w:t xml:space="preserve"> </w:t>
      </w:r>
      <w:r w:rsidR="00426686" w:rsidRPr="000E79AA">
        <w:rPr>
          <w:rFonts w:ascii="Times New Roman" w:hAnsi="Times New Roman" w:cs="Times New Roman"/>
          <w:lang w:val="en-AU"/>
        </w:rPr>
        <w:t xml:space="preserve">All BF analyses used </w:t>
      </w:r>
      <w:r w:rsidR="00234BEC" w:rsidRPr="000E79AA">
        <w:rPr>
          <w:rFonts w:ascii="Times New Roman" w:hAnsi="Times New Roman" w:cs="Times New Roman"/>
          <w:lang w:val="en-AU"/>
        </w:rPr>
        <w:t>the default ‘JZS’ prior on the effect size under the alternative hypothesis</w:t>
      </w:r>
      <w:r w:rsidR="00B36A83" w:rsidRPr="000E79AA">
        <w:rPr>
          <w:rFonts w:ascii="Times New Roman" w:hAnsi="Times New Roman" w:cs="Times New Roman"/>
          <w:lang w:val="en-AU"/>
        </w:rPr>
        <w:t>.</w:t>
      </w:r>
      <w:r w:rsidR="00274374"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{"citationID":"ar0vjmommd","properties":{"formattedCitation":"\\super 70,71\\nosupersub{}","plainCitation":"70,71","noteIndex":0},"citationItems":[{"id":12215,"uris":["http://zotero.org/users/local/xUwQuTPV/items/7LPKTCN3"],"uri":["http://zotero.org/users/local/xUwQuTPV/items/7LPKTCN3"],"itemData":{"id":12215,"type":"article-journal","container-title":"Psychonomic Bulletin &amp; Review","DOI":"10.3758/PBR.16.2.225","ISSN":"1069-9384, 1531-5320","issue":"2","journalAbbreviation":"Psychonomic Bulletin &amp; Review","language":"en","page":"225-237","source":"DOI.org (Crossref)","title":"Bayesian t tests for accepting and rejecting the null hypothesis","volume":"16","author":[{"family":"Rouder","given":"Jeffrey N."},{"family":"Speckman","given":"Paul L."},{"family":"Sun","given":"Dongchu"},{"family":"Morey","given":"Richard D."},{"family":"Iverson","given":"Geoffrey"}],"issued":{"date-parts":[["2009",4]]}}},{"id":12217,"uris":["http://zotero.org/users/local/xUwQuTPV/items/NYMDZN68"],"uri":["http://zotero.org/users/local/xUwQuTPV/items/NYMDZN68"],"itemData":{"id":12217,"type":"article-journal","abstract":"Bayes factors have been advocated as superior to p-values for assessing statistical evidence in data. Despite the advantages of Bayes factors and the drawbacks of p-values, inference by p-values is still nearly ubiquitous. One impediment to the adoption of Bayes factors is a lack of practical development, particularly a lack of ready-to-use formulas and algorithms. In this paper, we discuss and expand a set of default Bayes factor tests for ANOVA designs. These tests are based on multivariate generalizations of Cauchy priors on standardized effects, and have the desirable properties of being invariant with respect to linear transformations of measurement units. Moreover, these Bayes factors are computationally convenient, and straightforward sampling algorithms are provided. We cover models with fixed, random, and mixed effects, including random interactions, and do so for within-subject, between-subject, and mixed designs. We extend the discussion to regression models with continuous covariates. We also discuss how these Bayes factors may be applied in nonlinear settings, and show how they are useful in differentiating between the power law and the exponential law of skill acquisition. In sum, the current development makes the computation of Bayes factors straightforward for the vast majority of designs in experimental psychology.","container-title":"Journal of Mathematical Psychology","DOI":"10.1016/j.jmp.2012.08.001","ISSN":"00222496","issue":"5","journalAbbreviation":"Journal of Mathematical Psychology","language":"en","page":"356-374","source":"DOI.org (Crossref)","title":"Default Bayes factors for ANOVA designs","volume":"56","author":[{"family":"Rouder","given":"Jeffrey N."},{"family":"Morey","given":"Richard D."},{"family":"Speckman","given":"Paul L."},{"family":"Province","given":"Jordan M."}],"issued":{"date-parts":[["2012",10]]}}}],"schema":"https://github.com/citation-style-language/schema/raw/master/csl-citation.json"} </w:instrText>
      </w:r>
      <w:r w:rsidR="00274374"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70,71</w:t>
      </w:r>
      <w:r w:rsidR="00274374" w:rsidRPr="000E79AA">
        <w:rPr>
          <w:rFonts w:ascii="Times New Roman" w:hAnsi="Times New Roman" w:cs="Times New Roman"/>
          <w:lang w:val="en-AU"/>
        </w:rPr>
        <w:fldChar w:fldCharType="end"/>
      </w:r>
      <w:r w:rsidR="00352657" w:rsidRPr="000E79AA">
        <w:rPr>
          <w:rFonts w:ascii="Times New Roman" w:hAnsi="Times New Roman" w:cs="Times New Roman"/>
          <w:lang w:val="en-AU"/>
        </w:rPr>
        <w:t xml:space="preserve"> </w:t>
      </w:r>
      <w:r w:rsidR="00426686" w:rsidRPr="000E79AA">
        <w:rPr>
          <w:rFonts w:ascii="Times New Roman" w:hAnsi="Times New Roman" w:cs="Times New Roman"/>
          <w:lang w:val="en-AU"/>
        </w:rPr>
        <w:t xml:space="preserve">To test for </w:t>
      </w:r>
      <w:r w:rsidR="00371CD2" w:rsidRPr="000E79AA">
        <w:rPr>
          <w:rFonts w:ascii="Times New Roman" w:hAnsi="Times New Roman" w:cs="Times New Roman"/>
          <w:lang w:val="en-AU"/>
        </w:rPr>
        <w:t xml:space="preserve">specific </w:t>
      </w:r>
      <w:r w:rsidR="00426686" w:rsidRPr="000E79AA">
        <w:rPr>
          <w:rFonts w:ascii="Times New Roman" w:hAnsi="Times New Roman" w:cs="Times New Roman"/>
          <w:lang w:val="en-AU"/>
        </w:rPr>
        <w:t xml:space="preserve">fixed effects in </w:t>
      </w:r>
      <w:r w:rsidR="00B70B26" w:rsidRPr="000E79AA">
        <w:rPr>
          <w:rFonts w:ascii="Times New Roman" w:hAnsi="Times New Roman" w:cs="Times New Roman"/>
          <w:lang w:val="en-AU"/>
        </w:rPr>
        <w:t xml:space="preserve">linear mixed models, </w:t>
      </w:r>
      <w:r w:rsidR="00426686" w:rsidRPr="000E79AA">
        <w:rPr>
          <w:rFonts w:ascii="Times New Roman" w:hAnsi="Times New Roman" w:cs="Times New Roman"/>
          <w:lang w:val="en-AU"/>
        </w:rPr>
        <w:t xml:space="preserve">we obtained </w:t>
      </w:r>
      <w:r w:rsidR="00B70B26" w:rsidRPr="000E79AA">
        <w:rPr>
          <w:rFonts w:ascii="Times New Roman" w:hAnsi="Times New Roman" w:cs="Times New Roman"/>
          <w:i/>
          <w:lang w:val="en-AU"/>
        </w:rPr>
        <w:t>p</w:t>
      </w:r>
      <w:r w:rsidR="00B70B26" w:rsidRPr="000E79AA">
        <w:rPr>
          <w:rFonts w:ascii="Times New Roman" w:hAnsi="Times New Roman" w:cs="Times New Roman"/>
          <w:lang w:val="en-AU"/>
        </w:rPr>
        <w:t>-values using the Kenward-Roger method, and BFs through Bayesian model averaging</w:t>
      </w:r>
      <w:r w:rsidR="002B6666" w:rsidRPr="000E79AA">
        <w:rPr>
          <w:rFonts w:ascii="Times New Roman" w:hAnsi="Times New Roman" w:cs="Times New Roman"/>
          <w:lang w:val="en-AU"/>
        </w:rPr>
        <w:t xml:space="preserve"> by estimating the change from prior to posterior inclusion odds (</w:t>
      </w:r>
      <w:r w:rsidR="00371CD2" w:rsidRPr="000E79AA">
        <w:rPr>
          <w:rFonts w:ascii="Times New Roman" w:hAnsi="Times New Roman" w:cs="Times New Roman"/>
          <w:lang w:val="en-AU"/>
        </w:rPr>
        <w:t xml:space="preserve">inclusion </w:t>
      </w:r>
      <w:r w:rsidR="002B6666" w:rsidRPr="000E79AA">
        <w:rPr>
          <w:rFonts w:ascii="Times New Roman" w:hAnsi="Times New Roman" w:cs="Times New Roman"/>
          <w:lang w:val="en-AU"/>
        </w:rPr>
        <w:t>BF</w:t>
      </w:r>
      <w:r w:rsidR="002902C9" w:rsidRPr="000E79AA">
        <w:rPr>
          <w:rFonts w:ascii="Times New Roman" w:hAnsi="Times New Roman" w:cs="Times New Roman"/>
          <w:lang w:val="en-AU"/>
        </w:rPr>
        <w:t>)</w:t>
      </w:r>
      <w:r w:rsidR="002B6666" w:rsidRPr="000E79AA">
        <w:rPr>
          <w:rFonts w:ascii="Times New Roman" w:hAnsi="Times New Roman" w:cs="Times New Roman"/>
          <w:lang w:val="en-AU"/>
        </w:rPr>
        <w:t>.</w:t>
      </w:r>
      <w:r w:rsidR="00522F6A" w:rsidRPr="000E79AA">
        <w:rPr>
          <w:rFonts w:ascii="Times New Roman" w:hAnsi="Times New Roman" w:cs="Times New Roman"/>
          <w:lang w:val="en-AU"/>
        </w:rPr>
        <w:t xml:space="preserve"> </w:t>
      </w:r>
      <w:r w:rsidR="0047575C" w:rsidRPr="000E79AA">
        <w:rPr>
          <w:rFonts w:ascii="Times New Roman" w:hAnsi="Times New Roman" w:cs="Times New Roman"/>
          <w:lang w:val="en-AU"/>
        </w:rPr>
        <w:t xml:space="preserve">In other words, this </w:t>
      </w:r>
      <w:r w:rsidR="00371CD2" w:rsidRPr="000E79AA">
        <w:rPr>
          <w:rFonts w:ascii="Times New Roman" w:hAnsi="Times New Roman" w:cs="Times New Roman"/>
          <w:lang w:val="en-AU"/>
        </w:rPr>
        <w:t xml:space="preserve">model-averaged </w:t>
      </w:r>
      <w:r w:rsidR="0047575C" w:rsidRPr="000E79AA">
        <w:rPr>
          <w:rFonts w:ascii="Times New Roman" w:hAnsi="Times New Roman" w:cs="Times New Roman"/>
          <w:lang w:val="en-AU"/>
        </w:rPr>
        <w:t>BF indicates how much more likely the data are under model variants that include a given fixed effect, compared to model variants that exclude the fixed effect</w:t>
      </w:r>
      <w:r w:rsidR="00BE7950" w:rsidRPr="000E79AA">
        <w:rPr>
          <w:rFonts w:ascii="Times New Roman" w:hAnsi="Times New Roman" w:cs="Times New Roman"/>
          <w:lang w:val="en-AU"/>
        </w:rPr>
        <w:t>.</w:t>
      </w:r>
      <w:r w:rsidR="002902C9"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{"citationID":"a1g8f9p7i9g","properties":{"formattedCitation":"\\super 72\\nosupersub{}","plainCitation":"72","noteIndex":0},"citationItems":[{"id":12218,"uris":["http://zotero.org/users/local/xUwQuTPV/items/NJX6BPE5"],"uri":["http://zotero.org/users/local/xUwQuTPV/items/NJX6BPE5"],"itemData":{"id":12218,"type":"article-journal","abstract":"Many statistical scenarios initially involve several candidate models that describe the data-generating process. Analysis often proceeds by first selecting the best model according to some criterion and then learning about the parameters of this selected model. Crucially, however, in this approach the parameter estimates are conditioned on the selected model, and any uncertainty about the model-selection process is ignored. An alternative is to learn the parameters for all candidate models and then combine the estimates according to the posterior probabilities of the associated models. This approach is known as Bayesian model averaging (BMA). BMA has several important advantages over all-or-none selection methods, but has been used only sparingly in the social sciences. In this conceptual introduction, we explain the principles of BMA, describe its advantages over all-or-none model selection, and showcase its utility in three examples: analysis of covariance, meta-analysis, and network analysis.","container-title":"Advances in Methods and Practices in Psychological Science","DOI":"10.1177/2515245919898657","ISSN":"2515-2459","journalAbbreviation":"Advances in Methods and Practices in Psychological Science","note":"publisher: SAGE Publications Inc","page":"2515245919898657","source":"SAGE Journals","title":"A Conceptual Introduction to Bayesian Model Averaging","author":[{"family":"Hinne","given":"Max"},{"family":"Gronau","given":"Quentin F."},{"family":"Bergh","given":"Don","non-dropping-particle":"van den"},{"family":"Wagenmakers","given":"Eric-Jan"}],"issued":{"date-parts":[["2020",6,2]]}}}],"schema":"https://github.com/citation-style-language/schema/raw/master/csl-citation.json"} </w:instrText>
      </w:r>
      <w:r w:rsidR="002902C9"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72</w:t>
      </w:r>
      <w:r w:rsidR="002902C9" w:rsidRPr="000E79AA">
        <w:rPr>
          <w:rFonts w:ascii="Times New Roman" w:hAnsi="Times New Roman" w:cs="Times New Roman"/>
          <w:lang w:val="en-AU"/>
        </w:rPr>
        <w:fldChar w:fldCharType="end"/>
      </w:r>
    </w:p>
    <w:p w14:paraId="04C08407" w14:textId="77777777" w:rsidR="00234BEC" w:rsidRPr="000E79AA" w:rsidRDefault="00234BEC" w:rsidP="004E671C">
      <w:pPr>
        <w:spacing w:line="360" w:lineRule="auto"/>
        <w:jc w:val="both"/>
        <w:rPr>
          <w:rFonts w:ascii="Times New Roman" w:hAnsi="Times New Roman" w:cs="Times New Roman"/>
          <w:lang w:val="en-AU"/>
        </w:rPr>
      </w:pPr>
    </w:p>
    <w:p w14:paraId="6895B91D" w14:textId="77777777" w:rsidR="000575C0" w:rsidRPr="000E79AA" w:rsidRDefault="009A0CE6" w:rsidP="004E671C">
      <w:pPr>
        <w:spacing w:line="360" w:lineRule="auto"/>
        <w:jc w:val="both"/>
        <w:rPr>
          <w:rFonts w:ascii="Times New Roman" w:hAnsi="Times New Roman" w:cs="Times New Roman"/>
          <w:color w:val="FF0000"/>
          <w:lang w:val="en-AU"/>
        </w:rPr>
      </w:pPr>
      <w:r w:rsidRPr="000E79AA">
        <w:rPr>
          <w:rFonts w:ascii="Times New Roman" w:hAnsi="Times New Roman" w:cs="Times New Roman"/>
          <w:lang w:val="en-AU"/>
        </w:rPr>
        <w:t xml:space="preserve">Due to technical issues, </w:t>
      </w:r>
      <w:r w:rsidR="00E75B2A" w:rsidRPr="000E79AA">
        <w:rPr>
          <w:rFonts w:ascii="Times New Roman" w:hAnsi="Times New Roman" w:cs="Times New Roman"/>
          <w:lang w:val="en-AU"/>
        </w:rPr>
        <w:t>stop</w:t>
      </w:r>
      <w:r w:rsidR="00800F23" w:rsidRPr="000E79AA">
        <w:rPr>
          <w:rFonts w:ascii="Times New Roman" w:hAnsi="Times New Roman" w:cs="Times New Roman"/>
          <w:lang w:val="en-AU"/>
        </w:rPr>
        <w:t>-</w:t>
      </w:r>
      <w:r w:rsidR="00E75B2A" w:rsidRPr="000E79AA">
        <w:rPr>
          <w:rFonts w:ascii="Times New Roman" w:hAnsi="Times New Roman" w:cs="Times New Roman"/>
          <w:lang w:val="en-AU"/>
        </w:rPr>
        <w:t>signal task data was missing for one patient’s placebo session and for another</w:t>
      </w:r>
      <w:r w:rsidR="00CE3792" w:rsidRPr="000E79AA">
        <w:rPr>
          <w:rFonts w:ascii="Times New Roman" w:hAnsi="Times New Roman" w:cs="Times New Roman"/>
          <w:lang w:val="en-AU"/>
        </w:rPr>
        <w:t xml:space="preserve"> </w:t>
      </w:r>
      <w:r w:rsidR="00E75B2A" w:rsidRPr="000E79AA">
        <w:rPr>
          <w:rFonts w:ascii="Times New Roman" w:hAnsi="Times New Roman" w:cs="Times New Roman"/>
          <w:lang w:val="en-AU"/>
        </w:rPr>
        <w:t>patient’s atomoxetine session.</w:t>
      </w:r>
      <w:r w:rsidR="000575C0" w:rsidRPr="000E79AA">
        <w:rPr>
          <w:rFonts w:ascii="Times New Roman" w:hAnsi="Times New Roman" w:cs="Times New Roman"/>
          <w:lang w:val="en-AU"/>
        </w:rPr>
        <w:t xml:space="preserve"> </w:t>
      </w:r>
      <w:r w:rsidR="007E50C7" w:rsidRPr="000E79AA">
        <w:rPr>
          <w:rFonts w:ascii="Times New Roman" w:hAnsi="Times New Roman" w:cs="Times New Roman"/>
          <w:lang w:val="en-AU"/>
        </w:rPr>
        <w:t>We</w:t>
      </w:r>
      <w:r w:rsidR="00D659FA" w:rsidRPr="000E79AA">
        <w:rPr>
          <w:rFonts w:ascii="Times New Roman" w:hAnsi="Times New Roman" w:cs="Times New Roman"/>
          <w:lang w:val="en-AU"/>
        </w:rPr>
        <w:t xml:space="preserve"> </w:t>
      </w:r>
      <w:r w:rsidR="007E50C7" w:rsidRPr="000E79AA">
        <w:rPr>
          <w:rFonts w:ascii="Times New Roman" w:hAnsi="Times New Roman" w:cs="Times New Roman"/>
          <w:lang w:val="en-AU"/>
        </w:rPr>
        <w:t xml:space="preserve">nevertheless included these </w:t>
      </w:r>
      <w:r w:rsidR="00D659FA" w:rsidRPr="000E79AA">
        <w:rPr>
          <w:rFonts w:ascii="Times New Roman" w:hAnsi="Times New Roman" w:cs="Times New Roman"/>
          <w:lang w:val="en-AU"/>
        </w:rPr>
        <w:t>two participants in the linear mixed model analyses of the within-subject effect of atomoxetine, as</w:t>
      </w:r>
      <w:r w:rsidR="00156117" w:rsidRPr="000E79AA">
        <w:rPr>
          <w:rFonts w:ascii="Times New Roman" w:hAnsi="Times New Roman" w:cs="Times New Roman"/>
          <w:lang w:val="en-AU"/>
        </w:rPr>
        <w:t xml:space="preserve"> participants</w:t>
      </w:r>
      <w:r w:rsidR="00D659FA" w:rsidRPr="000E79AA">
        <w:rPr>
          <w:rFonts w:ascii="Times New Roman" w:hAnsi="Times New Roman" w:cs="Times New Roman"/>
          <w:lang w:val="en-AU"/>
        </w:rPr>
        <w:t xml:space="preserve"> </w:t>
      </w:r>
      <w:r w:rsidR="00CF781C" w:rsidRPr="000E79AA">
        <w:rPr>
          <w:rFonts w:ascii="Times New Roman" w:hAnsi="Times New Roman" w:cs="Times New Roman"/>
          <w:lang w:val="en-AU"/>
        </w:rPr>
        <w:t xml:space="preserve">were treated </w:t>
      </w:r>
      <w:r w:rsidR="00D659FA" w:rsidRPr="000E79AA">
        <w:rPr>
          <w:rFonts w:ascii="Times New Roman" w:hAnsi="Times New Roman" w:cs="Times New Roman"/>
          <w:lang w:val="en-AU"/>
        </w:rPr>
        <w:t xml:space="preserve">as a random effect. </w:t>
      </w:r>
      <w:r w:rsidR="007E50C7" w:rsidRPr="000E79AA">
        <w:rPr>
          <w:rFonts w:ascii="Times New Roman" w:hAnsi="Times New Roman" w:cs="Times New Roman"/>
          <w:lang w:val="en-AU"/>
        </w:rPr>
        <w:t xml:space="preserve">However, excluding these two participants did not meaningfully change </w:t>
      </w:r>
      <w:r w:rsidR="00B52EF9" w:rsidRPr="000E79AA">
        <w:rPr>
          <w:rFonts w:ascii="Times New Roman" w:hAnsi="Times New Roman" w:cs="Times New Roman"/>
          <w:lang w:val="en-AU"/>
        </w:rPr>
        <w:t xml:space="preserve">any of </w:t>
      </w:r>
      <w:r w:rsidR="007E50C7" w:rsidRPr="000E79AA">
        <w:rPr>
          <w:rFonts w:ascii="Times New Roman" w:hAnsi="Times New Roman" w:cs="Times New Roman"/>
          <w:lang w:val="en-AU"/>
        </w:rPr>
        <w:t xml:space="preserve">the </w:t>
      </w:r>
      <w:r w:rsidR="00B52EF9" w:rsidRPr="000E79AA">
        <w:rPr>
          <w:rFonts w:ascii="Times New Roman" w:hAnsi="Times New Roman" w:cs="Times New Roman"/>
          <w:lang w:val="en-AU"/>
        </w:rPr>
        <w:t xml:space="preserve">following </w:t>
      </w:r>
      <w:r w:rsidR="007E50C7" w:rsidRPr="000E79AA">
        <w:rPr>
          <w:rFonts w:ascii="Times New Roman" w:hAnsi="Times New Roman" w:cs="Times New Roman"/>
          <w:lang w:val="en-AU"/>
        </w:rPr>
        <w:t>results.</w:t>
      </w:r>
      <w:r w:rsidR="00110154" w:rsidRPr="000E79AA">
        <w:rPr>
          <w:rFonts w:ascii="Times New Roman" w:hAnsi="Times New Roman" w:cs="Times New Roman"/>
          <w:lang w:val="en-AU"/>
        </w:rPr>
        <w:t xml:space="preserve"> </w:t>
      </w:r>
    </w:p>
    <w:p w14:paraId="52EB6CB1" w14:textId="77777777" w:rsidR="0068398F" w:rsidRPr="000E79AA" w:rsidRDefault="0068398F" w:rsidP="004E671C">
      <w:pPr>
        <w:spacing w:line="360" w:lineRule="auto"/>
        <w:jc w:val="both"/>
        <w:rPr>
          <w:rFonts w:ascii="Times New Roman" w:hAnsi="Times New Roman" w:cs="Times New Roman"/>
          <w:lang w:val="en-AU"/>
        </w:rPr>
      </w:pPr>
    </w:p>
    <w:p w14:paraId="2CB5B65E" w14:textId="77777777" w:rsidR="007F1663" w:rsidRPr="000E79AA" w:rsidRDefault="007F1663"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 xml:space="preserve">Software and </w:t>
      </w:r>
      <w:r w:rsidR="00785696" w:rsidRPr="000E79AA">
        <w:rPr>
          <w:rFonts w:ascii="Times New Roman" w:hAnsi="Times New Roman" w:cs="Times New Roman"/>
          <w:b/>
          <w:i/>
          <w:iCs/>
          <w:lang w:val="en-AU"/>
        </w:rPr>
        <w:t>Equipment</w:t>
      </w:r>
    </w:p>
    <w:p w14:paraId="5221F57C" w14:textId="460C17D6" w:rsidR="007F1663" w:rsidRPr="000E79AA" w:rsidRDefault="000D0B9B"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The stop</w:t>
      </w:r>
      <w:r w:rsidR="006367FF" w:rsidRPr="000E79AA">
        <w:rPr>
          <w:rFonts w:ascii="Times New Roman" w:hAnsi="Times New Roman" w:cs="Times New Roman"/>
          <w:lang w:val="en-AU"/>
        </w:rPr>
        <w:t>-</w:t>
      </w:r>
      <w:r w:rsidRPr="000E79AA">
        <w:rPr>
          <w:rFonts w:ascii="Times New Roman" w:hAnsi="Times New Roman" w:cs="Times New Roman"/>
          <w:lang w:val="en-AU"/>
        </w:rPr>
        <w:t xml:space="preserve">signal task was implemented in MATLAB </w:t>
      </w:r>
      <w:r w:rsidR="001402E8" w:rsidRPr="000E79AA">
        <w:rPr>
          <w:rFonts w:ascii="Times New Roman" w:hAnsi="Times New Roman" w:cs="Times New Roman"/>
          <w:lang w:val="en-AU"/>
        </w:rPr>
        <w:t>R</w:t>
      </w:r>
      <w:r w:rsidR="00F07A01" w:rsidRPr="000E79AA">
        <w:rPr>
          <w:rFonts w:ascii="Times New Roman" w:hAnsi="Times New Roman" w:cs="Times New Roman"/>
          <w:lang w:val="en-AU"/>
        </w:rPr>
        <w:t>2018b</w:t>
      </w:r>
      <w:r w:rsidR="00F07A01" w:rsidRPr="000E79AA" w:rsidDel="00F07A01">
        <w:rPr>
          <w:rFonts w:ascii="Times New Roman" w:hAnsi="Times New Roman" w:cs="Times New Roman"/>
          <w:lang w:val="en-AU"/>
        </w:rPr>
        <w:t xml:space="preserve"> </w:t>
      </w:r>
      <w:r w:rsidRPr="000E79AA">
        <w:rPr>
          <w:rFonts w:ascii="Times New Roman" w:hAnsi="Times New Roman" w:cs="Times New Roman"/>
          <w:lang w:val="en-AU"/>
        </w:rPr>
        <w:t>using the Psychophysics Toolbox extensions (Version 3</w:t>
      </w:r>
      <w:r w:rsidR="0023554A" w:rsidRPr="000E79AA">
        <w:rPr>
          <w:rFonts w:ascii="Times New Roman" w:hAnsi="Times New Roman" w:cs="Times New Roman"/>
          <w:lang w:val="en-AU"/>
        </w:rPr>
        <w:t>)</w:t>
      </w:r>
      <w:r w:rsidR="00864355"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{"citationID":"aq8vha7r1t","properties":{"formattedCitation":"\\super 73\\nosupersub{}","plainCitation":"73","noteIndex":0},"citationItems":[{"id":13930,"uris":["http://zotero.org/users/local/xUwQuTPV/items/6RGIP8LE"],"uri":["http://zotero.org/users/local/xUwQuTPV/items/6RGIP8LE"],"itemData":{"id":13930,"type":"article-journal","note":"publisher: Pion Ltd.","title":"What's new in Psychtoolbox-3?","author":[{"family":"Kleiner","given":"Mario"},{"family":"Brainard","given":"David"},{"family":"Pelli","given":"Denis"}],"issued":{"date-parts":[["2007"]]}}}],"schema":"https://github.com/citation-style-language/schema/raw/master/csl-citation.json"} </w:instrText>
      </w:r>
      <w:r w:rsidR="00864355"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73</w:t>
      </w:r>
      <w:r w:rsidR="00864355" w:rsidRPr="000E79AA">
        <w:rPr>
          <w:rFonts w:ascii="Times New Roman" w:hAnsi="Times New Roman" w:cs="Times New Roman"/>
          <w:lang w:val="en-AU"/>
        </w:rPr>
        <w:fldChar w:fldCharType="end"/>
      </w:r>
      <w:r w:rsidRPr="000E79AA">
        <w:rPr>
          <w:rFonts w:ascii="Times New Roman" w:hAnsi="Times New Roman" w:cs="Times New Roman"/>
          <w:lang w:val="en-AU"/>
        </w:rPr>
        <w:t xml:space="preserve">. </w:t>
      </w:r>
      <w:r w:rsidR="00BB272C" w:rsidRPr="000E79AA">
        <w:rPr>
          <w:rFonts w:ascii="Times New Roman" w:hAnsi="Times New Roman" w:cs="Times New Roman"/>
          <w:lang w:val="en-AU"/>
        </w:rPr>
        <w:t xml:space="preserve">Participants responded using a two-button response box. </w:t>
      </w:r>
      <w:r w:rsidRPr="000E79AA">
        <w:rPr>
          <w:rFonts w:ascii="Times New Roman" w:hAnsi="Times New Roman" w:cs="Times New Roman"/>
          <w:lang w:val="en-AU"/>
        </w:rPr>
        <w:t>The ex-Gaussian model fitting was performed with the Dynamic Models of Choice toolbox</w:t>
      </w:r>
      <w:r w:rsidR="008C0C64" w:rsidRPr="000E79AA">
        <w:rPr>
          <w:rFonts w:ascii="Times New Roman" w:hAnsi="Times New Roman" w:cs="Times New Roman"/>
          <w:lang w:val="en-AU"/>
        </w:rPr>
        <w:t>,</w:t>
      </w:r>
      <w:r w:rsidR="009A32EF" w:rsidRPr="000E79AA">
        <w:rPr>
          <w:rFonts w:ascii="Times New Roman" w:hAnsi="Times New Roman" w:cs="Times New Roman"/>
          <w:lang w:val="en-AU"/>
        </w:rPr>
        <w:fldChar w:fldCharType="begin"/>
      </w:r>
      <w:r w:rsidR="00960996" w:rsidRPr="000E79AA">
        <w:rPr>
          <w:rFonts w:ascii="Times New Roman" w:hAnsi="Times New Roman" w:cs="Times New Roman"/>
          <w:lang w:val="en-AU"/>
        </w:rPr>
        <w:instrText xml:space="preserve"> ADDIN ZOTERO_ITEM CSL_CITATION {"citationID":"a20min0qgo3","properties":{"formattedCitation":"\\super 58\\nosupersub{}","plainCitation":"58","noteIndex":0},"citationItems":[{"id":12190,"uris":["http://zotero.org/users/local/xUwQuTPV/items/R8ES6T4Q"],"uri":["http://zotero.org/users/local/xUwQuTPV/items/R8ES6T4Q"],"itemData":{"id":12190,"type":"article-journal","abstract":"Parameter estimation in evidence-accumulation models of choice response times is demanding of both the data and the user. We outline how to fit evidence-accumulation models using the flexible, open-source, R-based Dynamic Models of Choice (DMC) software. DMC provides a hands-on introduction to the Bayesian implementation of two popular evidence-accumulation models: the diffusion decision model (DDM) and the linear ballistic accumulator (LBA). It enables individual and hierarchical estimation, as well as assessment of the quality of a model’s parameter estimates and descriptive accuracy. First, we introduce the basic concepts of Bayesian parameter estimation, guiding the reader through a simple DDM analysis. We then illustrate the challenges of fitting evidence-accumulation models using a set of LBA analyses. We emphasize best practices in modeling and discuss the importance of parameter- and model-recovery simulations, exploring the strengths and weaknesses of models in different experimental designs and parameter regions. We also demonstrate how DMC can be used to model complex cognitive processes, using as an example a race model of the stop-signal paradigm, which is used to measure inhibitory ability. We illustrate the flexibility of DMC by extending this model to account for mixtures of cognitive processes resulting from attention failures. We then guide the reader through the practical details of a Bayesian hierarchical analysis, from specifying priors to obtaining posterior distributions that encapsulate what has been learned from the data. Finally, we illustrate how the Bayesian approach leads to a quantitatively cumulative science, showing how to use posterior distributions to specify priors that can be used to inform the analysis of future experiments.","container-title":"Behavior Research Methods","DOI":"10.3758/s13428-018-1067-y","ISSN":"1554-3528","issue":"2","journalAbbreviation":"Behav Res","language":"en","page":"961-985","source":"DOI.org (Crossref)","title":"Dynamic models of choice","volume":"51","author":[{"family":"Heathcote","given":"Andrew"},{"family":"Lin","given":"Yi-Shin"},{"family":"Reynolds","given":"Angus"},{"family":"Strickland","given":"Luke"},{"family":"Gretton","given":"Matthew"},{"family":"Matzke","given":"Dora"}],"issued":{"date-parts":[["2019",4]]}}}],"schema":"https://github.com/citation-style-language/schema/raw/master/csl-citation.json"} </w:instrText>
      </w:r>
      <w:r w:rsidR="009A32EF" w:rsidRPr="000E79AA">
        <w:rPr>
          <w:rFonts w:ascii="Times New Roman" w:hAnsi="Times New Roman" w:cs="Times New Roman"/>
          <w:lang w:val="en-AU"/>
        </w:rPr>
        <w:fldChar w:fldCharType="separate"/>
      </w:r>
      <w:r w:rsidR="00960996" w:rsidRPr="000E79AA">
        <w:rPr>
          <w:rFonts w:ascii="Times New Roman" w:hAnsi="Times New Roman" w:cs="Times New Roman"/>
          <w:vertAlign w:val="superscript"/>
        </w:rPr>
        <w:t>58</w:t>
      </w:r>
      <w:r w:rsidR="009A32EF" w:rsidRPr="000E79AA">
        <w:rPr>
          <w:rFonts w:ascii="Times New Roman" w:hAnsi="Times New Roman" w:cs="Times New Roman"/>
          <w:lang w:val="en-AU"/>
        </w:rPr>
        <w:fldChar w:fldCharType="end"/>
      </w:r>
      <w:r w:rsidR="009A32EF" w:rsidRPr="000E79AA">
        <w:rPr>
          <w:rFonts w:ascii="Times New Roman" w:hAnsi="Times New Roman" w:cs="Times New Roman"/>
          <w:lang w:val="en-AU"/>
        </w:rPr>
        <w:t xml:space="preserve"> </w:t>
      </w:r>
      <w:r w:rsidRPr="000E79AA">
        <w:rPr>
          <w:rFonts w:ascii="Times New Roman" w:hAnsi="Times New Roman" w:cs="Times New Roman"/>
          <w:lang w:val="en-AU"/>
        </w:rPr>
        <w:lastRenderedPageBreak/>
        <w:t>implemented in R (version 3.6.1, R Core Team, 2019). Further statistical analyses in R used the ‘tidyverse’</w:t>
      </w:r>
      <w:r w:rsidR="00A07AE9"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{"citationID":"a11ceoqhj02","properties":{"formattedCitation":"\\super 74\\nosupersub{}","plainCitation":"74","noteIndex":0},"citationItems":[{"id":12197,"uris":["http://zotero.org/users/local/xUwQuTPV/items/4C6ERAXJ"],"uri":["http://zotero.org/users/local/xUwQuTPV/items/4C6ERAXJ"],"itemData":{"id":12197,"type":"article-journal","abstract":"Wickham et al., (2019). Welcome to the Tidyverse. Journal of Open Source Software, 4(43), 1686, https://doi.org/10.21105/joss.01686","container-title":"Journal of Open Source Software","DOI":"10.21105/joss.01686","ISSN":"2475-9066","issue":"43","language":"en","page":"1686","source":"joss.theoj.org","title":"Welcome to the Tidyverse","volume":"4","author":[{"family":"Wickham","given":"Hadley"},{"family":"Averick","given":"Mara"},{"family":"Bryan","given":"Jennifer"},{"family":"Chang","given":"Winston"},{"family":"McGowan","given":"Lucy D'Agostino"},{"family":"François","given":"Romain"},{"family":"Grolemund","given":"Garrett"},{"family":"Hayes","given":"Alex"},{"family":"Henry","given":"Lionel"},{"family":"Hester","given":"Jim"},{"family":"Kuhn","given":"Max"},{"family":"Pedersen","given":"Thomas Lin"},{"family":"Miller","given":"Evan"},{"family":"Bache","given":"Stephan Milton"},{"family":"Müller","given":"Kirill"},{"family":"Ooms","given":"Jeroen"},{"family":"Robinson","given":"David"},{"family":"Seidel","given":"Dana Paige"},{"family":"Spinu","given":"Vitalie"},{"family":"Takahashi","given":"Kohske"},{"family":"Vaughan","given":"Davis"},{"family":"Wilke","given":"Claus"},{"family":"Woo","given":"Kara"},{"family":"Yutani","given":"Hiroaki"}],"issued":{"date-parts":[["2019",11,21]]}}}],"schema":"https://github.com/citation-style-language/schema/raw/master/csl-citation.json"} </w:instrText>
      </w:r>
      <w:r w:rsidR="00A07AE9"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74</w:t>
      </w:r>
      <w:r w:rsidR="00A07AE9" w:rsidRPr="000E79AA">
        <w:rPr>
          <w:rFonts w:ascii="Times New Roman" w:hAnsi="Times New Roman" w:cs="Times New Roman"/>
          <w:lang w:val="en-AU"/>
        </w:rPr>
        <w:fldChar w:fldCharType="end"/>
      </w:r>
      <w:r w:rsidR="00A07AE9" w:rsidRPr="000E79AA">
        <w:rPr>
          <w:rFonts w:ascii="Times New Roman" w:hAnsi="Times New Roman" w:cs="Times New Roman"/>
          <w:lang w:val="en-AU"/>
        </w:rPr>
        <w:t xml:space="preserve"> </w:t>
      </w:r>
      <w:r w:rsidR="006A5B22" w:rsidRPr="000E79AA">
        <w:rPr>
          <w:rFonts w:ascii="Times New Roman" w:hAnsi="Times New Roman" w:cs="Times New Roman"/>
          <w:lang w:val="en-AU"/>
        </w:rPr>
        <w:t>and ‘tidybayes’</w:t>
      </w:r>
      <w:r w:rsidR="003866A1"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{"citationID":"at961ckn89","properties":{"formattedCitation":"\\super 75\\nosupersub{}","plainCitation":"75","noteIndex":0},"citationItems":[{"id":12200,"uris":["http://zotero.org/users/local/xUwQuTPV/items/WSSAXCEW"],"uri":["http://zotero.org/users/local/xUwQuTPV/items/WSSAXCEW"],"itemData":{"id":12200,"type":"book","abstract":"Minor fixes for changes in tibble 3.0.0","note":"DOI: 10.5281/zenodo.3740308","publisher":"Zenodo","source":"Zenodo","title":"tidybayes: Tidy Data and Geoms for Bayesian Models","title-short":"tidybayes","URL":"https://zenodo.org/record/3740308#.XutG2WozbEY","author":[{"family":"Kay","given":"Matthew"}],"accessed":{"date-parts":[["2020",6,18]]},"issued":{"date-parts":[["2020",4,5]]}}}],"schema":"https://github.com/citation-style-language/schema/raw/master/csl-citation.json"} </w:instrText>
      </w:r>
      <w:r w:rsidR="003866A1"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75</w:t>
      </w:r>
      <w:r w:rsidR="003866A1" w:rsidRPr="000E79AA">
        <w:rPr>
          <w:rFonts w:ascii="Times New Roman" w:hAnsi="Times New Roman" w:cs="Times New Roman"/>
          <w:lang w:val="en-AU"/>
        </w:rPr>
        <w:fldChar w:fldCharType="end"/>
      </w:r>
      <w:r w:rsidR="006A5B22" w:rsidRPr="000E79AA">
        <w:rPr>
          <w:rFonts w:ascii="Times New Roman" w:hAnsi="Times New Roman" w:cs="Times New Roman"/>
          <w:lang w:val="en-AU"/>
        </w:rPr>
        <w:t xml:space="preserve"> </w:t>
      </w:r>
      <w:r w:rsidRPr="000E79AA">
        <w:rPr>
          <w:rFonts w:ascii="Times New Roman" w:hAnsi="Times New Roman" w:cs="Times New Roman"/>
          <w:lang w:val="en-AU"/>
        </w:rPr>
        <w:t>packages for data organisation and visualisation, the ‘afex’ package</w:t>
      </w:r>
      <w:r w:rsidR="00C30E1B"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{"citationID":"a25u3o16p3c","properties":{"formattedCitation":"\\super 76\\nosupersub{}","plainCitation":"76","noteIndex":0},"citationItems":[{"id":12202,"uris":["http://zotero.org/users/local/xUwQuTPV/items/QX6Y6SKK"],"uri":["http://zotero.org/users/local/xUwQuTPV/items/QX6Y6SKK"],"itemData":{"id":12202,"type":"book","abstract":"Convenience functions for analyzing factorial experiments using ANOVA or mixed models. aov_ez(), aov_car(), and aov_4() allow specification of between, within (i.e., repeated-measures), or mixed (i.e., split-plot) ANOVAs for data in long format (i.e., one observation per row), automatically aggregating multiple observations per individual and cell of the design. mixed() fits mixed models using lme4::lmer() and computes p-values for all fixed effects using either Kenward-Roger or Satterthwaite approximation for degrees of freedom (LMM only), parametric bootstrap (LMMs and GLMMs), or likelihood ratio tests (LMMs and GLMMs). afex_plot() provides a high-level interface for interaction or one-way plots using ggplot2, combining raw data and model estimates. afex uses type 3 sums of squares as default (imitating commercial statistical software).","source":"R-Packages","title":"afex: Analysis of Factorial Experiments","title-short":"afex","URL":"https://CRAN.R-project.org/package=afex","version":"0.27-2","author":[{"family":"Singmann","given":"Henrik"},{"family":"Bolker","given":"Ben"},{"family":"Westfall","given":"Jake"},{"family":"Aust","given":"Frederik"},{"family":"Ben-Shachar","given":"Mattan S."},{"family":"Højsgaard","given":"Søren"},{"family":"Fox","given":"John"},{"family":"Lawrence","given":"Michael A."},{"family":"Mertens","given":"Ulf"},{"family":"Love","given":"Jonathon"},{"family":"Lenth","given":"Russell"},{"family":"Christensen","given":"Rune Haubo Bojesen"}],"accessed":{"date-parts":[["2020",6,18]]},"issued":{"date-parts":[["2020",3,28]]}}}],"schema":"https://github.com/citation-style-language/schema/raw/master/csl-citation.json"} </w:instrText>
      </w:r>
      <w:r w:rsidR="00C30E1B"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76</w:t>
      </w:r>
      <w:r w:rsidR="00C30E1B" w:rsidRPr="000E79AA">
        <w:rPr>
          <w:rFonts w:ascii="Times New Roman" w:hAnsi="Times New Roman" w:cs="Times New Roman"/>
          <w:lang w:val="en-AU"/>
        </w:rPr>
        <w:fldChar w:fldCharType="end"/>
      </w:r>
      <w:r w:rsidR="00C30E1B" w:rsidRPr="000E79AA">
        <w:rPr>
          <w:rFonts w:ascii="Times New Roman" w:hAnsi="Times New Roman" w:cs="Times New Roman"/>
          <w:lang w:val="en-AU"/>
        </w:rPr>
        <w:t xml:space="preserve"> </w:t>
      </w:r>
      <w:r w:rsidRPr="000E79AA">
        <w:rPr>
          <w:rFonts w:ascii="Times New Roman" w:hAnsi="Times New Roman" w:cs="Times New Roman"/>
          <w:lang w:val="en-AU"/>
        </w:rPr>
        <w:t>for ANOVA and linear mixed model fitting</w:t>
      </w:r>
      <w:r w:rsidR="00824882" w:rsidRPr="000E79AA">
        <w:rPr>
          <w:rFonts w:ascii="Times New Roman" w:hAnsi="Times New Roman" w:cs="Times New Roman"/>
          <w:lang w:val="en-AU"/>
        </w:rPr>
        <w:t xml:space="preserve"> with</w:t>
      </w:r>
      <w:r w:rsidR="002905EA" w:rsidRPr="000E79AA">
        <w:rPr>
          <w:rFonts w:ascii="Times New Roman" w:hAnsi="Times New Roman" w:cs="Times New Roman"/>
          <w:lang w:val="en-AU"/>
        </w:rPr>
        <w:t xml:space="preserve"> the</w:t>
      </w:r>
      <w:r w:rsidR="00824882" w:rsidRPr="000E79AA">
        <w:rPr>
          <w:rFonts w:ascii="Times New Roman" w:hAnsi="Times New Roman" w:cs="Times New Roman"/>
          <w:lang w:val="en-AU"/>
        </w:rPr>
        <w:t xml:space="preserve"> ‘emmeans’</w:t>
      </w:r>
      <w:r w:rsidR="002905EA" w:rsidRPr="000E79AA">
        <w:rPr>
          <w:rFonts w:ascii="Times New Roman" w:hAnsi="Times New Roman" w:cs="Times New Roman"/>
          <w:lang w:val="en-AU"/>
        </w:rPr>
        <w:t xml:space="preserve"> package</w:t>
      </w:r>
      <w:r w:rsidR="004B6CD5"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{"citationID":"aastfptcbn","properties":{"formattedCitation":"\\super 77\\nosupersub{}","plainCitation":"77","noteIndex":0},"citationItems":[{"id":13704,"uris":["http://zotero.org/users/local/xUwQuTPV/items/G77QKDDB"],"uri":["http://zotero.org/users/local/xUwQuTPV/items/G77QKDDB"],"itemData":{"id":13704,"type":"book","abstract":"Obtain estimated marginal means (EMMs) for many linear, generalized linear, and mixed models. Compute contrasts or linear functions of EMMs, trends, and comparisons of slopes. Plots and other displays. Least-squares means are discussed, and the term \"estimated marginal means\" is suggested, in Searle, Speed, and Milliken (1980) Population marginal means in the linear model: An alternative to least squares means, The American Statistician 34(4), 216-221 &lt;doi:10.1080/00031305.1980.10483031&gt;.","source":"R-Packages","title":"emmeans: Estimated Marginal Means, aka Least-Squares Means","title-short":"emmeans","URL":"https://CRAN.R-project.org/package=emmeans","version":"1.4.8","author":[{"family":"Lenth","given":"Russell"},{"family":"Singmann","given":"Henrik"},{"family":"Love","given":"Jonathon"},{"family":"Buerkner","given":"Paul"},{"family":"Herve","given":"Maxime"}],"accessed":{"date-parts":[["2020",7,10]]},"issued":{"date-parts":[["2020",6,26]]}}}],"schema":"https://github.com/citation-style-language/schema/raw/master/csl-citation.json"} </w:instrText>
      </w:r>
      <w:r w:rsidR="004B6CD5"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77</w:t>
      </w:r>
      <w:r w:rsidR="004B6CD5" w:rsidRPr="000E79AA">
        <w:rPr>
          <w:rFonts w:ascii="Times New Roman" w:hAnsi="Times New Roman" w:cs="Times New Roman"/>
          <w:lang w:val="en-AU"/>
        </w:rPr>
        <w:fldChar w:fldCharType="end"/>
      </w:r>
      <w:r w:rsidR="00824882" w:rsidRPr="000E79AA">
        <w:rPr>
          <w:rFonts w:ascii="Times New Roman" w:hAnsi="Times New Roman" w:cs="Times New Roman"/>
          <w:lang w:val="en-AU"/>
        </w:rPr>
        <w:t xml:space="preserve"> </w:t>
      </w:r>
      <w:r w:rsidR="002905EA" w:rsidRPr="000E79AA">
        <w:rPr>
          <w:rFonts w:ascii="Times New Roman" w:hAnsi="Times New Roman" w:cs="Times New Roman"/>
          <w:lang w:val="en-AU"/>
        </w:rPr>
        <w:t>used</w:t>
      </w:r>
      <w:r w:rsidR="00824882" w:rsidRPr="000E79AA">
        <w:rPr>
          <w:rFonts w:ascii="Times New Roman" w:hAnsi="Times New Roman" w:cs="Times New Roman"/>
          <w:lang w:val="en-AU"/>
        </w:rPr>
        <w:t xml:space="preserve"> for post hoc comparisons</w:t>
      </w:r>
      <w:r w:rsidRPr="000E79AA">
        <w:rPr>
          <w:rFonts w:ascii="Times New Roman" w:hAnsi="Times New Roman" w:cs="Times New Roman"/>
          <w:lang w:val="en-AU"/>
        </w:rPr>
        <w:t>, and the ‘BayesFactor’</w:t>
      </w:r>
      <w:r w:rsidR="00B7040F"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{"citationID":"a15tc4r6ugo","properties":{"formattedCitation":"\\super 78\\nosupersub{}","plainCitation":"78","noteIndex":0},"citationItems":[{"id":12204,"uris":["http://zotero.org/users/local/xUwQuTPV/items/2T3JJK6L"],"uri":["http://zotero.org/users/local/xUwQuTPV/items/2T3JJK6L"],"itemData":{"id":12204,"type":"book","abstract":"A suite of functions for computing various Bayes factors for simple designs, including contingency tables, one- and two-sample designs, one-way designs, general ANOVA designs, and linear regression.","source":"R-Packages","title":"BayesFactor: Computation of Bayes Factors for Common Designs","title-short":"BayesFactor","URL":"https://CRAN.R-project.org/package=BayesFactor","version":"0.9.12-4.2","author":[{"family":"Morey","given":"Richard D."},{"family":"Rouder","given":"Jeffrey N."},{"family":"Jamil","given":"Tahira"},{"family":"Urbanek","given":"Simon"},{"family":"Forner","given":"Karl"},{"family":"Ly","given":"Alexander"}],"accessed":{"date-parts":[["2020",6,18]]},"issued":{"date-parts":[["2018",5,19]]}}}],"schema":"https://github.com/citation-style-language/schema/raw/master/csl-citation.json"} </w:instrText>
      </w:r>
      <w:r w:rsidR="00B7040F"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78</w:t>
      </w:r>
      <w:r w:rsidR="00B7040F" w:rsidRPr="000E79AA">
        <w:rPr>
          <w:rFonts w:ascii="Times New Roman" w:hAnsi="Times New Roman" w:cs="Times New Roman"/>
          <w:lang w:val="en-AU"/>
        </w:rPr>
        <w:fldChar w:fldCharType="end"/>
      </w:r>
      <w:r w:rsidR="00B7040F" w:rsidRPr="000E79AA">
        <w:rPr>
          <w:rFonts w:ascii="Times New Roman" w:hAnsi="Times New Roman" w:cs="Times New Roman"/>
          <w:lang w:val="en-AU"/>
        </w:rPr>
        <w:t xml:space="preserve"> </w:t>
      </w:r>
      <w:r w:rsidRPr="000E79AA">
        <w:rPr>
          <w:rFonts w:ascii="Times New Roman" w:hAnsi="Times New Roman" w:cs="Times New Roman"/>
          <w:lang w:val="en-AU"/>
        </w:rPr>
        <w:t>and ‘bayestestR’</w:t>
      </w:r>
      <w:r w:rsidR="00BC3B1D"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{"citationID":"at7u2nf9pc","properties":{"formattedCitation":"\\super 79\\nosupersub{}","plainCitation":"79","noteIndex":0},"citationItems":[{"id":12205,"uris":["http://zotero.org/users/local/xUwQuTPV/items/3DY7QEH4"],"uri":["http://zotero.org/users/local/xUwQuTPV/items/3DY7QEH4"],"itemData":{"id":12205,"type":"article-journal","abstract":"Makowski et al., (2019). bayestestR: Describing Effects and their Uncertainty, Existence and Significance within the Bayesian Framework. Journal of Open Source Software, 4(40), 1541, https://doi.org/10.21105/joss.01541","container-title":"Journal of Open Source Software","DOI":"10.21105/joss.01541","ISSN":"2475-9066","issue":"40","language":"en","page":"1541","source":"joss.theoj.org","title":"bayestestR: Describing Effects and their Uncertainty, Existence and Significance within the Bayesian Framework","title-short":"bayestestR","volume":"4","author":[{"family":"Makowski","given":"Dominique"},{"family":"Ben-Shachar","given":"Mattan S."},{"family":"Lüdecke","given":"Daniel"}],"issued":{"date-parts":[["2019",8,13]]}}}],"schema":"https://github.com/citation-style-language/schema/raw/master/csl-citation.json"} </w:instrText>
      </w:r>
      <w:r w:rsidR="00BC3B1D"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79</w:t>
      </w:r>
      <w:r w:rsidR="00BC3B1D" w:rsidRPr="000E79AA">
        <w:rPr>
          <w:rFonts w:ascii="Times New Roman" w:hAnsi="Times New Roman" w:cs="Times New Roman"/>
          <w:lang w:val="en-AU"/>
        </w:rPr>
        <w:fldChar w:fldCharType="end"/>
      </w:r>
      <w:r w:rsidRPr="000E79AA">
        <w:rPr>
          <w:rFonts w:ascii="Times New Roman" w:hAnsi="Times New Roman" w:cs="Times New Roman"/>
          <w:lang w:val="en-AU"/>
        </w:rPr>
        <w:t xml:space="preserve"> packages for Bayes Factor analysis.</w:t>
      </w:r>
    </w:p>
    <w:p w14:paraId="7BD37EDE" w14:textId="77777777" w:rsidR="00FA0D4B" w:rsidRPr="000E79AA" w:rsidRDefault="00FA0D4B" w:rsidP="004E671C">
      <w:pPr>
        <w:spacing w:line="360" w:lineRule="auto"/>
        <w:jc w:val="both"/>
        <w:rPr>
          <w:rFonts w:ascii="Times New Roman" w:hAnsi="Times New Roman" w:cs="Times New Roman"/>
          <w:lang w:val="en-AU"/>
        </w:rPr>
      </w:pPr>
    </w:p>
    <w:p w14:paraId="7BB70F45" w14:textId="77777777"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
          <w:i/>
          <w:lang w:val="en-AU"/>
        </w:rPr>
        <w:t xml:space="preserve">MRI acquisition </w:t>
      </w:r>
    </w:p>
    <w:p w14:paraId="38D1B763" w14:textId="4CB80E58"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Cs/>
          <w:iCs/>
          <w:lang w:val="en-AU"/>
        </w:rPr>
        <w:t>All patients and controls underwent MR imaging. Two controls were excluded from further</w:t>
      </w:r>
      <w:r w:rsidR="00711A01" w:rsidRPr="000E79AA">
        <w:rPr>
          <w:rFonts w:ascii="Times New Roman" w:hAnsi="Times New Roman" w:cs="Times New Roman"/>
          <w:bCs/>
          <w:iCs/>
          <w:lang w:val="en-AU"/>
        </w:rPr>
        <w:t xml:space="preserve"> imaging</w:t>
      </w:r>
      <w:r w:rsidRPr="000E79AA">
        <w:rPr>
          <w:rFonts w:ascii="Times New Roman" w:hAnsi="Times New Roman" w:cs="Times New Roman"/>
          <w:bCs/>
          <w:iCs/>
          <w:lang w:val="en-AU"/>
        </w:rPr>
        <w:t xml:space="preserve"> analysis due to incidental </w:t>
      </w:r>
      <w:r w:rsidR="00B52EF9" w:rsidRPr="000E79AA">
        <w:rPr>
          <w:rFonts w:ascii="Times New Roman" w:hAnsi="Times New Roman" w:cs="Times New Roman"/>
          <w:bCs/>
          <w:iCs/>
          <w:lang w:val="en-AU"/>
        </w:rPr>
        <w:t>structural abnormalities</w:t>
      </w:r>
      <w:r w:rsidRPr="000E79AA">
        <w:rPr>
          <w:rFonts w:ascii="Times New Roman" w:hAnsi="Times New Roman" w:cs="Times New Roman"/>
          <w:bCs/>
          <w:iCs/>
          <w:lang w:val="en-AU"/>
        </w:rPr>
        <w:t xml:space="preserve">. MR images were acquired with a 7T Magnetom Terra scanner (Siemens, </w:t>
      </w:r>
      <w:r w:rsidR="001728FF" w:rsidRPr="000E79AA">
        <w:rPr>
          <w:rFonts w:ascii="Times New Roman" w:hAnsi="Times New Roman" w:cs="Times New Roman"/>
          <w:bCs/>
          <w:iCs/>
          <w:lang w:val="en-AU"/>
        </w:rPr>
        <w:t>Erlangen</w:t>
      </w:r>
      <w:r w:rsidRPr="000E79AA">
        <w:rPr>
          <w:rFonts w:ascii="Times New Roman" w:hAnsi="Times New Roman" w:cs="Times New Roman"/>
          <w:bCs/>
          <w:iCs/>
          <w:lang w:val="en-AU"/>
        </w:rPr>
        <w:t xml:space="preserve">, Germany), using a 32-channel receive and circularly polarised single-channel transmit head coil (Nova Medical, Wilmington, USA). We used a 3-D high-resolution magnetisation transfer-weighted turbo flash (MT-TFL) sequence for imaging the </w:t>
      </w:r>
      <w:r w:rsidR="00686C5C" w:rsidRPr="000E79AA">
        <w:rPr>
          <w:rFonts w:ascii="Times New Roman" w:hAnsi="Times New Roman" w:cs="Times New Roman"/>
          <w:bCs/>
          <w:iCs/>
          <w:lang w:val="en-AU"/>
        </w:rPr>
        <w:t>locus coeruleus</w:t>
      </w:r>
      <w:r w:rsidRPr="000E79AA">
        <w:rPr>
          <w:rFonts w:ascii="Times New Roman" w:hAnsi="Times New Roman" w:cs="Times New Roman"/>
          <w:bCs/>
          <w:iCs/>
          <w:lang w:val="en-AU"/>
        </w:rPr>
        <w:t xml:space="preserve"> </w:t>
      </w:r>
      <w:r w:rsidR="00B52EF9" w:rsidRPr="000E79AA">
        <w:rPr>
          <w:rFonts w:ascii="Times New Roman" w:hAnsi="Times New Roman" w:cs="Times New Roman"/>
          <w:bCs/>
          <w:iCs/>
          <w:lang w:val="en-AU"/>
        </w:rPr>
        <w:t>(based on</w:t>
      </w:r>
      <w:r w:rsidR="00294BA9" w:rsidRPr="000E79AA">
        <w:rPr>
          <w:rFonts w:ascii="Times New Roman" w:hAnsi="Times New Roman" w:cs="Times New Roman"/>
          <w:bCs/>
          <w:iCs/>
          <w:lang w:val="en-AU"/>
        </w:rPr>
        <w:fldChar w:fldCharType="begin"/>
      </w:r>
      <w:r w:rsidR="000649E2" w:rsidRPr="000E79AA">
        <w:rPr>
          <w:rFonts w:ascii="Times New Roman" w:hAnsi="Times New Roman" w:cs="Times New Roman"/>
          <w:bCs/>
          <w:iCs/>
          <w:lang w:val="en-AU"/>
        </w:rPr>
        <w:instrText xml:space="preserve"> ADDIN ZOTERO_ITEM CSL_CITATION {"citationID":"a2892ealq5t","properties":{"formattedCitation":"\\super 43\\nosupersub{}","plainCitation":"43","noteIndex":0},"citationItems":[{"id":4002,"uris":["http://zotero.org/users/local/xUwQuTPV/items/6PVGI3X7"],"uri":["http://zotero.org/users/local/xUwQuTPV/items/6PVGI3X7"],"itemData":{"id":4002,"type":"article-journal","abstract":"Locus Coeruleus (LC) is a neuromelanin-rich brainstem structure that is the source of noradrenaline in the cortex and is thought to modulate attention and memory. LC imaging in vivo is commonly performed with a 2D T1-weighted Turbo Spin Echo (TSE) MRI sequence, an approach that suffers from several drawbacks at 3T, including long acquisition times and highly anisotropic spatial resolution. In this study, we developed a high-resolution Magnetization Transfer (MT) sequence for LC imaging at both 7T and 3T and compared its performance to a TSE sequence. Results indicate that LC imaging can be achieved with an MT sequence at both 7 and 3T at higher spatial resolution than the 3T TSE. Furthermore, we investigated whether the currently disputed source of contrast in the LC region with a TSE sequence relates to MT effects or shortened T1 and T2* due to increased iron concentration. Our results suggest that the contrast in the LC area relates to MT effects. To conclude, in this study we managed to image the LC, for the first time, at 7T and at an increased resolution compared to the current state-of-the-art. Imaging the LC is highly relevant for clinical diagnostics as structural tissue properties of the LC may hold promise as a biomarker in neurodegenerative diseases.","container-title":"NeuroImage","DOI":"10.1016/j.neuroimage.2017.07.045","journalAbbreviation":"NeuroImage","language":"English","page":"427-436","title":"High-resolution in vivo imaging of human locus coeruleus by magnetization transfer MRI at 3T and 7T.","volume":"168","author":[{"family":"Priovoulos","given":"Nikos"},{"family":"Jacobs","given":"Heidi I. L."},{"family":"Ivanov","given":"Dimo"},{"family":"Uludag","given":"Kamil"},{"family":"Verhey","given":"Frans R. J."},{"family":"Poser","given":"Benedikt A."}],"issued":{"date-parts":[["2018",3]]}}}],"schema":"https://github.com/citation-style-language/schema/raw/master/csl-citation.json"} </w:instrText>
      </w:r>
      <w:r w:rsidR="00294BA9" w:rsidRPr="000E79AA">
        <w:rPr>
          <w:rFonts w:ascii="Times New Roman" w:hAnsi="Times New Roman" w:cs="Times New Roman"/>
          <w:bCs/>
          <w:iCs/>
          <w:lang w:val="en-AU"/>
        </w:rPr>
        <w:fldChar w:fldCharType="separate"/>
      </w:r>
      <w:r w:rsidR="000649E2" w:rsidRPr="000E79AA">
        <w:rPr>
          <w:rFonts w:ascii="Times New Roman" w:hAnsi="Times New Roman" w:cs="Times New Roman"/>
          <w:vertAlign w:val="superscript"/>
        </w:rPr>
        <w:t>43</w:t>
      </w:r>
      <w:r w:rsidR="00294BA9" w:rsidRPr="000E79AA">
        <w:rPr>
          <w:rFonts w:ascii="Times New Roman" w:hAnsi="Times New Roman" w:cs="Times New Roman"/>
          <w:bCs/>
          <w:iCs/>
          <w:lang w:val="en-AU"/>
        </w:rPr>
        <w:fldChar w:fldCharType="end"/>
      </w:r>
      <w:r w:rsidR="00B52EF9" w:rsidRPr="000E79AA">
        <w:rPr>
          <w:rFonts w:ascii="Times New Roman" w:hAnsi="Times New Roman" w:cs="Times New Roman"/>
          <w:lang w:val="en-AU"/>
        </w:rPr>
        <w:t>)</w:t>
      </w:r>
      <w:r w:rsidRPr="000E79AA">
        <w:rPr>
          <w:rFonts w:ascii="Times New Roman" w:hAnsi="Times New Roman" w:cs="Times New Roman"/>
          <w:bCs/>
          <w:iCs/>
          <w:lang w:val="en-AU"/>
        </w:rPr>
        <w:t>. 112 axial slices were used to cover both the midbrain and the pontine regions. The sequence applied a train of 20 Gaussian-shape RF-pulses at 6.72 ppm off resonance, 420º flip-angle, followed by a turbo-flash readout (TE = 4.08 ms, TR = 1251 ms, flip-angle = 8°, voxel size = 0.4 x 0.4 x 0.5 mm</w:t>
      </w:r>
      <w:r w:rsidRPr="000E79AA">
        <w:rPr>
          <w:rFonts w:ascii="Times New Roman" w:hAnsi="Times New Roman" w:cs="Times New Roman"/>
          <w:bCs/>
          <w:iCs/>
          <w:vertAlign w:val="superscript"/>
          <w:lang w:val="en-AU"/>
        </w:rPr>
        <w:t>3</w:t>
      </w:r>
      <w:r w:rsidRPr="000E79AA">
        <w:rPr>
          <w:rFonts w:ascii="Times New Roman" w:hAnsi="Times New Roman" w:cs="Times New Roman"/>
          <w:bCs/>
          <w:iCs/>
          <w:lang w:val="en-AU"/>
        </w:rPr>
        <w:t xml:space="preserve">, 6/8 phase and slice partial Fourier, bandwidth = 140 Hz/px, no acceleration, 14.3%-oversampling, TA ~ 7 min). For each subject, the transmit voltage was adjusted based on the average flip angle in the central area of the pons obtained from a B1 pre-calibration scan. The MT-TFL sequence was repeated twice and averaged offline to improve </w:t>
      </w:r>
      <w:r w:rsidR="005F4AE2" w:rsidRPr="000E79AA">
        <w:rPr>
          <w:rFonts w:ascii="Times New Roman" w:hAnsi="Times New Roman" w:cs="Times New Roman"/>
          <w:bCs/>
          <w:iCs/>
          <w:lang w:val="en-AU"/>
        </w:rPr>
        <w:t>signal-to-noise ratio</w:t>
      </w:r>
      <w:r w:rsidRPr="000E79AA">
        <w:rPr>
          <w:rFonts w:ascii="Times New Roman" w:hAnsi="Times New Roman" w:cs="Times New Roman"/>
          <w:bCs/>
          <w:iCs/>
          <w:lang w:val="en-AU"/>
        </w:rPr>
        <w:t>. An additional scan (MT-off) was acquired with the same parameters as above but without the off-resonance pulses. A high resolution isotropic T1-weighted (T1-w) MP2RAGE image was also acquired sagittally for anatomical coregistration using the UK7T Network harmonised protocol</w:t>
      </w:r>
      <w:r w:rsidR="00DA6B52" w:rsidRPr="000E79AA">
        <w:rPr>
          <w:rFonts w:ascii="Times New Roman" w:hAnsi="Times New Roman" w:cs="Times New Roman"/>
          <w:lang w:val="en-AU"/>
        </w:rPr>
        <w:t xml:space="preserve"> </w:t>
      </w:r>
      <w:r w:rsidR="003E5773"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{"citationID":"a1tbip2tbpv","properties":{"formattedCitation":"\\super 80\\nosupersub{}","plainCitation":"80","noteIndex":0},"citationItems":[{"id":14003,"uris":["http://zotero.org/users/local/xUwQuTPV/items/UEH2FWRF"],"uri":["http://zotero.org/users/local/xUwQuTPV/items/UEH2FWRF"],"itemData":{"id":14003,"type":"article-journal","abstract":"Increasing numbers of 7 T (7 T) magnetic resonance imaging (MRI) scanners are in research and clinical use. 7 T MRI can increase the scanning speed, spatial resolution and contrast-to-noise-ratio of many neuroimaging protocols, but technical challenges in implementation have been addressed in a variety of ways across sites. In order to facilitate multi-centre studies and ensure consistency of ﬁndings across sites, it is desirable that 7 T MRI sites implement common high-quality neuroimaging protocols that can accommodate different scanner models and software versions.","container-title":"NeuroImage","DOI":"10.1016/j.neuroimage.2019.116335","ISSN":"10538119","journalAbbreviation":"NeuroImage","language":"en","page":"116335","source":"DOI.org (Crossref)","title":"Multi-site harmonization of 7 tesla MRI neuroimaging protocols","volume":"206","author":[{"family":"Clarke","given":"William T."},{"family":"Mougin","given":"Olivier"},{"family":"Driver","given":"Ian D."},{"family":"Rua","given":"Catarina"},{"family":"Morgan","given":"Andrew T."},{"family":"Asghar","given":"Michael"},{"family":"Clare","given":"Stuart"},{"family":"Francis","given":"Susan"},{"family":"Wise","given":"Richard G."},{"family":"Rodgers","given":"Christopher T."},{"family":"Carpenter","given":"Adrian"},{"family":"Muir","given":"Keith"},{"family":"Bowtell","given":"Richard"}],"issued":{"date-parts":[["2020",2]]}}}],"schema":"https://github.com/citation-style-language/schema/raw/master/csl-citation.json"} </w:instrText>
      </w:r>
      <w:r w:rsidR="003E5773"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80</w:t>
      </w:r>
      <w:r w:rsidR="003E5773" w:rsidRPr="000E79AA">
        <w:rPr>
          <w:rFonts w:ascii="Times New Roman" w:hAnsi="Times New Roman" w:cs="Times New Roman"/>
          <w:lang w:val="en-AU"/>
        </w:rPr>
        <w:fldChar w:fldCharType="end"/>
      </w:r>
      <w:r w:rsidRPr="000E79AA">
        <w:rPr>
          <w:rFonts w:ascii="Times New Roman" w:hAnsi="Times New Roman" w:cs="Times New Roman"/>
          <w:bCs/>
          <w:iCs/>
          <w:lang w:val="en-AU"/>
        </w:rPr>
        <w:t>: TE = 2.58 ms,</w:t>
      </w:r>
      <w:r w:rsidR="00233038" w:rsidRPr="000E79AA">
        <w:rPr>
          <w:rFonts w:ascii="Times New Roman" w:hAnsi="Times New Roman" w:cs="Times New Roman"/>
          <w:bCs/>
          <w:iCs/>
          <w:lang w:val="en-AU"/>
        </w:rPr>
        <w:t xml:space="preserve"> TR = 3500 ms, </w:t>
      </w:r>
      <w:r w:rsidRPr="000E79AA">
        <w:rPr>
          <w:rFonts w:ascii="Times New Roman" w:hAnsi="Times New Roman" w:cs="Times New Roman"/>
          <w:bCs/>
          <w:iCs/>
          <w:lang w:val="en-AU"/>
        </w:rPr>
        <w:t xml:space="preserve"> BW = 300 Hz/px, voxel size = 0.7 x 0.7 x 0.7 mm</w:t>
      </w:r>
      <w:r w:rsidR="00FB7040" w:rsidRPr="000E79AA">
        <w:rPr>
          <w:rFonts w:ascii="Times New Roman" w:hAnsi="Times New Roman" w:cs="Times New Roman"/>
          <w:bCs/>
          <w:iCs/>
          <w:vertAlign w:val="superscript"/>
          <w:lang w:val="en-AU"/>
        </w:rPr>
        <w:t>3</w:t>
      </w:r>
      <w:r w:rsidRPr="000E79AA">
        <w:rPr>
          <w:rFonts w:ascii="Times New Roman" w:hAnsi="Times New Roman" w:cs="Times New Roman"/>
          <w:bCs/>
          <w:iCs/>
          <w:lang w:val="en-AU"/>
        </w:rPr>
        <w:t>, FoV = 224 x 224 x 157 mm</w:t>
      </w:r>
      <w:r w:rsidR="00FB7040" w:rsidRPr="000E79AA">
        <w:rPr>
          <w:rFonts w:ascii="Times New Roman" w:hAnsi="Times New Roman" w:cs="Times New Roman"/>
          <w:bCs/>
          <w:iCs/>
          <w:vertAlign w:val="superscript"/>
          <w:lang w:val="en-AU"/>
        </w:rPr>
        <w:t>3</w:t>
      </w:r>
      <w:r w:rsidRPr="000E79AA">
        <w:rPr>
          <w:rFonts w:ascii="Times New Roman" w:hAnsi="Times New Roman" w:cs="Times New Roman"/>
          <w:bCs/>
          <w:iCs/>
          <w:lang w:val="en-AU"/>
        </w:rPr>
        <w:t xml:space="preserve">, acceleration factor (A&gt;&gt;P) = 3, flip angles = 5/2° and inversion times (TI) = 725/2150 ms for the first/second images. </w:t>
      </w:r>
    </w:p>
    <w:p w14:paraId="60752B67" w14:textId="77777777" w:rsidR="00FA0D4B" w:rsidRPr="000E79AA" w:rsidRDefault="00FA0D4B" w:rsidP="00FA0D4B">
      <w:pPr>
        <w:spacing w:line="360" w:lineRule="auto"/>
        <w:jc w:val="both"/>
        <w:rPr>
          <w:rFonts w:ascii="Times New Roman" w:hAnsi="Times New Roman" w:cs="Times New Roman"/>
          <w:bCs/>
          <w:iCs/>
          <w:lang w:val="en-AU"/>
        </w:rPr>
      </w:pPr>
    </w:p>
    <w:p w14:paraId="0A0EF17A" w14:textId="77777777"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
          <w:i/>
          <w:lang w:val="en-AU"/>
        </w:rPr>
        <w:t>Image processing and coregistration pipeline</w:t>
      </w:r>
      <w:r w:rsidRPr="000E79AA">
        <w:rPr>
          <w:rFonts w:ascii="Times New Roman" w:hAnsi="Times New Roman" w:cs="Times New Roman"/>
          <w:bCs/>
          <w:iCs/>
          <w:lang w:val="en-AU"/>
        </w:rPr>
        <w:t xml:space="preserve"> </w:t>
      </w:r>
    </w:p>
    <w:p w14:paraId="7A528DBD" w14:textId="5DED534B"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Cs/>
          <w:iCs/>
          <w:lang w:val="en-AU"/>
        </w:rPr>
        <w:t>Image processing and coregistration was based on the pipeline described in</w:t>
      </w:r>
      <w:r w:rsidR="00502AAB" w:rsidRPr="000E79AA">
        <w:rPr>
          <w:rFonts w:ascii="Times New Roman" w:hAnsi="Times New Roman" w:cs="Times New Roman"/>
          <w:lang w:val="en-AU"/>
        </w:rPr>
        <w:t>.</w:t>
      </w:r>
      <w:r w:rsidR="00557E47"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{"citationID":"a1htgaftg5j","properties":{"formattedCitation":"\\super 45\\nosupersub{}","plainCitation":"45","noteIndex":0},"citationItems":[{"id":14603,"uris":["http://zotero.org/users/local/xUwQuTPV/items/RI5M9KMS"],"uri":["http://zotero.org/users/local/xUwQuTPV/items/RI5M9KMS"],"itemData":{"id":14603,"type":"article-journal","container-title":"NeuroImage","DOI":"10.1016/j.neuroimage.2020.117487","ISSN":"10538119","journalAbbreviation":"NeuroImage","language":"en","page":"117487","source":"DOI.org (Crossref)","title":"An in vivo probabilistic atlas of the human locus coeruleus at ultra-high field","volume":"225","author":[{"family":"Ye","given":"Rong"},{"family":"Rua","given":"Catarina"},{"family":"O'Callaghan","given":"Claire"},{"family":"Jones","given":"P. Simon"},{"family":"Hezemans","given":"Frank H."},{"family":"Kaalund","given":"Sanne S."},{"family":"Tsvetanov","given":"Kamen A."},{"family":"Rodgers","given":"Christopher T."},{"family":"Williams","given":"Guy"},{"family":"Passamonti","given":"Luca"},{"family":"Rowe","given":"James B."}],"issued":{"date-parts":[["2021",1]]}}}],"schema":"https://github.com/citation-style-language/schema/raw/master/csl-citation.json"} </w:instrText>
      </w:r>
      <w:r w:rsidR="00557E47"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45</w:t>
      </w:r>
      <w:r w:rsidR="00557E47" w:rsidRPr="000E79AA">
        <w:rPr>
          <w:rFonts w:ascii="Times New Roman" w:hAnsi="Times New Roman" w:cs="Times New Roman"/>
          <w:lang w:val="en-AU"/>
        </w:rPr>
        <w:fldChar w:fldCharType="end"/>
      </w:r>
      <w:r w:rsidRPr="000E79AA">
        <w:rPr>
          <w:rFonts w:ascii="Times New Roman" w:hAnsi="Times New Roman" w:cs="Times New Roman"/>
          <w:bCs/>
          <w:iCs/>
          <w:lang w:val="en-AU"/>
        </w:rPr>
        <w:t xml:space="preserve"> The Advanced Normalization Tools (ANTs v2.2.0) software and in-house Matlab scripts were used for image pre-processing and the standardisation of MT images. MT images were first N4 bias field corrected for spatial inhomogeneity (number of iterations at each resolution level: 50x50x30x20, convergence threshold: 1x10</w:t>
      </w:r>
      <w:r w:rsidRPr="000E79AA">
        <w:rPr>
          <w:rFonts w:ascii="Times New Roman" w:hAnsi="Times New Roman" w:cs="Times New Roman"/>
          <w:bCs/>
          <w:iCs/>
          <w:vertAlign w:val="superscript"/>
          <w:lang w:val="en-AU"/>
        </w:rPr>
        <w:t>-6</w:t>
      </w:r>
      <w:r w:rsidRPr="000E79AA">
        <w:rPr>
          <w:rFonts w:ascii="Times New Roman" w:hAnsi="Times New Roman" w:cs="Times New Roman"/>
          <w:bCs/>
          <w:iCs/>
          <w:lang w:val="en-AU"/>
        </w:rPr>
        <w:t>, isotropic sizing for b-spline fitting: 200)</w:t>
      </w:r>
      <w:r w:rsidR="008620BA" w:rsidRPr="000E79AA">
        <w:rPr>
          <w:rFonts w:ascii="Times New Roman" w:hAnsi="Times New Roman" w:cs="Times New Roman"/>
          <w:bCs/>
          <w:iCs/>
          <w:lang w:val="en-AU"/>
        </w:rPr>
        <w:fldChar w:fldCharType="begin"/>
      </w:r>
      <w:r w:rsidR="00C868EB" w:rsidRPr="000E79AA">
        <w:rPr>
          <w:rFonts w:ascii="Times New Roman" w:hAnsi="Times New Roman" w:cs="Times New Roman"/>
          <w:bCs/>
          <w:iCs/>
          <w:lang w:val="en-AU"/>
        </w:rPr>
        <w:instrText xml:space="preserve"> ADDIN ZOTERO_ITEM CSL_CITATION {"citationID":"a22h0003mdv","properties":{"formattedCitation":"\\super 81\\nosupersub{}","plainCitation":"81","noteIndex":0},"citationItems":[{"id":14004,"uris":["http://zotero.org/users/local/xUwQuTPV/items/GXEQ2GQC"],"uri":["http://zotero.org/users/local/xUwQuTPV/items/GXEQ2GQC"],"itemData":{"id":14004,"type":"article-journal","abstract":"A variant of the popular nonparametric nonuniform intensity normalization (N3) algorithm is proposed for bias field correction. Given the superb performance of N3 and its public availability, it has been the subject of several evaluation studies. These studies have demonstrated the importance of certain parameters associated with the B-spline least-squares fitting. We propose the substitution of a recently developed fast and robust B-spline approximation routine and a modified hierarchical optimization scheme for improved bias field correction over the original N3 algorithm. Similar to the N3 algorithm, we also make the source code, testing, and technical documentation of our contribution, which we denote as ¿N4ITK,¿ available to the public through the Insight Toolkit of the National Institutes of Health. Performance assessment is demonstrated using simulated data from the publicly available Brainweb database, hyperpolarized 3He lung image data, and 9.4T postmortem hippocampus data.","container-title":"IEEE Transactions on Medical Imaging","DOI":"10.1109/TMI.2010.2046908","ISSN":"1558-254X","issue":"6","note":"event: IEEE Transactions on Medical Imaging","page":"1310-1320","source":"IEEE Xplore","title":"N4ITK: Improved N3 Bias Correction","title-short":"N4ITK","volume":"29","author":[{"family":"Tustison","given":"Nicholas J."},{"family":"Avants","given":"Brian B."},{"family":"Cook","given":"Philip A."},{"family":"Zheng","given":"Yuanjie"},{"family":"Egan","given":"Alexander"},{"family":"Yushkevich","given":"Paul A."},{"family":"Gee","given":"James C."}],"issued":{"date-parts":[["2010",6]]}}}],"schema":"https://github.com/citation-style-language/schema/raw/master/csl-citation.json"} </w:instrText>
      </w:r>
      <w:r w:rsidR="008620BA" w:rsidRPr="000E79AA">
        <w:rPr>
          <w:rFonts w:ascii="Times New Roman" w:hAnsi="Times New Roman" w:cs="Times New Roman"/>
          <w:bCs/>
          <w:iCs/>
          <w:lang w:val="en-AU"/>
        </w:rPr>
        <w:fldChar w:fldCharType="separate"/>
      </w:r>
      <w:r w:rsidR="00C868EB" w:rsidRPr="000E79AA">
        <w:rPr>
          <w:rFonts w:ascii="Times New Roman" w:hAnsi="Times New Roman" w:cs="Times New Roman"/>
          <w:vertAlign w:val="superscript"/>
        </w:rPr>
        <w:t>81</w:t>
      </w:r>
      <w:r w:rsidR="008620BA" w:rsidRPr="000E79AA">
        <w:rPr>
          <w:rFonts w:ascii="Times New Roman" w:hAnsi="Times New Roman" w:cs="Times New Roman"/>
          <w:bCs/>
          <w:iCs/>
          <w:lang w:val="en-AU"/>
        </w:rPr>
        <w:fldChar w:fldCharType="end"/>
      </w:r>
      <w:r w:rsidRPr="000E79AA">
        <w:rPr>
          <w:rFonts w:ascii="Times New Roman" w:hAnsi="Times New Roman" w:cs="Times New Roman"/>
          <w:bCs/>
          <w:iCs/>
          <w:lang w:val="en-AU"/>
        </w:rPr>
        <w:t xml:space="preserve"> </w:t>
      </w:r>
      <w:r w:rsidRPr="000E79AA">
        <w:rPr>
          <w:rFonts w:ascii="Times New Roman" w:hAnsi="Times New Roman" w:cs="Times New Roman"/>
          <w:lang w:val="en-AU"/>
        </w:rPr>
        <w:t xml:space="preserve">then averaged </w:t>
      </w:r>
      <w:r w:rsidRPr="000E79AA">
        <w:rPr>
          <w:rFonts w:ascii="Times New Roman" w:hAnsi="Times New Roman" w:cs="Times New Roman"/>
          <w:bCs/>
          <w:iCs/>
          <w:lang w:val="en-AU"/>
        </w:rPr>
        <w:t>using</w:t>
      </w:r>
      <w:r w:rsidR="00190B3E" w:rsidRPr="000E79AA">
        <w:rPr>
          <w:rFonts w:ascii="Times New Roman" w:hAnsi="Times New Roman" w:cs="Times New Roman"/>
          <w:bCs/>
          <w:iCs/>
          <w:lang w:val="en-AU"/>
        </w:rPr>
        <w:t xml:space="preserve"> the</w:t>
      </w:r>
      <w:r w:rsidRPr="000E79AA">
        <w:rPr>
          <w:rFonts w:ascii="Times New Roman" w:hAnsi="Times New Roman" w:cs="Times New Roman"/>
          <w:bCs/>
          <w:iCs/>
          <w:lang w:val="en-AU"/>
        </w:rPr>
        <w:t xml:space="preserve"> customised antsMultivariateTemplateConstruction2 function for </w:t>
      </w:r>
      <w:r w:rsidRPr="000E79AA">
        <w:rPr>
          <w:rFonts w:ascii="Times New Roman" w:hAnsi="Times New Roman" w:cs="Times New Roman"/>
          <w:bCs/>
          <w:iCs/>
          <w:lang w:val="en-AU"/>
        </w:rPr>
        <w:lastRenderedPageBreak/>
        <w:t>improvements in signal-to-noise ratio. The T1-w MP2RAGE data were generated offline from the complex images</w:t>
      </w:r>
      <w:r w:rsidR="00EB3E97" w:rsidRPr="000E79AA">
        <w:rPr>
          <w:rFonts w:ascii="Times New Roman" w:hAnsi="Times New Roman" w:cs="Times New Roman"/>
          <w:lang w:val="en-AU"/>
        </w:rPr>
        <w:t>.</w:t>
      </w:r>
      <w:r w:rsidR="00C157C8"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{"citationID":"a19gtnv4lhr","properties":{"formattedCitation":"\\super 80\\nosupersub{}","plainCitation":"80","noteIndex":0},"citationItems":[{"id":14003,"uris":["http://zotero.org/users/local/xUwQuTPV/items/UEH2FWRF"],"uri":["http://zotero.org/users/local/xUwQuTPV/items/UEH2FWRF"],"itemData":{"id":14003,"type":"article-journal","abstract":"Increasing numbers of 7 T (7 T) magnetic resonance imaging (MRI) scanners are in research and clinical use. 7 T MRI can increase the scanning speed, spatial resolution and contrast-to-noise-ratio of many neuroimaging protocols, but technical challenges in implementation have been addressed in a variety of ways across sites. In order to facilitate multi-centre studies and ensure consistency of ﬁndings across sites, it is desirable that 7 T MRI sites implement common high-quality neuroimaging protocols that can accommodate different scanner models and software versions.","container-title":"NeuroImage","DOI":"10.1016/j.neuroimage.2019.116335","ISSN":"10538119","journalAbbreviation":"NeuroImage","language":"en","page":"116335","source":"DOI.org (Crossref)","title":"Multi-site harmonization of 7 tesla MRI neuroimaging protocols","volume":"206","author":[{"family":"Clarke","given":"William T."},{"family":"Mougin","given":"Olivier"},{"family":"Driver","given":"Ian D."},{"family":"Rua","given":"Catarina"},{"family":"Morgan","given":"Andrew T."},{"family":"Asghar","given":"Michael"},{"family":"Clare","given":"Stuart"},{"family":"Francis","given":"Susan"},{"family":"Wise","given":"Richard G."},{"family":"Rodgers","given":"Christopher T."},{"family":"Carpenter","given":"Adrian"},{"family":"Muir","given":"Keith"},{"family":"Bowtell","given":"Richard"}],"issued":{"date-parts":[["2020",2]]}}}],"schema":"https://github.com/citation-style-language/schema/raw/master/csl-citation.json"} </w:instrText>
      </w:r>
      <w:r w:rsidR="00C157C8"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80</w:t>
      </w:r>
      <w:r w:rsidR="00C157C8" w:rsidRPr="000E79AA">
        <w:rPr>
          <w:rFonts w:ascii="Times New Roman" w:hAnsi="Times New Roman" w:cs="Times New Roman"/>
          <w:lang w:val="en-AU"/>
        </w:rPr>
        <w:fldChar w:fldCharType="end"/>
      </w:r>
      <w:r w:rsidRPr="000E79AA">
        <w:rPr>
          <w:rFonts w:ascii="Times New Roman" w:hAnsi="Times New Roman" w:cs="Times New Roman"/>
          <w:bCs/>
          <w:iCs/>
          <w:lang w:val="en-AU"/>
        </w:rPr>
        <w:t xml:space="preserve"> T1-w skull-stripped images were obtained after tissue type segmentation and reconstruction using SPM12 (v7219)</w:t>
      </w:r>
      <w:r w:rsidR="00E3442A" w:rsidRPr="000E79AA">
        <w:rPr>
          <w:rFonts w:ascii="Times New Roman" w:hAnsi="Times New Roman" w:cs="Times New Roman"/>
          <w:bCs/>
          <w:iCs/>
          <w:lang w:val="en-AU"/>
        </w:rPr>
        <w:t xml:space="preserve"> (</w:t>
      </w:r>
      <w:hyperlink r:id="rId12" w:history="1">
        <w:r w:rsidR="00E3442A" w:rsidRPr="000E79AA">
          <w:rPr>
            <w:rStyle w:val="Hyperlink"/>
            <w:rFonts w:ascii="Times New Roman" w:hAnsi="Times New Roman" w:cs="Times New Roman"/>
            <w:bCs/>
            <w:iCs/>
            <w:lang w:val="en-AU"/>
          </w:rPr>
          <w:t>http://www.fil.ion.ucl.ac.uk/spm/software/spm12/</w:t>
        </w:r>
      </w:hyperlink>
      <w:r w:rsidR="00E3442A" w:rsidRPr="000E79AA">
        <w:rPr>
          <w:rFonts w:ascii="Times New Roman" w:hAnsi="Times New Roman" w:cs="Times New Roman"/>
          <w:bCs/>
          <w:iCs/>
          <w:lang w:val="en-AU"/>
        </w:rPr>
        <w:t>)</w:t>
      </w:r>
      <w:r w:rsidRPr="000E79AA">
        <w:rPr>
          <w:rFonts w:ascii="Times New Roman" w:hAnsi="Times New Roman" w:cs="Times New Roman"/>
          <w:bCs/>
          <w:iCs/>
          <w:lang w:val="en-AU"/>
        </w:rPr>
        <w:t xml:space="preserve">. </w:t>
      </w:r>
    </w:p>
    <w:p w14:paraId="4C14833F" w14:textId="77777777" w:rsidR="00FA0D4B" w:rsidRPr="000E79AA" w:rsidRDefault="00FA0D4B" w:rsidP="00FA0D4B">
      <w:pPr>
        <w:spacing w:line="360" w:lineRule="auto"/>
        <w:jc w:val="both"/>
        <w:rPr>
          <w:rFonts w:ascii="Times New Roman" w:hAnsi="Times New Roman" w:cs="Times New Roman"/>
          <w:bCs/>
          <w:iCs/>
          <w:lang w:val="en-AU"/>
        </w:rPr>
      </w:pPr>
    </w:p>
    <w:p w14:paraId="49FBDDD4" w14:textId="76331F66"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Cs/>
          <w:iCs/>
          <w:lang w:val="en-AU"/>
        </w:rPr>
        <w:t>The pre-processed MT-weighted and T1-w images were then entered into a T1-driven, cross modality coregistration pipeline to warp the individual MT and MT-off images to the isotropic 0.5 mm ICBM152 (International Consortium for Brain Mapping) T1-w asymmetric template</w:t>
      </w:r>
      <w:r w:rsidR="005E7FB7" w:rsidRPr="000E79AA">
        <w:rPr>
          <w:rFonts w:ascii="Times New Roman" w:hAnsi="Times New Roman" w:cs="Times New Roman"/>
          <w:lang w:val="en-AU"/>
        </w:rPr>
        <w:t>.</w:t>
      </w:r>
      <w:r w:rsidR="00673F89"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{"citationID":"acbml63jii","properties":{"formattedCitation":"\\super 82\\nosupersub{}","plainCitation":"82","noteIndex":0},"citationItems":[{"id":14010,"uris":["http://zotero.org/users/local/xUwQuTPV/items/EKPL3XN5"],"uri":["http://zotero.org/users/local/xUwQuTPV/items/EKPL3XN5"],"itemData":{"id":14010,"type":"article-journal","abstract":"Spatial normalization, registration, and segmentation techniques for Magnetic Resonance Imaging (MRI) often use a target or template volume to facilitate processing, take advantage of prior information, and define a common coordinate system for analysis. In the neuroimaging literature, the MNI305 Talairach-like coordinate system is often used as a standard template. However, when studying pediatric populations, variation from the adult brain makes the MNI305 suboptimal for processing brain images of children. Morphological changes occurring during development render the use of age-appropriate templates desirable to reduce potential errors and minimize bias during processing of pediatric data. This paper presents the methods used to create unbiased, age-appropriate MRI atlas templates for pediatric studies that represent the average anatomy for the age range of 4.5–18.5years, while maintaining a high level of anatomical detail and contrast. The creation of anatomical T1-weighted, T2-weighted, and proton density-weighted templates for specific developmentally important age-ranges, used data derived from the largest epidemiological, representative (healthy and normal) sample of the U.S. population, where each subject was carefully screened for medical and psychiatric factors and characterized using established neuropsychological and behavioral assessments. Use of these age-specific templates was evaluated by computing average tissue maps for gray matter, white matter, and cerebrospinal fluid for each specific age range, and by conducting an exemplar voxel-wise deformation-based morphometry study using 66 young (4.5–6.9years) participants to demonstrate the benefits of using the age-appropriate templates. The public availability of these atlases/templates will facilitate analysis of pediatric MRI data and enable comparison of results between studies in a common standardized space specific to pediatric research.","container-title":"NeuroImage","DOI":"10.1016/j.neuroimage.2010.07.033","ISSN":"1053-8119","issue":"1","journalAbbreviation":"NeuroImage","language":"en","page":"313-327","source":"ScienceDirect","title":"Unbiased average age-appropriate atlases for pediatric studies","volume":"54","author":[{"family":"Fonov","given":"Vladimir"},{"family":"Evans","given":"Alan C."},{"family":"Botteron","given":"Kelly"},{"family":"Almli","given":"C. Robert"},{"family":"McKinstry","given":"Robert C."},{"family":"Collins","given":"D. Louis"}],"issued":{"date-parts":[["2011",1,1]]}}}],"schema":"https://github.com/citation-style-language/schema/raw/master/csl-citation.json"} </w:instrText>
      </w:r>
      <w:r w:rsidR="00673F89"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82</w:t>
      </w:r>
      <w:r w:rsidR="00673F89" w:rsidRPr="000E79AA">
        <w:rPr>
          <w:rFonts w:ascii="Times New Roman" w:hAnsi="Times New Roman" w:cs="Times New Roman"/>
          <w:lang w:val="en-AU"/>
        </w:rPr>
        <w:fldChar w:fldCharType="end"/>
      </w:r>
      <w:r w:rsidRPr="000E79AA">
        <w:rPr>
          <w:rFonts w:ascii="Times New Roman" w:hAnsi="Times New Roman" w:cs="Times New Roman"/>
          <w:bCs/>
          <w:iCs/>
          <w:lang w:val="en-AU"/>
        </w:rPr>
        <w:t xml:space="preserve"> The individual T1-w images were first coregistered to the MT image with rigid only transformation. The MT-off image was used as the intermediate step for bridging the two modalities because the MT-off image shares similar tissue-specific contrasts with both T1-w MP2RAGE and MT-on images. </w:t>
      </w:r>
    </w:p>
    <w:p w14:paraId="5E79F4F7" w14:textId="77777777" w:rsidR="00FA0D4B" w:rsidRPr="000E79AA" w:rsidRDefault="00FA0D4B" w:rsidP="00FA0D4B">
      <w:pPr>
        <w:spacing w:line="360" w:lineRule="auto"/>
        <w:jc w:val="both"/>
        <w:rPr>
          <w:rFonts w:ascii="Times New Roman" w:hAnsi="Times New Roman" w:cs="Times New Roman"/>
          <w:bCs/>
          <w:iCs/>
          <w:lang w:val="en-AU"/>
        </w:rPr>
      </w:pPr>
    </w:p>
    <w:p w14:paraId="07B7979A" w14:textId="03A4CDCF" w:rsidR="00FA0D4B" w:rsidRPr="000E79AA" w:rsidRDefault="00FA0D4B" w:rsidP="00FA0D4B">
      <w:pPr>
        <w:spacing w:line="360" w:lineRule="auto"/>
        <w:jc w:val="both"/>
        <w:rPr>
          <w:rFonts w:ascii="Times New Roman" w:hAnsi="Times New Roman" w:cs="Times New Roman"/>
          <w:bCs/>
          <w:iCs/>
          <w:lang w:val="en-AU"/>
        </w:rPr>
      </w:pPr>
      <w:r w:rsidRPr="000E79AA">
        <w:rPr>
          <w:rFonts w:ascii="Times New Roman" w:hAnsi="Times New Roman" w:cs="Times New Roman"/>
          <w:bCs/>
          <w:iCs/>
          <w:lang w:val="en-AU"/>
        </w:rPr>
        <w:t xml:space="preserve">In parallel, an unbiased study-wise T1-w structural template was created using individual skull-stripped T1-w images from all controls and patients. Native T1-w images were rigid and affine transformed, followed by a hierarchical nonlinear diffeomorphic step at </w:t>
      </w:r>
      <w:r w:rsidR="005C6CDA" w:rsidRPr="000E79AA">
        <w:rPr>
          <w:rFonts w:ascii="Times New Roman" w:hAnsi="Times New Roman" w:cs="Times New Roman"/>
          <w:bCs/>
          <w:iCs/>
          <w:lang w:val="en-AU"/>
        </w:rPr>
        <w:t>five</w:t>
      </w:r>
      <w:r w:rsidRPr="000E79AA">
        <w:rPr>
          <w:rFonts w:ascii="Times New Roman" w:hAnsi="Times New Roman" w:cs="Times New Roman"/>
          <w:bCs/>
          <w:iCs/>
          <w:lang w:val="en-AU"/>
        </w:rPr>
        <w:t xml:space="preserve"> levels of resolution, repeated by </w:t>
      </w:r>
      <w:r w:rsidR="005C6CDA" w:rsidRPr="000E79AA">
        <w:rPr>
          <w:rFonts w:ascii="Times New Roman" w:hAnsi="Times New Roman" w:cs="Times New Roman"/>
          <w:bCs/>
          <w:iCs/>
          <w:lang w:val="en-AU"/>
        </w:rPr>
        <w:t>six</w:t>
      </w:r>
      <w:r w:rsidRPr="000E79AA">
        <w:rPr>
          <w:rFonts w:ascii="Times New Roman" w:hAnsi="Times New Roman" w:cs="Times New Roman"/>
          <w:bCs/>
          <w:iCs/>
          <w:lang w:val="en-AU"/>
        </w:rPr>
        <w:t xml:space="preserve"> runs to improve convergence. Max iterations for each resolution from the coarsest level to the full resolution were 100x100x70x50x20 (shrink factors: 10x6x4x2x1, smoothing factors: 5x3x2x1x0 voxels, gradient step size: 0.1 mm). The Greedy Symmetric Normalisation (SyN) was adopted for the transformation model of the deformation step</w:t>
      </w:r>
      <w:r w:rsidR="00A1693E" w:rsidRPr="000E79AA">
        <w:rPr>
          <w:rFonts w:ascii="Times New Roman" w:hAnsi="Times New Roman" w:cs="Times New Roman"/>
          <w:lang w:val="en-AU"/>
        </w:rPr>
        <w:t>.</w:t>
      </w:r>
      <w:r w:rsidR="00EB4E94"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{"citationID":"a1vdr889fuj","properties":{"formattedCitation":"\\super 83\\nosupersub{}","plainCitation":"83","noteIndex":0},"citationItems":[{"id":14007,"uris":["http://zotero.org/users/local/xUwQuTPV/items/29KWC9RH"],"uri":["http://zotero.org/users/local/xUwQuTPV/items/29KWC9RH"],"itemData":{"id":14007,"type":"article-journal","abstract":"One of the most challenging problems in modern neuroimaging is detailed characterization of neurodegeneration. Quantifying spatial and longitudinal atrophy patterns is an important component of this process. These spatiotemporal signals will aid in discriminating between related diseases, such as frontotemporal dementia (FTD) and Alzheimer’s disease (AD), which manifest themselves in the same at-risk population. Here, we develop a novel symmetric image normalization method (SyN) for maximizing the cross-correlation within the space of diffeomorphic maps and provide the Euler–Lagrange equations necessary for this optimization. We then turn to a careful evaluation of our method. Our evaluation uses gold standard, human cortical segmentation to contrast SyN’s performance with a related elastic method and with the standard ITK implementation of Thirion’s Demons algorithm. The new method compares favorably with both approaches, in particular when the distance between the template brain and the target brain is large. We then report the correlation of volumes gained by algorithmic cortical labelings of FTD and control subjects with those gained by the manual rater. This comparison shows that, of the three methods tested, SyN’s volume measurements are the most strongly correlated with volume measurements gained by expert labeling. This study indicates that SyN, with cross-correlation, is a reliable method for normalizing and making anatomical measurements in volumetric MRI of patients and at-risk elderly individuals.","collection-title":"Special Issue on The Third International Workshop on Biomedical Image Registration – WBIR 2006","container-title":"Medical Image Analysis","DOI":"10.1016/j.media.2007.06.004","ISSN":"1361-8415","issue":"1","journalAbbreviation":"Medical Image Analysis","language":"en","page":"26-41","source":"ScienceDirect","title":"Symmetric diffeomorphic image registration with cross-correlation: Evaluating automated labeling of elderly and neurodegenerative brain","title-short":"Symmetric diffeomorphic image registration with cross-correlation","volume":"12","author":[{"family":"Avants","given":"B. B."},{"family":"Epstein","given":"C. L."},{"family":"Grossman","given":"M."},{"family":"Gee","given":"J. C."}],"issued":{"date-parts":[["2008",2,1]]}}}],"schema":"https://github.com/citation-style-language/schema/raw/master/csl-citation.json"} </w:instrText>
      </w:r>
      <w:r w:rsidR="00EB4E94"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83</w:t>
      </w:r>
      <w:r w:rsidR="00EB4E94" w:rsidRPr="000E79AA">
        <w:rPr>
          <w:rFonts w:ascii="Times New Roman" w:hAnsi="Times New Roman" w:cs="Times New Roman"/>
          <w:lang w:val="en-AU"/>
        </w:rPr>
        <w:fldChar w:fldCharType="end"/>
      </w:r>
      <w:r w:rsidRPr="000E79AA">
        <w:rPr>
          <w:rFonts w:ascii="Times New Roman" w:hAnsi="Times New Roman" w:cs="Times New Roman"/>
          <w:bCs/>
          <w:iCs/>
          <w:lang w:val="en-AU"/>
        </w:rPr>
        <w:t xml:space="preserve"> The resulting T1-w group template was then registered to the standard ICBM152 T1-w brain following the similar rigid-affine-SyN steps at </w:t>
      </w:r>
      <w:r w:rsidR="005C6CDA" w:rsidRPr="000E79AA">
        <w:rPr>
          <w:rFonts w:ascii="Times New Roman" w:hAnsi="Times New Roman" w:cs="Times New Roman"/>
          <w:bCs/>
          <w:iCs/>
          <w:lang w:val="en-AU"/>
        </w:rPr>
        <w:t>four</w:t>
      </w:r>
      <w:r w:rsidRPr="000E79AA">
        <w:rPr>
          <w:rFonts w:ascii="Times New Roman" w:hAnsi="Times New Roman" w:cs="Times New Roman"/>
          <w:bCs/>
          <w:iCs/>
          <w:lang w:val="en-AU"/>
        </w:rPr>
        <w:t xml:space="preserve"> resolution levels (max iterations: 100x70x50x50, convergence threshold: 1x10</w:t>
      </w:r>
      <w:r w:rsidRPr="000E79AA">
        <w:rPr>
          <w:rFonts w:ascii="Times New Roman" w:hAnsi="Times New Roman" w:cs="Times New Roman"/>
          <w:bCs/>
          <w:iCs/>
          <w:vertAlign w:val="superscript"/>
          <w:lang w:val="en-AU"/>
        </w:rPr>
        <w:t>-6</w:t>
      </w:r>
      <w:r w:rsidRPr="000E79AA">
        <w:rPr>
          <w:rFonts w:ascii="Times New Roman" w:hAnsi="Times New Roman" w:cs="Times New Roman"/>
          <w:bCs/>
          <w:iCs/>
          <w:lang w:val="en-AU"/>
        </w:rPr>
        <w:t xml:space="preserve">, shrink factors: 8x4x2x1, smoothing factors: 3x2x1x0 voxels). For all the above registration steps, cross-correlation was used for similarity metrics estimation as it performs better for linear and non-linear components during intra-modality registration. Four steps of deformations were estimated as follows (in order): MT-off to MT, T1-w to MT-off, T1-w to T1-w group template and T1-w group template to ICBM152 T1-w template. These parameters were then used as the roadmap for MT image standardisation to the ICBM brain in one step. A trilinear interpolation method was selected to preserve the absolute location and relative contrast of the signal. </w:t>
      </w:r>
    </w:p>
    <w:p w14:paraId="293FA9B1" w14:textId="77777777" w:rsidR="00FA0D4B" w:rsidRPr="000E79AA" w:rsidRDefault="00FA0D4B" w:rsidP="00FA0D4B">
      <w:pPr>
        <w:spacing w:line="360" w:lineRule="auto"/>
        <w:jc w:val="both"/>
        <w:rPr>
          <w:rFonts w:ascii="Times New Roman" w:hAnsi="Times New Roman" w:cs="Times New Roman"/>
          <w:bCs/>
          <w:iCs/>
          <w:lang w:val="en-AU"/>
        </w:rPr>
      </w:pPr>
    </w:p>
    <w:p w14:paraId="0A5DAE5D" w14:textId="77777777" w:rsidR="00FA0D4B" w:rsidRPr="000E79AA" w:rsidRDefault="00FA0D4B" w:rsidP="00FA0D4B">
      <w:pPr>
        <w:spacing w:line="360" w:lineRule="auto"/>
        <w:jc w:val="both"/>
        <w:rPr>
          <w:rFonts w:ascii="Times New Roman" w:hAnsi="Times New Roman" w:cs="Times New Roman"/>
          <w:b/>
          <w:i/>
          <w:lang w:val="en-AU"/>
        </w:rPr>
      </w:pPr>
      <w:r w:rsidRPr="000E79AA">
        <w:rPr>
          <w:rFonts w:ascii="Times New Roman" w:hAnsi="Times New Roman" w:cs="Times New Roman"/>
          <w:b/>
          <w:i/>
          <w:lang w:val="en-AU"/>
        </w:rPr>
        <w:t>Independent probabilistic</w:t>
      </w:r>
      <w:r w:rsidR="0076268C" w:rsidRPr="000E79AA">
        <w:rPr>
          <w:rFonts w:ascii="Times New Roman" w:hAnsi="Times New Roman" w:cs="Times New Roman"/>
          <w:b/>
          <w:i/>
          <w:lang w:val="en-AU"/>
        </w:rPr>
        <w:t xml:space="preserve"> locus coeruleus</w:t>
      </w:r>
      <w:r w:rsidRPr="000E79AA">
        <w:rPr>
          <w:rFonts w:ascii="Times New Roman" w:hAnsi="Times New Roman" w:cs="Times New Roman"/>
          <w:b/>
          <w:i/>
          <w:lang w:val="en-AU"/>
        </w:rPr>
        <w:t xml:space="preserve"> atlas creation</w:t>
      </w:r>
      <w:r w:rsidR="008605E5" w:rsidRPr="000E79AA">
        <w:rPr>
          <w:rFonts w:ascii="Times New Roman" w:hAnsi="Times New Roman" w:cs="Times New Roman"/>
          <w:b/>
          <w:i/>
          <w:lang w:val="en-AU"/>
        </w:rPr>
        <w:t xml:space="preserve"> </w:t>
      </w:r>
    </w:p>
    <w:p w14:paraId="46F6EF11" w14:textId="1849C91B" w:rsidR="00FA0D4B" w:rsidRPr="000E79AA" w:rsidRDefault="00FA0D4B" w:rsidP="00FA0D4B">
      <w:pPr>
        <w:spacing w:line="360" w:lineRule="auto"/>
        <w:jc w:val="both"/>
        <w:rPr>
          <w:rFonts w:ascii="Times New Roman" w:hAnsi="Times New Roman" w:cs="Times New Roman"/>
          <w:lang w:val="en-AU"/>
        </w:rPr>
      </w:pPr>
      <w:r w:rsidRPr="000E79AA">
        <w:rPr>
          <w:rFonts w:ascii="Times New Roman" w:hAnsi="Times New Roman" w:cs="Times New Roman"/>
          <w:bCs/>
          <w:iCs/>
          <w:lang w:val="en-AU"/>
        </w:rPr>
        <w:t xml:space="preserve">To facilitate accurate extraction of the </w:t>
      </w:r>
      <w:r w:rsidR="008605E5" w:rsidRPr="000E79AA">
        <w:rPr>
          <w:rFonts w:ascii="Times New Roman" w:hAnsi="Times New Roman" w:cs="Times New Roman"/>
          <w:bCs/>
          <w:iCs/>
          <w:lang w:val="en-AU"/>
        </w:rPr>
        <w:t>locus coeruleus</w:t>
      </w:r>
      <w:r w:rsidRPr="000E79AA">
        <w:rPr>
          <w:rFonts w:ascii="Times New Roman" w:hAnsi="Times New Roman" w:cs="Times New Roman"/>
          <w:bCs/>
          <w:iCs/>
          <w:lang w:val="en-AU"/>
        </w:rPr>
        <w:t xml:space="preserve"> signal we created a study-specific </w:t>
      </w:r>
      <w:r w:rsidRPr="000E79AA">
        <w:rPr>
          <w:rFonts w:ascii="Times New Roman" w:hAnsi="Times New Roman" w:cs="Times New Roman"/>
          <w:lang w:val="en-AU"/>
        </w:rPr>
        <w:t xml:space="preserve">unbiased </w:t>
      </w:r>
      <w:r w:rsidR="008605E5"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atlas</w:t>
      </w:r>
      <w:r w:rsidR="00DC0B28" w:rsidRPr="000E79AA">
        <w:rPr>
          <w:rFonts w:ascii="Times New Roman" w:hAnsi="Times New Roman" w:cs="Times New Roman"/>
          <w:lang w:val="en-AU"/>
        </w:rPr>
        <w:t xml:space="preserve"> (See Figure 2A)</w:t>
      </w:r>
      <w:r w:rsidRPr="000E79AA">
        <w:rPr>
          <w:rFonts w:ascii="Times New Roman" w:hAnsi="Times New Roman" w:cs="Times New Roman"/>
          <w:lang w:val="en-AU"/>
        </w:rPr>
        <w:t xml:space="preserve">. To do this, </w:t>
      </w:r>
      <w:r w:rsidRPr="000E79AA">
        <w:rPr>
          <w:rFonts w:ascii="Times New Roman" w:hAnsi="Times New Roman" w:cs="Times New Roman"/>
          <w:bCs/>
          <w:iCs/>
          <w:lang w:val="en-AU"/>
        </w:rPr>
        <w:t xml:space="preserve">we used an independent sample of </w:t>
      </w:r>
      <w:r w:rsidRPr="000E79AA">
        <w:rPr>
          <w:rFonts w:ascii="Times New Roman" w:hAnsi="Times New Roman" w:cs="Times New Roman"/>
          <w:lang w:val="en-AU"/>
        </w:rPr>
        <w:t>29 age- and education matched healthy controls (13 female; age mean</w:t>
      </w:r>
      <w:r w:rsidR="007E44DD" w:rsidRPr="000E79AA">
        <w:rPr>
          <w:rFonts w:ascii="Times New Roman" w:hAnsi="Times New Roman" w:cs="Times New Roman"/>
          <w:lang w:val="en-AU"/>
        </w:rPr>
        <w:t xml:space="preserve"> </w:t>
      </w:r>
      <w:r w:rsidRPr="000E79AA">
        <w:rPr>
          <w:rFonts w:ascii="Times New Roman" w:hAnsi="Times New Roman" w:cs="Times New Roman"/>
          <w:lang w:val="en-AU"/>
        </w:rPr>
        <w:t xml:space="preserve">(SD) = 67 (8.2), age </w:t>
      </w:r>
      <w:r w:rsidRPr="000E79AA">
        <w:rPr>
          <w:rFonts w:ascii="Times New Roman" w:hAnsi="Times New Roman" w:cs="Times New Roman"/>
          <w:lang w:val="en-AU"/>
        </w:rPr>
        <w:lastRenderedPageBreak/>
        <w:t xml:space="preserve">range = 52-84) collected under the same neuroimaging protocol. We used a validated pipeline for </w:t>
      </w:r>
      <w:r w:rsidR="007E44DD"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atlas construction described in</w:t>
      </w:r>
      <w:r w:rsidR="0030589D" w:rsidRPr="000E79AA">
        <w:rPr>
          <w:rFonts w:ascii="Times New Roman" w:hAnsi="Times New Roman" w:cs="Times New Roman"/>
          <w:lang w:val="en-AU"/>
        </w:rPr>
        <w:t>.</w:t>
      </w:r>
      <w:r w:rsidR="00557E47"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{"citationID":"a2cphf5k2go","properties":{"formattedCitation":"\\super 45\\nosupersub{}","plainCitation":"45","noteIndex":0},"citationItems":[{"id":14603,"uris":["http://zotero.org/users/local/xUwQuTPV/items/RI5M9KMS"],"uri":["http://zotero.org/users/local/xUwQuTPV/items/RI5M9KMS"],"itemData":{"id":14603,"type":"article-journal","container-title":"NeuroImage","DOI":"10.1016/j.neuroimage.2020.117487","ISSN":"10538119","journalAbbreviation":"NeuroImage","language":"en","page":"117487","source":"DOI.org (Crossref)","title":"An in vivo probabilistic atlas of the human locus coeruleus at ultra-high field","volume":"225","author":[{"family":"Ye","given":"Rong"},{"family":"Rua","given":"Catarina"},{"family":"O'Callaghan","given":"Claire"},{"family":"Jones","given":"P. Simon"},{"family":"Hezemans","given":"Frank H."},{"family":"Kaalund","given":"Sanne S."},{"family":"Tsvetanov","given":"Kamen A."},{"family":"Rodgers","given":"Christopher T."},{"family":"Williams","given":"Guy"},{"family":"Passamonti","given":"Luca"},{"family":"Rowe","given":"James B."}],"issued":{"date-parts":[["2021",1]]}}}],"schema":"https://github.com/citation-style-language/schema/raw/master/csl-citation.json"} </w:instrText>
      </w:r>
      <w:r w:rsidR="00557E47"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45</w:t>
      </w:r>
      <w:r w:rsidR="00557E47" w:rsidRPr="000E79AA">
        <w:rPr>
          <w:rFonts w:ascii="Times New Roman" w:hAnsi="Times New Roman" w:cs="Times New Roman"/>
          <w:lang w:val="en-AU"/>
        </w:rPr>
        <w:fldChar w:fldCharType="end"/>
      </w:r>
      <w:r w:rsidRPr="000E79AA">
        <w:rPr>
          <w:rFonts w:ascii="Times New Roman" w:hAnsi="Times New Roman" w:cs="Times New Roman"/>
          <w:lang w:val="en-AU"/>
        </w:rPr>
        <w:t xml:space="preserve"> Briefly, for each axial slice on the rostrocaudal extent, the locations of the left and right </w:t>
      </w:r>
      <w:r w:rsidR="0075672D"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were determined using a semi-automated segmentation method. A threshold was defined as </w:t>
      </w:r>
      <w:r w:rsidR="00A5091F" w:rsidRPr="000E79AA">
        <w:rPr>
          <w:rFonts w:ascii="Times New Roman" w:hAnsi="Times New Roman" w:cs="Times New Roman"/>
          <w:lang w:val="en-AU"/>
        </w:rPr>
        <w:t>five</w:t>
      </w:r>
      <w:r w:rsidRPr="000E79AA">
        <w:rPr>
          <w:rFonts w:ascii="Times New Roman" w:hAnsi="Times New Roman" w:cs="Times New Roman"/>
          <w:lang w:val="en-AU"/>
        </w:rPr>
        <w:t xml:space="preserve"> standard deviation</w:t>
      </w:r>
      <w:r w:rsidR="00761B2F" w:rsidRPr="000E79AA">
        <w:rPr>
          <w:rFonts w:ascii="Times New Roman" w:hAnsi="Times New Roman" w:cs="Times New Roman"/>
          <w:lang w:val="en-AU"/>
        </w:rPr>
        <w:t>s</w:t>
      </w:r>
      <w:r w:rsidRPr="000E79AA">
        <w:rPr>
          <w:rFonts w:ascii="Times New Roman" w:hAnsi="Times New Roman" w:cs="Times New Roman"/>
          <w:lang w:val="en-AU"/>
        </w:rPr>
        <w:t xml:space="preserve"> above the mean intensity in the central pontine reference region. After applying the threshold, </w:t>
      </w:r>
      <w:r w:rsidR="00761B2F"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voxels on axial planes were automatically segmented into binarised images</w:t>
      </w:r>
      <w:r w:rsidR="00D17639" w:rsidRPr="000E79AA">
        <w:rPr>
          <w:rFonts w:ascii="Times New Roman" w:hAnsi="Times New Roman" w:cs="Times New Roman"/>
          <w:lang w:val="en-AU"/>
        </w:rPr>
        <w:t xml:space="preserve"> and</w:t>
      </w:r>
      <w:r w:rsidRPr="000E79AA">
        <w:rPr>
          <w:rFonts w:ascii="Times New Roman" w:hAnsi="Times New Roman" w:cs="Times New Roman"/>
          <w:lang w:val="en-AU"/>
        </w:rPr>
        <w:t xml:space="preserve"> then averaged to construct a probabilistic atlas. The independent </w:t>
      </w:r>
      <w:r w:rsidR="00761B2F"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atlas generated for this study ha</w:t>
      </w:r>
      <w:r w:rsidR="000065BB" w:rsidRPr="000E79AA">
        <w:rPr>
          <w:rFonts w:ascii="Times New Roman" w:hAnsi="Times New Roman" w:cs="Times New Roman"/>
          <w:lang w:val="en-AU"/>
        </w:rPr>
        <w:t>d</w:t>
      </w:r>
      <w:r w:rsidRPr="000E79AA">
        <w:rPr>
          <w:rFonts w:ascii="Times New Roman" w:hAnsi="Times New Roman" w:cs="Times New Roman"/>
          <w:lang w:val="en-AU"/>
        </w:rPr>
        <w:t xml:space="preserve"> very high similarity in </w:t>
      </w:r>
      <w:r w:rsidR="00FD14DB" w:rsidRPr="000E79AA">
        <w:rPr>
          <w:rFonts w:ascii="Times New Roman" w:hAnsi="Times New Roman" w:cs="Times New Roman"/>
          <w:lang w:val="en-AU"/>
        </w:rPr>
        <w:t xml:space="preserve">the </w:t>
      </w:r>
      <w:r w:rsidRPr="000E79AA">
        <w:rPr>
          <w:rFonts w:ascii="Times New Roman" w:hAnsi="Times New Roman" w:cs="Times New Roman"/>
          <w:lang w:val="en-AU"/>
        </w:rPr>
        <w:t>spatial distribution</w:t>
      </w:r>
      <w:r w:rsidR="00FD14DB" w:rsidRPr="000E79AA">
        <w:rPr>
          <w:rFonts w:ascii="Times New Roman" w:hAnsi="Times New Roman" w:cs="Times New Roman"/>
          <w:lang w:val="en-AU"/>
        </w:rPr>
        <w:t xml:space="preserve"> </w:t>
      </w:r>
      <w:r w:rsidRPr="000E79AA">
        <w:rPr>
          <w:rFonts w:ascii="Times New Roman" w:hAnsi="Times New Roman" w:cs="Times New Roman"/>
          <w:lang w:val="en-AU"/>
        </w:rPr>
        <w:t xml:space="preserve">of probabilities and contours </w:t>
      </w:r>
      <w:r w:rsidR="000065BB" w:rsidRPr="000E79AA">
        <w:rPr>
          <w:rFonts w:ascii="Times New Roman" w:hAnsi="Times New Roman" w:cs="Times New Roman"/>
          <w:lang w:val="en-AU"/>
        </w:rPr>
        <w:t>relative</w:t>
      </w:r>
      <w:r w:rsidRPr="000E79AA">
        <w:rPr>
          <w:rFonts w:ascii="Times New Roman" w:hAnsi="Times New Roman" w:cs="Times New Roman"/>
          <w:lang w:val="en-AU"/>
        </w:rPr>
        <w:t xml:space="preserve"> to the </w:t>
      </w:r>
      <w:r w:rsidR="00C0186B" w:rsidRPr="000E79AA">
        <w:rPr>
          <w:rFonts w:ascii="Times New Roman" w:hAnsi="Times New Roman" w:cs="Times New Roman"/>
          <w:lang w:val="en-AU"/>
        </w:rPr>
        <w:t>validated</w:t>
      </w:r>
      <w:r w:rsidRPr="000E79AA">
        <w:rPr>
          <w:rFonts w:ascii="Times New Roman" w:hAnsi="Times New Roman" w:cs="Times New Roman"/>
          <w:lang w:val="en-AU"/>
        </w:rPr>
        <w:t xml:space="preserve"> 7T </w:t>
      </w:r>
      <w:r w:rsidR="000065BB" w:rsidRPr="000E79AA">
        <w:rPr>
          <w:rFonts w:ascii="Times New Roman" w:hAnsi="Times New Roman" w:cs="Times New Roman"/>
          <w:bCs/>
          <w:iCs/>
          <w:lang w:val="en-AU"/>
        </w:rPr>
        <w:t>locus coeruleus</w:t>
      </w:r>
      <w:r w:rsidRPr="000E79AA">
        <w:rPr>
          <w:rFonts w:ascii="Times New Roman" w:hAnsi="Times New Roman" w:cs="Times New Roman"/>
          <w:lang w:val="en-AU"/>
        </w:rPr>
        <w:t xml:space="preserve"> atlas</w:t>
      </w:r>
      <w:r w:rsidR="00D7368C" w:rsidRPr="000E79AA">
        <w:rPr>
          <w:rFonts w:ascii="Times New Roman" w:hAnsi="Times New Roman" w:cs="Times New Roman"/>
          <w:lang w:val="en-AU"/>
        </w:rPr>
        <w:t xml:space="preserve"> in</w:t>
      </w:r>
      <w:r w:rsidR="00974852" w:rsidRPr="000E79AA">
        <w:rPr>
          <w:rFonts w:ascii="Times New Roman" w:hAnsi="Times New Roman" w:cs="Times New Roman"/>
          <w:lang w:val="en-AU"/>
        </w:rPr>
        <w:t xml:space="preserve"> Ye et al.</w:t>
      </w:r>
      <w:r w:rsidR="00557E47"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{"citationID":"a6k2bc0nki","properties":{"formattedCitation":"\\super 45\\nosupersub{}","plainCitation":"45","noteIndex":0},"citationItems":[{"id":14603,"uris":["http://zotero.org/users/local/xUwQuTPV/items/RI5M9KMS"],"uri":["http://zotero.org/users/local/xUwQuTPV/items/RI5M9KMS"],"itemData":{"id":14603,"type":"article-journal","container-title":"NeuroImage","DOI":"10.1016/j.neuroimage.2020.117487","ISSN":"10538119","journalAbbreviation":"NeuroImage","language":"en","page":"117487","source":"DOI.org (Crossref)","title":"An in vivo probabilistic atlas of the human locus coeruleus at ultra-high field","volume":"225","author":[{"family":"Ye","given":"Rong"},{"family":"Rua","given":"Catarina"},{"family":"O'Callaghan","given":"Claire"},{"family":"Jones","given":"P. Simon"},{"family":"Hezemans","given":"Frank H."},{"family":"Kaalund","given":"Sanne S."},{"family":"Tsvetanov","given":"Kamen A."},{"family":"Rodgers","given":"Christopher T."},{"family":"Williams","given":"Guy"},{"family":"Passamonti","given":"Luca"},{"family":"Rowe","given":"James B."}],"issued":{"date-parts":[["2021",1]]}}}],"schema":"https://github.com/citation-style-language/schema/raw/master/csl-citation.json"} </w:instrText>
      </w:r>
      <w:r w:rsidR="00557E47"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45</w:t>
      </w:r>
      <w:r w:rsidR="00557E47" w:rsidRPr="000E79AA">
        <w:rPr>
          <w:rFonts w:ascii="Times New Roman" w:hAnsi="Times New Roman" w:cs="Times New Roman"/>
          <w:lang w:val="en-AU"/>
        </w:rPr>
        <w:fldChar w:fldCharType="end"/>
      </w:r>
      <w:r w:rsidRPr="000E79AA">
        <w:rPr>
          <w:rFonts w:ascii="Times New Roman" w:hAnsi="Times New Roman" w:cs="Times New Roman"/>
          <w:lang w:val="en-AU"/>
        </w:rPr>
        <w:t xml:space="preserve"> (See Supplementary Figure </w:t>
      </w:r>
      <w:r w:rsidR="005C14ED" w:rsidRPr="000E79AA">
        <w:rPr>
          <w:rFonts w:ascii="Times New Roman" w:hAnsi="Times New Roman" w:cs="Times New Roman"/>
          <w:lang w:val="en-AU"/>
        </w:rPr>
        <w:t>1</w:t>
      </w:r>
      <w:r w:rsidRPr="000E79AA">
        <w:rPr>
          <w:rFonts w:ascii="Times New Roman" w:hAnsi="Times New Roman" w:cs="Times New Roman"/>
          <w:lang w:val="en-AU"/>
        </w:rPr>
        <w:t>).</w:t>
      </w:r>
    </w:p>
    <w:p w14:paraId="0A3E2B62" w14:textId="77777777" w:rsidR="005F729A" w:rsidRPr="000E79AA" w:rsidRDefault="005F729A" w:rsidP="00FA0D4B">
      <w:pPr>
        <w:spacing w:line="360" w:lineRule="auto"/>
        <w:jc w:val="both"/>
        <w:rPr>
          <w:rFonts w:ascii="Times New Roman" w:hAnsi="Times New Roman" w:cs="Times New Roman"/>
          <w:lang w:val="en-AU"/>
        </w:rPr>
      </w:pPr>
    </w:p>
    <w:p w14:paraId="0E12F7AA" w14:textId="77777777" w:rsidR="005F729A" w:rsidRPr="000E79AA" w:rsidRDefault="005F729A" w:rsidP="005F729A">
      <w:pPr>
        <w:spacing w:line="360" w:lineRule="auto"/>
        <w:jc w:val="both"/>
        <w:rPr>
          <w:rFonts w:ascii="Times New Roman" w:hAnsi="Times New Roman" w:cs="Times New Roman"/>
          <w:b/>
          <w:i/>
          <w:lang w:val="en-AU"/>
        </w:rPr>
      </w:pPr>
      <w:r w:rsidRPr="000E79AA">
        <w:rPr>
          <w:rFonts w:ascii="Times New Roman" w:hAnsi="Times New Roman" w:cs="Times New Roman"/>
          <w:b/>
          <w:i/>
          <w:lang w:val="en-AU"/>
        </w:rPr>
        <w:t>Locus coeruleus signal extraction</w:t>
      </w:r>
    </w:p>
    <w:p w14:paraId="08B3FCEB" w14:textId="77777777" w:rsidR="005F729A" w:rsidRPr="000E79AA" w:rsidRDefault="005F729A" w:rsidP="005F729A">
      <w:pPr>
        <w:spacing w:line="360" w:lineRule="auto"/>
        <w:jc w:val="both"/>
        <w:rPr>
          <w:rFonts w:ascii="Times New Roman" w:hAnsi="Times New Roman" w:cs="Times New Roman"/>
          <w:bCs/>
          <w:iCs/>
          <w:lang w:val="en-AU"/>
        </w:rPr>
      </w:pPr>
      <w:r w:rsidRPr="000E79AA">
        <w:rPr>
          <w:rFonts w:ascii="Times New Roman" w:hAnsi="Times New Roman" w:cs="Times New Roman"/>
          <w:lang w:val="en-AU"/>
        </w:rPr>
        <w:t xml:space="preserve">As a measure of </w:t>
      </w:r>
      <w:r w:rsidR="009A2A36" w:rsidRPr="000E79AA">
        <w:rPr>
          <w:rFonts w:ascii="Times New Roman" w:hAnsi="Times New Roman" w:cs="Times New Roman"/>
          <w:lang w:val="en-AU"/>
        </w:rPr>
        <w:t xml:space="preserve">locus </w:t>
      </w:r>
      <w:r w:rsidR="002F7040" w:rsidRPr="000E79AA">
        <w:rPr>
          <w:rFonts w:ascii="Times New Roman" w:hAnsi="Times New Roman" w:cs="Times New Roman"/>
          <w:lang w:val="en-AU"/>
        </w:rPr>
        <w:t>coeruleus</w:t>
      </w:r>
      <w:r w:rsidRPr="000E79AA">
        <w:rPr>
          <w:rFonts w:ascii="Times New Roman" w:hAnsi="Times New Roman" w:cs="Times New Roman"/>
          <w:lang w:val="en-AU"/>
        </w:rPr>
        <w:t xml:space="preserve"> integrity, we quantified </w:t>
      </w:r>
      <w:r w:rsidRPr="000E79AA">
        <w:rPr>
          <w:rFonts w:ascii="Times New Roman" w:hAnsi="Times New Roman" w:cs="Times New Roman"/>
          <w:bCs/>
          <w:iCs/>
          <w:lang w:val="en-AU"/>
        </w:rPr>
        <w:t xml:space="preserve">contrast by establishing the CNR with respect to a reference region in the central pons (see </w:t>
      </w:r>
      <w:r w:rsidR="002F7040" w:rsidRPr="000E79AA">
        <w:rPr>
          <w:rFonts w:ascii="Times New Roman" w:hAnsi="Times New Roman" w:cs="Times New Roman"/>
          <w:bCs/>
          <w:iCs/>
          <w:lang w:val="en-AU"/>
        </w:rPr>
        <w:t>Figure 2A</w:t>
      </w:r>
      <w:r w:rsidRPr="000E79AA">
        <w:rPr>
          <w:rFonts w:ascii="Times New Roman" w:hAnsi="Times New Roman" w:cs="Times New Roman"/>
          <w:bCs/>
          <w:iCs/>
          <w:lang w:val="en-AU"/>
        </w:rPr>
        <w:t xml:space="preserve">). A CNR map was computed voxel-by-voxel on the </w:t>
      </w:r>
      <w:r w:rsidR="009E769B" w:rsidRPr="000E79AA">
        <w:rPr>
          <w:rFonts w:ascii="Times New Roman" w:hAnsi="Times New Roman" w:cs="Times New Roman"/>
          <w:bCs/>
          <w:iCs/>
          <w:lang w:val="en-AU"/>
        </w:rPr>
        <w:t xml:space="preserve">average </w:t>
      </w:r>
      <w:r w:rsidRPr="000E79AA">
        <w:rPr>
          <w:rFonts w:ascii="Times New Roman" w:hAnsi="Times New Roman" w:cs="Times New Roman"/>
          <w:bCs/>
          <w:iCs/>
          <w:lang w:val="en-AU"/>
        </w:rPr>
        <w:t>MT image for each subject using the signal difference between a given voxel (V) and the mean intensity in the reference region (Mean</w:t>
      </w:r>
      <w:r w:rsidRPr="000E79AA">
        <w:rPr>
          <w:rFonts w:ascii="Times New Roman" w:hAnsi="Times New Roman" w:cs="Times New Roman"/>
          <w:bCs/>
          <w:iCs/>
          <w:vertAlign w:val="subscript"/>
          <w:lang w:val="en-AU"/>
        </w:rPr>
        <w:t>REF</w:t>
      </w:r>
      <w:r w:rsidRPr="000E79AA">
        <w:rPr>
          <w:rFonts w:ascii="Times New Roman" w:hAnsi="Times New Roman" w:cs="Times New Roman"/>
          <w:bCs/>
          <w:iCs/>
          <w:lang w:val="en-AU"/>
        </w:rPr>
        <w:t>) divided by the standard deviation (SD</w:t>
      </w:r>
      <w:r w:rsidRPr="000E79AA">
        <w:rPr>
          <w:rFonts w:ascii="Times New Roman" w:hAnsi="Times New Roman" w:cs="Times New Roman"/>
          <w:bCs/>
          <w:iCs/>
          <w:vertAlign w:val="subscript"/>
          <w:lang w:val="en-AU"/>
        </w:rPr>
        <w:t>REF</w:t>
      </w:r>
      <w:r w:rsidRPr="000E79AA">
        <w:rPr>
          <w:rFonts w:ascii="Times New Roman" w:hAnsi="Times New Roman" w:cs="Times New Roman"/>
          <w:bCs/>
          <w:iCs/>
          <w:lang w:val="en-AU"/>
        </w:rPr>
        <w:t>) of the reference signals (</w:t>
      </w:r>
      <m:oMath>
        <m:r>
          <w:rPr>
            <w:rFonts w:ascii="Cambria Math" w:hAnsi="Cambria Math" w:cs="Times New Roman"/>
            <w:lang w:val="en-AU"/>
          </w:rPr>
          <m:t xml:space="preserve">CNR= </m:t>
        </m:r>
        <m:f>
          <m:fPr>
            <m:ctrlPr>
              <w:rPr>
                <w:rFonts w:ascii="Cambria Math" w:hAnsi="Cambria Math" w:cs="Times New Roman"/>
                <w:bCs/>
                <w:i/>
                <w:iCs/>
                <w:lang w:val="en-AU"/>
              </w:rPr>
            </m:ctrlPr>
          </m:fPr>
          <m:num>
            <m:r>
              <w:rPr>
                <w:rFonts w:ascii="Cambria Math" w:hAnsi="Cambria Math" w:cs="Times New Roman"/>
                <w:lang w:val="en-AU"/>
              </w:rPr>
              <m:t>V - Mea</m:t>
            </m:r>
            <m:sSub>
              <m:sSubPr>
                <m:ctrlPr>
                  <w:rPr>
                    <w:rFonts w:ascii="Cambria Math" w:hAnsi="Cambria Math" w:cs="Times New Roman"/>
                    <w:bCs/>
                    <w:i/>
                    <w:iCs/>
                    <w:lang w:val="en-AU"/>
                  </w:rPr>
                </m:ctrlPr>
              </m:sSubPr>
              <m:e>
                <m:r>
                  <w:rPr>
                    <w:rFonts w:ascii="Cambria Math" w:hAnsi="Cambria Math" w:cs="Times New Roman"/>
                    <w:lang w:val="en-AU"/>
                  </w:rPr>
                  <m:t>n</m:t>
                </m:r>
              </m:e>
              <m:sub>
                <m:r>
                  <w:rPr>
                    <w:rFonts w:ascii="Cambria Math" w:hAnsi="Cambria Math" w:cs="Times New Roman"/>
                    <w:lang w:val="en-AU"/>
                  </w:rPr>
                  <m:t>REF</m:t>
                </m:r>
              </m:sub>
            </m:sSub>
          </m:num>
          <m:den>
            <m:r>
              <w:rPr>
                <w:rFonts w:ascii="Cambria Math" w:hAnsi="Cambria Math" w:cs="Times New Roman"/>
                <w:lang w:val="en-AU"/>
              </w:rPr>
              <m:t>S</m:t>
            </m:r>
            <m:sSub>
              <m:sSubPr>
                <m:ctrlPr>
                  <w:rPr>
                    <w:rFonts w:ascii="Cambria Math" w:hAnsi="Cambria Math" w:cs="Times New Roman"/>
                    <w:bCs/>
                    <w:i/>
                    <w:iCs/>
                    <w:lang w:val="en-AU"/>
                  </w:rPr>
                </m:ctrlPr>
              </m:sSubPr>
              <m:e>
                <m:r>
                  <w:rPr>
                    <w:rFonts w:ascii="Cambria Math" w:hAnsi="Cambria Math" w:cs="Times New Roman"/>
                    <w:lang w:val="en-AU"/>
                  </w:rPr>
                  <m:t>D</m:t>
                </m:r>
              </m:e>
              <m:sub>
                <m:r>
                  <w:rPr>
                    <w:rFonts w:ascii="Cambria Math" w:hAnsi="Cambria Math" w:cs="Times New Roman"/>
                    <w:lang w:val="en-AU"/>
                  </w:rPr>
                  <m:t>REF</m:t>
                </m:r>
              </m:sub>
            </m:sSub>
          </m:den>
        </m:f>
      </m:oMath>
      <w:r w:rsidRPr="000E79AA">
        <w:rPr>
          <w:rFonts w:ascii="Times New Roman" w:hAnsi="Times New Roman" w:cs="Times New Roman"/>
          <w:bCs/>
          <w:iCs/>
          <w:lang w:val="en-AU"/>
        </w:rPr>
        <w:t>).</w:t>
      </w:r>
      <w:r w:rsidR="005374E9" w:rsidRPr="000E79AA">
        <w:rPr>
          <w:rFonts w:ascii="Times New Roman" w:hAnsi="Times New Roman" w:cs="Times New Roman"/>
          <w:bCs/>
          <w:iCs/>
          <w:lang w:val="en-AU"/>
        </w:rPr>
        <w:t xml:space="preserve"> </w:t>
      </w:r>
      <w:r w:rsidRPr="000E79AA">
        <w:rPr>
          <w:rFonts w:ascii="Times New Roman" w:hAnsi="Times New Roman" w:cs="Times New Roman"/>
          <w:bCs/>
          <w:iCs/>
          <w:lang w:val="en-AU"/>
        </w:rPr>
        <w:t>CNR</w:t>
      </w:r>
      <w:r w:rsidR="005374E9" w:rsidRPr="000E79AA">
        <w:rPr>
          <w:rFonts w:ascii="Times New Roman" w:hAnsi="Times New Roman" w:cs="Times New Roman"/>
          <w:bCs/>
          <w:iCs/>
          <w:lang w:val="en-AU"/>
        </w:rPr>
        <w:t xml:space="preserve"> values</w:t>
      </w:r>
      <w:r w:rsidRPr="000E79AA">
        <w:rPr>
          <w:rFonts w:ascii="Times New Roman" w:hAnsi="Times New Roman" w:cs="Times New Roman"/>
          <w:bCs/>
          <w:iCs/>
          <w:lang w:val="en-AU"/>
        </w:rPr>
        <w:t xml:space="preserve"> were extracted bilaterally on the CNR map by applying the independent </w:t>
      </w:r>
      <w:r w:rsidR="005374E9" w:rsidRPr="000E79AA">
        <w:rPr>
          <w:rFonts w:ascii="Times New Roman" w:hAnsi="Times New Roman" w:cs="Times New Roman"/>
          <w:bCs/>
          <w:iCs/>
          <w:lang w:val="en-AU"/>
        </w:rPr>
        <w:t>locus coeruleus</w:t>
      </w:r>
      <w:r w:rsidRPr="000E79AA">
        <w:rPr>
          <w:rFonts w:ascii="Times New Roman" w:hAnsi="Times New Roman" w:cs="Times New Roman"/>
          <w:bCs/>
          <w:iCs/>
          <w:lang w:val="en-AU"/>
        </w:rPr>
        <w:t xml:space="preserve"> probabilistic atlas</w:t>
      </w:r>
      <w:r w:rsidR="001764E8" w:rsidRPr="000E79AA">
        <w:rPr>
          <w:rFonts w:ascii="Times New Roman" w:hAnsi="Times New Roman" w:cs="Times New Roman"/>
          <w:bCs/>
          <w:iCs/>
          <w:lang w:val="en-AU"/>
        </w:rPr>
        <w:t xml:space="preserve"> (5% probability version)</w:t>
      </w:r>
      <w:r w:rsidR="005374E9" w:rsidRPr="000E79AA">
        <w:rPr>
          <w:rFonts w:ascii="Times New Roman" w:hAnsi="Times New Roman" w:cs="Times New Roman"/>
          <w:bCs/>
          <w:iCs/>
          <w:lang w:val="en-AU"/>
        </w:rPr>
        <w:t>. We computed mean CNR val</w:t>
      </w:r>
      <w:r w:rsidR="00C4204E" w:rsidRPr="000E79AA">
        <w:rPr>
          <w:rFonts w:ascii="Times New Roman" w:hAnsi="Times New Roman" w:cs="Times New Roman"/>
          <w:bCs/>
          <w:iCs/>
          <w:lang w:val="en-AU"/>
        </w:rPr>
        <w:t>u</w:t>
      </w:r>
      <w:r w:rsidR="005374E9" w:rsidRPr="000E79AA">
        <w:rPr>
          <w:rFonts w:ascii="Times New Roman" w:hAnsi="Times New Roman" w:cs="Times New Roman"/>
          <w:bCs/>
          <w:iCs/>
          <w:lang w:val="en-AU"/>
        </w:rPr>
        <w:t xml:space="preserve">es for the rostral, middle </w:t>
      </w:r>
      <w:r w:rsidR="006A1C82" w:rsidRPr="000E79AA">
        <w:rPr>
          <w:rFonts w:ascii="Times New Roman" w:hAnsi="Times New Roman" w:cs="Times New Roman"/>
          <w:bCs/>
          <w:iCs/>
          <w:lang w:val="en-AU"/>
        </w:rPr>
        <w:t xml:space="preserve">and caudal portions of the left and right </w:t>
      </w:r>
      <w:r w:rsidR="006A1C82" w:rsidRPr="000E79AA">
        <w:rPr>
          <w:rFonts w:ascii="Times New Roman" w:hAnsi="Times New Roman" w:cs="Times New Roman"/>
          <w:lang w:val="en-AU"/>
        </w:rPr>
        <w:t xml:space="preserve">locus coeruleus. As </w:t>
      </w:r>
      <w:r w:rsidR="006B097E" w:rsidRPr="000E79AA">
        <w:rPr>
          <w:rFonts w:ascii="Times New Roman" w:hAnsi="Times New Roman" w:cs="Times New Roman"/>
          <w:lang w:val="en-AU"/>
        </w:rPr>
        <w:t>an index of locus coeruleus integrity to incorporate with the stop-signal task analysis</w:t>
      </w:r>
      <w:r w:rsidR="005B52EE" w:rsidRPr="000E79AA">
        <w:rPr>
          <w:rFonts w:ascii="Times New Roman" w:hAnsi="Times New Roman" w:cs="Times New Roman"/>
          <w:lang w:val="en-AU"/>
        </w:rPr>
        <w:t xml:space="preserve">, </w:t>
      </w:r>
      <w:r w:rsidR="006B097E" w:rsidRPr="000E79AA">
        <w:rPr>
          <w:rFonts w:ascii="Times New Roman" w:hAnsi="Times New Roman" w:cs="Times New Roman"/>
          <w:lang w:val="en-AU"/>
        </w:rPr>
        <w:t>we</w:t>
      </w:r>
      <w:r w:rsidR="005B52EE" w:rsidRPr="000E79AA">
        <w:rPr>
          <w:rFonts w:ascii="Times New Roman" w:hAnsi="Times New Roman" w:cs="Times New Roman"/>
          <w:lang w:val="en-AU"/>
        </w:rPr>
        <w:t xml:space="preserve"> combined the left and right locus coeruleus and averaged across the whole structure. </w:t>
      </w:r>
      <w:r w:rsidR="006B097E" w:rsidRPr="000E79AA">
        <w:rPr>
          <w:rFonts w:ascii="Times New Roman" w:hAnsi="Times New Roman" w:cs="Times New Roman"/>
          <w:lang w:val="en-AU"/>
        </w:rPr>
        <w:t xml:space="preserve"> </w:t>
      </w:r>
      <w:r w:rsidR="006A1C82" w:rsidRPr="000E79AA">
        <w:rPr>
          <w:rFonts w:ascii="Times New Roman" w:hAnsi="Times New Roman" w:cs="Times New Roman"/>
          <w:lang w:val="en-AU"/>
        </w:rPr>
        <w:t xml:space="preserve">  </w:t>
      </w:r>
      <w:r w:rsidR="005374E9" w:rsidRPr="000E79AA">
        <w:rPr>
          <w:rFonts w:ascii="Times New Roman" w:hAnsi="Times New Roman" w:cs="Times New Roman"/>
          <w:bCs/>
          <w:iCs/>
          <w:lang w:val="en-AU"/>
        </w:rPr>
        <w:t xml:space="preserve"> </w:t>
      </w:r>
    </w:p>
    <w:p w14:paraId="7BFA73C5" w14:textId="77777777" w:rsidR="00655D8E" w:rsidRPr="000E79AA" w:rsidRDefault="00655D8E" w:rsidP="005F729A">
      <w:pPr>
        <w:spacing w:line="360" w:lineRule="auto"/>
        <w:jc w:val="both"/>
        <w:rPr>
          <w:rFonts w:ascii="Times New Roman" w:hAnsi="Times New Roman" w:cs="Times New Roman"/>
          <w:bCs/>
          <w:iCs/>
          <w:lang w:val="en-AU"/>
        </w:rPr>
      </w:pPr>
    </w:p>
    <w:p w14:paraId="523859CE" w14:textId="77777777" w:rsidR="00655D8E" w:rsidRPr="000E79AA" w:rsidRDefault="00655D8E" w:rsidP="005F729A">
      <w:pPr>
        <w:spacing w:line="360" w:lineRule="auto"/>
        <w:jc w:val="both"/>
        <w:rPr>
          <w:rFonts w:ascii="Times New Roman" w:hAnsi="Times New Roman" w:cs="Times New Roman"/>
          <w:b/>
          <w:i/>
          <w:lang w:val="en-AU"/>
        </w:rPr>
      </w:pPr>
      <w:r w:rsidRPr="000E79AA">
        <w:rPr>
          <w:rFonts w:ascii="Times New Roman" w:hAnsi="Times New Roman" w:cs="Times New Roman"/>
          <w:b/>
          <w:i/>
          <w:lang w:val="en-AU"/>
        </w:rPr>
        <w:t>Data availability</w:t>
      </w:r>
    </w:p>
    <w:p w14:paraId="56DA1CCF" w14:textId="1F8E2967" w:rsidR="0030700C" w:rsidRPr="000E79AA" w:rsidRDefault="0030700C" w:rsidP="0030700C">
      <w:pPr>
        <w:spacing w:line="360" w:lineRule="auto"/>
        <w:jc w:val="both"/>
        <w:rPr>
          <w:rFonts w:ascii="Times New Roman" w:hAnsi="Times New Roman" w:cs="Times New Roman"/>
          <w:lang w:val="en-AU"/>
        </w:rPr>
      </w:pPr>
      <w:r w:rsidRPr="000E79AA">
        <w:rPr>
          <w:rFonts w:ascii="Times New Roman" w:hAnsi="Times New Roman" w:cs="Times New Roman"/>
          <w:lang w:val="en-AU"/>
        </w:rPr>
        <w:t>Code</w:t>
      </w:r>
      <w:r w:rsidR="003B505A" w:rsidRPr="000E79AA">
        <w:rPr>
          <w:rFonts w:ascii="Times New Roman" w:hAnsi="Times New Roman" w:cs="Times New Roman"/>
          <w:lang w:val="en-AU"/>
        </w:rPr>
        <w:t xml:space="preserve"> and data to reproduce manuscript</w:t>
      </w:r>
      <w:r w:rsidR="00D27722" w:rsidRPr="000E79AA">
        <w:rPr>
          <w:rFonts w:ascii="Times New Roman" w:hAnsi="Times New Roman" w:cs="Times New Roman"/>
          <w:lang w:val="en-AU"/>
        </w:rPr>
        <w:t xml:space="preserve"> figures</w:t>
      </w:r>
      <w:r w:rsidR="003B505A" w:rsidRPr="000E79AA">
        <w:rPr>
          <w:rFonts w:ascii="Times New Roman" w:hAnsi="Times New Roman" w:cs="Times New Roman"/>
          <w:lang w:val="en-AU"/>
        </w:rPr>
        <w:t xml:space="preserve">, </w:t>
      </w:r>
      <w:r w:rsidRPr="000E79AA">
        <w:rPr>
          <w:rFonts w:ascii="Times New Roman" w:hAnsi="Times New Roman" w:cs="Times New Roman"/>
          <w:lang w:val="en-AU"/>
        </w:rPr>
        <w:t>statistical analys</w:t>
      </w:r>
      <w:r w:rsidR="003B505A" w:rsidRPr="000E79AA">
        <w:rPr>
          <w:rFonts w:ascii="Times New Roman" w:hAnsi="Times New Roman" w:cs="Times New Roman"/>
          <w:lang w:val="en-AU"/>
        </w:rPr>
        <w:t>e</w:t>
      </w:r>
      <w:r w:rsidRPr="000E79AA">
        <w:rPr>
          <w:rFonts w:ascii="Times New Roman" w:hAnsi="Times New Roman" w:cs="Times New Roman"/>
          <w:lang w:val="en-AU"/>
        </w:rPr>
        <w:t>s and stop-signal task modelling is freely available through the Open Science Framework</w:t>
      </w:r>
      <w:r w:rsidR="00E87F8A" w:rsidRPr="000E79AA">
        <w:rPr>
          <w:rFonts w:ascii="Times New Roman" w:hAnsi="Times New Roman" w:cs="Times New Roman"/>
          <w:lang w:val="en-AU"/>
        </w:rPr>
        <w:t xml:space="preserve"> </w:t>
      </w:r>
      <w:r w:rsidR="009C602D" w:rsidRPr="000E79AA">
        <w:rPr>
          <w:rFonts w:ascii="Times New Roman" w:hAnsi="Times New Roman" w:cs="Times New Roman"/>
          <w:lang w:val="en-AU"/>
        </w:rPr>
        <w:t>(</w:t>
      </w:r>
      <w:hyperlink r:id="rId13" w:history="1">
        <w:r w:rsidR="00C67FF3" w:rsidRPr="000E79AA">
          <w:rPr>
            <w:rStyle w:val="Hyperlink"/>
            <w:rFonts w:ascii="Times New Roman" w:hAnsi="Times New Roman" w:cs="Times New Roman"/>
            <w:lang w:val="en-AU"/>
          </w:rPr>
          <w:t>https://osf.io/tyka3/</w:t>
        </w:r>
      </w:hyperlink>
      <w:r w:rsidR="00C67FF3" w:rsidRPr="000E79AA">
        <w:rPr>
          <w:rFonts w:ascii="Times New Roman" w:hAnsi="Times New Roman" w:cs="Times New Roman"/>
          <w:lang w:val="en-AU"/>
        </w:rPr>
        <w:t>).</w:t>
      </w:r>
    </w:p>
    <w:p w14:paraId="3D1A7725" w14:textId="77777777" w:rsidR="009C602D" w:rsidRPr="000E79AA" w:rsidRDefault="009C602D" w:rsidP="0030700C">
      <w:pPr>
        <w:spacing w:line="360" w:lineRule="auto"/>
        <w:jc w:val="both"/>
        <w:rPr>
          <w:rFonts w:ascii="Times New Roman" w:hAnsi="Times New Roman" w:cs="Times New Roman"/>
          <w:lang w:val="en-AU"/>
        </w:rPr>
      </w:pPr>
    </w:p>
    <w:p w14:paraId="08901D66" w14:textId="77777777" w:rsidR="00244475" w:rsidRPr="000E79AA" w:rsidRDefault="00244475" w:rsidP="004E671C">
      <w:pPr>
        <w:spacing w:line="360" w:lineRule="auto"/>
        <w:jc w:val="both"/>
        <w:rPr>
          <w:rFonts w:ascii="Times New Roman" w:hAnsi="Times New Roman" w:cs="Times New Roman"/>
          <w:lang w:val="en-AU"/>
        </w:rPr>
      </w:pPr>
    </w:p>
    <w:p w14:paraId="1BC4909F" w14:textId="77777777" w:rsidR="007F1663" w:rsidRPr="000E79AA" w:rsidRDefault="0021232C" w:rsidP="004E671C">
      <w:pPr>
        <w:spacing w:line="360" w:lineRule="auto"/>
        <w:jc w:val="both"/>
        <w:rPr>
          <w:rFonts w:ascii="Times New Roman" w:hAnsi="Times New Roman" w:cs="Times New Roman"/>
          <w:lang w:val="en-AU"/>
        </w:rPr>
      </w:pPr>
      <w:r w:rsidRPr="000E79AA">
        <w:rPr>
          <w:rFonts w:ascii="Times New Roman" w:hAnsi="Times New Roman" w:cs="Times New Roman"/>
          <w:b/>
          <w:lang w:val="en-AU"/>
        </w:rPr>
        <w:t>Results</w:t>
      </w:r>
    </w:p>
    <w:p w14:paraId="5EECF0F0" w14:textId="77777777" w:rsidR="001C3405" w:rsidRPr="000E79AA" w:rsidRDefault="001C3405" w:rsidP="004E671C">
      <w:pPr>
        <w:spacing w:line="360" w:lineRule="auto"/>
        <w:jc w:val="both"/>
        <w:rPr>
          <w:rFonts w:ascii="Times New Roman" w:hAnsi="Times New Roman" w:cs="Times New Roman"/>
          <w:b/>
          <w:bCs/>
          <w:i/>
          <w:iCs/>
          <w:lang w:val="en-AU"/>
        </w:rPr>
      </w:pPr>
      <w:r w:rsidRPr="000E79AA">
        <w:rPr>
          <w:rFonts w:ascii="Times New Roman" w:hAnsi="Times New Roman" w:cs="Times New Roman"/>
          <w:b/>
          <w:bCs/>
          <w:i/>
          <w:iCs/>
          <w:lang w:val="en-AU"/>
        </w:rPr>
        <w:t>Behavioural result</w:t>
      </w:r>
      <w:r w:rsidR="00985076" w:rsidRPr="000E79AA">
        <w:rPr>
          <w:rFonts w:ascii="Times New Roman" w:hAnsi="Times New Roman" w:cs="Times New Roman"/>
          <w:b/>
          <w:bCs/>
          <w:i/>
          <w:iCs/>
          <w:lang w:val="en-AU"/>
        </w:rPr>
        <w:t>s</w:t>
      </w:r>
    </w:p>
    <w:p w14:paraId="42E40479" w14:textId="408072A8" w:rsidR="00A449A0" w:rsidRPr="000E79AA" w:rsidRDefault="005111D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As shown in Table 1, the </w:t>
      </w:r>
      <w:r w:rsidR="001C3405" w:rsidRPr="000E79AA">
        <w:rPr>
          <w:rFonts w:ascii="Times New Roman" w:hAnsi="Times New Roman" w:cs="Times New Roman"/>
          <w:lang w:val="en-AU"/>
        </w:rPr>
        <w:t xml:space="preserve">patient and control groups were matched in terms of age, years of education, </w:t>
      </w:r>
      <w:r w:rsidR="00637133" w:rsidRPr="000E79AA">
        <w:rPr>
          <w:rFonts w:ascii="Times New Roman" w:hAnsi="Times New Roman" w:cs="Times New Roman"/>
          <w:lang w:val="en-AU"/>
        </w:rPr>
        <w:t>sex</w:t>
      </w:r>
      <w:r w:rsidR="001C3405" w:rsidRPr="000E79AA">
        <w:rPr>
          <w:rFonts w:ascii="Times New Roman" w:hAnsi="Times New Roman" w:cs="Times New Roman"/>
          <w:lang w:val="en-AU"/>
        </w:rPr>
        <w:t xml:space="preserve"> ratio, MMSE and MoCA (all p values &gt; .050; all BFs &lt; 1). Patients had a significantly lower ACE-R total score (p = .015, BF = 4.16), </w:t>
      </w:r>
      <w:r w:rsidR="004123C2" w:rsidRPr="000E79AA">
        <w:rPr>
          <w:rFonts w:ascii="Times New Roman" w:hAnsi="Times New Roman" w:cs="Times New Roman"/>
          <w:lang w:val="en-AU"/>
        </w:rPr>
        <w:t>and lower</w:t>
      </w:r>
      <w:r w:rsidR="001C3405" w:rsidRPr="000E79AA">
        <w:rPr>
          <w:rFonts w:ascii="Times New Roman" w:hAnsi="Times New Roman" w:cs="Times New Roman"/>
          <w:lang w:val="en-AU"/>
        </w:rPr>
        <w:t xml:space="preserve"> memory subscale (p = </w:t>
      </w:r>
      <w:r w:rsidR="001C3405" w:rsidRPr="000E79AA">
        <w:rPr>
          <w:rFonts w:ascii="Times New Roman" w:hAnsi="Times New Roman" w:cs="Times New Roman"/>
          <w:lang w:val="en-AU"/>
        </w:rPr>
        <w:lastRenderedPageBreak/>
        <w:t>.013, BF = 7.00).</w:t>
      </w:r>
      <w:r w:rsidR="0053541F" w:rsidRPr="000E79AA">
        <w:rPr>
          <w:rFonts w:ascii="Times New Roman" w:hAnsi="Times New Roman" w:cs="Times New Roman"/>
          <w:lang w:val="en-AU"/>
        </w:rPr>
        <w:t xml:space="preserve"> </w:t>
      </w:r>
      <w:r w:rsidR="002418E4" w:rsidRPr="000E79AA">
        <w:rPr>
          <w:rFonts w:ascii="Times New Roman" w:hAnsi="Times New Roman" w:cs="Times New Roman"/>
          <w:lang w:val="en-AU"/>
        </w:rPr>
        <w:t>There were no group differences on any of the self-report</w:t>
      </w:r>
      <w:r w:rsidR="001109D7" w:rsidRPr="000E79AA">
        <w:rPr>
          <w:rFonts w:ascii="Times New Roman" w:hAnsi="Times New Roman" w:cs="Times New Roman"/>
          <w:lang w:val="en-AU"/>
        </w:rPr>
        <w:t>ed</w:t>
      </w:r>
      <w:r w:rsidR="002418E4" w:rsidRPr="000E79AA">
        <w:rPr>
          <w:rFonts w:ascii="Times New Roman" w:hAnsi="Times New Roman" w:cs="Times New Roman"/>
          <w:lang w:val="en-AU"/>
        </w:rPr>
        <w:t xml:space="preserve"> questionnaire</w:t>
      </w:r>
      <w:r w:rsidR="009C64C6" w:rsidRPr="000E79AA">
        <w:rPr>
          <w:rFonts w:ascii="Times New Roman" w:hAnsi="Times New Roman" w:cs="Times New Roman"/>
          <w:lang w:val="en-AU"/>
        </w:rPr>
        <w:t>s assessing impulsivity, anxiety, depression and behavioural</w:t>
      </w:r>
      <w:r w:rsidR="002418E4" w:rsidRPr="000E79AA">
        <w:rPr>
          <w:rFonts w:ascii="Times New Roman" w:hAnsi="Times New Roman" w:cs="Times New Roman"/>
          <w:lang w:val="en-AU"/>
        </w:rPr>
        <w:t xml:space="preserve"> measures</w:t>
      </w:r>
      <w:r w:rsidR="001854E1" w:rsidRPr="000E79AA">
        <w:rPr>
          <w:rFonts w:ascii="Times New Roman" w:hAnsi="Times New Roman" w:cs="Times New Roman"/>
          <w:lang w:val="en-AU"/>
        </w:rPr>
        <w:t>,</w:t>
      </w:r>
      <w:r w:rsidR="002418E4" w:rsidRPr="000E79AA">
        <w:rPr>
          <w:rFonts w:ascii="Times New Roman" w:hAnsi="Times New Roman" w:cs="Times New Roman"/>
          <w:lang w:val="en-AU"/>
        </w:rPr>
        <w:t xml:space="preserve"> with the exception of the</w:t>
      </w:r>
      <w:r w:rsidR="008D2D5A" w:rsidRPr="000E79AA">
        <w:rPr>
          <w:rFonts w:ascii="Times New Roman" w:hAnsi="Times New Roman" w:cs="Times New Roman"/>
          <w:lang w:val="en-AU"/>
        </w:rPr>
        <w:t xml:space="preserve"> Motivation and Energy Inventory</w:t>
      </w:r>
      <w:r w:rsidR="002418E4" w:rsidRPr="000E79AA">
        <w:rPr>
          <w:rFonts w:ascii="Times New Roman" w:hAnsi="Times New Roman" w:cs="Times New Roman"/>
          <w:lang w:val="en-AU"/>
        </w:rPr>
        <w:t xml:space="preserve"> where the patient group had significantly lower scores for the physical subscale compared to controls (p = .010, BF = 6.18</w:t>
      </w:r>
      <w:r w:rsidR="004252C3" w:rsidRPr="000E79AA">
        <w:rPr>
          <w:rFonts w:ascii="Times New Roman" w:hAnsi="Times New Roman" w:cs="Times New Roman"/>
          <w:lang w:val="en-AU"/>
        </w:rPr>
        <w:t xml:space="preserve">; </w:t>
      </w:r>
      <w:r w:rsidR="00D60A29" w:rsidRPr="000E79AA">
        <w:rPr>
          <w:rFonts w:ascii="Times New Roman" w:hAnsi="Times New Roman" w:cs="Times New Roman"/>
          <w:lang w:val="en-AU"/>
        </w:rPr>
        <w:t>Supplementary</w:t>
      </w:r>
      <w:r w:rsidR="003B47D6" w:rsidRPr="000E79AA">
        <w:rPr>
          <w:rFonts w:ascii="Times New Roman" w:hAnsi="Times New Roman" w:cs="Times New Roman"/>
          <w:lang w:val="en-AU"/>
        </w:rPr>
        <w:t xml:space="preserve"> Material</w:t>
      </w:r>
      <w:r w:rsidR="004252C3" w:rsidRPr="000E79AA">
        <w:rPr>
          <w:rFonts w:ascii="Times New Roman" w:hAnsi="Times New Roman" w:cs="Times New Roman"/>
          <w:lang w:val="en-AU"/>
        </w:rPr>
        <w:t xml:space="preserve"> Table 1</w:t>
      </w:r>
      <w:r w:rsidR="003B47D6" w:rsidRPr="000E79AA">
        <w:rPr>
          <w:rFonts w:ascii="Times New Roman" w:hAnsi="Times New Roman" w:cs="Times New Roman"/>
          <w:lang w:val="en-AU"/>
        </w:rPr>
        <w:t>).</w:t>
      </w:r>
      <w:r w:rsidR="00E67833" w:rsidRPr="000E79AA">
        <w:rPr>
          <w:rFonts w:ascii="Times New Roman" w:hAnsi="Times New Roman" w:cs="Times New Roman"/>
          <w:lang w:val="en-AU"/>
        </w:rPr>
        <w:t xml:space="preserve"> </w:t>
      </w:r>
      <w:r w:rsidR="00E67833" w:rsidRPr="000E79AA">
        <w:rPr>
          <w:rFonts w:ascii="Times New Roman" w:hAnsi="Times New Roman" w:cs="Times New Roman"/>
          <w:bCs/>
          <w:lang w:val="en-AU"/>
        </w:rPr>
        <w:t xml:space="preserve">We did not see a bias in left versus right motor symptom laterality in the patient group; this analysis is described in detail in </w:t>
      </w:r>
      <w:r w:rsidR="005366C7" w:rsidRPr="000E79AA">
        <w:rPr>
          <w:rFonts w:ascii="Times New Roman" w:hAnsi="Times New Roman" w:cs="Times New Roman"/>
          <w:bCs/>
          <w:lang w:val="en-AU"/>
        </w:rPr>
        <w:t xml:space="preserve">the </w:t>
      </w:r>
      <w:r w:rsidR="00E67833" w:rsidRPr="000E79AA">
        <w:rPr>
          <w:rFonts w:ascii="Times New Roman" w:hAnsi="Times New Roman" w:cs="Times New Roman"/>
          <w:bCs/>
          <w:lang w:val="en-AU"/>
        </w:rPr>
        <w:t>Supplementary Material.</w:t>
      </w:r>
      <w:r w:rsidR="003B47D6" w:rsidRPr="000E79AA">
        <w:rPr>
          <w:rFonts w:ascii="Times New Roman" w:hAnsi="Times New Roman" w:cs="Times New Roman"/>
          <w:lang w:val="en-AU"/>
        </w:rPr>
        <w:t xml:space="preserve"> </w:t>
      </w:r>
    </w:p>
    <w:p w14:paraId="408C7544" w14:textId="77777777" w:rsidR="00A00863" w:rsidRPr="000E79AA" w:rsidRDefault="00A00863" w:rsidP="004E671C">
      <w:pPr>
        <w:spacing w:line="360" w:lineRule="auto"/>
        <w:jc w:val="both"/>
        <w:rPr>
          <w:rFonts w:ascii="Times New Roman" w:hAnsi="Times New Roman" w:cs="Times New Roman"/>
          <w:lang w:val="en-AU"/>
        </w:rPr>
      </w:pPr>
    </w:p>
    <w:p w14:paraId="677B8D57" w14:textId="64842461" w:rsidR="00A449A0" w:rsidRPr="000E79AA" w:rsidRDefault="00A449A0" w:rsidP="004E671C">
      <w:pPr>
        <w:spacing w:line="360" w:lineRule="auto"/>
        <w:jc w:val="both"/>
        <w:rPr>
          <w:rFonts w:ascii="Times New Roman" w:hAnsi="Times New Roman" w:cs="Times New Roman"/>
          <w:bCs/>
          <w:lang w:val="en-AU"/>
        </w:rPr>
      </w:pPr>
      <w:r w:rsidRPr="000E79AA">
        <w:rPr>
          <w:rFonts w:ascii="Times New Roman" w:hAnsi="Times New Roman" w:cs="Times New Roman"/>
          <w:lang w:val="en-AU"/>
        </w:rPr>
        <w:t xml:space="preserve">Within the drug and placebo sessions, </w:t>
      </w:r>
      <w:r w:rsidR="004E6F6B" w:rsidRPr="000E79AA">
        <w:rPr>
          <w:rFonts w:ascii="Times New Roman" w:hAnsi="Times New Roman" w:cs="Times New Roman"/>
          <w:lang w:val="en-AU"/>
        </w:rPr>
        <w:t xml:space="preserve">there was some evidence of </w:t>
      </w:r>
      <w:r w:rsidR="003475AC" w:rsidRPr="000E79AA">
        <w:rPr>
          <w:rFonts w:ascii="Times New Roman" w:hAnsi="Times New Roman" w:cs="Times New Roman"/>
          <w:lang w:val="en-AU"/>
        </w:rPr>
        <w:t>increased pulse rate</w:t>
      </w:r>
      <w:r w:rsidR="005E6E2D" w:rsidRPr="000E79AA">
        <w:rPr>
          <w:rFonts w:ascii="Times New Roman" w:hAnsi="Times New Roman" w:cs="Times New Roman"/>
          <w:lang w:val="en-AU"/>
        </w:rPr>
        <w:t>s</w:t>
      </w:r>
      <w:r w:rsidR="003475AC" w:rsidRPr="000E79AA">
        <w:rPr>
          <w:rFonts w:ascii="Times New Roman" w:hAnsi="Times New Roman" w:cs="Times New Roman"/>
          <w:lang w:val="en-AU"/>
        </w:rPr>
        <w:t xml:space="preserve"> and raised blood pressure </w:t>
      </w:r>
      <w:r w:rsidR="00637133" w:rsidRPr="000E79AA">
        <w:rPr>
          <w:rFonts w:ascii="Times New Roman" w:hAnsi="Times New Roman" w:cs="Times New Roman"/>
          <w:lang w:val="en-AU"/>
        </w:rPr>
        <w:t xml:space="preserve">on </w:t>
      </w:r>
      <w:r w:rsidR="003475AC" w:rsidRPr="000E79AA">
        <w:rPr>
          <w:rFonts w:ascii="Times New Roman" w:hAnsi="Times New Roman" w:cs="Times New Roman"/>
          <w:lang w:val="en-AU"/>
        </w:rPr>
        <w:t xml:space="preserve">atomoxetine, although this was not </w:t>
      </w:r>
      <w:r w:rsidR="004123C2" w:rsidRPr="000E79AA">
        <w:rPr>
          <w:rFonts w:ascii="Times New Roman" w:hAnsi="Times New Roman" w:cs="Times New Roman"/>
          <w:lang w:val="en-AU"/>
        </w:rPr>
        <w:t xml:space="preserve">considered clinically relevant and was not </w:t>
      </w:r>
      <w:r w:rsidR="003475AC" w:rsidRPr="000E79AA">
        <w:rPr>
          <w:rFonts w:ascii="Times New Roman" w:hAnsi="Times New Roman" w:cs="Times New Roman"/>
          <w:lang w:val="en-AU"/>
        </w:rPr>
        <w:t xml:space="preserve">consistently observed </w:t>
      </w:r>
      <w:r w:rsidR="000D4CA4" w:rsidRPr="000E79AA">
        <w:rPr>
          <w:rFonts w:ascii="Times New Roman" w:hAnsi="Times New Roman" w:cs="Times New Roman"/>
          <w:lang w:val="en-AU"/>
        </w:rPr>
        <w:t xml:space="preserve">across </w:t>
      </w:r>
      <w:r w:rsidR="008F121C" w:rsidRPr="000E79AA">
        <w:rPr>
          <w:rFonts w:ascii="Times New Roman" w:hAnsi="Times New Roman" w:cs="Times New Roman"/>
          <w:lang w:val="en-AU"/>
        </w:rPr>
        <w:t xml:space="preserve">all </w:t>
      </w:r>
      <w:r w:rsidR="000D4CA4" w:rsidRPr="000E79AA">
        <w:rPr>
          <w:rFonts w:ascii="Times New Roman" w:hAnsi="Times New Roman" w:cs="Times New Roman"/>
          <w:lang w:val="en-AU"/>
        </w:rPr>
        <w:t>supine and upright measures. Importantly</w:t>
      </w:r>
      <w:r w:rsidRPr="000E79AA">
        <w:rPr>
          <w:rFonts w:ascii="Times New Roman" w:hAnsi="Times New Roman" w:cs="Times New Roman"/>
          <w:lang w:val="en-AU"/>
        </w:rPr>
        <w:t>, there was no change in subjective ratings of mood and arousal levels</w:t>
      </w:r>
      <w:r w:rsidR="007B6F81" w:rsidRPr="000E79AA">
        <w:rPr>
          <w:rFonts w:ascii="Times New Roman" w:hAnsi="Times New Roman" w:cs="Times New Roman"/>
          <w:lang w:val="en-AU"/>
        </w:rPr>
        <w:t xml:space="preserve"> within the sessions</w:t>
      </w:r>
      <w:r w:rsidRPr="000E79AA">
        <w:rPr>
          <w:rFonts w:ascii="Times New Roman" w:hAnsi="Times New Roman" w:cs="Times New Roman"/>
          <w:lang w:val="en-AU"/>
        </w:rPr>
        <w:t xml:space="preserve">. These </w:t>
      </w:r>
      <w:r w:rsidR="000D4CA4" w:rsidRPr="000E79AA">
        <w:rPr>
          <w:rFonts w:ascii="Times New Roman" w:hAnsi="Times New Roman" w:cs="Times New Roman"/>
          <w:lang w:val="en-AU"/>
        </w:rPr>
        <w:t>analyses</w:t>
      </w:r>
      <w:r w:rsidRPr="000E79AA">
        <w:rPr>
          <w:rFonts w:ascii="Times New Roman" w:hAnsi="Times New Roman" w:cs="Times New Roman"/>
          <w:lang w:val="en-AU"/>
        </w:rPr>
        <w:t xml:space="preserve"> are described in detail in the Supplement</w:t>
      </w:r>
      <w:r w:rsidR="007A6CF4" w:rsidRPr="000E79AA">
        <w:rPr>
          <w:rFonts w:ascii="Times New Roman" w:hAnsi="Times New Roman" w:cs="Times New Roman"/>
          <w:lang w:val="en-AU"/>
        </w:rPr>
        <w:t>ary Material</w:t>
      </w:r>
      <w:r w:rsidR="000D4CA4" w:rsidRPr="000E79AA">
        <w:rPr>
          <w:rFonts w:ascii="Times New Roman" w:hAnsi="Times New Roman" w:cs="Times New Roman"/>
          <w:lang w:val="en-AU"/>
        </w:rPr>
        <w:t>.</w:t>
      </w:r>
      <w:r w:rsidR="00663C2A" w:rsidRPr="000E79AA">
        <w:rPr>
          <w:rFonts w:ascii="Times New Roman" w:hAnsi="Times New Roman" w:cs="Times New Roman"/>
          <w:lang w:val="en-AU"/>
        </w:rPr>
        <w:t xml:space="preserve"> </w:t>
      </w:r>
    </w:p>
    <w:p w14:paraId="09EA2211" w14:textId="77777777" w:rsidR="00A449A0" w:rsidRPr="000E79AA" w:rsidRDefault="00A449A0" w:rsidP="004E671C">
      <w:pPr>
        <w:jc w:val="both"/>
        <w:rPr>
          <w:rFonts w:ascii="Times New Roman" w:hAnsi="Times New Roman" w:cs="Times New Roman"/>
          <w:i/>
          <w:lang w:val="en-AU"/>
        </w:rPr>
      </w:pPr>
    </w:p>
    <w:p w14:paraId="7629A962" w14:textId="77777777" w:rsidR="003B058F" w:rsidRPr="000E79AA" w:rsidRDefault="003B058F" w:rsidP="004E671C">
      <w:pPr>
        <w:jc w:val="both"/>
        <w:rPr>
          <w:rFonts w:ascii="Times New Roman" w:hAnsi="Times New Roman" w:cs="Times New Roman"/>
          <w:i/>
          <w:lang w:val="en-AU"/>
        </w:rPr>
      </w:pPr>
    </w:p>
    <w:p w14:paraId="3754122F" w14:textId="77777777" w:rsidR="009B51D2" w:rsidRPr="000E79AA" w:rsidRDefault="009B51D2">
      <w:pPr>
        <w:rPr>
          <w:rFonts w:ascii="Times New Roman" w:hAnsi="Times New Roman" w:cs="Times New Roman"/>
          <w:i/>
          <w:lang w:val="en-AU"/>
        </w:rPr>
      </w:pPr>
      <w:r w:rsidRPr="000E79AA">
        <w:rPr>
          <w:rFonts w:ascii="Times New Roman" w:hAnsi="Times New Roman" w:cs="Times New Roman"/>
          <w:i/>
          <w:lang w:val="en-AU"/>
        </w:rPr>
        <w:br w:type="page"/>
      </w:r>
    </w:p>
    <w:p w14:paraId="2F4A5909" w14:textId="77777777" w:rsidR="00C00201" w:rsidRPr="000E79AA" w:rsidRDefault="00C00201" w:rsidP="004E671C">
      <w:pPr>
        <w:jc w:val="both"/>
        <w:rPr>
          <w:rFonts w:ascii="Times New Roman" w:hAnsi="Times New Roman" w:cs="Times New Roman"/>
          <w:lang w:val="en-AU"/>
        </w:rPr>
      </w:pPr>
      <w:r w:rsidRPr="000E79AA">
        <w:rPr>
          <w:rFonts w:ascii="Times New Roman" w:hAnsi="Times New Roman" w:cs="Times New Roman"/>
          <w:i/>
          <w:lang w:val="en-AU"/>
        </w:rPr>
        <w:lastRenderedPageBreak/>
        <w:t>Table 1: Demographics and clinical assessments of participants</w:t>
      </w:r>
      <w:r w:rsidR="001109D7" w:rsidRPr="000E79AA">
        <w:rPr>
          <w:rFonts w:ascii="Times New Roman" w:hAnsi="Times New Roman" w:cs="Times New Roman"/>
          <w:i/>
          <w:lang w:val="en-AU"/>
        </w:rPr>
        <w:t xml:space="preserve"> in their normal on medication state</w:t>
      </w:r>
      <w:r w:rsidRPr="000E79AA">
        <w:rPr>
          <w:rFonts w:ascii="Times New Roman" w:hAnsi="Times New Roman" w:cs="Times New Roman"/>
          <w:i/>
          <w:lang w:val="en-AU"/>
        </w:rPr>
        <w:t>. Data are presented as mean (SD). Comparisons of patient and control groups were performed with independent samples t-tests or contingency tables as appropriate.</w:t>
      </w:r>
    </w:p>
    <w:tbl>
      <w:tblPr>
        <w:tblW w:w="0" w:type="auto"/>
        <w:tblCellMar>
          <w:top w:w="15" w:type="dxa"/>
          <w:left w:w="15" w:type="dxa"/>
          <w:bottom w:w="15" w:type="dxa"/>
          <w:right w:w="15" w:type="dxa"/>
        </w:tblCellMar>
        <w:tblLook w:val="04A0" w:firstRow="1" w:lastRow="0" w:firstColumn="1" w:lastColumn="0" w:noHBand="0" w:noVBand="1"/>
      </w:tblPr>
      <w:tblGrid>
        <w:gridCol w:w="2344"/>
        <w:gridCol w:w="2477"/>
        <w:gridCol w:w="1507"/>
        <w:gridCol w:w="1401"/>
        <w:gridCol w:w="662"/>
        <w:gridCol w:w="625"/>
      </w:tblGrid>
      <w:tr w:rsidR="00C00201" w:rsidRPr="000E79AA" w14:paraId="04643F0F" w14:textId="77777777" w:rsidTr="007F3374">
        <w:tc>
          <w:tcPr>
            <w:tcW w:w="2344" w:type="dxa"/>
            <w:tcBorders>
              <w:bottom w:val="single" w:sz="12" w:space="0" w:color="auto"/>
            </w:tcBorders>
            <w:shd w:val="clear" w:color="auto" w:fill="auto"/>
            <w:tcMar>
              <w:top w:w="120" w:type="dxa"/>
              <w:left w:w="120" w:type="dxa"/>
              <w:bottom w:w="120" w:type="dxa"/>
              <w:right w:w="120" w:type="dxa"/>
            </w:tcMar>
            <w:vAlign w:val="bottom"/>
            <w:hideMark/>
          </w:tcPr>
          <w:p w14:paraId="52467E71" w14:textId="77777777" w:rsidR="00C00201" w:rsidRPr="000E79AA" w:rsidRDefault="00C00201" w:rsidP="004E671C">
            <w:pPr>
              <w:jc w:val="both"/>
              <w:rPr>
                <w:rFonts w:ascii="Times New Roman" w:hAnsi="Times New Roman" w:cs="Times New Roman"/>
                <w:sz w:val="22"/>
                <w:szCs w:val="22"/>
                <w:lang w:val="en-AU"/>
              </w:rPr>
            </w:pPr>
          </w:p>
        </w:tc>
        <w:tc>
          <w:tcPr>
            <w:tcW w:w="2477" w:type="dxa"/>
            <w:tcBorders>
              <w:bottom w:val="single" w:sz="12" w:space="0" w:color="auto"/>
            </w:tcBorders>
            <w:shd w:val="clear" w:color="auto" w:fill="auto"/>
            <w:tcMar>
              <w:top w:w="120" w:type="dxa"/>
              <w:left w:w="120" w:type="dxa"/>
              <w:bottom w:w="120" w:type="dxa"/>
              <w:right w:w="120" w:type="dxa"/>
            </w:tcMar>
            <w:vAlign w:val="bottom"/>
            <w:hideMark/>
          </w:tcPr>
          <w:p w14:paraId="756D9C86"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bottom w:val="single" w:sz="12" w:space="0" w:color="auto"/>
            </w:tcBorders>
            <w:shd w:val="clear" w:color="auto" w:fill="auto"/>
            <w:tcMar>
              <w:top w:w="120" w:type="dxa"/>
              <w:left w:w="120" w:type="dxa"/>
              <w:bottom w:w="120" w:type="dxa"/>
              <w:right w:w="120" w:type="dxa"/>
            </w:tcMar>
            <w:vAlign w:val="center"/>
            <w:hideMark/>
          </w:tcPr>
          <w:p w14:paraId="091ABAF7" w14:textId="77777777" w:rsidR="00C00201" w:rsidRPr="000E79AA" w:rsidRDefault="00C00201"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PD</w:t>
            </w:r>
          </w:p>
        </w:tc>
        <w:tc>
          <w:tcPr>
            <w:tcW w:w="1401" w:type="dxa"/>
            <w:tcBorders>
              <w:bottom w:val="single" w:sz="12" w:space="0" w:color="auto"/>
            </w:tcBorders>
            <w:shd w:val="clear" w:color="auto" w:fill="auto"/>
            <w:tcMar>
              <w:top w:w="120" w:type="dxa"/>
              <w:left w:w="120" w:type="dxa"/>
              <w:bottom w:w="120" w:type="dxa"/>
              <w:right w:w="120" w:type="dxa"/>
            </w:tcMar>
            <w:vAlign w:val="center"/>
            <w:hideMark/>
          </w:tcPr>
          <w:p w14:paraId="618359FD" w14:textId="77777777" w:rsidR="00C00201" w:rsidRPr="000E79AA" w:rsidRDefault="00C00201"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Controls</w:t>
            </w:r>
          </w:p>
        </w:tc>
        <w:tc>
          <w:tcPr>
            <w:tcW w:w="662" w:type="dxa"/>
            <w:tcBorders>
              <w:bottom w:val="single" w:sz="12" w:space="0" w:color="auto"/>
            </w:tcBorders>
            <w:shd w:val="clear" w:color="auto" w:fill="auto"/>
            <w:tcMar>
              <w:top w:w="120" w:type="dxa"/>
              <w:left w:w="120" w:type="dxa"/>
              <w:bottom w:w="120" w:type="dxa"/>
              <w:right w:w="120" w:type="dxa"/>
            </w:tcMar>
            <w:vAlign w:val="center"/>
            <w:hideMark/>
          </w:tcPr>
          <w:p w14:paraId="07202AF6" w14:textId="77777777" w:rsidR="00C00201" w:rsidRPr="000E79AA" w:rsidRDefault="00C00201"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BF</w:t>
            </w:r>
          </w:p>
        </w:tc>
        <w:tc>
          <w:tcPr>
            <w:tcW w:w="0" w:type="auto"/>
            <w:tcBorders>
              <w:bottom w:val="single" w:sz="12" w:space="0" w:color="auto"/>
            </w:tcBorders>
            <w:shd w:val="clear" w:color="auto" w:fill="auto"/>
            <w:tcMar>
              <w:top w:w="120" w:type="dxa"/>
              <w:left w:w="120" w:type="dxa"/>
              <w:bottom w:w="120" w:type="dxa"/>
              <w:right w:w="120" w:type="dxa"/>
            </w:tcMar>
            <w:vAlign w:val="center"/>
            <w:hideMark/>
          </w:tcPr>
          <w:p w14:paraId="781CCFFE" w14:textId="77777777" w:rsidR="00C00201" w:rsidRPr="000E79AA" w:rsidRDefault="00C00201" w:rsidP="004E671C">
            <w:pPr>
              <w:jc w:val="both"/>
              <w:rPr>
                <w:rFonts w:ascii="Times New Roman" w:hAnsi="Times New Roman" w:cs="Times New Roman"/>
                <w:b/>
                <w:i/>
                <w:sz w:val="22"/>
                <w:szCs w:val="22"/>
                <w:lang w:val="en-AU"/>
              </w:rPr>
            </w:pPr>
            <w:r w:rsidRPr="000E79AA">
              <w:rPr>
                <w:rFonts w:ascii="Times New Roman" w:hAnsi="Times New Roman" w:cs="Times New Roman"/>
                <w:b/>
                <w:i/>
                <w:sz w:val="22"/>
                <w:szCs w:val="22"/>
                <w:lang w:val="en-AU"/>
              </w:rPr>
              <w:t>p</w:t>
            </w:r>
          </w:p>
        </w:tc>
      </w:tr>
      <w:tr w:rsidR="00C00201" w:rsidRPr="000E79AA" w14:paraId="215F81F4" w14:textId="77777777" w:rsidTr="007F3374">
        <w:tc>
          <w:tcPr>
            <w:tcW w:w="2344" w:type="dxa"/>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14D3D8A0"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Age (years)</w:t>
            </w:r>
          </w:p>
        </w:tc>
        <w:tc>
          <w:tcPr>
            <w:tcW w:w="2477" w:type="dxa"/>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1E2A321E"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53D16105"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67.11 (7.05)</w:t>
            </w:r>
          </w:p>
        </w:tc>
        <w:tc>
          <w:tcPr>
            <w:tcW w:w="1401" w:type="dxa"/>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2283D88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65.35 (5.32)</w:t>
            </w:r>
          </w:p>
        </w:tc>
        <w:tc>
          <w:tcPr>
            <w:tcW w:w="662" w:type="dxa"/>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37169979"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0.43</w:t>
            </w:r>
          </w:p>
        </w:tc>
        <w:tc>
          <w:tcPr>
            <w:tcW w:w="0" w:type="auto"/>
            <w:tcBorders>
              <w:top w:val="single" w:sz="12" w:space="0" w:color="auto"/>
              <w:bottom w:val="single" w:sz="6" w:space="0" w:color="A6A6A6" w:themeColor="background1" w:themeShade="A6"/>
            </w:tcBorders>
            <w:shd w:val="clear" w:color="auto" w:fill="auto"/>
            <w:tcMar>
              <w:top w:w="120" w:type="dxa"/>
              <w:left w:w="120" w:type="dxa"/>
              <w:bottom w:w="120" w:type="dxa"/>
              <w:right w:w="120" w:type="dxa"/>
            </w:tcMar>
            <w:vAlign w:val="center"/>
            <w:hideMark/>
          </w:tcPr>
          <w:p w14:paraId="790A760B"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.368</w:t>
            </w:r>
          </w:p>
        </w:tc>
      </w:tr>
      <w:tr w:rsidR="00C00201" w:rsidRPr="000E79AA" w14:paraId="07C2B75A" w14:textId="77777777" w:rsidTr="007F3374">
        <w:tc>
          <w:tcPr>
            <w:tcW w:w="2344"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68092E2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Education (years)</w:t>
            </w:r>
          </w:p>
        </w:tc>
        <w:tc>
          <w:tcPr>
            <w:tcW w:w="2477"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433C7711"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01B0AC6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14.05 (2.27)</w:t>
            </w:r>
          </w:p>
        </w:tc>
        <w:tc>
          <w:tcPr>
            <w:tcW w:w="1401"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71D2D47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14.65 (3.10)</w:t>
            </w:r>
          </w:p>
        </w:tc>
        <w:tc>
          <w:tcPr>
            <w:tcW w:w="662"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402DCC6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0.37</w:t>
            </w:r>
          </w:p>
        </w:tc>
        <w:tc>
          <w:tcPr>
            <w:tcW w:w="0" w:type="auto"/>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38073681"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.457</w:t>
            </w:r>
          </w:p>
        </w:tc>
      </w:tr>
      <w:tr w:rsidR="00C00201" w:rsidRPr="000E79AA" w14:paraId="37A30116" w14:textId="77777777" w:rsidTr="007F3374">
        <w:tc>
          <w:tcPr>
            <w:tcW w:w="2344"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5400ABEB"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Male / Female</w:t>
            </w:r>
          </w:p>
        </w:tc>
        <w:tc>
          <w:tcPr>
            <w:tcW w:w="2477"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38D0475D"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294E9154"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15 / 4</w:t>
            </w:r>
          </w:p>
        </w:tc>
        <w:tc>
          <w:tcPr>
            <w:tcW w:w="1401"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462A157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15 / 11</w:t>
            </w:r>
          </w:p>
        </w:tc>
        <w:tc>
          <w:tcPr>
            <w:tcW w:w="662" w:type="dxa"/>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57872B4F"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0.98</w:t>
            </w:r>
          </w:p>
        </w:tc>
        <w:tc>
          <w:tcPr>
            <w:tcW w:w="0" w:type="auto"/>
            <w:tcBorders>
              <w:top w:val="single" w:sz="6" w:space="0" w:color="A6A6A6" w:themeColor="background1" w:themeShade="A6"/>
              <w:bottom w:val="single" w:sz="6" w:space="0" w:color="A6A6A6" w:themeColor="background1" w:themeShade="A6"/>
            </w:tcBorders>
            <w:shd w:val="clear" w:color="auto" w:fill="auto"/>
            <w:tcMar>
              <w:top w:w="120" w:type="dxa"/>
              <w:left w:w="120" w:type="dxa"/>
              <w:bottom w:w="120" w:type="dxa"/>
              <w:right w:w="120" w:type="dxa"/>
            </w:tcMar>
            <w:vAlign w:val="center"/>
            <w:hideMark/>
          </w:tcPr>
          <w:p w14:paraId="779559C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.240</w:t>
            </w:r>
          </w:p>
        </w:tc>
      </w:tr>
      <w:tr w:rsidR="00C00201" w:rsidRPr="000E79AA" w14:paraId="7FD3F4AB" w14:textId="77777777" w:rsidTr="007F3374">
        <w:tc>
          <w:tcPr>
            <w:tcW w:w="2344" w:type="dxa"/>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036D8D53"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MMSE</w:t>
            </w:r>
          </w:p>
        </w:tc>
        <w:tc>
          <w:tcPr>
            <w:tcW w:w="2477" w:type="dxa"/>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1CD364F3"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74D46FC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29.47 (0.70)</w:t>
            </w:r>
          </w:p>
        </w:tc>
        <w:tc>
          <w:tcPr>
            <w:tcW w:w="1401" w:type="dxa"/>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14D20E2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29.77 (0.51)</w:t>
            </w:r>
          </w:p>
        </w:tc>
        <w:tc>
          <w:tcPr>
            <w:tcW w:w="662" w:type="dxa"/>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59759940"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0.87</w:t>
            </w:r>
          </w:p>
        </w:tc>
        <w:tc>
          <w:tcPr>
            <w:tcW w:w="0" w:type="auto"/>
            <w:tcBorders>
              <w:top w:val="single" w:sz="6" w:space="0" w:color="A6A6A6" w:themeColor="background1" w:themeShade="A6"/>
              <w:bottom w:val="single" w:sz="6" w:space="0" w:color="A6A6A6"/>
            </w:tcBorders>
            <w:shd w:val="clear" w:color="auto" w:fill="auto"/>
            <w:tcMar>
              <w:top w:w="120" w:type="dxa"/>
              <w:left w:w="120" w:type="dxa"/>
              <w:bottom w:w="120" w:type="dxa"/>
              <w:right w:w="120" w:type="dxa"/>
            </w:tcMar>
            <w:vAlign w:val="center"/>
            <w:hideMark/>
          </w:tcPr>
          <w:p w14:paraId="0F85171A"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.128</w:t>
            </w:r>
          </w:p>
        </w:tc>
      </w:tr>
      <w:tr w:rsidR="00C00201" w:rsidRPr="000E79AA" w14:paraId="2977DC29" w14:textId="77777777" w:rsidTr="007F3374">
        <w:tc>
          <w:tcPr>
            <w:tcW w:w="2344"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015E351E"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MoCA</w:t>
            </w:r>
          </w:p>
        </w:tc>
        <w:tc>
          <w:tcPr>
            <w:tcW w:w="2477"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16287015"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2860813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28</w:t>
            </w:r>
            <w:r w:rsidR="00043DCD" w:rsidRPr="000E79AA">
              <w:rPr>
                <w:rFonts w:ascii="Times New Roman" w:hAnsi="Times New Roman" w:cs="Times New Roman"/>
                <w:sz w:val="22"/>
                <w:szCs w:val="22"/>
                <w:lang w:val="en-AU"/>
              </w:rPr>
              <w:t>.11</w:t>
            </w:r>
            <w:r w:rsidRPr="000E79AA">
              <w:rPr>
                <w:rFonts w:ascii="Times New Roman" w:hAnsi="Times New Roman" w:cs="Times New Roman"/>
                <w:sz w:val="22"/>
                <w:szCs w:val="22"/>
                <w:lang w:val="en-AU"/>
              </w:rPr>
              <w:t xml:space="preserve"> (1.</w:t>
            </w:r>
            <w:r w:rsidR="00043DCD" w:rsidRPr="000E79AA">
              <w:rPr>
                <w:rFonts w:ascii="Times New Roman" w:hAnsi="Times New Roman" w:cs="Times New Roman"/>
                <w:sz w:val="22"/>
                <w:szCs w:val="22"/>
                <w:lang w:val="en-AU"/>
              </w:rPr>
              <w:t>76</w:t>
            </w:r>
            <w:r w:rsidRPr="000E79AA">
              <w:rPr>
                <w:rFonts w:ascii="Times New Roman" w:hAnsi="Times New Roman" w:cs="Times New Roman"/>
                <w:sz w:val="22"/>
                <w:szCs w:val="22"/>
                <w:lang w:val="en-AU"/>
              </w:rPr>
              <w:t>)</w:t>
            </w:r>
          </w:p>
        </w:tc>
        <w:tc>
          <w:tcPr>
            <w:tcW w:w="1401"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194ADB90"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w:t>
            </w:r>
            <w:r w:rsidR="00043DCD" w:rsidRPr="000E79AA">
              <w:rPr>
                <w:rFonts w:ascii="Times New Roman" w:hAnsi="Times New Roman" w:cs="Times New Roman"/>
                <w:sz w:val="22"/>
                <w:szCs w:val="22"/>
                <w:lang w:val="en-AU"/>
              </w:rPr>
              <w:t>8</w:t>
            </w:r>
            <w:r w:rsidRPr="000E79AA">
              <w:rPr>
                <w:rFonts w:ascii="Times New Roman" w:hAnsi="Times New Roman" w:cs="Times New Roman"/>
                <w:sz w:val="22"/>
                <w:szCs w:val="22"/>
                <w:lang w:val="en-AU"/>
              </w:rPr>
              <w:t>.</w:t>
            </w:r>
            <w:r w:rsidR="00043DCD" w:rsidRPr="000E79AA">
              <w:rPr>
                <w:rFonts w:ascii="Times New Roman" w:hAnsi="Times New Roman" w:cs="Times New Roman"/>
                <w:sz w:val="22"/>
                <w:szCs w:val="22"/>
                <w:lang w:val="en-AU"/>
              </w:rPr>
              <w:t>58</w:t>
            </w:r>
            <w:r w:rsidRPr="000E79AA">
              <w:rPr>
                <w:rFonts w:ascii="Times New Roman" w:hAnsi="Times New Roman" w:cs="Times New Roman"/>
                <w:sz w:val="22"/>
                <w:szCs w:val="22"/>
                <w:lang w:val="en-AU"/>
              </w:rPr>
              <w:t xml:space="preserve"> (</w:t>
            </w:r>
            <w:r w:rsidR="00043DCD"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w:t>
            </w:r>
            <w:r w:rsidR="00043DCD" w:rsidRPr="000E79AA">
              <w:rPr>
                <w:rFonts w:ascii="Times New Roman" w:hAnsi="Times New Roman" w:cs="Times New Roman"/>
                <w:sz w:val="22"/>
                <w:szCs w:val="22"/>
                <w:lang w:val="en-AU"/>
              </w:rPr>
              <w:t>39</w:t>
            </w:r>
            <w:r w:rsidRPr="000E79AA">
              <w:rPr>
                <w:rFonts w:ascii="Times New Roman" w:hAnsi="Times New Roman" w:cs="Times New Roman"/>
                <w:sz w:val="22"/>
                <w:szCs w:val="22"/>
                <w:lang w:val="en-AU"/>
              </w:rPr>
              <w:t>)</w:t>
            </w:r>
          </w:p>
        </w:tc>
        <w:tc>
          <w:tcPr>
            <w:tcW w:w="662"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67D5EFB3"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w:t>
            </w:r>
            <w:r w:rsidR="00043DCD" w:rsidRPr="000E79AA">
              <w:rPr>
                <w:rFonts w:ascii="Times New Roman" w:hAnsi="Times New Roman" w:cs="Times New Roman"/>
                <w:sz w:val="22"/>
                <w:szCs w:val="22"/>
                <w:lang w:val="en-AU"/>
              </w:rPr>
              <w:t>45</w:t>
            </w:r>
          </w:p>
        </w:tc>
        <w:tc>
          <w:tcPr>
            <w:tcW w:w="0" w:type="auto"/>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15599A0F"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w:t>
            </w:r>
            <w:r w:rsidR="00043DCD" w:rsidRPr="000E79AA">
              <w:rPr>
                <w:rFonts w:ascii="Times New Roman" w:hAnsi="Times New Roman" w:cs="Times New Roman"/>
                <w:sz w:val="22"/>
                <w:szCs w:val="22"/>
                <w:lang w:val="en-AU"/>
              </w:rPr>
              <w:t>340</w:t>
            </w:r>
          </w:p>
        </w:tc>
      </w:tr>
      <w:tr w:rsidR="00C00201" w:rsidRPr="000E79AA" w14:paraId="61131FDD" w14:textId="77777777" w:rsidTr="007F3374">
        <w:tc>
          <w:tcPr>
            <w:tcW w:w="2344" w:type="dxa"/>
            <w:vMerge w:val="restart"/>
            <w:tcBorders>
              <w:top w:val="single" w:sz="6" w:space="0" w:color="A6A6A6"/>
            </w:tcBorders>
            <w:shd w:val="clear" w:color="auto" w:fill="auto"/>
            <w:tcMar>
              <w:top w:w="120" w:type="dxa"/>
              <w:left w:w="120" w:type="dxa"/>
              <w:bottom w:w="120" w:type="dxa"/>
              <w:right w:w="120" w:type="dxa"/>
            </w:tcMar>
            <w:vAlign w:val="center"/>
            <w:hideMark/>
          </w:tcPr>
          <w:p w14:paraId="7645D8E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ACE-R</w:t>
            </w:r>
          </w:p>
        </w:tc>
        <w:tc>
          <w:tcPr>
            <w:tcW w:w="2477" w:type="dxa"/>
            <w:tcBorders>
              <w:top w:val="single" w:sz="6" w:space="0" w:color="A6A6A6"/>
            </w:tcBorders>
            <w:shd w:val="clear" w:color="auto" w:fill="auto"/>
            <w:tcMar>
              <w:top w:w="120" w:type="dxa"/>
              <w:left w:w="120" w:type="dxa"/>
              <w:bottom w:w="120" w:type="dxa"/>
              <w:right w:w="120" w:type="dxa"/>
            </w:tcMar>
            <w:vAlign w:val="center"/>
            <w:hideMark/>
          </w:tcPr>
          <w:p w14:paraId="709EDEBF"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Total Score</w:t>
            </w:r>
          </w:p>
        </w:tc>
        <w:tc>
          <w:tcPr>
            <w:tcW w:w="1507" w:type="dxa"/>
            <w:tcBorders>
              <w:top w:val="single" w:sz="6" w:space="0" w:color="A6A6A6"/>
            </w:tcBorders>
            <w:shd w:val="clear" w:color="auto" w:fill="auto"/>
            <w:tcMar>
              <w:top w:w="120" w:type="dxa"/>
              <w:left w:w="120" w:type="dxa"/>
              <w:bottom w:w="120" w:type="dxa"/>
              <w:right w:w="120" w:type="dxa"/>
            </w:tcMar>
            <w:vAlign w:val="center"/>
            <w:hideMark/>
          </w:tcPr>
          <w:p w14:paraId="19D43482"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9</w:t>
            </w:r>
            <w:r w:rsidR="00CE596E" w:rsidRPr="000E79AA">
              <w:rPr>
                <w:rFonts w:ascii="Times New Roman" w:hAnsi="Times New Roman" w:cs="Times New Roman"/>
                <w:sz w:val="22"/>
                <w:szCs w:val="22"/>
                <w:lang w:val="en-AU"/>
              </w:rPr>
              <w:t>4</w:t>
            </w:r>
            <w:r w:rsidRPr="000E79AA">
              <w:rPr>
                <w:rFonts w:ascii="Times New Roman" w:hAnsi="Times New Roman" w:cs="Times New Roman"/>
                <w:sz w:val="22"/>
                <w:szCs w:val="22"/>
                <w:lang w:val="en-AU"/>
              </w:rPr>
              <w:t>.</w:t>
            </w:r>
            <w:r w:rsidR="00CE596E" w:rsidRPr="000E79AA">
              <w:rPr>
                <w:rFonts w:ascii="Times New Roman" w:hAnsi="Times New Roman" w:cs="Times New Roman"/>
                <w:sz w:val="22"/>
                <w:szCs w:val="22"/>
                <w:lang w:val="en-AU"/>
              </w:rPr>
              <w:t>89</w:t>
            </w:r>
            <w:r w:rsidRPr="000E79AA">
              <w:rPr>
                <w:rFonts w:ascii="Times New Roman" w:hAnsi="Times New Roman" w:cs="Times New Roman"/>
                <w:sz w:val="22"/>
                <w:szCs w:val="22"/>
                <w:lang w:val="en-AU"/>
              </w:rPr>
              <w:t xml:space="preserve"> (3.7</w:t>
            </w:r>
            <w:r w:rsidR="00CE596E"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w:t>
            </w:r>
          </w:p>
        </w:tc>
        <w:tc>
          <w:tcPr>
            <w:tcW w:w="1401" w:type="dxa"/>
            <w:tcBorders>
              <w:top w:val="single" w:sz="6" w:space="0" w:color="A6A6A6"/>
            </w:tcBorders>
            <w:shd w:val="clear" w:color="auto" w:fill="auto"/>
            <w:tcMar>
              <w:top w:w="120" w:type="dxa"/>
              <w:left w:w="120" w:type="dxa"/>
              <w:bottom w:w="120" w:type="dxa"/>
              <w:right w:w="120" w:type="dxa"/>
            </w:tcMar>
            <w:vAlign w:val="center"/>
            <w:hideMark/>
          </w:tcPr>
          <w:p w14:paraId="7CEF211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97.5</w:t>
            </w:r>
            <w:r w:rsidR="00CE596E" w:rsidRPr="000E79AA">
              <w:rPr>
                <w:rFonts w:ascii="Times New Roman" w:hAnsi="Times New Roman" w:cs="Times New Roman"/>
                <w:sz w:val="22"/>
                <w:szCs w:val="22"/>
                <w:lang w:val="en-AU"/>
              </w:rPr>
              <w:t>8</w:t>
            </w:r>
            <w:r w:rsidRPr="000E79AA">
              <w:rPr>
                <w:rFonts w:ascii="Times New Roman" w:hAnsi="Times New Roman" w:cs="Times New Roman"/>
                <w:sz w:val="22"/>
                <w:szCs w:val="22"/>
                <w:lang w:val="en-AU"/>
              </w:rPr>
              <w:t xml:space="preserve"> (3.</w:t>
            </w:r>
            <w:r w:rsidR="00CE596E"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6)</w:t>
            </w:r>
          </w:p>
        </w:tc>
        <w:tc>
          <w:tcPr>
            <w:tcW w:w="662" w:type="dxa"/>
            <w:tcBorders>
              <w:top w:val="single" w:sz="6" w:space="0" w:color="A6A6A6"/>
            </w:tcBorders>
            <w:shd w:val="clear" w:color="auto" w:fill="auto"/>
            <w:tcMar>
              <w:top w:w="120" w:type="dxa"/>
              <w:left w:w="120" w:type="dxa"/>
              <w:bottom w:w="120" w:type="dxa"/>
              <w:right w:w="120" w:type="dxa"/>
            </w:tcMar>
            <w:vAlign w:val="center"/>
            <w:hideMark/>
          </w:tcPr>
          <w:p w14:paraId="7CD53C3B" w14:textId="77777777" w:rsidR="00C00201" w:rsidRPr="000E79AA" w:rsidRDefault="00CE596E"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4</w:t>
            </w:r>
            <w:r w:rsidR="00C00201" w:rsidRPr="000E79AA">
              <w:rPr>
                <w:rFonts w:ascii="Times New Roman" w:hAnsi="Times New Roman" w:cs="Times New Roman"/>
                <w:b/>
                <w:sz w:val="22"/>
                <w:szCs w:val="22"/>
                <w:lang w:val="en-AU"/>
              </w:rPr>
              <w:t>.</w:t>
            </w:r>
            <w:r w:rsidRPr="000E79AA">
              <w:rPr>
                <w:rFonts w:ascii="Times New Roman" w:hAnsi="Times New Roman" w:cs="Times New Roman"/>
                <w:b/>
                <w:sz w:val="22"/>
                <w:szCs w:val="22"/>
                <w:lang w:val="en-AU"/>
              </w:rPr>
              <w:t>1</w:t>
            </w:r>
            <w:r w:rsidR="00C00201" w:rsidRPr="000E79AA">
              <w:rPr>
                <w:rFonts w:ascii="Times New Roman" w:hAnsi="Times New Roman" w:cs="Times New Roman"/>
                <w:b/>
                <w:sz w:val="22"/>
                <w:szCs w:val="22"/>
                <w:lang w:val="en-AU"/>
              </w:rPr>
              <w:t>6</w:t>
            </w:r>
          </w:p>
        </w:tc>
        <w:tc>
          <w:tcPr>
            <w:tcW w:w="0" w:type="auto"/>
            <w:tcBorders>
              <w:top w:val="single" w:sz="6" w:space="0" w:color="A6A6A6"/>
            </w:tcBorders>
            <w:shd w:val="clear" w:color="auto" w:fill="auto"/>
            <w:tcMar>
              <w:top w:w="120" w:type="dxa"/>
              <w:left w:w="120" w:type="dxa"/>
              <w:bottom w:w="120" w:type="dxa"/>
              <w:right w:w="120" w:type="dxa"/>
            </w:tcMar>
            <w:vAlign w:val="center"/>
            <w:hideMark/>
          </w:tcPr>
          <w:p w14:paraId="1B748B5D" w14:textId="77777777" w:rsidR="00C00201" w:rsidRPr="000E79AA" w:rsidRDefault="00C00201"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.0</w:t>
            </w:r>
            <w:r w:rsidR="00CE596E" w:rsidRPr="000E79AA">
              <w:rPr>
                <w:rFonts w:ascii="Times New Roman" w:hAnsi="Times New Roman" w:cs="Times New Roman"/>
                <w:b/>
                <w:sz w:val="22"/>
                <w:szCs w:val="22"/>
                <w:lang w:val="en-AU"/>
              </w:rPr>
              <w:t>15</w:t>
            </w:r>
          </w:p>
        </w:tc>
      </w:tr>
      <w:tr w:rsidR="00C00201" w:rsidRPr="000E79AA" w14:paraId="32A4CC1B" w14:textId="77777777" w:rsidTr="007F3374">
        <w:tc>
          <w:tcPr>
            <w:tcW w:w="2344" w:type="dxa"/>
            <w:vMerge/>
            <w:shd w:val="clear" w:color="auto" w:fill="auto"/>
            <w:tcMar>
              <w:top w:w="120" w:type="dxa"/>
              <w:left w:w="120" w:type="dxa"/>
              <w:bottom w:w="120" w:type="dxa"/>
              <w:right w:w="120" w:type="dxa"/>
            </w:tcMar>
            <w:vAlign w:val="center"/>
          </w:tcPr>
          <w:p w14:paraId="35BA3A27"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tcPr>
          <w:p w14:paraId="4455ADFA"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 xml:space="preserve">Attention </w:t>
            </w:r>
            <w:r w:rsidRPr="000E79AA">
              <w:rPr>
                <w:rFonts w:ascii="Times New Roman" w:hAnsi="Times New Roman" w:cs="Times New Roman"/>
                <w:sz w:val="22"/>
                <w:szCs w:val="22"/>
                <w:lang w:val="en-AU"/>
              </w:rPr>
              <w:br/>
            </w:r>
            <w:r w:rsidR="004E671C" w:rsidRPr="000E79AA">
              <w:rPr>
                <w:rFonts w:ascii="Times New Roman" w:hAnsi="Times New Roman" w:cs="Times New Roman"/>
                <w:sz w:val="22"/>
                <w:szCs w:val="22"/>
                <w:lang w:val="en-AU"/>
              </w:rPr>
              <w:t xml:space="preserve">&amp; </w:t>
            </w:r>
            <w:r w:rsidRPr="000E79AA">
              <w:rPr>
                <w:rFonts w:ascii="Times New Roman" w:hAnsi="Times New Roman" w:cs="Times New Roman"/>
                <w:sz w:val="22"/>
                <w:szCs w:val="22"/>
                <w:lang w:val="en-AU"/>
              </w:rPr>
              <w:t>Orientation</w:t>
            </w:r>
          </w:p>
        </w:tc>
        <w:tc>
          <w:tcPr>
            <w:tcW w:w="1507" w:type="dxa"/>
            <w:shd w:val="clear" w:color="auto" w:fill="auto"/>
            <w:tcMar>
              <w:top w:w="120" w:type="dxa"/>
              <w:left w:w="120" w:type="dxa"/>
              <w:bottom w:w="120" w:type="dxa"/>
              <w:right w:w="120" w:type="dxa"/>
            </w:tcMar>
            <w:vAlign w:val="center"/>
          </w:tcPr>
          <w:p w14:paraId="2600386C"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17.8</w:t>
            </w:r>
            <w:r w:rsidR="00CE596E" w:rsidRPr="000E79AA">
              <w:rPr>
                <w:rFonts w:ascii="Times New Roman" w:hAnsi="Times New Roman" w:cs="Times New Roman"/>
                <w:sz w:val="22"/>
                <w:szCs w:val="22"/>
                <w:lang w:val="en-AU"/>
              </w:rPr>
              <w:t>4</w:t>
            </w:r>
            <w:r w:rsidRPr="000E79AA">
              <w:rPr>
                <w:rFonts w:ascii="Times New Roman" w:hAnsi="Times New Roman" w:cs="Times New Roman"/>
                <w:sz w:val="22"/>
                <w:szCs w:val="22"/>
                <w:lang w:val="en-AU"/>
              </w:rPr>
              <w:t xml:space="preserve"> (0.3</w:t>
            </w:r>
            <w:r w:rsidR="00CE596E" w:rsidRPr="000E79AA">
              <w:rPr>
                <w:rFonts w:ascii="Times New Roman" w:hAnsi="Times New Roman" w:cs="Times New Roman"/>
                <w:sz w:val="22"/>
                <w:szCs w:val="22"/>
                <w:lang w:val="en-AU"/>
              </w:rPr>
              <w:t>7</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tcPr>
          <w:p w14:paraId="7181509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17.9</w:t>
            </w:r>
            <w:r w:rsidR="00CE596E" w:rsidRPr="000E79AA">
              <w:rPr>
                <w:rFonts w:ascii="Times New Roman" w:hAnsi="Times New Roman" w:cs="Times New Roman"/>
                <w:sz w:val="22"/>
                <w:szCs w:val="22"/>
                <w:lang w:val="en-AU"/>
              </w:rPr>
              <w:t>6</w:t>
            </w:r>
            <w:r w:rsidRPr="000E79AA">
              <w:rPr>
                <w:rFonts w:ascii="Times New Roman" w:hAnsi="Times New Roman" w:cs="Times New Roman"/>
                <w:sz w:val="22"/>
                <w:szCs w:val="22"/>
                <w:lang w:val="en-AU"/>
              </w:rPr>
              <w:t xml:space="preserve"> (0.2</w:t>
            </w:r>
            <w:r w:rsidR="00CE596E" w:rsidRPr="000E79AA">
              <w:rPr>
                <w:rFonts w:ascii="Times New Roman" w:hAnsi="Times New Roman" w:cs="Times New Roman"/>
                <w:sz w:val="22"/>
                <w:szCs w:val="22"/>
                <w:lang w:val="en-AU"/>
              </w:rPr>
              <w:t>0</w:t>
            </w:r>
            <w:r w:rsidRPr="000E79AA">
              <w:rPr>
                <w:rFonts w:ascii="Times New Roman" w:hAnsi="Times New Roman" w:cs="Times New Roman"/>
                <w:sz w:val="22"/>
                <w:szCs w:val="22"/>
                <w:lang w:val="en-AU"/>
              </w:rPr>
              <w:t>)</w:t>
            </w:r>
          </w:p>
        </w:tc>
        <w:tc>
          <w:tcPr>
            <w:tcW w:w="662" w:type="dxa"/>
            <w:shd w:val="clear" w:color="auto" w:fill="auto"/>
            <w:tcMar>
              <w:top w:w="120" w:type="dxa"/>
              <w:left w:w="120" w:type="dxa"/>
              <w:bottom w:w="120" w:type="dxa"/>
              <w:right w:w="120" w:type="dxa"/>
            </w:tcMar>
            <w:vAlign w:val="center"/>
          </w:tcPr>
          <w:p w14:paraId="08FD840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w:t>
            </w:r>
            <w:r w:rsidR="00CE596E" w:rsidRPr="000E79AA">
              <w:rPr>
                <w:rFonts w:ascii="Times New Roman" w:hAnsi="Times New Roman" w:cs="Times New Roman"/>
                <w:sz w:val="22"/>
                <w:szCs w:val="22"/>
                <w:lang w:val="en-AU"/>
              </w:rPr>
              <w:t>64</w:t>
            </w:r>
          </w:p>
        </w:tc>
        <w:tc>
          <w:tcPr>
            <w:tcW w:w="0" w:type="auto"/>
            <w:shd w:val="clear" w:color="auto" w:fill="auto"/>
            <w:tcMar>
              <w:top w:w="120" w:type="dxa"/>
              <w:left w:w="120" w:type="dxa"/>
              <w:bottom w:w="120" w:type="dxa"/>
              <w:right w:w="120" w:type="dxa"/>
            </w:tcMar>
            <w:vAlign w:val="center"/>
          </w:tcPr>
          <w:p w14:paraId="00BECC00"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.21</w:t>
            </w:r>
            <w:r w:rsidR="00CE596E" w:rsidRPr="000E79AA">
              <w:rPr>
                <w:rFonts w:ascii="Times New Roman" w:hAnsi="Times New Roman" w:cs="Times New Roman"/>
                <w:sz w:val="22"/>
                <w:szCs w:val="22"/>
                <w:lang w:val="en-AU"/>
              </w:rPr>
              <w:t>6</w:t>
            </w:r>
          </w:p>
        </w:tc>
      </w:tr>
      <w:tr w:rsidR="00C00201" w:rsidRPr="000E79AA" w14:paraId="5F5BFCB2" w14:textId="77777777" w:rsidTr="007F3374">
        <w:tc>
          <w:tcPr>
            <w:tcW w:w="2344" w:type="dxa"/>
            <w:vMerge/>
            <w:shd w:val="clear" w:color="auto" w:fill="auto"/>
            <w:tcMar>
              <w:top w:w="120" w:type="dxa"/>
              <w:left w:w="120" w:type="dxa"/>
              <w:bottom w:w="120" w:type="dxa"/>
              <w:right w:w="120" w:type="dxa"/>
            </w:tcMar>
            <w:vAlign w:val="center"/>
          </w:tcPr>
          <w:p w14:paraId="7736F2CF"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tcPr>
          <w:p w14:paraId="120DF41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Memory</w:t>
            </w:r>
          </w:p>
        </w:tc>
        <w:tc>
          <w:tcPr>
            <w:tcW w:w="1507" w:type="dxa"/>
            <w:shd w:val="clear" w:color="auto" w:fill="auto"/>
            <w:tcMar>
              <w:top w:w="120" w:type="dxa"/>
              <w:left w:w="120" w:type="dxa"/>
              <w:bottom w:w="120" w:type="dxa"/>
              <w:right w:w="120" w:type="dxa"/>
            </w:tcMar>
            <w:vAlign w:val="center"/>
          </w:tcPr>
          <w:p w14:paraId="3C59BC0C"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23.6</w:t>
            </w:r>
            <w:r w:rsidR="00CE596E" w:rsidRPr="000E79AA">
              <w:rPr>
                <w:rFonts w:ascii="Times New Roman" w:hAnsi="Times New Roman" w:cs="Times New Roman"/>
                <w:sz w:val="22"/>
                <w:szCs w:val="22"/>
                <w:lang w:val="en-AU"/>
              </w:rPr>
              <w:t>8</w:t>
            </w:r>
            <w:r w:rsidRPr="000E79AA">
              <w:rPr>
                <w:rFonts w:ascii="Times New Roman" w:hAnsi="Times New Roman" w:cs="Times New Roman"/>
                <w:sz w:val="22"/>
                <w:szCs w:val="22"/>
                <w:lang w:val="en-AU"/>
              </w:rPr>
              <w:t xml:space="preserve"> (</w:t>
            </w:r>
            <w:r w:rsidR="00CE596E"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w:t>
            </w:r>
            <w:r w:rsidR="00CE596E" w:rsidRPr="000E79AA">
              <w:rPr>
                <w:rFonts w:ascii="Times New Roman" w:hAnsi="Times New Roman" w:cs="Times New Roman"/>
                <w:sz w:val="22"/>
                <w:szCs w:val="22"/>
                <w:lang w:val="en-AU"/>
              </w:rPr>
              <w:t>97</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tcPr>
          <w:p w14:paraId="598FD9D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25.0</w:t>
            </w:r>
            <w:r w:rsidR="00CE596E" w:rsidRPr="000E79AA">
              <w:rPr>
                <w:rFonts w:ascii="Times New Roman" w:hAnsi="Times New Roman" w:cs="Times New Roman"/>
                <w:sz w:val="22"/>
                <w:szCs w:val="22"/>
                <w:lang w:val="en-AU"/>
              </w:rPr>
              <w:t>4</w:t>
            </w:r>
            <w:r w:rsidRPr="000E79AA">
              <w:rPr>
                <w:rFonts w:ascii="Times New Roman" w:hAnsi="Times New Roman" w:cs="Times New Roman"/>
                <w:sz w:val="22"/>
                <w:szCs w:val="22"/>
                <w:lang w:val="en-AU"/>
              </w:rPr>
              <w:t xml:space="preserve"> (1.1</w:t>
            </w:r>
            <w:r w:rsidR="00CE596E" w:rsidRPr="000E79AA">
              <w:rPr>
                <w:rFonts w:ascii="Times New Roman" w:hAnsi="Times New Roman" w:cs="Times New Roman"/>
                <w:sz w:val="22"/>
                <w:szCs w:val="22"/>
                <w:lang w:val="en-AU"/>
              </w:rPr>
              <w:t>8</w:t>
            </w:r>
            <w:r w:rsidRPr="000E79AA">
              <w:rPr>
                <w:rFonts w:ascii="Times New Roman" w:hAnsi="Times New Roman" w:cs="Times New Roman"/>
                <w:sz w:val="22"/>
                <w:szCs w:val="22"/>
                <w:lang w:val="en-AU"/>
              </w:rPr>
              <w:t>)</w:t>
            </w:r>
          </w:p>
        </w:tc>
        <w:tc>
          <w:tcPr>
            <w:tcW w:w="662" w:type="dxa"/>
            <w:shd w:val="clear" w:color="auto" w:fill="auto"/>
            <w:tcMar>
              <w:top w:w="120" w:type="dxa"/>
              <w:left w:w="120" w:type="dxa"/>
              <w:bottom w:w="120" w:type="dxa"/>
              <w:right w:w="120" w:type="dxa"/>
            </w:tcMar>
            <w:vAlign w:val="center"/>
          </w:tcPr>
          <w:p w14:paraId="7EA52A3A" w14:textId="77777777" w:rsidR="00C00201" w:rsidRPr="000E79AA" w:rsidRDefault="00CE596E"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7</w:t>
            </w:r>
            <w:r w:rsidR="00C00201" w:rsidRPr="000E79AA">
              <w:rPr>
                <w:rFonts w:ascii="Times New Roman" w:hAnsi="Times New Roman" w:cs="Times New Roman"/>
                <w:b/>
                <w:sz w:val="22"/>
                <w:szCs w:val="22"/>
                <w:lang w:val="en-AU"/>
              </w:rPr>
              <w:t>.</w:t>
            </w:r>
            <w:r w:rsidRPr="000E79AA">
              <w:rPr>
                <w:rFonts w:ascii="Times New Roman" w:hAnsi="Times New Roman" w:cs="Times New Roman"/>
                <w:b/>
                <w:sz w:val="22"/>
                <w:szCs w:val="22"/>
                <w:lang w:val="en-AU"/>
              </w:rPr>
              <w:t>00</w:t>
            </w:r>
          </w:p>
        </w:tc>
        <w:tc>
          <w:tcPr>
            <w:tcW w:w="0" w:type="auto"/>
            <w:shd w:val="clear" w:color="auto" w:fill="auto"/>
            <w:tcMar>
              <w:top w:w="120" w:type="dxa"/>
              <w:left w:w="120" w:type="dxa"/>
              <w:bottom w:w="120" w:type="dxa"/>
              <w:right w:w="120" w:type="dxa"/>
            </w:tcMar>
            <w:vAlign w:val="center"/>
          </w:tcPr>
          <w:p w14:paraId="2151EF74" w14:textId="77777777" w:rsidR="00C00201" w:rsidRPr="000E79AA" w:rsidRDefault="00C00201" w:rsidP="004E671C">
            <w:pPr>
              <w:jc w:val="both"/>
              <w:rPr>
                <w:rFonts w:ascii="Times New Roman" w:hAnsi="Times New Roman" w:cs="Times New Roman"/>
                <w:b/>
                <w:sz w:val="22"/>
                <w:szCs w:val="22"/>
                <w:lang w:val="en-AU"/>
              </w:rPr>
            </w:pPr>
            <w:r w:rsidRPr="000E79AA">
              <w:rPr>
                <w:rFonts w:ascii="Times New Roman" w:hAnsi="Times New Roman" w:cs="Times New Roman"/>
                <w:b/>
                <w:sz w:val="22"/>
                <w:szCs w:val="22"/>
                <w:lang w:val="en-AU"/>
              </w:rPr>
              <w:t>.01</w:t>
            </w:r>
            <w:r w:rsidR="00CE596E" w:rsidRPr="000E79AA">
              <w:rPr>
                <w:rFonts w:ascii="Times New Roman" w:hAnsi="Times New Roman" w:cs="Times New Roman"/>
                <w:b/>
                <w:sz w:val="22"/>
                <w:szCs w:val="22"/>
                <w:lang w:val="en-AU"/>
              </w:rPr>
              <w:t>3</w:t>
            </w:r>
          </w:p>
        </w:tc>
      </w:tr>
      <w:tr w:rsidR="00C00201" w:rsidRPr="000E79AA" w14:paraId="3AAC0BC2" w14:textId="77777777" w:rsidTr="007F3374">
        <w:tc>
          <w:tcPr>
            <w:tcW w:w="2344" w:type="dxa"/>
            <w:vMerge/>
            <w:shd w:val="clear" w:color="auto" w:fill="auto"/>
            <w:vAlign w:val="center"/>
            <w:hideMark/>
          </w:tcPr>
          <w:p w14:paraId="66FA2469"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hideMark/>
          </w:tcPr>
          <w:p w14:paraId="2553B1A1"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Fluency</w:t>
            </w:r>
          </w:p>
        </w:tc>
        <w:tc>
          <w:tcPr>
            <w:tcW w:w="1507" w:type="dxa"/>
            <w:shd w:val="clear" w:color="auto" w:fill="auto"/>
            <w:tcMar>
              <w:top w:w="120" w:type="dxa"/>
              <w:left w:w="120" w:type="dxa"/>
              <w:bottom w:w="120" w:type="dxa"/>
              <w:right w:w="120" w:type="dxa"/>
            </w:tcMar>
            <w:vAlign w:val="center"/>
            <w:hideMark/>
          </w:tcPr>
          <w:p w14:paraId="16D22D0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12.</w:t>
            </w:r>
            <w:r w:rsidR="00CE596E" w:rsidRPr="000E79AA">
              <w:rPr>
                <w:rFonts w:ascii="Times New Roman" w:hAnsi="Times New Roman" w:cs="Times New Roman"/>
                <w:sz w:val="22"/>
                <w:szCs w:val="22"/>
                <w:lang w:val="en-AU"/>
              </w:rPr>
              <w:t>00</w:t>
            </w:r>
            <w:r w:rsidRPr="000E79AA">
              <w:rPr>
                <w:rFonts w:ascii="Times New Roman" w:hAnsi="Times New Roman" w:cs="Times New Roman"/>
                <w:sz w:val="22"/>
                <w:szCs w:val="22"/>
                <w:lang w:val="en-AU"/>
              </w:rPr>
              <w:t xml:space="preserve"> (</w:t>
            </w:r>
            <w:r w:rsidR="00CE596E" w:rsidRPr="000E79AA">
              <w:rPr>
                <w:rFonts w:ascii="Times New Roman" w:hAnsi="Times New Roman" w:cs="Times New Roman"/>
                <w:sz w:val="22"/>
                <w:szCs w:val="22"/>
                <w:lang w:val="en-AU"/>
              </w:rPr>
              <w:t>2</w:t>
            </w:r>
            <w:r w:rsidRPr="000E79AA">
              <w:rPr>
                <w:rFonts w:ascii="Times New Roman" w:hAnsi="Times New Roman" w:cs="Times New Roman"/>
                <w:sz w:val="22"/>
                <w:szCs w:val="22"/>
                <w:lang w:val="en-AU"/>
              </w:rPr>
              <w:t>.</w:t>
            </w:r>
            <w:r w:rsidR="00CE596E" w:rsidRPr="000E79AA">
              <w:rPr>
                <w:rFonts w:ascii="Times New Roman" w:hAnsi="Times New Roman" w:cs="Times New Roman"/>
                <w:sz w:val="22"/>
                <w:szCs w:val="22"/>
                <w:lang w:val="en-AU"/>
              </w:rPr>
              <w:t>08</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hideMark/>
          </w:tcPr>
          <w:p w14:paraId="18164095"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12.8</w:t>
            </w:r>
            <w:r w:rsidR="00CE596E"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 xml:space="preserve"> (1.6</w:t>
            </w:r>
            <w:r w:rsidR="00CE596E" w:rsidRPr="000E79AA">
              <w:rPr>
                <w:rFonts w:ascii="Times New Roman" w:hAnsi="Times New Roman" w:cs="Times New Roman"/>
                <w:sz w:val="22"/>
                <w:szCs w:val="22"/>
                <w:lang w:val="en-AU"/>
              </w:rPr>
              <w:t>0</w:t>
            </w:r>
            <w:r w:rsidRPr="000E79AA">
              <w:rPr>
                <w:rFonts w:ascii="Times New Roman" w:hAnsi="Times New Roman" w:cs="Times New Roman"/>
                <w:sz w:val="22"/>
                <w:szCs w:val="22"/>
                <w:lang w:val="en-AU"/>
              </w:rPr>
              <w:t>)</w:t>
            </w:r>
          </w:p>
        </w:tc>
        <w:tc>
          <w:tcPr>
            <w:tcW w:w="662" w:type="dxa"/>
            <w:shd w:val="clear" w:color="auto" w:fill="auto"/>
            <w:tcMar>
              <w:top w:w="120" w:type="dxa"/>
              <w:left w:w="120" w:type="dxa"/>
              <w:bottom w:w="120" w:type="dxa"/>
              <w:right w:w="120" w:type="dxa"/>
            </w:tcMar>
            <w:vAlign w:val="center"/>
            <w:hideMark/>
          </w:tcPr>
          <w:p w14:paraId="28B86235"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w:t>
            </w:r>
            <w:r w:rsidR="00CE596E" w:rsidRPr="000E79AA">
              <w:rPr>
                <w:rFonts w:ascii="Times New Roman" w:hAnsi="Times New Roman" w:cs="Times New Roman"/>
                <w:sz w:val="22"/>
                <w:szCs w:val="22"/>
                <w:lang w:val="en-AU"/>
              </w:rPr>
              <w:t>7</w:t>
            </w:r>
            <w:r w:rsidRPr="000E79AA">
              <w:rPr>
                <w:rFonts w:ascii="Times New Roman" w:hAnsi="Times New Roman" w:cs="Times New Roman"/>
                <w:sz w:val="22"/>
                <w:szCs w:val="22"/>
                <w:lang w:val="en-AU"/>
              </w:rPr>
              <w:t>1</w:t>
            </w:r>
          </w:p>
        </w:tc>
        <w:tc>
          <w:tcPr>
            <w:tcW w:w="0" w:type="auto"/>
            <w:shd w:val="clear" w:color="auto" w:fill="auto"/>
            <w:tcMar>
              <w:top w:w="120" w:type="dxa"/>
              <w:left w:w="120" w:type="dxa"/>
              <w:bottom w:w="120" w:type="dxa"/>
              <w:right w:w="120" w:type="dxa"/>
            </w:tcMar>
            <w:vAlign w:val="center"/>
            <w:hideMark/>
          </w:tcPr>
          <w:p w14:paraId="449C4912"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w:t>
            </w:r>
            <w:r w:rsidR="00CE596E" w:rsidRPr="000E79AA">
              <w:rPr>
                <w:rFonts w:ascii="Times New Roman" w:hAnsi="Times New Roman" w:cs="Times New Roman"/>
                <w:sz w:val="22"/>
                <w:szCs w:val="22"/>
                <w:lang w:val="en-AU"/>
              </w:rPr>
              <w:t>167</w:t>
            </w:r>
          </w:p>
        </w:tc>
      </w:tr>
      <w:tr w:rsidR="00C00201" w:rsidRPr="000E79AA" w14:paraId="0FE0DF13" w14:textId="77777777" w:rsidTr="007F3374">
        <w:tc>
          <w:tcPr>
            <w:tcW w:w="2344" w:type="dxa"/>
            <w:vMerge/>
            <w:shd w:val="clear" w:color="auto" w:fill="auto"/>
            <w:vAlign w:val="center"/>
            <w:hideMark/>
          </w:tcPr>
          <w:p w14:paraId="754BF19B"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hideMark/>
          </w:tcPr>
          <w:p w14:paraId="7D80C93B"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Language</w:t>
            </w:r>
          </w:p>
        </w:tc>
        <w:tc>
          <w:tcPr>
            <w:tcW w:w="1507" w:type="dxa"/>
            <w:shd w:val="clear" w:color="auto" w:fill="auto"/>
            <w:tcMar>
              <w:top w:w="120" w:type="dxa"/>
              <w:left w:w="120" w:type="dxa"/>
              <w:bottom w:w="120" w:type="dxa"/>
              <w:right w:w="120" w:type="dxa"/>
            </w:tcMar>
            <w:vAlign w:val="center"/>
            <w:hideMark/>
          </w:tcPr>
          <w:p w14:paraId="50B4DB70"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25.8</w:t>
            </w:r>
            <w:r w:rsidR="00DE6787" w:rsidRPr="000E79AA">
              <w:rPr>
                <w:rFonts w:ascii="Times New Roman" w:hAnsi="Times New Roman" w:cs="Times New Roman"/>
                <w:sz w:val="22"/>
                <w:szCs w:val="22"/>
                <w:lang w:val="en-AU"/>
              </w:rPr>
              <w:t>4</w:t>
            </w:r>
            <w:r w:rsidRPr="000E79AA">
              <w:rPr>
                <w:rFonts w:ascii="Times New Roman" w:hAnsi="Times New Roman" w:cs="Times New Roman"/>
                <w:sz w:val="22"/>
                <w:szCs w:val="22"/>
                <w:lang w:val="en-AU"/>
              </w:rPr>
              <w:t xml:space="preserve"> (0.5</w:t>
            </w:r>
            <w:r w:rsidR="00DE6787" w:rsidRPr="000E79AA">
              <w:rPr>
                <w:rFonts w:ascii="Times New Roman" w:hAnsi="Times New Roman" w:cs="Times New Roman"/>
                <w:sz w:val="22"/>
                <w:szCs w:val="22"/>
                <w:lang w:val="en-AU"/>
              </w:rPr>
              <w:t>0</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hideMark/>
          </w:tcPr>
          <w:p w14:paraId="45532D0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25.</w:t>
            </w:r>
            <w:r w:rsidR="00DE6787" w:rsidRPr="000E79AA">
              <w:rPr>
                <w:rFonts w:ascii="Times New Roman" w:hAnsi="Times New Roman" w:cs="Times New Roman"/>
                <w:sz w:val="22"/>
                <w:szCs w:val="22"/>
                <w:lang w:val="en-AU"/>
              </w:rPr>
              <w:t>88</w:t>
            </w:r>
            <w:r w:rsidRPr="000E79AA">
              <w:rPr>
                <w:rFonts w:ascii="Times New Roman" w:hAnsi="Times New Roman" w:cs="Times New Roman"/>
                <w:sz w:val="22"/>
                <w:szCs w:val="22"/>
                <w:lang w:val="en-AU"/>
              </w:rPr>
              <w:t xml:space="preserve"> (0.4</w:t>
            </w:r>
            <w:r w:rsidR="00DE6787" w:rsidRPr="000E79AA">
              <w:rPr>
                <w:rFonts w:ascii="Times New Roman" w:hAnsi="Times New Roman" w:cs="Times New Roman"/>
                <w:sz w:val="22"/>
                <w:szCs w:val="22"/>
                <w:lang w:val="en-AU"/>
              </w:rPr>
              <w:t>3</w:t>
            </w:r>
            <w:r w:rsidRPr="000E79AA">
              <w:rPr>
                <w:rFonts w:ascii="Times New Roman" w:hAnsi="Times New Roman" w:cs="Times New Roman"/>
                <w:sz w:val="22"/>
                <w:szCs w:val="22"/>
                <w:lang w:val="en-AU"/>
              </w:rPr>
              <w:t>)</w:t>
            </w:r>
          </w:p>
        </w:tc>
        <w:tc>
          <w:tcPr>
            <w:tcW w:w="662" w:type="dxa"/>
            <w:shd w:val="clear" w:color="auto" w:fill="auto"/>
            <w:tcMar>
              <w:top w:w="120" w:type="dxa"/>
              <w:left w:w="120" w:type="dxa"/>
              <w:bottom w:w="120" w:type="dxa"/>
              <w:right w:w="120" w:type="dxa"/>
            </w:tcMar>
            <w:vAlign w:val="center"/>
            <w:hideMark/>
          </w:tcPr>
          <w:p w14:paraId="22F3617A"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0.3</w:t>
            </w:r>
            <w:r w:rsidR="00DE6787" w:rsidRPr="000E79AA">
              <w:rPr>
                <w:rFonts w:ascii="Times New Roman" w:hAnsi="Times New Roman" w:cs="Times New Roman"/>
                <w:sz w:val="22"/>
                <w:szCs w:val="22"/>
                <w:lang w:val="en-AU"/>
              </w:rPr>
              <w:t>1</w:t>
            </w:r>
          </w:p>
        </w:tc>
        <w:tc>
          <w:tcPr>
            <w:tcW w:w="0" w:type="auto"/>
            <w:shd w:val="clear" w:color="auto" w:fill="auto"/>
            <w:tcMar>
              <w:top w:w="120" w:type="dxa"/>
              <w:left w:w="120" w:type="dxa"/>
              <w:bottom w:w="120" w:type="dxa"/>
              <w:right w:w="120" w:type="dxa"/>
            </w:tcMar>
            <w:vAlign w:val="center"/>
            <w:hideMark/>
          </w:tcPr>
          <w:p w14:paraId="6DEF496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w:t>
            </w:r>
            <w:r w:rsidR="00DE6787" w:rsidRPr="000E79AA">
              <w:rPr>
                <w:rFonts w:ascii="Times New Roman" w:hAnsi="Times New Roman" w:cs="Times New Roman"/>
                <w:sz w:val="22"/>
                <w:szCs w:val="22"/>
                <w:lang w:val="en-AU"/>
              </w:rPr>
              <w:t>768</w:t>
            </w:r>
          </w:p>
        </w:tc>
      </w:tr>
      <w:tr w:rsidR="00C00201" w:rsidRPr="000E79AA" w14:paraId="7CE4EF56" w14:textId="77777777" w:rsidTr="007F3374">
        <w:tc>
          <w:tcPr>
            <w:tcW w:w="2344" w:type="dxa"/>
            <w:vMerge/>
            <w:tcBorders>
              <w:bottom w:val="single" w:sz="6" w:space="0" w:color="A6A6A6"/>
            </w:tcBorders>
            <w:shd w:val="clear" w:color="auto" w:fill="auto"/>
            <w:vAlign w:val="center"/>
            <w:hideMark/>
          </w:tcPr>
          <w:p w14:paraId="40DA94C6" w14:textId="77777777" w:rsidR="00C00201" w:rsidRPr="000E79AA" w:rsidRDefault="00C00201" w:rsidP="004E671C">
            <w:pPr>
              <w:jc w:val="both"/>
              <w:rPr>
                <w:rFonts w:ascii="Times New Roman" w:hAnsi="Times New Roman" w:cs="Times New Roman"/>
                <w:sz w:val="22"/>
                <w:szCs w:val="22"/>
                <w:lang w:val="en-AU"/>
              </w:rPr>
            </w:pPr>
          </w:p>
        </w:tc>
        <w:tc>
          <w:tcPr>
            <w:tcW w:w="2477" w:type="dxa"/>
            <w:tcBorders>
              <w:bottom w:val="single" w:sz="6" w:space="0" w:color="A6A6A6"/>
            </w:tcBorders>
            <w:shd w:val="clear" w:color="auto" w:fill="auto"/>
            <w:tcMar>
              <w:top w:w="120" w:type="dxa"/>
              <w:left w:w="120" w:type="dxa"/>
              <w:bottom w:w="120" w:type="dxa"/>
              <w:right w:w="120" w:type="dxa"/>
            </w:tcMar>
            <w:vAlign w:val="center"/>
            <w:hideMark/>
          </w:tcPr>
          <w:p w14:paraId="1C8A449A"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Visuospatial</w:t>
            </w:r>
          </w:p>
        </w:tc>
        <w:tc>
          <w:tcPr>
            <w:tcW w:w="1507" w:type="dxa"/>
            <w:tcBorders>
              <w:bottom w:val="single" w:sz="6" w:space="0" w:color="A6A6A6"/>
            </w:tcBorders>
            <w:shd w:val="clear" w:color="auto" w:fill="auto"/>
            <w:tcMar>
              <w:top w:w="120" w:type="dxa"/>
              <w:left w:w="120" w:type="dxa"/>
              <w:bottom w:w="120" w:type="dxa"/>
              <w:right w:w="120" w:type="dxa"/>
            </w:tcMar>
            <w:vAlign w:val="center"/>
            <w:hideMark/>
          </w:tcPr>
          <w:p w14:paraId="7F76852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15.6</w:t>
            </w:r>
            <w:r w:rsidR="006E40E6" w:rsidRPr="000E79AA">
              <w:rPr>
                <w:rFonts w:ascii="Times New Roman" w:hAnsi="Times New Roman" w:cs="Times New Roman"/>
                <w:sz w:val="22"/>
                <w:szCs w:val="22"/>
                <w:lang w:val="en-AU"/>
              </w:rPr>
              <w:t>3</w:t>
            </w:r>
            <w:r w:rsidRPr="000E79AA">
              <w:rPr>
                <w:rFonts w:ascii="Times New Roman" w:hAnsi="Times New Roman" w:cs="Times New Roman"/>
                <w:sz w:val="22"/>
                <w:szCs w:val="22"/>
                <w:lang w:val="en-AU"/>
              </w:rPr>
              <w:t xml:space="preserve"> (0.</w:t>
            </w:r>
            <w:r w:rsidR="006E40E6" w:rsidRPr="000E79AA">
              <w:rPr>
                <w:rFonts w:ascii="Times New Roman" w:hAnsi="Times New Roman" w:cs="Times New Roman"/>
                <w:sz w:val="22"/>
                <w:szCs w:val="22"/>
                <w:lang w:val="en-AU"/>
              </w:rPr>
              <w:t>50</w:t>
            </w:r>
            <w:r w:rsidRPr="000E79AA">
              <w:rPr>
                <w:rFonts w:ascii="Times New Roman" w:hAnsi="Times New Roman" w:cs="Times New Roman"/>
                <w:sz w:val="22"/>
                <w:szCs w:val="22"/>
                <w:lang w:val="en-AU"/>
              </w:rPr>
              <w:t>)</w:t>
            </w:r>
          </w:p>
        </w:tc>
        <w:tc>
          <w:tcPr>
            <w:tcW w:w="1401" w:type="dxa"/>
            <w:tcBorders>
              <w:bottom w:val="single" w:sz="6" w:space="0" w:color="A6A6A6"/>
            </w:tcBorders>
            <w:shd w:val="clear" w:color="auto" w:fill="auto"/>
            <w:tcMar>
              <w:top w:w="120" w:type="dxa"/>
              <w:left w:w="120" w:type="dxa"/>
              <w:bottom w:w="120" w:type="dxa"/>
              <w:right w:w="120" w:type="dxa"/>
            </w:tcMar>
            <w:vAlign w:val="center"/>
            <w:hideMark/>
          </w:tcPr>
          <w:p w14:paraId="00DF5F19"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15.8</w:t>
            </w:r>
            <w:r w:rsidR="006E40E6"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 xml:space="preserve"> (0.</w:t>
            </w:r>
            <w:r w:rsidR="006E40E6" w:rsidRPr="000E79AA">
              <w:rPr>
                <w:rFonts w:ascii="Times New Roman" w:hAnsi="Times New Roman" w:cs="Times New Roman"/>
                <w:sz w:val="22"/>
                <w:szCs w:val="22"/>
                <w:lang w:val="en-AU"/>
              </w:rPr>
              <w:t>63</w:t>
            </w:r>
            <w:r w:rsidRPr="000E79AA">
              <w:rPr>
                <w:rFonts w:ascii="Times New Roman" w:hAnsi="Times New Roman" w:cs="Times New Roman"/>
                <w:sz w:val="22"/>
                <w:szCs w:val="22"/>
                <w:lang w:val="en-AU"/>
              </w:rPr>
              <w:t>)</w:t>
            </w:r>
          </w:p>
        </w:tc>
        <w:tc>
          <w:tcPr>
            <w:tcW w:w="662" w:type="dxa"/>
            <w:tcBorders>
              <w:bottom w:val="single" w:sz="6" w:space="0" w:color="A6A6A6"/>
            </w:tcBorders>
            <w:shd w:val="clear" w:color="auto" w:fill="auto"/>
            <w:tcMar>
              <w:top w:w="120" w:type="dxa"/>
              <w:left w:w="120" w:type="dxa"/>
              <w:bottom w:w="120" w:type="dxa"/>
              <w:right w:w="120" w:type="dxa"/>
            </w:tcMar>
            <w:vAlign w:val="center"/>
            <w:hideMark/>
          </w:tcPr>
          <w:p w14:paraId="144FF67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0.4</w:t>
            </w:r>
            <w:r w:rsidR="006E40E6" w:rsidRPr="000E79AA">
              <w:rPr>
                <w:rFonts w:ascii="Times New Roman" w:hAnsi="Times New Roman" w:cs="Times New Roman"/>
                <w:sz w:val="22"/>
                <w:szCs w:val="22"/>
                <w:lang w:val="en-AU"/>
              </w:rPr>
              <w:t>5</w:t>
            </w:r>
          </w:p>
        </w:tc>
        <w:tc>
          <w:tcPr>
            <w:tcW w:w="0" w:type="auto"/>
            <w:tcBorders>
              <w:bottom w:val="single" w:sz="6" w:space="0" w:color="A6A6A6"/>
            </w:tcBorders>
            <w:shd w:val="clear" w:color="auto" w:fill="auto"/>
            <w:tcMar>
              <w:top w:w="120" w:type="dxa"/>
              <w:left w:w="120" w:type="dxa"/>
              <w:bottom w:w="120" w:type="dxa"/>
              <w:right w:w="120" w:type="dxa"/>
            </w:tcMar>
            <w:vAlign w:val="center"/>
            <w:hideMark/>
          </w:tcPr>
          <w:p w14:paraId="5AAEBF12"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w:t>
            </w:r>
            <w:r w:rsidR="006E40E6" w:rsidRPr="000E79AA">
              <w:rPr>
                <w:rFonts w:ascii="Times New Roman" w:hAnsi="Times New Roman" w:cs="Times New Roman"/>
                <w:sz w:val="22"/>
                <w:szCs w:val="22"/>
                <w:lang w:val="en-AU"/>
              </w:rPr>
              <w:t>302</w:t>
            </w:r>
          </w:p>
        </w:tc>
      </w:tr>
      <w:tr w:rsidR="00C00201" w:rsidRPr="000E79AA" w14:paraId="3346F421" w14:textId="77777777" w:rsidTr="007F3374">
        <w:tc>
          <w:tcPr>
            <w:tcW w:w="2344" w:type="dxa"/>
            <w:vMerge w:val="restart"/>
            <w:tcBorders>
              <w:top w:val="single" w:sz="6" w:space="0" w:color="A6A6A6"/>
            </w:tcBorders>
            <w:shd w:val="clear" w:color="auto" w:fill="auto"/>
            <w:tcMar>
              <w:top w:w="120" w:type="dxa"/>
              <w:left w:w="120" w:type="dxa"/>
              <w:bottom w:w="120" w:type="dxa"/>
              <w:right w:w="120" w:type="dxa"/>
            </w:tcMar>
            <w:vAlign w:val="center"/>
            <w:hideMark/>
          </w:tcPr>
          <w:p w14:paraId="75BEBE02" w14:textId="77777777" w:rsidR="00C00201" w:rsidRPr="000E79AA" w:rsidRDefault="00637133"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MDS-</w:t>
            </w:r>
            <w:r w:rsidR="00C00201" w:rsidRPr="000E79AA">
              <w:rPr>
                <w:rFonts w:ascii="Times New Roman" w:hAnsi="Times New Roman" w:cs="Times New Roman"/>
                <w:sz w:val="22"/>
                <w:szCs w:val="22"/>
                <w:lang w:val="en-AU"/>
              </w:rPr>
              <w:t>UPDRS</w:t>
            </w:r>
          </w:p>
        </w:tc>
        <w:tc>
          <w:tcPr>
            <w:tcW w:w="2477" w:type="dxa"/>
            <w:tcBorders>
              <w:top w:val="single" w:sz="6" w:space="0" w:color="A6A6A6"/>
            </w:tcBorders>
            <w:shd w:val="clear" w:color="auto" w:fill="auto"/>
            <w:tcMar>
              <w:top w:w="120" w:type="dxa"/>
              <w:left w:w="120" w:type="dxa"/>
              <w:bottom w:w="120" w:type="dxa"/>
              <w:right w:w="120" w:type="dxa"/>
            </w:tcMar>
            <w:vAlign w:val="center"/>
            <w:hideMark/>
          </w:tcPr>
          <w:p w14:paraId="318C580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I: Nonmotor experiences</w:t>
            </w:r>
          </w:p>
        </w:tc>
        <w:tc>
          <w:tcPr>
            <w:tcW w:w="1507" w:type="dxa"/>
            <w:tcBorders>
              <w:top w:val="single" w:sz="6" w:space="0" w:color="A6A6A6"/>
            </w:tcBorders>
            <w:shd w:val="clear" w:color="auto" w:fill="auto"/>
            <w:tcMar>
              <w:top w:w="120" w:type="dxa"/>
              <w:left w:w="120" w:type="dxa"/>
              <w:bottom w:w="120" w:type="dxa"/>
              <w:right w:w="120" w:type="dxa"/>
            </w:tcMar>
            <w:vAlign w:val="center"/>
            <w:hideMark/>
          </w:tcPr>
          <w:p w14:paraId="7019BD69" w14:textId="77777777" w:rsidR="00C00201" w:rsidRPr="000E79AA" w:rsidRDefault="007F3374"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9</w:t>
            </w:r>
            <w:r w:rsidR="00C00201" w:rsidRPr="000E79AA">
              <w:rPr>
                <w:rFonts w:ascii="Times New Roman" w:hAnsi="Times New Roman" w:cs="Times New Roman"/>
                <w:sz w:val="22"/>
                <w:szCs w:val="22"/>
                <w:lang w:val="en-AU"/>
              </w:rPr>
              <w:t>.</w:t>
            </w:r>
            <w:r w:rsidRPr="000E79AA">
              <w:rPr>
                <w:rFonts w:ascii="Times New Roman" w:hAnsi="Times New Roman" w:cs="Times New Roman"/>
                <w:sz w:val="22"/>
                <w:szCs w:val="22"/>
                <w:lang w:val="en-AU"/>
              </w:rPr>
              <w:t>00</w:t>
            </w:r>
            <w:r w:rsidR="00C00201" w:rsidRPr="000E79AA">
              <w:rPr>
                <w:rFonts w:ascii="Times New Roman" w:hAnsi="Times New Roman" w:cs="Times New Roman"/>
                <w:sz w:val="22"/>
                <w:szCs w:val="22"/>
                <w:lang w:val="en-AU"/>
              </w:rPr>
              <w:t xml:space="preserve"> (</w:t>
            </w:r>
            <w:r w:rsidRPr="000E79AA">
              <w:rPr>
                <w:rFonts w:ascii="Times New Roman" w:hAnsi="Times New Roman" w:cs="Times New Roman"/>
                <w:sz w:val="22"/>
                <w:szCs w:val="22"/>
                <w:lang w:val="en-AU"/>
              </w:rPr>
              <w:t>4</w:t>
            </w:r>
            <w:r w:rsidR="00C00201" w:rsidRPr="000E79AA">
              <w:rPr>
                <w:rFonts w:ascii="Times New Roman" w:hAnsi="Times New Roman" w:cs="Times New Roman"/>
                <w:sz w:val="22"/>
                <w:szCs w:val="22"/>
                <w:lang w:val="en-AU"/>
              </w:rPr>
              <w:t>.</w:t>
            </w:r>
            <w:r w:rsidRPr="000E79AA">
              <w:rPr>
                <w:rFonts w:ascii="Times New Roman" w:hAnsi="Times New Roman" w:cs="Times New Roman"/>
                <w:sz w:val="22"/>
                <w:szCs w:val="22"/>
                <w:lang w:val="en-AU"/>
              </w:rPr>
              <w:t>1</w:t>
            </w:r>
            <w:r w:rsidR="00C00201" w:rsidRPr="000E79AA">
              <w:rPr>
                <w:rFonts w:ascii="Times New Roman" w:hAnsi="Times New Roman" w:cs="Times New Roman"/>
                <w:sz w:val="22"/>
                <w:szCs w:val="22"/>
                <w:lang w:val="en-AU"/>
              </w:rPr>
              <w:t>8)</w:t>
            </w:r>
          </w:p>
        </w:tc>
        <w:tc>
          <w:tcPr>
            <w:tcW w:w="1401" w:type="dxa"/>
            <w:tcBorders>
              <w:top w:val="single" w:sz="6" w:space="0" w:color="A6A6A6"/>
            </w:tcBorders>
            <w:shd w:val="clear" w:color="auto" w:fill="auto"/>
            <w:tcMar>
              <w:top w:w="120" w:type="dxa"/>
              <w:left w:w="120" w:type="dxa"/>
              <w:bottom w:w="120" w:type="dxa"/>
              <w:right w:w="120" w:type="dxa"/>
            </w:tcMar>
            <w:vAlign w:val="center"/>
            <w:hideMark/>
          </w:tcPr>
          <w:p w14:paraId="2684602E" w14:textId="77777777" w:rsidR="00C00201" w:rsidRPr="000E79AA" w:rsidRDefault="00C00201" w:rsidP="004E671C">
            <w:pPr>
              <w:jc w:val="both"/>
              <w:rPr>
                <w:rFonts w:ascii="Times New Roman" w:hAnsi="Times New Roman" w:cs="Times New Roman"/>
                <w:sz w:val="22"/>
                <w:szCs w:val="22"/>
                <w:lang w:val="en-AU"/>
              </w:rPr>
            </w:pPr>
          </w:p>
        </w:tc>
        <w:tc>
          <w:tcPr>
            <w:tcW w:w="662" w:type="dxa"/>
            <w:tcBorders>
              <w:top w:val="single" w:sz="6" w:space="0" w:color="A6A6A6"/>
            </w:tcBorders>
            <w:shd w:val="clear" w:color="auto" w:fill="auto"/>
            <w:tcMar>
              <w:top w:w="120" w:type="dxa"/>
              <w:left w:w="120" w:type="dxa"/>
              <w:bottom w:w="120" w:type="dxa"/>
              <w:right w:w="120" w:type="dxa"/>
            </w:tcMar>
            <w:vAlign w:val="center"/>
            <w:hideMark/>
          </w:tcPr>
          <w:p w14:paraId="3F6A8214" w14:textId="77777777" w:rsidR="00C00201" w:rsidRPr="000E79AA" w:rsidRDefault="00C00201" w:rsidP="004E671C">
            <w:pPr>
              <w:jc w:val="both"/>
              <w:rPr>
                <w:rFonts w:ascii="Times New Roman" w:hAnsi="Times New Roman" w:cs="Times New Roman"/>
                <w:sz w:val="22"/>
                <w:szCs w:val="22"/>
                <w:lang w:val="en-AU"/>
              </w:rPr>
            </w:pPr>
          </w:p>
        </w:tc>
        <w:tc>
          <w:tcPr>
            <w:tcW w:w="0" w:type="auto"/>
            <w:tcBorders>
              <w:top w:val="single" w:sz="6" w:space="0" w:color="A6A6A6"/>
            </w:tcBorders>
            <w:shd w:val="clear" w:color="auto" w:fill="auto"/>
            <w:tcMar>
              <w:top w:w="120" w:type="dxa"/>
              <w:left w:w="120" w:type="dxa"/>
              <w:bottom w:w="120" w:type="dxa"/>
              <w:right w:w="120" w:type="dxa"/>
            </w:tcMar>
            <w:vAlign w:val="center"/>
            <w:hideMark/>
          </w:tcPr>
          <w:p w14:paraId="740D0A09"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52F1B305" w14:textId="77777777" w:rsidTr="007F3374">
        <w:tc>
          <w:tcPr>
            <w:tcW w:w="2344" w:type="dxa"/>
            <w:vMerge/>
            <w:shd w:val="clear" w:color="auto" w:fill="auto"/>
            <w:vAlign w:val="center"/>
            <w:hideMark/>
          </w:tcPr>
          <w:p w14:paraId="44106F61"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hideMark/>
          </w:tcPr>
          <w:p w14:paraId="458DAA7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II: Motor experiences</w:t>
            </w:r>
          </w:p>
        </w:tc>
        <w:tc>
          <w:tcPr>
            <w:tcW w:w="1507" w:type="dxa"/>
            <w:shd w:val="clear" w:color="auto" w:fill="auto"/>
            <w:tcMar>
              <w:top w:w="120" w:type="dxa"/>
              <w:left w:w="120" w:type="dxa"/>
              <w:bottom w:w="120" w:type="dxa"/>
              <w:right w:w="120" w:type="dxa"/>
            </w:tcMar>
            <w:vAlign w:val="center"/>
            <w:hideMark/>
          </w:tcPr>
          <w:p w14:paraId="66D162FB"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12.6</w:t>
            </w:r>
            <w:r w:rsidR="007F3374" w:rsidRPr="000E79AA">
              <w:rPr>
                <w:rFonts w:ascii="Times New Roman" w:hAnsi="Times New Roman" w:cs="Times New Roman"/>
                <w:sz w:val="22"/>
                <w:szCs w:val="22"/>
                <w:lang w:val="en-AU"/>
              </w:rPr>
              <w:t>3</w:t>
            </w:r>
            <w:r w:rsidRPr="000E79AA">
              <w:rPr>
                <w:rFonts w:ascii="Times New Roman" w:hAnsi="Times New Roman" w:cs="Times New Roman"/>
                <w:sz w:val="22"/>
                <w:szCs w:val="22"/>
                <w:lang w:val="en-AU"/>
              </w:rPr>
              <w:t xml:space="preserve"> (4.</w:t>
            </w:r>
            <w:r w:rsidR="007F3374" w:rsidRPr="000E79AA">
              <w:rPr>
                <w:rFonts w:ascii="Times New Roman" w:hAnsi="Times New Roman" w:cs="Times New Roman"/>
                <w:sz w:val="22"/>
                <w:szCs w:val="22"/>
                <w:lang w:val="en-AU"/>
              </w:rPr>
              <w:t>26</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hideMark/>
          </w:tcPr>
          <w:p w14:paraId="09CF2987" w14:textId="77777777" w:rsidR="00C00201" w:rsidRPr="000E79AA" w:rsidRDefault="00C00201" w:rsidP="004E671C">
            <w:pPr>
              <w:jc w:val="both"/>
              <w:rPr>
                <w:rFonts w:ascii="Times New Roman" w:hAnsi="Times New Roman" w:cs="Times New Roman"/>
                <w:sz w:val="22"/>
                <w:szCs w:val="22"/>
                <w:lang w:val="en-AU"/>
              </w:rPr>
            </w:pPr>
          </w:p>
        </w:tc>
        <w:tc>
          <w:tcPr>
            <w:tcW w:w="662" w:type="dxa"/>
            <w:shd w:val="clear" w:color="auto" w:fill="auto"/>
            <w:tcMar>
              <w:top w:w="120" w:type="dxa"/>
              <w:left w:w="120" w:type="dxa"/>
              <w:bottom w:w="120" w:type="dxa"/>
              <w:right w:w="120" w:type="dxa"/>
            </w:tcMar>
            <w:vAlign w:val="center"/>
            <w:hideMark/>
          </w:tcPr>
          <w:p w14:paraId="6B78DA8F" w14:textId="77777777" w:rsidR="00C00201" w:rsidRPr="000E79AA" w:rsidRDefault="00C00201" w:rsidP="004E671C">
            <w:pPr>
              <w:jc w:val="both"/>
              <w:rPr>
                <w:rFonts w:ascii="Times New Roman" w:hAnsi="Times New Roman" w:cs="Times New Roman"/>
                <w:sz w:val="22"/>
                <w:szCs w:val="22"/>
                <w:lang w:val="en-AU"/>
              </w:rPr>
            </w:pPr>
          </w:p>
        </w:tc>
        <w:tc>
          <w:tcPr>
            <w:tcW w:w="0" w:type="auto"/>
            <w:shd w:val="clear" w:color="auto" w:fill="auto"/>
            <w:tcMar>
              <w:top w:w="120" w:type="dxa"/>
              <w:left w:w="120" w:type="dxa"/>
              <w:bottom w:w="120" w:type="dxa"/>
              <w:right w:w="120" w:type="dxa"/>
            </w:tcMar>
            <w:vAlign w:val="center"/>
            <w:hideMark/>
          </w:tcPr>
          <w:p w14:paraId="16659AD6"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67E0A94E" w14:textId="77777777" w:rsidTr="007F3374">
        <w:tc>
          <w:tcPr>
            <w:tcW w:w="2344" w:type="dxa"/>
            <w:vMerge/>
            <w:shd w:val="clear" w:color="auto" w:fill="auto"/>
            <w:vAlign w:val="center"/>
            <w:hideMark/>
          </w:tcPr>
          <w:p w14:paraId="1D6DB843"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hideMark/>
          </w:tcPr>
          <w:p w14:paraId="154295F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III: Motor Examination</w:t>
            </w:r>
          </w:p>
        </w:tc>
        <w:tc>
          <w:tcPr>
            <w:tcW w:w="1507" w:type="dxa"/>
            <w:shd w:val="clear" w:color="auto" w:fill="auto"/>
            <w:tcMar>
              <w:top w:w="120" w:type="dxa"/>
              <w:left w:w="120" w:type="dxa"/>
              <w:bottom w:w="120" w:type="dxa"/>
              <w:right w:w="120" w:type="dxa"/>
            </w:tcMar>
            <w:vAlign w:val="center"/>
            <w:hideMark/>
          </w:tcPr>
          <w:p w14:paraId="3680045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w:t>
            </w:r>
            <w:r w:rsidR="007F3374" w:rsidRPr="000E79AA">
              <w:rPr>
                <w:rFonts w:ascii="Times New Roman" w:hAnsi="Times New Roman" w:cs="Times New Roman"/>
                <w:sz w:val="22"/>
                <w:szCs w:val="22"/>
                <w:lang w:val="en-AU"/>
              </w:rPr>
              <w:t>8</w:t>
            </w:r>
            <w:r w:rsidRPr="000E79AA">
              <w:rPr>
                <w:rFonts w:ascii="Times New Roman" w:hAnsi="Times New Roman" w:cs="Times New Roman"/>
                <w:sz w:val="22"/>
                <w:szCs w:val="22"/>
                <w:lang w:val="en-AU"/>
              </w:rPr>
              <w:t>.4</w:t>
            </w:r>
            <w:r w:rsidR="007F3374" w:rsidRPr="000E79AA">
              <w:rPr>
                <w:rFonts w:ascii="Times New Roman" w:hAnsi="Times New Roman" w:cs="Times New Roman"/>
                <w:sz w:val="22"/>
                <w:szCs w:val="22"/>
                <w:lang w:val="en-AU"/>
              </w:rPr>
              <w:t>2</w:t>
            </w:r>
            <w:r w:rsidRPr="000E79AA">
              <w:rPr>
                <w:rFonts w:ascii="Times New Roman" w:hAnsi="Times New Roman" w:cs="Times New Roman"/>
                <w:sz w:val="22"/>
                <w:szCs w:val="22"/>
                <w:lang w:val="en-AU"/>
              </w:rPr>
              <w:t xml:space="preserve"> (1</w:t>
            </w:r>
            <w:r w:rsidR="007F3374" w:rsidRPr="000E79AA">
              <w:rPr>
                <w:rFonts w:ascii="Times New Roman" w:hAnsi="Times New Roman" w:cs="Times New Roman"/>
                <w:sz w:val="22"/>
                <w:szCs w:val="22"/>
                <w:lang w:val="en-AU"/>
              </w:rPr>
              <w:t>1</w:t>
            </w:r>
            <w:r w:rsidRPr="000E79AA">
              <w:rPr>
                <w:rFonts w:ascii="Times New Roman" w:hAnsi="Times New Roman" w:cs="Times New Roman"/>
                <w:sz w:val="22"/>
                <w:szCs w:val="22"/>
                <w:lang w:val="en-AU"/>
              </w:rPr>
              <w:t>.</w:t>
            </w:r>
            <w:r w:rsidR="00B03622" w:rsidRPr="000E79AA">
              <w:rPr>
                <w:rFonts w:ascii="Times New Roman" w:hAnsi="Times New Roman" w:cs="Times New Roman"/>
                <w:sz w:val="22"/>
                <w:szCs w:val="22"/>
                <w:lang w:val="en-AU"/>
              </w:rPr>
              <w:t>60</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hideMark/>
          </w:tcPr>
          <w:p w14:paraId="68334EC0" w14:textId="77777777" w:rsidR="00C00201" w:rsidRPr="000E79AA" w:rsidRDefault="00C00201" w:rsidP="004E671C">
            <w:pPr>
              <w:jc w:val="both"/>
              <w:rPr>
                <w:rFonts w:ascii="Times New Roman" w:hAnsi="Times New Roman" w:cs="Times New Roman"/>
                <w:sz w:val="22"/>
                <w:szCs w:val="22"/>
                <w:lang w:val="en-AU"/>
              </w:rPr>
            </w:pPr>
          </w:p>
        </w:tc>
        <w:tc>
          <w:tcPr>
            <w:tcW w:w="662" w:type="dxa"/>
            <w:shd w:val="clear" w:color="auto" w:fill="auto"/>
            <w:tcMar>
              <w:top w:w="120" w:type="dxa"/>
              <w:left w:w="120" w:type="dxa"/>
              <w:bottom w:w="120" w:type="dxa"/>
              <w:right w:w="120" w:type="dxa"/>
            </w:tcMar>
            <w:vAlign w:val="center"/>
            <w:hideMark/>
          </w:tcPr>
          <w:p w14:paraId="13611117" w14:textId="77777777" w:rsidR="00C00201" w:rsidRPr="000E79AA" w:rsidRDefault="00C00201" w:rsidP="004E671C">
            <w:pPr>
              <w:jc w:val="both"/>
              <w:rPr>
                <w:rFonts w:ascii="Times New Roman" w:hAnsi="Times New Roman" w:cs="Times New Roman"/>
                <w:sz w:val="22"/>
                <w:szCs w:val="22"/>
                <w:lang w:val="en-AU"/>
              </w:rPr>
            </w:pPr>
          </w:p>
        </w:tc>
        <w:tc>
          <w:tcPr>
            <w:tcW w:w="0" w:type="auto"/>
            <w:shd w:val="clear" w:color="auto" w:fill="auto"/>
            <w:tcMar>
              <w:top w:w="120" w:type="dxa"/>
              <w:left w:w="120" w:type="dxa"/>
              <w:bottom w:w="120" w:type="dxa"/>
              <w:right w:w="120" w:type="dxa"/>
            </w:tcMar>
            <w:vAlign w:val="center"/>
            <w:hideMark/>
          </w:tcPr>
          <w:p w14:paraId="0DD96411"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7C1F0A07" w14:textId="77777777" w:rsidTr="007F3374">
        <w:tc>
          <w:tcPr>
            <w:tcW w:w="2344" w:type="dxa"/>
            <w:vMerge/>
            <w:shd w:val="clear" w:color="auto" w:fill="auto"/>
            <w:vAlign w:val="center"/>
            <w:hideMark/>
          </w:tcPr>
          <w:p w14:paraId="30CBF9F7" w14:textId="77777777" w:rsidR="00C00201" w:rsidRPr="000E79AA" w:rsidRDefault="00C00201" w:rsidP="004E671C">
            <w:pPr>
              <w:jc w:val="both"/>
              <w:rPr>
                <w:rFonts w:ascii="Times New Roman" w:hAnsi="Times New Roman" w:cs="Times New Roman"/>
                <w:sz w:val="22"/>
                <w:szCs w:val="22"/>
                <w:lang w:val="en-AU"/>
              </w:rPr>
            </w:pPr>
          </w:p>
        </w:tc>
        <w:tc>
          <w:tcPr>
            <w:tcW w:w="2477" w:type="dxa"/>
            <w:shd w:val="clear" w:color="auto" w:fill="auto"/>
            <w:tcMar>
              <w:top w:w="120" w:type="dxa"/>
              <w:left w:w="120" w:type="dxa"/>
              <w:bottom w:w="120" w:type="dxa"/>
              <w:right w:w="120" w:type="dxa"/>
            </w:tcMar>
            <w:vAlign w:val="center"/>
            <w:hideMark/>
          </w:tcPr>
          <w:p w14:paraId="1C415066"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IV: Motor Complications</w:t>
            </w:r>
          </w:p>
        </w:tc>
        <w:tc>
          <w:tcPr>
            <w:tcW w:w="1507" w:type="dxa"/>
            <w:shd w:val="clear" w:color="auto" w:fill="auto"/>
            <w:tcMar>
              <w:top w:w="120" w:type="dxa"/>
              <w:left w:w="120" w:type="dxa"/>
              <w:bottom w:w="120" w:type="dxa"/>
              <w:right w:w="120" w:type="dxa"/>
            </w:tcMar>
            <w:vAlign w:val="center"/>
            <w:hideMark/>
          </w:tcPr>
          <w:p w14:paraId="10B62077"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0.</w:t>
            </w:r>
            <w:r w:rsidR="00B03622" w:rsidRPr="000E79AA">
              <w:rPr>
                <w:rFonts w:ascii="Times New Roman" w:hAnsi="Times New Roman" w:cs="Times New Roman"/>
                <w:sz w:val="22"/>
                <w:szCs w:val="22"/>
                <w:lang w:val="en-AU"/>
              </w:rPr>
              <w:t>47</w:t>
            </w:r>
            <w:r w:rsidRPr="000E79AA">
              <w:rPr>
                <w:rFonts w:ascii="Times New Roman" w:hAnsi="Times New Roman" w:cs="Times New Roman"/>
                <w:sz w:val="22"/>
                <w:szCs w:val="22"/>
                <w:lang w:val="en-AU"/>
              </w:rPr>
              <w:t xml:space="preserve"> (0.9</w:t>
            </w:r>
            <w:r w:rsidR="00B03622" w:rsidRPr="000E79AA">
              <w:rPr>
                <w:rFonts w:ascii="Times New Roman" w:hAnsi="Times New Roman" w:cs="Times New Roman"/>
                <w:sz w:val="22"/>
                <w:szCs w:val="22"/>
                <w:lang w:val="en-AU"/>
              </w:rPr>
              <w:t>6</w:t>
            </w:r>
            <w:r w:rsidRPr="000E79AA">
              <w:rPr>
                <w:rFonts w:ascii="Times New Roman" w:hAnsi="Times New Roman" w:cs="Times New Roman"/>
                <w:sz w:val="22"/>
                <w:szCs w:val="22"/>
                <w:lang w:val="en-AU"/>
              </w:rPr>
              <w:t>)</w:t>
            </w:r>
          </w:p>
        </w:tc>
        <w:tc>
          <w:tcPr>
            <w:tcW w:w="1401" w:type="dxa"/>
            <w:shd w:val="clear" w:color="auto" w:fill="auto"/>
            <w:tcMar>
              <w:top w:w="120" w:type="dxa"/>
              <w:left w:w="120" w:type="dxa"/>
              <w:bottom w:w="120" w:type="dxa"/>
              <w:right w:w="120" w:type="dxa"/>
            </w:tcMar>
            <w:vAlign w:val="center"/>
            <w:hideMark/>
          </w:tcPr>
          <w:p w14:paraId="36082CAE" w14:textId="77777777" w:rsidR="00C00201" w:rsidRPr="000E79AA" w:rsidRDefault="00C00201" w:rsidP="004E671C">
            <w:pPr>
              <w:jc w:val="both"/>
              <w:rPr>
                <w:rFonts w:ascii="Times New Roman" w:hAnsi="Times New Roman" w:cs="Times New Roman"/>
                <w:sz w:val="22"/>
                <w:szCs w:val="22"/>
                <w:lang w:val="en-AU"/>
              </w:rPr>
            </w:pPr>
          </w:p>
        </w:tc>
        <w:tc>
          <w:tcPr>
            <w:tcW w:w="662" w:type="dxa"/>
            <w:shd w:val="clear" w:color="auto" w:fill="auto"/>
            <w:tcMar>
              <w:top w:w="120" w:type="dxa"/>
              <w:left w:w="120" w:type="dxa"/>
              <w:bottom w:w="120" w:type="dxa"/>
              <w:right w:w="120" w:type="dxa"/>
            </w:tcMar>
            <w:vAlign w:val="center"/>
            <w:hideMark/>
          </w:tcPr>
          <w:p w14:paraId="72A6D292" w14:textId="77777777" w:rsidR="00C00201" w:rsidRPr="000E79AA" w:rsidRDefault="00C00201" w:rsidP="004E671C">
            <w:pPr>
              <w:jc w:val="both"/>
              <w:rPr>
                <w:rFonts w:ascii="Times New Roman" w:hAnsi="Times New Roman" w:cs="Times New Roman"/>
                <w:sz w:val="22"/>
                <w:szCs w:val="22"/>
                <w:lang w:val="en-AU"/>
              </w:rPr>
            </w:pPr>
          </w:p>
        </w:tc>
        <w:tc>
          <w:tcPr>
            <w:tcW w:w="0" w:type="auto"/>
            <w:shd w:val="clear" w:color="auto" w:fill="auto"/>
            <w:tcMar>
              <w:top w:w="120" w:type="dxa"/>
              <w:left w:w="120" w:type="dxa"/>
              <w:bottom w:w="120" w:type="dxa"/>
              <w:right w:w="120" w:type="dxa"/>
            </w:tcMar>
            <w:vAlign w:val="center"/>
            <w:hideMark/>
          </w:tcPr>
          <w:p w14:paraId="04E91032"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05EB82F5" w14:textId="77777777" w:rsidTr="007F3374">
        <w:tc>
          <w:tcPr>
            <w:tcW w:w="2344" w:type="dxa"/>
            <w:vMerge/>
            <w:tcBorders>
              <w:bottom w:val="single" w:sz="6" w:space="0" w:color="A6A6A6"/>
            </w:tcBorders>
            <w:shd w:val="clear" w:color="auto" w:fill="auto"/>
            <w:vAlign w:val="center"/>
            <w:hideMark/>
          </w:tcPr>
          <w:p w14:paraId="4DD0B3C4" w14:textId="77777777" w:rsidR="00C00201" w:rsidRPr="000E79AA" w:rsidRDefault="00C00201" w:rsidP="004E671C">
            <w:pPr>
              <w:jc w:val="both"/>
              <w:rPr>
                <w:rFonts w:ascii="Times New Roman" w:hAnsi="Times New Roman" w:cs="Times New Roman"/>
                <w:sz w:val="22"/>
                <w:szCs w:val="22"/>
                <w:lang w:val="en-AU"/>
              </w:rPr>
            </w:pPr>
          </w:p>
        </w:tc>
        <w:tc>
          <w:tcPr>
            <w:tcW w:w="2477" w:type="dxa"/>
            <w:tcBorders>
              <w:bottom w:val="single" w:sz="6" w:space="0" w:color="A6A6A6"/>
            </w:tcBorders>
            <w:shd w:val="clear" w:color="auto" w:fill="auto"/>
            <w:tcMar>
              <w:top w:w="120" w:type="dxa"/>
              <w:left w:w="120" w:type="dxa"/>
              <w:bottom w:w="120" w:type="dxa"/>
              <w:right w:w="120" w:type="dxa"/>
            </w:tcMar>
            <w:vAlign w:val="center"/>
            <w:hideMark/>
          </w:tcPr>
          <w:p w14:paraId="5A8D3E8B"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Total Score</w:t>
            </w:r>
          </w:p>
        </w:tc>
        <w:tc>
          <w:tcPr>
            <w:tcW w:w="1507" w:type="dxa"/>
            <w:tcBorders>
              <w:bottom w:val="single" w:sz="6" w:space="0" w:color="A6A6A6"/>
            </w:tcBorders>
            <w:shd w:val="clear" w:color="auto" w:fill="auto"/>
            <w:tcMar>
              <w:top w:w="120" w:type="dxa"/>
              <w:left w:w="120" w:type="dxa"/>
              <w:bottom w:w="120" w:type="dxa"/>
              <w:right w:w="120" w:type="dxa"/>
            </w:tcMar>
            <w:vAlign w:val="center"/>
            <w:hideMark/>
          </w:tcPr>
          <w:p w14:paraId="77A53A40" w14:textId="77777777" w:rsidR="00C00201" w:rsidRPr="000E79AA" w:rsidRDefault="00B03622"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50</w:t>
            </w:r>
            <w:r w:rsidR="00C00201" w:rsidRPr="000E79AA">
              <w:rPr>
                <w:rFonts w:ascii="Times New Roman" w:hAnsi="Times New Roman" w:cs="Times New Roman"/>
                <w:sz w:val="22"/>
                <w:szCs w:val="22"/>
                <w:lang w:val="en-AU"/>
              </w:rPr>
              <w:t>.5</w:t>
            </w:r>
            <w:r w:rsidRPr="000E79AA">
              <w:rPr>
                <w:rFonts w:ascii="Times New Roman" w:hAnsi="Times New Roman" w:cs="Times New Roman"/>
                <w:sz w:val="22"/>
                <w:szCs w:val="22"/>
                <w:lang w:val="en-AU"/>
              </w:rPr>
              <w:t>8</w:t>
            </w:r>
            <w:r w:rsidR="00C00201" w:rsidRPr="000E79AA">
              <w:rPr>
                <w:rFonts w:ascii="Times New Roman" w:hAnsi="Times New Roman" w:cs="Times New Roman"/>
                <w:sz w:val="22"/>
                <w:szCs w:val="22"/>
                <w:lang w:val="en-AU"/>
              </w:rPr>
              <w:t xml:space="preserve"> (17.</w:t>
            </w:r>
            <w:r w:rsidRPr="000E79AA">
              <w:rPr>
                <w:rFonts w:ascii="Times New Roman" w:hAnsi="Times New Roman" w:cs="Times New Roman"/>
                <w:sz w:val="22"/>
                <w:szCs w:val="22"/>
                <w:lang w:val="en-AU"/>
              </w:rPr>
              <w:t>20</w:t>
            </w:r>
            <w:r w:rsidR="00C00201" w:rsidRPr="000E79AA">
              <w:rPr>
                <w:rFonts w:ascii="Times New Roman" w:hAnsi="Times New Roman" w:cs="Times New Roman"/>
                <w:sz w:val="22"/>
                <w:szCs w:val="22"/>
                <w:lang w:val="en-AU"/>
              </w:rPr>
              <w:t>)</w:t>
            </w:r>
          </w:p>
        </w:tc>
        <w:tc>
          <w:tcPr>
            <w:tcW w:w="1401" w:type="dxa"/>
            <w:tcBorders>
              <w:bottom w:val="single" w:sz="6" w:space="0" w:color="A6A6A6"/>
            </w:tcBorders>
            <w:shd w:val="clear" w:color="auto" w:fill="auto"/>
            <w:tcMar>
              <w:top w:w="120" w:type="dxa"/>
              <w:left w:w="120" w:type="dxa"/>
              <w:bottom w:w="120" w:type="dxa"/>
              <w:right w:w="120" w:type="dxa"/>
            </w:tcMar>
            <w:vAlign w:val="center"/>
            <w:hideMark/>
          </w:tcPr>
          <w:p w14:paraId="18B8AEB3" w14:textId="77777777" w:rsidR="00C00201" w:rsidRPr="000E79AA" w:rsidRDefault="00C00201" w:rsidP="004E671C">
            <w:pPr>
              <w:jc w:val="both"/>
              <w:rPr>
                <w:rFonts w:ascii="Times New Roman" w:hAnsi="Times New Roman" w:cs="Times New Roman"/>
                <w:sz w:val="22"/>
                <w:szCs w:val="22"/>
                <w:lang w:val="en-AU"/>
              </w:rPr>
            </w:pPr>
          </w:p>
        </w:tc>
        <w:tc>
          <w:tcPr>
            <w:tcW w:w="662" w:type="dxa"/>
            <w:tcBorders>
              <w:bottom w:val="single" w:sz="6" w:space="0" w:color="A6A6A6"/>
            </w:tcBorders>
            <w:shd w:val="clear" w:color="auto" w:fill="auto"/>
            <w:tcMar>
              <w:top w:w="120" w:type="dxa"/>
              <w:left w:w="120" w:type="dxa"/>
              <w:bottom w:w="120" w:type="dxa"/>
              <w:right w:w="120" w:type="dxa"/>
            </w:tcMar>
            <w:vAlign w:val="center"/>
            <w:hideMark/>
          </w:tcPr>
          <w:p w14:paraId="0012CFD7" w14:textId="77777777" w:rsidR="00C00201" w:rsidRPr="000E79AA" w:rsidRDefault="00C00201" w:rsidP="004E671C">
            <w:pPr>
              <w:jc w:val="both"/>
              <w:rPr>
                <w:rFonts w:ascii="Times New Roman" w:hAnsi="Times New Roman" w:cs="Times New Roman"/>
                <w:sz w:val="22"/>
                <w:szCs w:val="22"/>
                <w:lang w:val="en-AU"/>
              </w:rPr>
            </w:pPr>
          </w:p>
        </w:tc>
        <w:tc>
          <w:tcPr>
            <w:tcW w:w="0" w:type="auto"/>
            <w:tcBorders>
              <w:bottom w:val="single" w:sz="6" w:space="0" w:color="A6A6A6"/>
            </w:tcBorders>
            <w:shd w:val="clear" w:color="auto" w:fill="auto"/>
            <w:tcMar>
              <w:top w:w="120" w:type="dxa"/>
              <w:left w:w="120" w:type="dxa"/>
              <w:bottom w:w="120" w:type="dxa"/>
              <w:right w:w="120" w:type="dxa"/>
            </w:tcMar>
            <w:vAlign w:val="center"/>
            <w:hideMark/>
          </w:tcPr>
          <w:p w14:paraId="6CBC112B"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29D56696" w14:textId="77777777" w:rsidTr="007F3374">
        <w:tc>
          <w:tcPr>
            <w:tcW w:w="2344"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370B9425"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Hoehn and Yahr</w:t>
            </w:r>
            <w:r w:rsidR="00FB7338" w:rsidRPr="000E79AA">
              <w:rPr>
                <w:rFonts w:ascii="Times New Roman" w:hAnsi="Times New Roman" w:cs="Times New Roman"/>
                <w:sz w:val="22"/>
                <w:szCs w:val="22"/>
                <w:lang w:val="en-AU"/>
              </w:rPr>
              <w:t xml:space="preserve"> stage</w:t>
            </w:r>
          </w:p>
        </w:tc>
        <w:tc>
          <w:tcPr>
            <w:tcW w:w="2477"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523F308C"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5D365448"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2.2</w:t>
            </w:r>
            <w:r w:rsidR="00B03622" w:rsidRPr="000E79AA">
              <w:rPr>
                <w:rFonts w:ascii="Times New Roman" w:hAnsi="Times New Roman" w:cs="Times New Roman"/>
                <w:sz w:val="22"/>
                <w:szCs w:val="22"/>
                <w:lang w:val="en-AU"/>
              </w:rPr>
              <w:t>6</w:t>
            </w:r>
            <w:r w:rsidRPr="000E79AA">
              <w:rPr>
                <w:rFonts w:ascii="Times New Roman" w:hAnsi="Times New Roman" w:cs="Times New Roman"/>
                <w:sz w:val="22"/>
                <w:szCs w:val="22"/>
                <w:lang w:val="en-AU"/>
              </w:rPr>
              <w:t xml:space="preserve"> (0.4</w:t>
            </w:r>
            <w:r w:rsidR="00B03622" w:rsidRPr="000E79AA">
              <w:rPr>
                <w:rFonts w:ascii="Times New Roman" w:hAnsi="Times New Roman" w:cs="Times New Roman"/>
                <w:sz w:val="22"/>
                <w:szCs w:val="22"/>
                <w:lang w:val="en-AU"/>
              </w:rPr>
              <w:t>5</w:t>
            </w:r>
            <w:r w:rsidRPr="000E79AA">
              <w:rPr>
                <w:rFonts w:ascii="Times New Roman" w:hAnsi="Times New Roman" w:cs="Times New Roman"/>
                <w:sz w:val="22"/>
                <w:szCs w:val="22"/>
                <w:lang w:val="en-AU"/>
              </w:rPr>
              <w:t>)</w:t>
            </w:r>
          </w:p>
        </w:tc>
        <w:tc>
          <w:tcPr>
            <w:tcW w:w="1401"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084C3DCE" w14:textId="77777777" w:rsidR="00C00201" w:rsidRPr="000E79AA" w:rsidRDefault="00C00201" w:rsidP="004E671C">
            <w:pPr>
              <w:jc w:val="both"/>
              <w:rPr>
                <w:rFonts w:ascii="Times New Roman" w:hAnsi="Times New Roman" w:cs="Times New Roman"/>
                <w:sz w:val="22"/>
                <w:szCs w:val="22"/>
                <w:lang w:val="en-AU"/>
              </w:rPr>
            </w:pPr>
          </w:p>
        </w:tc>
        <w:tc>
          <w:tcPr>
            <w:tcW w:w="662" w:type="dxa"/>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6FEBADAC" w14:textId="77777777" w:rsidR="00C00201" w:rsidRPr="000E79AA" w:rsidRDefault="00C00201" w:rsidP="004E671C">
            <w:pPr>
              <w:jc w:val="both"/>
              <w:rPr>
                <w:rFonts w:ascii="Times New Roman" w:hAnsi="Times New Roman" w:cs="Times New Roman"/>
                <w:sz w:val="22"/>
                <w:szCs w:val="22"/>
                <w:lang w:val="en-AU"/>
              </w:rPr>
            </w:pPr>
          </w:p>
        </w:tc>
        <w:tc>
          <w:tcPr>
            <w:tcW w:w="0" w:type="auto"/>
            <w:tcBorders>
              <w:top w:val="single" w:sz="6" w:space="0" w:color="A6A6A6"/>
              <w:bottom w:val="single" w:sz="6" w:space="0" w:color="A6A6A6"/>
            </w:tcBorders>
            <w:shd w:val="clear" w:color="auto" w:fill="auto"/>
            <w:tcMar>
              <w:top w:w="120" w:type="dxa"/>
              <w:left w:w="120" w:type="dxa"/>
              <w:bottom w:w="120" w:type="dxa"/>
              <w:right w:w="120" w:type="dxa"/>
            </w:tcMar>
            <w:vAlign w:val="center"/>
            <w:hideMark/>
          </w:tcPr>
          <w:p w14:paraId="3F729546"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2C3DC396" w14:textId="77777777" w:rsidTr="007F3374">
        <w:tc>
          <w:tcPr>
            <w:tcW w:w="2344" w:type="dxa"/>
            <w:tcBorders>
              <w:top w:val="single" w:sz="6" w:space="0" w:color="A6A6A6"/>
            </w:tcBorders>
            <w:shd w:val="clear" w:color="auto" w:fill="auto"/>
            <w:tcMar>
              <w:top w:w="120" w:type="dxa"/>
              <w:left w:w="120" w:type="dxa"/>
              <w:bottom w:w="120" w:type="dxa"/>
              <w:right w:w="120" w:type="dxa"/>
            </w:tcMar>
            <w:vAlign w:val="center"/>
            <w:hideMark/>
          </w:tcPr>
          <w:p w14:paraId="7ACD5F42" w14:textId="77777777" w:rsidR="00C00201" w:rsidRPr="000E79AA" w:rsidRDefault="00C00201" w:rsidP="003161FC">
            <w:pPr>
              <w:rPr>
                <w:rFonts w:ascii="Times New Roman" w:hAnsi="Times New Roman" w:cs="Times New Roman"/>
                <w:sz w:val="22"/>
                <w:szCs w:val="22"/>
                <w:lang w:val="en-AU"/>
              </w:rPr>
            </w:pPr>
            <w:r w:rsidRPr="000E79AA">
              <w:rPr>
                <w:rFonts w:ascii="Times New Roman" w:hAnsi="Times New Roman" w:cs="Times New Roman"/>
                <w:sz w:val="22"/>
                <w:szCs w:val="22"/>
                <w:lang w:val="en-AU"/>
              </w:rPr>
              <w:t>Disease</w:t>
            </w:r>
            <w:r w:rsidR="003161FC" w:rsidRPr="000E79AA">
              <w:rPr>
                <w:rFonts w:ascii="Times New Roman" w:hAnsi="Times New Roman" w:cs="Times New Roman"/>
                <w:sz w:val="22"/>
                <w:szCs w:val="22"/>
                <w:lang w:val="en-AU"/>
              </w:rPr>
              <w:t xml:space="preserve"> </w:t>
            </w:r>
            <w:r w:rsidRPr="000E79AA">
              <w:rPr>
                <w:rFonts w:ascii="Times New Roman" w:hAnsi="Times New Roman" w:cs="Times New Roman"/>
                <w:sz w:val="22"/>
                <w:szCs w:val="22"/>
                <w:lang w:val="en-AU"/>
              </w:rPr>
              <w:t>duration (years)</w:t>
            </w:r>
          </w:p>
        </w:tc>
        <w:tc>
          <w:tcPr>
            <w:tcW w:w="2477" w:type="dxa"/>
            <w:tcBorders>
              <w:top w:val="single" w:sz="6" w:space="0" w:color="A6A6A6"/>
            </w:tcBorders>
            <w:shd w:val="clear" w:color="auto" w:fill="auto"/>
            <w:tcMar>
              <w:top w:w="120" w:type="dxa"/>
              <w:left w:w="120" w:type="dxa"/>
              <w:bottom w:w="120" w:type="dxa"/>
              <w:right w:w="120" w:type="dxa"/>
            </w:tcMar>
            <w:vAlign w:val="center"/>
            <w:hideMark/>
          </w:tcPr>
          <w:p w14:paraId="33CC4DDB"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tcBorders>
            <w:shd w:val="clear" w:color="auto" w:fill="auto"/>
            <w:tcMar>
              <w:top w:w="120" w:type="dxa"/>
              <w:left w:w="120" w:type="dxa"/>
              <w:bottom w:w="120" w:type="dxa"/>
              <w:right w:w="120" w:type="dxa"/>
            </w:tcMar>
            <w:vAlign w:val="center"/>
            <w:hideMark/>
          </w:tcPr>
          <w:p w14:paraId="3FD38D2C"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4.15 (1.72)</w:t>
            </w:r>
          </w:p>
        </w:tc>
        <w:tc>
          <w:tcPr>
            <w:tcW w:w="1401" w:type="dxa"/>
            <w:tcBorders>
              <w:top w:val="single" w:sz="6" w:space="0" w:color="A6A6A6"/>
            </w:tcBorders>
            <w:shd w:val="clear" w:color="auto" w:fill="auto"/>
            <w:tcMar>
              <w:top w:w="120" w:type="dxa"/>
              <w:left w:w="120" w:type="dxa"/>
              <w:bottom w:w="120" w:type="dxa"/>
              <w:right w:w="120" w:type="dxa"/>
            </w:tcMar>
            <w:vAlign w:val="center"/>
            <w:hideMark/>
          </w:tcPr>
          <w:p w14:paraId="31DB96D2" w14:textId="77777777" w:rsidR="00C00201" w:rsidRPr="000E79AA" w:rsidRDefault="00C00201" w:rsidP="004E671C">
            <w:pPr>
              <w:jc w:val="both"/>
              <w:rPr>
                <w:rFonts w:ascii="Times New Roman" w:hAnsi="Times New Roman" w:cs="Times New Roman"/>
                <w:sz w:val="22"/>
                <w:szCs w:val="22"/>
                <w:lang w:val="en-AU"/>
              </w:rPr>
            </w:pPr>
          </w:p>
        </w:tc>
        <w:tc>
          <w:tcPr>
            <w:tcW w:w="662" w:type="dxa"/>
            <w:tcBorders>
              <w:top w:val="single" w:sz="6" w:space="0" w:color="A6A6A6"/>
            </w:tcBorders>
            <w:shd w:val="clear" w:color="auto" w:fill="auto"/>
            <w:tcMar>
              <w:top w:w="120" w:type="dxa"/>
              <w:left w:w="120" w:type="dxa"/>
              <w:bottom w:w="120" w:type="dxa"/>
              <w:right w:w="120" w:type="dxa"/>
            </w:tcMar>
            <w:vAlign w:val="center"/>
            <w:hideMark/>
          </w:tcPr>
          <w:p w14:paraId="5035B4DB" w14:textId="77777777" w:rsidR="00C00201" w:rsidRPr="000E79AA" w:rsidRDefault="00C00201" w:rsidP="004E671C">
            <w:pPr>
              <w:jc w:val="both"/>
              <w:rPr>
                <w:rFonts w:ascii="Times New Roman" w:hAnsi="Times New Roman" w:cs="Times New Roman"/>
                <w:sz w:val="22"/>
                <w:szCs w:val="22"/>
                <w:lang w:val="en-AU"/>
              </w:rPr>
            </w:pPr>
          </w:p>
        </w:tc>
        <w:tc>
          <w:tcPr>
            <w:tcW w:w="0" w:type="auto"/>
            <w:tcBorders>
              <w:top w:val="single" w:sz="6" w:space="0" w:color="A6A6A6"/>
            </w:tcBorders>
            <w:shd w:val="clear" w:color="auto" w:fill="auto"/>
            <w:tcMar>
              <w:top w:w="120" w:type="dxa"/>
              <w:left w:w="120" w:type="dxa"/>
              <w:bottom w:w="120" w:type="dxa"/>
              <w:right w:w="120" w:type="dxa"/>
            </w:tcMar>
            <w:vAlign w:val="center"/>
            <w:hideMark/>
          </w:tcPr>
          <w:p w14:paraId="376802BC" w14:textId="77777777" w:rsidR="00C00201" w:rsidRPr="000E79AA" w:rsidRDefault="00C00201" w:rsidP="004E671C">
            <w:pPr>
              <w:jc w:val="both"/>
              <w:rPr>
                <w:rFonts w:ascii="Times New Roman" w:hAnsi="Times New Roman" w:cs="Times New Roman"/>
                <w:sz w:val="22"/>
                <w:szCs w:val="22"/>
                <w:lang w:val="en-AU"/>
              </w:rPr>
            </w:pPr>
          </w:p>
        </w:tc>
      </w:tr>
      <w:tr w:rsidR="00C00201" w:rsidRPr="000E79AA" w14:paraId="63455AEB" w14:textId="77777777" w:rsidTr="007F3374">
        <w:tc>
          <w:tcPr>
            <w:tcW w:w="2344" w:type="dxa"/>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58850A70" w14:textId="77777777" w:rsidR="00C00201" w:rsidRPr="000E79AA" w:rsidRDefault="00C00201" w:rsidP="003161FC">
            <w:pPr>
              <w:rPr>
                <w:rFonts w:ascii="Times New Roman" w:hAnsi="Times New Roman" w:cs="Times New Roman"/>
                <w:sz w:val="22"/>
                <w:szCs w:val="22"/>
                <w:lang w:val="en-AU"/>
              </w:rPr>
            </w:pPr>
            <w:r w:rsidRPr="000E79AA">
              <w:rPr>
                <w:rFonts w:ascii="Times New Roman" w:hAnsi="Times New Roman" w:cs="Times New Roman"/>
                <w:sz w:val="22"/>
                <w:szCs w:val="22"/>
                <w:lang w:val="en-AU"/>
              </w:rPr>
              <w:t>Levodopa</w:t>
            </w:r>
            <w:r w:rsidR="003161FC" w:rsidRPr="000E79AA">
              <w:rPr>
                <w:rFonts w:ascii="Times New Roman" w:hAnsi="Times New Roman" w:cs="Times New Roman"/>
                <w:sz w:val="22"/>
                <w:szCs w:val="22"/>
                <w:lang w:val="en-AU"/>
              </w:rPr>
              <w:t xml:space="preserve"> </w:t>
            </w:r>
            <w:r w:rsidRPr="000E79AA">
              <w:rPr>
                <w:rFonts w:ascii="Times New Roman" w:hAnsi="Times New Roman" w:cs="Times New Roman"/>
                <w:sz w:val="22"/>
                <w:szCs w:val="22"/>
                <w:lang w:val="en-AU"/>
              </w:rPr>
              <w:t xml:space="preserve">equivalent </w:t>
            </w:r>
            <w:r w:rsidR="00637133" w:rsidRPr="000E79AA">
              <w:rPr>
                <w:rFonts w:ascii="Times New Roman" w:hAnsi="Times New Roman" w:cs="Times New Roman"/>
                <w:sz w:val="22"/>
                <w:szCs w:val="22"/>
                <w:lang w:val="en-AU"/>
              </w:rPr>
              <w:t xml:space="preserve">daily </w:t>
            </w:r>
            <w:r w:rsidRPr="000E79AA">
              <w:rPr>
                <w:rFonts w:ascii="Times New Roman" w:hAnsi="Times New Roman" w:cs="Times New Roman"/>
                <w:sz w:val="22"/>
                <w:szCs w:val="22"/>
                <w:lang w:val="en-AU"/>
              </w:rPr>
              <w:t>dose (mg/day)</w:t>
            </w:r>
          </w:p>
        </w:tc>
        <w:tc>
          <w:tcPr>
            <w:tcW w:w="2477" w:type="dxa"/>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02EE4654" w14:textId="77777777" w:rsidR="00C00201" w:rsidRPr="000E79AA" w:rsidRDefault="00C00201" w:rsidP="004E671C">
            <w:pPr>
              <w:jc w:val="both"/>
              <w:rPr>
                <w:rFonts w:ascii="Times New Roman" w:hAnsi="Times New Roman" w:cs="Times New Roman"/>
                <w:sz w:val="22"/>
                <w:szCs w:val="22"/>
                <w:lang w:val="en-AU"/>
              </w:rPr>
            </w:pPr>
          </w:p>
        </w:tc>
        <w:tc>
          <w:tcPr>
            <w:tcW w:w="1507" w:type="dxa"/>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0A0CBD9D" w14:textId="77777777" w:rsidR="00C00201" w:rsidRPr="000E79AA" w:rsidRDefault="00C00201" w:rsidP="004E671C">
            <w:pPr>
              <w:jc w:val="both"/>
              <w:rPr>
                <w:rFonts w:ascii="Times New Roman" w:hAnsi="Times New Roman" w:cs="Times New Roman"/>
                <w:sz w:val="22"/>
                <w:szCs w:val="22"/>
                <w:lang w:val="en-AU"/>
              </w:rPr>
            </w:pPr>
            <w:r w:rsidRPr="000E79AA">
              <w:rPr>
                <w:rFonts w:ascii="Times New Roman" w:hAnsi="Times New Roman" w:cs="Times New Roman"/>
                <w:sz w:val="22"/>
                <w:szCs w:val="22"/>
                <w:lang w:val="en-AU"/>
              </w:rPr>
              <w:t>6</w:t>
            </w:r>
            <w:r w:rsidR="00B03622" w:rsidRPr="000E79AA">
              <w:rPr>
                <w:rFonts w:ascii="Times New Roman" w:hAnsi="Times New Roman" w:cs="Times New Roman"/>
                <w:sz w:val="22"/>
                <w:szCs w:val="22"/>
                <w:lang w:val="en-AU"/>
              </w:rPr>
              <w:t>44</w:t>
            </w:r>
            <w:r w:rsidRPr="000E79AA">
              <w:rPr>
                <w:rFonts w:ascii="Times New Roman" w:hAnsi="Times New Roman" w:cs="Times New Roman"/>
                <w:sz w:val="22"/>
                <w:szCs w:val="22"/>
                <w:lang w:val="en-AU"/>
              </w:rPr>
              <w:t>.</w:t>
            </w:r>
            <w:r w:rsidR="00B03622" w:rsidRPr="000E79AA">
              <w:rPr>
                <w:rFonts w:ascii="Times New Roman" w:hAnsi="Times New Roman" w:cs="Times New Roman"/>
                <w:sz w:val="22"/>
                <w:szCs w:val="22"/>
                <w:lang w:val="en-AU"/>
              </w:rPr>
              <w:t>55</w:t>
            </w:r>
            <w:r w:rsidRPr="000E79AA">
              <w:rPr>
                <w:rFonts w:ascii="Times New Roman" w:hAnsi="Times New Roman" w:cs="Times New Roman"/>
                <w:sz w:val="22"/>
                <w:szCs w:val="22"/>
                <w:lang w:val="en-AU"/>
              </w:rPr>
              <w:t xml:space="preserve"> (</w:t>
            </w:r>
            <w:r w:rsidR="00B03622" w:rsidRPr="000E79AA">
              <w:rPr>
                <w:rFonts w:ascii="Times New Roman" w:hAnsi="Times New Roman" w:cs="Times New Roman"/>
                <w:sz w:val="22"/>
                <w:szCs w:val="22"/>
                <w:lang w:val="en-AU"/>
              </w:rPr>
              <w:t>492</w:t>
            </w:r>
            <w:r w:rsidRPr="000E79AA">
              <w:rPr>
                <w:rFonts w:ascii="Times New Roman" w:hAnsi="Times New Roman" w:cs="Times New Roman"/>
                <w:sz w:val="22"/>
                <w:szCs w:val="22"/>
                <w:lang w:val="en-AU"/>
              </w:rPr>
              <w:t>.</w:t>
            </w:r>
            <w:r w:rsidR="00B03622" w:rsidRPr="000E79AA">
              <w:rPr>
                <w:rFonts w:ascii="Times New Roman" w:hAnsi="Times New Roman" w:cs="Times New Roman"/>
                <w:sz w:val="22"/>
                <w:szCs w:val="22"/>
                <w:lang w:val="en-AU"/>
              </w:rPr>
              <w:t>81</w:t>
            </w:r>
            <w:r w:rsidRPr="000E79AA">
              <w:rPr>
                <w:rFonts w:ascii="Times New Roman" w:hAnsi="Times New Roman" w:cs="Times New Roman"/>
                <w:sz w:val="22"/>
                <w:szCs w:val="22"/>
                <w:lang w:val="en-AU"/>
              </w:rPr>
              <w:t>)</w:t>
            </w:r>
          </w:p>
        </w:tc>
        <w:tc>
          <w:tcPr>
            <w:tcW w:w="1401" w:type="dxa"/>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25D2F340" w14:textId="77777777" w:rsidR="00C00201" w:rsidRPr="000E79AA" w:rsidRDefault="00C00201" w:rsidP="004E671C">
            <w:pPr>
              <w:jc w:val="both"/>
              <w:rPr>
                <w:rFonts w:ascii="Times New Roman" w:hAnsi="Times New Roman" w:cs="Times New Roman"/>
                <w:sz w:val="22"/>
                <w:szCs w:val="22"/>
                <w:lang w:val="en-AU"/>
              </w:rPr>
            </w:pPr>
          </w:p>
        </w:tc>
        <w:tc>
          <w:tcPr>
            <w:tcW w:w="662" w:type="dxa"/>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28CAA619" w14:textId="77777777" w:rsidR="00C00201" w:rsidRPr="000E79AA" w:rsidRDefault="00C00201" w:rsidP="004E671C">
            <w:pPr>
              <w:jc w:val="both"/>
              <w:rPr>
                <w:rFonts w:ascii="Times New Roman" w:hAnsi="Times New Roman" w:cs="Times New Roman"/>
                <w:sz w:val="22"/>
                <w:szCs w:val="22"/>
                <w:lang w:val="en-AU"/>
              </w:rPr>
            </w:pPr>
          </w:p>
        </w:tc>
        <w:tc>
          <w:tcPr>
            <w:tcW w:w="0" w:type="auto"/>
            <w:tcBorders>
              <w:top w:val="single" w:sz="6" w:space="0" w:color="A6A6A6"/>
              <w:bottom w:val="single" w:sz="12" w:space="0" w:color="auto"/>
            </w:tcBorders>
            <w:shd w:val="clear" w:color="auto" w:fill="auto"/>
            <w:tcMar>
              <w:top w:w="120" w:type="dxa"/>
              <w:left w:w="120" w:type="dxa"/>
              <w:bottom w:w="120" w:type="dxa"/>
              <w:right w:w="120" w:type="dxa"/>
            </w:tcMar>
            <w:vAlign w:val="center"/>
            <w:hideMark/>
          </w:tcPr>
          <w:p w14:paraId="0152DF18" w14:textId="77777777" w:rsidR="00C00201" w:rsidRPr="000E79AA" w:rsidRDefault="00C00201" w:rsidP="004E671C">
            <w:pPr>
              <w:jc w:val="both"/>
              <w:rPr>
                <w:rFonts w:ascii="Times New Roman" w:hAnsi="Times New Roman" w:cs="Times New Roman"/>
                <w:sz w:val="22"/>
                <w:szCs w:val="22"/>
                <w:lang w:val="en-AU"/>
              </w:rPr>
            </w:pPr>
          </w:p>
        </w:tc>
      </w:tr>
    </w:tbl>
    <w:p w14:paraId="76BDDE98" w14:textId="77777777" w:rsidR="007F1663" w:rsidRPr="000E79AA" w:rsidRDefault="007F1663" w:rsidP="004E671C">
      <w:pPr>
        <w:jc w:val="both"/>
        <w:rPr>
          <w:rFonts w:ascii="Times New Roman" w:hAnsi="Times New Roman" w:cs="Times New Roman"/>
          <w:lang w:val="en-AU"/>
        </w:rPr>
      </w:pPr>
    </w:p>
    <w:p w14:paraId="6D116C85" w14:textId="77777777" w:rsidR="00E969E7" w:rsidRPr="000E79AA" w:rsidRDefault="00E969E7" w:rsidP="004E671C">
      <w:pPr>
        <w:spacing w:line="360" w:lineRule="auto"/>
        <w:jc w:val="both"/>
        <w:rPr>
          <w:rFonts w:ascii="Times New Roman" w:hAnsi="Times New Roman" w:cs="Times New Roman"/>
          <w:b/>
          <w:i/>
          <w:iCs/>
          <w:lang w:val="en-AU"/>
        </w:rPr>
      </w:pPr>
    </w:p>
    <w:p w14:paraId="507D1B88" w14:textId="77777777" w:rsidR="006B6C60" w:rsidRPr="000E79AA" w:rsidRDefault="00985076" w:rsidP="004E671C">
      <w:pPr>
        <w:spacing w:line="360" w:lineRule="auto"/>
        <w:jc w:val="both"/>
        <w:rPr>
          <w:rFonts w:ascii="Times New Roman" w:hAnsi="Times New Roman" w:cs="Times New Roman"/>
          <w:b/>
          <w:i/>
          <w:iCs/>
          <w:lang w:val="en-AU"/>
        </w:rPr>
      </w:pPr>
      <w:r w:rsidRPr="000E79AA">
        <w:rPr>
          <w:rFonts w:ascii="Times New Roman" w:hAnsi="Times New Roman" w:cs="Times New Roman"/>
          <w:b/>
          <w:i/>
          <w:iCs/>
          <w:lang w:val="en-AU"/>
        </w:rPr>
        <w:t>Locus coeruleus integrity</w:t>
      </w:r>
    </w:p>
    <w:p w14:paraId="728B95DD" w14:textId="04D9F54E" w:rsidR="00CC7D7C" w:rsidRPr="000E79AA" w:rsidRDefault="001751A7" w:rsidP="00133E4D">
      <w:pPr>
        <w:spacing w:line="360" w:lineRule="auto"/>
        <w:jc w:val="both"/>
        <w:rPr>
          <w:rFonts w:ascii="Times New Roman" w:hAnsi="Times New Roman" w:cs="Times New Roman"/>
          <w:lang w:val="en-AU"/>
        </w:rPr>
      </w:pPr>
      <w:r w:rsidRPr="000E79AA">
        <w:rPr>
          <w:rFonts w:ascii="Times New Roman" w:hAnsi="Times New Roman" w:cs="Times New Roman"/>
          <w:bCs/>
          <w:lang w:val="en-AU"/>
        </w:rPr>
        <w:t xml:space="preserve">Figure </w:t>
      </w:r>
      <w:r w:rsidR="00AC41F3" w:rsidRPr="000E79AA">
        <w:rPr>
          <w:rFonts w:ascii="Times New Roman" w:hAnsi="Times New Roman" w:cs="Times New Roman"/>
          <w:bCs/>
          <w:lang w:val="en-AU"/>
        </w:rPr>
        <w:t>2</w:t>
      </w:r>
      <w:r w:rsidR="00503F17" w:rsidRPr="000E79AA">
        <w:rPr>
          <w:rFonts w:ascii="Times New Roman" w:hAnsi="Times New Roman" w:cs="Times New Roman"/>
          <w:bCs/>
          <w:lang w:val="en-AU"/>
        </w:rPr>
        <w:t>B</w:t>
      </w:r>
      <w:r w:rsidRPr="000E79AA">
        <w:rPr>
          <w:rFonts w:ascii="Times New Roman" w:hAnsi="Times New Roman" w:cs="Times New Roman"/>
          <w:bCs/>
          <w:lang w:val="en-AU"/>
        </w:rPr>
        <w:t xml:space="preserve"> shows comparisons of </w:t>
      </w:r>
      <w:r w:rsidR="00D45647" w:rsidRPr="000E79AA">
        <w:rPr>
          <w:rFonts w:ascii="Times New Roman" w:hAnsi="Times New Roman" w:cs="Times New Roman"/>
          <w:bCs/>
          <w:lang w:val="en-AU"/>
        </w:rPr>
        <w:t>locus coeruleus CNR between the patients and controls</w:t>
      </w:r>
      <w:r w:rsidR="004A34A8" w:rsidRPr="000E79AA">
        <w:rPr>
          <w:rFonts w:ascii="Times New Roman" w:hAnsi="Times New Roman" w:cs="Times New Roman"/>
          <w:bCs/>
          <w:lang w:val="en-AU"/>
        </w:rPr>
        <w:t xml:space="preserve">. When comparing across the whole structure, the groups were not significantly different </w:t>
      </w:r>
      <w:r w:rsidR="004A34A8" w:rsidRPr="000E79AA">
        <w:rPr>
          <w:rFonts w:ascii="Times New Roman" w:hAnsi="Times New Roman" w:cs="Times New Roman"/>
          <w:lang w:val="en-AU"/>
        </w:rPr>
        <w:t>(</w:t>
      </w:r>
      <w:r w:rsidR="004A34A8" w:rsidRPr="000E79AA">
        <w:rPr>
          <w:rFonts w:ascii="Times New Roman" w:hAnsi="Times New Roman" w:cs="Times New Roman"/>
          <w:i/>
          <w:lang w:val="en-AU"/>
        </w:rPr>
        <w:t>t</w:t>
      </w:r>
      <w:r w:rsidR="004A34A8" w:rsidRPr="000E79AA">
        <w:rPr>
          <w:rFonts w:ascii="Times New Roman" w:hAnsi="Times New Roman" w:cs="Times New Roman"/>
          <w:vertAlign w:val="subscript"/>
          <w:lang w:val="en-AU"/>
        </w:rPr>
        <w:t>(</w:t>
      </w:r>
      <w:r w:rsidR="000918B2" w:rsidRPr="000E79AA">
        <w:rPr>
          <w:rFonts w:ascii="Times New Roman" w:hAnsi="Times New Roman" w:cs="Times New Roman"/>
          <w:vertAlign w:val="subscript"/>
          <w:lang w:val="en-AU"/>
        </w:rPr>
        <w:t>36.98</w:t>
      </w:r>
      <w:r w:rsidR="004A34A8" w:rsidRPr="000E79AA">
        <w:rPr>
          <w:rFonts w:ascii="Times New Roman" w:hAnsi="Times New Roman" w:cs="Times New Roman"/>
          <w:vertAlign w:val="subscript"/>
          <w:lang w:val="en-AU"/>
        </w:rPr>
        <w:t>)</w:t>
      </w:r>
      <w:r w:rsidR="004A34A8" w:rsidRPr="000E79AA">
        <w:rPr>
          <w:rFonts w:ascii="Times New Roman" w:hAnsi="Times New Roman" w:cs="Times New Roman"/>
          <w:lang w:val="en-AU"/>
        </w:rPr>
        <w:t xml:space="preserve"> = </w:t>
      </w:r>
      <w:r w:rsidR="000918B2" w:rsidRPr="000E79AA">
        <w:rPr>
          <w:rFonts w:ascii="Times New Roman" w:hAnsi="Times New Roman" w:cs="Times New Roman"/>
          <w:lang w:val="en-AU"/>
        </w:rPr>
        <w:t>1.27</w:t>
      </w:r>
      <w:r w:rsidR="004A34A8" w:rsidRPr="000E79AA">
        <w:rPr>
          <w:rFonts w:ascii="Times New Roman" w:hAnsi="Times New Roman" w:cs="Times New Roman"/>
          <w:lang w:val="en-AU"/>
        </w:rPr>
        <w:t xml:space="preserve">, </w:t>
      </w:r>
      <w:r w:rsidR="004A34A8" w:rsidRPr="000E79AA">
        <w:rPr>
          <w:rFonts w:ascii="Times New Roman" w:hAnsi="Times New Roman" w:cs="Times New Roman"/>
          <w:i/>
          <w:lang w:val="en-AU"/>
        </w:rPr>
        <w:t>p</w:t>
      </w:r>
      <w:r w:rsidR="004A34A8" w:rsidRPr="000E79AA">
        <w:rPr>
          <w:rFonts w:ascii="Times New Roman" w:hAnsi="Times New Roman" w:cs="Times New Roman"/>
          <w:lang w:val="en-AU"/>
        </w:rPr>
        <w:t xml:space="preserve"> = </w:t>
      </w:r>
      <w:r w:rsidR="000918B2" w:rsidRPr="000E79AA">
        <w:rPr>
          <w:rFonts w:ascii="Times New Roman" w:hAnsi="Times New Roman" w:cs="Times New Roman"/>
          <w:lang w:val="en-AU"/>
        </w:rPr>
        <w:t>0.21</w:t>
      </w:r>
      <w:r w:rsidR="004A34A8" w:rsidRPr="000E79AA">
        <w:rPr>
          <w:rFonts w:ascii="Times New Roman" w:hAnsi="Times New Roman" w:cs="Times New Roman"/>
          <w:lang w:val="en-AU"/>
        </w:rPr>
        <w:t>, BF = 0.</w:t>
      </w:r>
      <w:r w:rsidR="00597644" w:rsidRPr="000E79AA">
        <w:rPr>
          <w:rFonts w:ascii="Times New Roman" w:hAnsi="Times New Roman" w:cs="Times New Roman"/>
          <w:lang w:val="en-AU"/>
        </w:rPr>
        <w:t>58</w:t>
      </w:r>
      <w:r w:rsidR="004A34A8" w:rsidRPr="000E79AA">
        <w:rPr>
          <w:rFonts w:ascii="Times New Roman" w:hAnsi="Times New Roman" w:cs="Times New Roman"/>
          <w:lang w:val="en-AU"/>
        </w:rPr>
        <w:t>)</w:t>
      </w:r>
      <w:r w:rsidR="00597644" w:rsidRPr="000E79AA">
        <w:rPr>
          <w:rFonts w:ascii="Times New Roman" w:hAnsi="Times New Roman" w:cs="Times New Roman"/>
          <w:lang w:val="en-AU"/>
        </w:rPr>
        <w:t xml:space="preserve">. </w:t>
      </w:r>
      <w:r w:rsidR="00D14FA8" w:rsidRPr="000E79AA">
        <w:rPr>
          <w:rFonts w:ascii="Times New Roman" w:hAnsi="Times New Roman" w:cs="Times New Roman"/>
          <w:lang w:val="en-AU"/>
        </w:rPr>
        <w:t>C</w:t>
      </w:r>
      <w:r w:rsidR="00597644" w:rsidRPr="000E79AA">
        <w:rPr>
          <w:rFonts w:ascii="Times New Roman" w:hAnsi="Times New Roman" w:cs="Times New Roman"/>
          <w:lang w:val="en-AU"/>
        </w:rPr>
        <w:t xml:space="preserve">omparing across </w:t>
      </w:r>
      <w:r w:rsidR="00597644" w:rsidRPr="000E79AA">
        <w:rPr>
          <w:rFonts w:ascii="Times New Roman" w:hAnsi="Times New Roman" w:cs="Times New Roman"/>
          <w:bCs/>
          <w:lang w:val="en-AU"/>
        </w:rPr>
        <w:t xml:space="preserve">the rostral, middle and caudal subdivisions, </w:t>
      </w:r>
      <w:r w:rsidR="0043470B" w:rsidRPr="000E79AA">
        <w:rPr>
          <w:rFonts w:ascii="Times New Roman" w:hAnsi="Times New Roman" w:cs="Times New Roman"/>
          <w:bCs/>
          <w:lang w:val="en-AU"/>
        </w:rPr>
        <w:t xml:space="preserve">there was </w:t>
      </w:r>
      <w:r w:rsidR="0043470B" w:rsidRPr="000E79AA">
        <w:rPr>
          <w:rFonts w:ascii="Times New Roman" w:hAnsi="Times New Roman" w:cs="Times New Roman"/>
          <w:bCs/>
          <w:lang w:val="en-AU"/>
        </w:rPr>
        <w:lastRenderedPageBreak/>
        <w:t xml:space="preserve">a main effect of subdivision </w:t>
      </w:r>
      <w:r w:rsidR="0043470B" w:rsidRPr="000E79AA">
        <w:rPr>
          <w:rFonts w:ascii="Times New Roman" w:eastAsia="Times New Roman" w:hAnsi="Times New Roman" w:cs="Times New Roman"/>
          <w:lang w:val="en-AU" w:eastAsia="en-GB"/>
        </w:rPr>
        <w:t>(</w:t>
      </w:r>
      <w:r w:rsidR="0043470B" w:rsidRPr="000E79AA">
        <w:rPr>
          <w:rFonts w:ascii="Times New Roman" w:eastAsia="Times New Roman" w:hAnsi="Times New Roman" w:cs="Times New Roman"/>
          <w:i/>
          <w:lang w:val="en-AU" w:eastAsia="en-GB"/>
        </w:rPr>
        <w:t>F</w:t>
      </w:r>
      <w:r w:rsidR="0043470B" w:rsidRPr="000E79AA">
        <w:rPr>
          <w:rFonts w:ascii="Times New Roman" w:eastAsia="Times New Roman" w:hAnsi="Times New Roman" w:cs="Times New Roman"/>
          <w:vertAlign w:val="subscript"/>
          <w:lang w:val="en-AU" w:eastAsia="en-GB"/>
        </w:rPr>
        <w:t>(</w:t>
      </w:r>
      <w:r w:rsidR="001F4A50" w:rsidRPr="000E79AA">
        <w:rPr>
          <w:rFonts w:ascii="Times New Roman" w:eastAsia="Times New Roman" w:hAnsi="Times New Roman" w:cs="Times New Roman"/>
          <w:vertAlign w:val="subscript"/>
          <w:lang w:val="en-AU" w:eastAsia="en-GB"/>
        </w:rPr>
        <w:t>1.27</w:t>
      </w:r>
      <w:r w:rsidR="0043470B" w:rsidRPr="000E79AA">
        <w:rPr>
          <w:rFonts w:ascii="Times New Roman" w:eastAsia="Times New Roman" w:hAnsi="Times New Roman" w:cs="Times New Roman"/>
          <w:vertAlign w:val="subscript"/>
          <w:lang w:val="en-AU" w:eastAsia="en-GB"/>
        </w:rPr>
        <w:t xml:space="preserve">, </w:t>
      </w:r>
      <w:r w:rsidR="001F4A50" w:rsidRPr="000E79AA">
        <w:rPr>
          <w:rFonts w:ascii="Times New Roman" w:eastAsia="Times New Roman" w:hAnsi="Times New Roman" w:cs="Times New Roman"/>
          <w:vertAlign w:val="subscript"/>
          <w:lang w:val="en-AU" w:eastAsia="en-GB"/>
        </w:rPr>
        <w:t>52.22</w:t>
      </w:r>
      <w:r w:rsidR="0043470B" w:rsidRPr="000E79AA">
        <w:rPr>
          <w:rFonts w:ascii="Times New Roman" w:eastAsia="Times New Roman" w:hAnsi="Times New Roman" w:cs="Times New Roman"/>
          <w:vertAlign w:val="subscript"/>
          <w:lang w:val="en-AU" w:eastAsia="en-GB"/>
        </w:rPr>
        <w:t>)</w:t>
      </w:r>
      <w:r w:rsidR="0043470B" w:rsidRPr="000E79AA">
        <w:rPr>
          <w:rFonts w:ascii="Times New Roman" w:eastAsia="Times New Roman" w:hAnsi="Times New Roman" w:cs="Times New Roman"/>
          <w:lang w:val="en-AU" w:eastAsia="en-GB"/>
        </w:rPr>
        <w:t xml:space="preserve"> = </w:t>
      </w:r>
      <w:r w:rsidR="001F4A50" w:rsidRPr="000E79AA">
        <w:rPr>
          <w:rFonts w:ascii="Times New Roman" w:eastAsia="Times New Roman" w:hAnsi="Times New Roman" w:cs="Times New Roman"/>
          <w:lang w:val="en-AU" w:eastAsia="en-GB"/>
        </w:rPr>
        <w:t>54.57</w:t>
      </w:r>
      <w:r w:rsidR="0043470B" w:rsidRPr="000E79AA">
        <w:rPr>
          <w:rFonts w:ascii="Times New Roman" w:eastAsia="Times New Roman" w:hAnsi="Times New Roman" w:cs="Times New Roman"/>
          <w:lang w:val="en-AU" w:eastAsia="en-GB"/>
        </w:rPr>
        <w:t xml:space="preserve">, </w:t>
      </w:r>
      <w:r w:rsidR="0043470B" w:rsidRPr="000E79AA">
        <w:rPr>
          <w:rFonts w:ascii="Times New Roman" w:eastAsia="Times New Roman" w:hAnsi="Times New Roman" w:cs="Times New Roman"/>
          <w:i/>
          <w:lang w:val="en-AU" w:eastAsia="en-GB"/>
        </w:rPr>
        <w:t>p</w:t>
      </w:r>
      <w:r w:rsidR="0043470B" w:rsidRPr="000E79AA">
        <w:rPr>
          <w:rFonts w:ascii="Times New Roman" w:eastAsia="Times New Roman" w:hAnsi="Times New Roman" w:cs="Times New Roman"/>
          <w:lang w:val="en-AU" w:eastAsia="en-GB"/>
        </w:rPr>
        <w:t xml:space="preserve"> </w:t>
      </w:r>
      <w:r w:rsidR="001F4A50" w:rsidRPr="000E79AA">
        <w:rPr>
          <w:rFonts w:ascii="Times New Roman" w:hAnsi="Times New Roman" w:cs="Times New Roman"/>
          <w:bCs/>
          <w:lang w:val="en-AU"/>
        </w:rPr>
        <w:t>&lt;.001</w:t>
      </w:r>
      <w:r w:rsidR="0043470B" w:rsidRPr="000E79AA">
        <w:rPr>
          <w:rFonts w:ascii="Times New Roman" w:eastAsia="Times New Roman" w:hAnsi="Times New Roman" w:cs="Times New Roman"/>
          <w:lang w:val="en-AU" w:eastAsia="en-GB"/>
        </w:rPr>
        <w:t xml:space="preserve">; BF = </w:t>
      </w:r>
      <w:r w:rsidR="00495FD8" w:rsidRPr="000E79AA">
        <w:rPr>
          <w:rFonts w:ascii="Times New Roman" w:eastAsia="Times New Roman" w:hAnsi="Times New Roman" w:cs="Times New Roman"/>
          <w:lang w:val="en-AU" w:eastAsia="en-GB"/>
        </w:rPr>
        <w:t>5.28 × 10</w:t>
      </w:r>
      <w:r w:rsidR="00495FD8" w:rsidRPr="000E79AA">
        <w:rPr>
          <w:rFonts w:ascii="Times New Roman" w:eastAsia="Times New Roman" w:hAnsi="Times New Roman" w:cs="Times New Roman"/>
          <w:vertAlign w:val="superscript"/>
          <w:lang w:val="en-AU" w:eastAsia="en-GB"/>
        </w:rPr>
        <w:t>10</w:t>
      </w:r>
      <w:r w:rsidR="0043470B" w:rsidRPr="000E79AA">
        <w:rPr>
          <w:rFonts w:ascii="Times New Roman" w:eastAsia="Times New Roman" w:hAnsi="Times New Roman" w:cs="Times New Roman"/>
          <w:lang w:val="en-AU" w:eastAsia="en-GB"/>
        </w:rPr>
        <w:t>)</w:t>
      </w:r>
      <w:r w:rsidR="00E37EDA" w:rsidRPr="000E79AA">
        <w:rPr>
          <w:rFonts w:ascii="Times New Roman" w:eastAsia="Times New Roman" w:hAnsi="Times New Roman" w:cs="Times New Roman"/>
          <w:lang w:val="en-AU" w:eastAsia="en-GB"/>
        </w:rPr>
        <w:t>.</w:t>
      </w:r>
      <w:r w:rsidR="00797FF4" w:rsidRPr="000E79AA">
        <w:rPr>
          <w:rFonts w:ascii="Times New Roman" w:eastAsia="Times New Roman" w:hAnsi="Times New Roman" w:cs="Times New Roman"/>
          <w:lang w:val="en-AU" w:eastAsia="en-GB"/>
        </w:rPr>
        <w:t xml:space="preserve"> This was driven by CNR in the caudal portion being significantly lower than</w:t>
      </w:r>
      <w:r w:rsidR="00714E7B" w:rsidRPr="000E79AA">
        <w:rPr>
          <w:rFonts w:ascii="Times New Roman" w:eastAsia="Times New Roman" w:hAnsi="Times New Roman" w:cs="Times New Roman"/>
          <w:lang w:val="en-AU" w:eastAsia="en-GB"/>
        </w:rPr>
        <w:t xml:space="preserve"> both the middle</w:t>
      </w:r>
      <w:r w:rsidR="00797FF4" w:rsidRPr="000E79AA">
        <w:rPr>
          <w:rFonts w:ascii="Times New Roman" w:eastAsia="Times New Roman" w:hAnsi="Times New Roman" w:cs="Times New Roman"/>
          <w:lang w:val="en-AU" w:eastAsia="en-GB"/>
        </w:rPr>
        <w:t xml:space="preserve"> </w:t>
      </w:r>
      <w:r w:rsidR="00797FF4" w:rsidRPr="000E79AA">
        <w:rPr>
          <w:rFonts w:ascii="Times New Roman" w:hAnsi="Times New Roman" w:cs="Times New Roman"/>
          <w:lang w:val="en-AU"/>
        </w:rPr>
        <w:t>(</w:t>
      </w:r>
      <w:r w:rsidR="00797FF4" w:rsidRPr="000E79AA">
        <w:rPr>
          <w:rFonts w:ascii="Times New Roman" w:hAnsi="Times New Roman" w:cs="Times New Roman"/>
          <w:i/>
          <w:lang w:val="en-AU"/>
        </w:rPr>
        <w:t>t</w:t>
      </w:r>
      <w:r w:rsidR="00797FF4" w:rsidRPr="000E79AA">
        <w:rPr>
          <w:rFonts w:ascii="Times New Roman" w:hAnsi="Times New Roman" w:cs="Times New Roman"/>
          <w:vertAlign w:val="subscript"/>
          <w:lang w:val="en-AU"/>
        </w:rPr>
        <w:t>(</w:t>
      </w:r>
      <w:r w:rsidR="00714E7B" w:rsidRPr="000E79AA">
        <w:rPr>
          <w:rFonts w:ascii="Times New Roman" w:hAnsi="Times New Roman" w:cs="Times New Roman"/>
          <w:vertAlign w:val="subscript"/>
          <w:lang w:val="en-AU"/>
        </w:rPr>
        <w:t>82</w:t>
      </w:r>
      <w:r w:rsidR="00797FF4" w:rsidRPr="000E79AA">
        <w:rPr>
          <w:rFonts w:ascii="Times New Roman" w:hAnsi="Times New Roman" w:cs="Times New Roman"/>
          <w:vertAlign w:val="subscript"/>
          <w:lang w:val="en-AU"/>
        </w:rPr>
        <w:t>)</w:t>
      </w:r>
      <w:r w:rsidR="00797FF4" w:rsidRPr="000E79AA">
        <w:rPr>
          <w:rFonts w:ascii="Times New Roman" w:hAnsi="Times New Roman" w:cs="Times New Roman"/>
          <w:lang w:val="en-AU"/>
        </w:rPr>
        <w:t xml:space="preserve"> = </w:t>
      </w:r>
      <w:r w:rsidR="00714E7B" w:rsidRPr="000E79AA">
        <w:rPr>
          <w:rFonts w:ascii="Times New Roman" w:hAnsi="Times New Roman" w:cs="Times New Roman"/>
          <w:lang w:val="en-AU"/>
        </w:rPr>
        <w:t>7.37</w:t>
      </w:r>
      <w:r w:rsidR="00797FF4" w:rsidRPr="000E79AA">
        <w:rPr>
          <w:rFonts w:ascii="Times New Roman" w:hAnsi="Times New Roman" w:cs="Times New Roman"/>
          <w:lang w:val="en-AU"/>
        </w:rPr>
        <w:t xml:space="preserve">, </w:t>
      </w:r>
      <w:r w:rsidR="00797FF4" w:rsidRPr="000E79AA">
        <w:rPr>
          <w:rFonts w:ascii="Times New Roman" w:hAnsi="Times New Roman" w:cs="Times New Roman"/>
          <w:i/>
          <w:lang w:val="en-AU"/>
        </w:rPr>
        <w:t>p</w:t>
      </w:r>
      <w:r w:rsidR="00797FF4" w:rsidRPr="000E79AA">
        <w:rPr>
          <w:rFonts w:ascii="Times New Roman" w:hAnsi="Times New Roman" w:cs="Times New Roman"/>
          <w:lang w:val="en-AU"/>
        </w:rPr>
        <w:t xml:space="preserve"> </w:t>
      </w:r>
      <w:r w:rsidR="00714E7B" w:rsidRPr="000E79AA">
        <w:rPr>
          <w:rFonts w:ascii="Times New Roman" w:eastAsia="Times New Roman" w:hAnsi="Times New Roman" w:cs="Times New Roman"/>
          <w:lang w:val="en-AU" w:eastAsia="en-GB"/>
        </w:rPr>
        <w:t>&lt;.0001</w:t>
      </w:r>
      <w:r w:rsidR="00797FF4" w:rsidRPr="000E79AA">
        <w:rPr>
          <w:rFonts w:ascii="Times New Roman" w:hAnsi="Times New Roman" w:cs="Times New Roman"/>
          <w:lang w:val="en-AU"/>
        </w:rPr>
        <w:t>)</w:t>
      </w:r>
      <w:r w:rsidR="00714E7B" w:rsidRPr="000E79AA">
        <w:rPr>
          <w:rFonts w:ascii="Times New Roman" w:hAnsi="Times New Roman" w:cs="Times New Roman"/>
          <w:lang w:val="en-AU"/>
        </w:rPr>
        <w:t xml:space="preserve"> and rostral</w:t>
      </w:r>
      <w:r w:rsidR="00797FF4" w:rsidRPr="000E79AA">
        <w:rPr>
          <w:rFonts w:ascii="Times New Roman" w:hAnsi="Times New Roman" w:cs="Times New Roman"/>
          <w:lang w:val="en-AU"/>
        </w:rPr>
        <w:t xml:space="preserve"> </w:t>
      </w:r>
      <w:r w:rsidR="00714E7B" w:rsidRPr="000E79AA">
        <w:rPr>
          <w:rFonts w:ascii="Times New Roman" w:hAnsi="Times New Roman" w:cs="Times New Roman"/>
          <w:lang w:val="en-AU"/>
        </w:rPr>
        <w:t>(</w:t>
      </w:r>
      <w:r w:rsidR="00714E7B" w:rsidRPr="000E79AA">
        <w:rPr>
          <w:rFonts w:ascii="Times New Roman" w:hAnsi="Times New Roman" w:cs="Times New Roman"/>
          <w:i/>
          <w:lang w:val="en-AU"/>
        </w:rPr>
        <w:t>t</w:t>
      </w:r>
      <w:r w:rsidR="00714E7B" w:rsidRPr="000E79AA">
        <w:rPr>
          <w:rFonts w:ascii="Times New Roman" w:hAnsi="Times New Roman" w:cs="Times New Roman"/>
          <w:vertAlign w:val="subscript"/>
          <w:lang w:val="en-AU"/>
        </w:rPr>
        <w:t>(82)</w:t>
      </w:r>
      <w:r w:rsidR="00714E7B" w:rsidRPr="000E79AA">
        <w:rPr>
          <w:rFonts w:ascii="Times New Roman" w:hAnsi="Times New Roman" w:cs="Times New Roman"/>
          <w:lang w:val="en-AU"/>
        </w:rPr>
        <w:t xml:space="preserve"> = </w:t>
      </w:r>
      <w:r w:rsidR="00F22071" w:rsidRPr="000E79AA">
        <w:rPr>
          <w:rFonts w:ascii="Times New Roman" w:hAnsi="Times New Roman" w:cs="Times New Roman"/>
          <w:lang w:val="en-AU"/>
        </w:rPr>
        <w:t>10.10</w:t>
      </w:r>
      <w:r w:rsidR="00714E7B" w:rsidRPr="000E79AA">
        <w:rPr>
          <w:rFonts w:ascii="Times New Roman" w:hAnsi="Times New Roman" w:cs="Times New Roman"/>
          <w:lang w:val="en-AU"/>
        </w:rPr>
        <w:t xml:space="preserve">, </w:t>
      </w:r>
      <w:r w:rsidR="00714E7B" w:rsidRPr="000E79AA">
        <w:rPr>
          <w:rFonts w:ascii="Times New Roman" w:hAnsi="Times New Roman" w:cs="Times New Roman"/>
          <w:i/>
          <w:lang w:val="en-AU"/>
        </w:rPr>
        <w:t>p</w:t>
      </w:r>
      <w:r w:rsidR="00714E7B" w:rsidRPr="000E79AA">
        <w:rPr>
          <w:rFonts w:ascii="Times New Roman" w:hAnsi="Times New Roman" w:cs="Times New Roman"/>
          <w:lang w:val="en-AU"/>
        </w:rPr>
        <w:t xml:space="preserve"> </w:t>
      </w:r>
      <w:r w:rsidR="00714E7B" w:rsidRPr="000E79AA">
        <w:rPr>
          <w:rFonts w:ascii="Times New Roman" w:eastAsia="Times New Roman" w:hAnsi="Times New Roman" w:cs="Times New Roman"/>
          <w:lang w:val="en-AU" w:eastAsia="en-GB"/>
        </w:rPr>
        <w:t>&lt;.0001</w:t>
      </w:r>
      <w:r w:rsidR="00714E7B" w:rsidRPr="000E79AA">
        <w:rPr>
          <w:rFonts w:ascii="Times New Roman" w:hAnsi="Times New Roman" w:cs="Times New Roman"/>
          <w:lang w:val="en-AU"/>
        </w:rPr>
        <w:t>) portions.</w:t>
      </w:r>
      <w:r w:rsidR="009377C4" w:rsidRPr="000E79AA">
        <w:rPr>
          <w:rFonts w:ascii="Times New Roman" w:hAnsi="Times New Roman" w:cs="Times New Roman"/>
          <w:lang w:val="en-AU"/>
        </w:rPr>
        <w:t xml:space="preserve"> There was a significant group by subdivision interaction </w:t>
      </w:r>
      <w:r w:rsidR="009377C4" w:rsidRPr="000E79AA">
        <w:rPr>
          <w:rFonts w:ascii="Times New Roman" w:eastAsia="Times New Roman" w:hAnsi="Times New Roman" w:cs="Times New Roman"/>
          <w:lang w:val="en-AU" w:eastAsia="en-GB"/>
        </w:rPr>
        <w:t>(</w:t>
      </w:r>
      <w:r w:rsidR="009377C4" w:rsidRPr="000E79AA">
        <w:rPr>
          <w:rFonts w:ascii="Times New Roman" w:eastAsia="Times New Roman" w:hAnsi="Times New Roman" w:cs="Times New Roman"/>
          <w:i/>
          <w:lang w:val="en-AU" w:eastAsia="en-GB"/>
        </w:rPr>
        <w:t>F</w:t>
      </w:r>
      <w:r w:rsidR="009377C4" w:rsidRPr="000E79AA">
        <w:rPr>
          <w:rFonts w:ascii="Times New Roman" w:eastAsia="Times New Roman" w:hAnsi="Times New Roman" w:cs="Times New Roman"/>
          <w:vertAlign w:val="subscript"/>
          <w:lang w:val="en-AU" w:eastAsia="en-GB"/>
        </w:rPr>
        <w:t>(1.27, 52.22)</w:t>
      </w:r>
      <w:r w:rsidR="009377C4" w:rsidRPr="000E79AA">
        <w:rPr>
          <w:rFonts w:ascii="Times New Roman" w:eastAsia="Times New Roman" w:hAnsi="Times New Roman" w:cs="Times New Roman"/>
          <w:lang w:val="en-AU" w:eastAsia="en-GB"/>
        </w:rPr>
        <w:t xml:space="preserve"> = </w:t>
      </w:r>
      <w:r w:rsidR="006C42DD" w:rsidRPr="000E79AA">
        <w:rPr>
          <w:rFonts w:ascii="Times New Roman" w:eastAsia="Times New Roman" w:hAnsi="Times New Roman" w:cs="Times New Roman"/>
          <w:lang w:val="en-AU" w:eastAsia="en-GB"/>
        </w:rPr>
        <w:t>7.89</w:t>
      </w:r>
      <w:r w:rsidR="009377C4" w:rsidRPr="000E79AA">
        <w:rPr>
          <w:rFonts w:ascii="Times New Roman" w:eastAsia="Times New Roman" w:hAnsi="Times New Roman" w:cs="Times New Roman"/>
          <w:lang w:val="en-AU" w:eastAsia="en-GB"/>
        </w:rPr>
        <w:t xml:space="preserve">, </w:t>
      </w:r>
      <w:r w:rsidR="009377C4" w:rsidRPr="000E79AA">
        <w:rPr>
          <w:rFonts w:ascii="Times New Roman" w:eastAsia="Times New Roman" w:hAnsi="Times New Roman" w:cs="Times New Roman"/>
          <w:i/>
          <w:lang w:val="en-AU" w:eastAsia="en-GB"/>
        </w:rPr>
        <w:t>p</w:t>
      </w:r>
      <w:r w:rsidR="009377C4" w:rsidRPr="000E79AA">
        <w:rPr>
          <w:rFonts w:ascii="Times New Roman" w:eastAsia="Times New Roman" w:hAnsi="Times New Roman" w:cs="Times New Roman"/>
          <w:lang w:val="en-AU" w:eastAsia="en-GB"/>
        </w:rPr>
        <w:t xml:space="preserve"> </w:t>
      </w:r>
      <w:r w:rsidR="006C42DD" w:rsidRPr="000E79AA">
        <w:rPr>
          <w:rFonts w:ascii="Times New Roman" w:hAnsi="Times New Roman" w:cs="Times New Roman"/>
          <w:bCs/>
          <w:lang w:val="en-AU"/>
        </w:rPr>
        <w:t xml:space="preserve">= </w:t>
      </w:r>
      <w:r w:rsidR="009377C4" w:rsidRPr="000E79AA">
        <w:rPr>
          <w:rFonts w:ascii="Times New Roman" w:hAnsi="Times New Roman" w:cs="Times New Roman"/>
          <w:bCs/>
          <w:lang w:val="en-AU"/>
        </w:rPr>
        <w:t>00</w:t>
      </w:r>
      <w:r w:rsidR="006C42DD" w:rsidRPr="000E79AA">
        <w:rPr>
          <w:rFonts w:ascii="Times New Roman" w:hAnsi="Times New Roman" w:cs="Times New Roman"/>
          <w:bCs/>
          <w:lang w:val="en-AU"/>
        </w:rPr>
        <w:t>4</w:t>
      </w:r>
      <w:r w:rsidR="009377C4" w:rsidRPr="000E79AA">
        <w:rPr>
          <w:rFonts w:ascii="Times New Roman" w:eastAsia="Times New Roman" w:hAnsi="Times New Roman" w:cs="Times New Roman"/>
          <w:lang w:val="en-AU" w:eastAsia="en-GB"/>
        </w:rPr>
        <w:t>; BF =</w:t>
      </w:r>
      <w:r w:rsidR="00714E7B" w:rsidRPr="000E79AA">
        <w:rPr>
          <w:rFonts w:ascii="Times New Roman" w:hAnsi="Times New Roman" w:cs="Times New Roman"/>
          <w:lang w:val="en-AU"/>
        </w:rPr>
        <w:t xml:space="preserve"> </w:t>
      </w:r>
      <w:r w:rsidR="00283814" w:rsidRPr="000E79AA">
        <w:rPr>
          <w:rFonts w:ascii="Times New Roman" w:hAnsi="Times New Roman" w:cs="Times New Roman"/>
          <w:lang w:val="en-AU"/>
        </w:rPr>
        <w:t>32.98</w:t>
      </w:r>
      <w:r w:rsidR="006C42DD" w:rsidRPr="000E79AA">
        <w:rPr>
          <w:rFonts w:ascii="Times New Roman" w:hAnsi="Times New Roman" w:cs="Times New Roman"/>
          <w:lang w:val="en-AU"/>
        </w:rPr>
        <w:t>)</w:t>
      </w:r>
      <w:r w:rsidR="00CA1EAA" w:rsidRPr="000E79AA">
        <w:rPr>
          <w:rFonts w:ascii="Times New Roman" w:hAnsi="Times New Roman" w:cs="Times New Roman"/>
          <w:lang w:val="en-AU"/>
        </w:rPr>
        <w:t xml:space="preserve">. This </w:t>
      </w:r>
      <w:r w:rsidR="006C42DD" w:rsidRPr="000E79AA">
        <w:rPr>
          <w:rFonts w:ascii="Times New Roman" w:hAnsi="Times New Roman" w:cs="Times New Roman"/>
          <w:lang w:val="en-AU"/>
        </w:rPr>
        <w:t>reflected significantly lower CNR values in the caudal portion for patients relative to controls (</w:t>
      </w:r>
      <w:r w:rsidR="006C42DD" w:rsidRPr="000E79AA">
        <w:rPr>
          <w:rFonts w:ascii="Times New Roman" w:hAnsi="Times New Roman" w:cs="Times New Roman"/>
          <w:i/>
          <w:lang w:val="en-AU"/>
        </w:rPr>
        <w:t>t</w:t>
      </w:r>
      <w:r w:rsidR="006C42DD" w:rsidRPr="000E79AA">
        <w:rPr>
          <w:rFonts w:ascii="Times New Roman" w:hAnsi="Times New Roman" w:cs="Times New Roman"/>
          <w:vertAlign w:val="subscript"/>
          <w:lang w:val="en-AU"/>
        </w:rPr>
        <w:t>(</w:t>
      </w:r>
      <w:r w:rsidR="006E6CA4" w:rsidRPr="000E79AA">
        <w:rPr>
          <w:rFonts w:ascii="Times New Roman" w:hAnsi="Times New Roman" w:cs="Times New Roman"/>
          <w:vertAlign w:val="subscript"/>
          <w:lang w:val="en-AU"/>
        </w:rPr>
        <w:t>50.1</w:t>
      </w:r>
      <w:r w:rsidR="006C42DD" w:rsidRPr="000E79AA">
        <w:rPr>
          <w:rFonts w:ascii="Times New Roman" w:hAnsi="Times New Roman" w:cs="Times New Roman"/>
          <w:vertAlign w:val="subscript"/>
          <w:lang w:val="en-AU"/>
        </w:rPr>
        <w:t>)</w:t>
      </w:r>
      <w:r w:rsidR="006C42DD" w:rsidRPr="000E79AA">
        <w:rPr>
          <w:rFonts w:ascii="Times New Roman" w:hAnsi="Times New Roman" w:cs="Times New Roman"/>
          <w:lang w:val="en-AU"/>
        </w:rPr>
        <w:t xml:space="preserve"> = </w:t>
      </w:r>
      <w:r w:rsidR="006E6CA4" w:rsidRPr="000E79AA">
        <w:rPr>
          <w:rFonts w:ascii="Times New Roman" w:hAnsi="Times New Roman" w:cs="Times New Roman"/>
          <w:lang w:val="en-AU"/>
        </w:rPr>
        <w:t>2.23</w:t>
      </w:r>
      <w:r w:rsidR="006C42DD" w:rsidRPr="000E79AA">
        <w:rPr>
          <w:rFonts w:ascii="Times New Roman" w:hAnsi="Times New Roman" w:cs="Times New Roman"/>
          <w:lang w:val="en-AU"/>
        </w:rPr>
        <w:t xml:space="preserve">, </w:t>
      </w:r>
      <w:r w:rsidR="006C42DD" w:rsidRPr="000E79AA">
        <w:rPr>
          <w:rFonts w:ascii="Times New Roman" w:hAnsi="Times New Roman" w:cs="Times New Roman"/>
          <w:i/>
          <w:lang w:val="en-AU"/>
        </w:rPr>
        <w:t>p</w:t>
      </w:r>
      <w:r w:rsidR="006C42DD" w:rsidRPr="000E79AA">
        <w:rPr>
          <w:rFonts w:ascii="Times New Roman" w:hAnsi="Times New Roman" w:cs="Times New Roman"/>
          <w:lang w:val="en-AU"/>
        </w:rPr>
        <w:t xml:space="preserve"> </w:t>
      </w:r>
      <w:r w:rsidR="006E6CA4" w:rsidRPr="000E79AA">
        <w:rPr>
          <w:rFonts w:ascii="Times New Roman" w:eastAsia="Times New Roman" w:hAnsi="Times New Roman" w:cs="Times New Roman"/>
          <w:lang w:val="en-AU" w:eastAsia="en-GB"/>
        </w:rPr>
        <w:t>= 0.026</w:t>
      </w:r>
      <w:r w:rsidR="006C42DD" w:rsidRPr="000E79AA">
        <w:rPr>
          <w:rFonts w:ascii="Times New Roman" w:hAnsi="Times New Roman" w:cs="Times New Roman"/>
          <w:lang w:val="en-AU"/>
        </w:rPr>
        <w:t>)</w:t>
      </w:r>
      <w:r w:rsidR="00CA1EAA" w:rsidRPr="000E79AA">
        <w:rPr>
          <w:rFonts w:ascii="Times New Roman" w:hAnsi="Times New Roman" w:cs="Times New Roman"/>
          <w:lang w:val="en-AU"/>
        </w:rPr>
        <w:t>, whereas the groups did not differ for the middle (</w:t>
      </w:r>
      <w:r w:rsidR="00CA1EAA" w:rsidRPr="000E79AA">
        <w:rPr>
          <w:rFonts w:ascii="Times New Roman" w:hAnsi="Times New Roman" w:cs="Times New Roman"/>
          <w:i/>
          <w:lang w:val="en-AU"/>
        </w:rPr>
        <w:t>t</w:t>
      </w:r>
      <w:r w:rsidR="00CA1EAA" w:rsidRPr="000E79AA">
        <w:rPr>
          <w:rFonts w:ascii="Times New Roman" w:hAnsi="Times New Roman" w:cs="Times New Roman"/>
          <w:vertAlign w:val="subscript"/>
          <w:lang w:val="en-AU"/>
        </w:rPr>
        <w:t>(50.1)</w:t>
      </w:r>
      <w:r w:rsidR="00CA1EAA" w:rsidRPr="000E79AA">
        <w:rPr>
          <w:rFonts w:ascii="Times New Roman" w:hAnsi="Times New Roman" w:cs="Times New Roman"/>
          <w:lang w:val="en-AU"/>
        </w:rPr>
        <w:t xml:space="preserve"> = </w:t>
      </w:r>
      <w:r w:rsidR="009207E5" w:rsidRPr="000E79AA">
        <w:rPr>
          <w:rFonts w:ascii="Times New Roman" w:hAnsi="Times New Roman" w:cs="Times New Roman"/>
          <w:lang w:val="en-AU"/>
        </w:rPr>
        <w:t>1.32</w:t>
      </w:r>
      <w:r w:rsidR="00CA1EAA" w:rsidRPr="000E79AA">
        <w:rPr>
          <w:rFonts w:ascii="Times New Roman" w:hAnsi="Times New Roman" w:cs="Times New Roman"/>
          <w:lang w:val="en-AU"/>
        </w:rPr>
        <w:t xml:space="preserve">, </w:t>
      </w:r>
      <w:r w:rsidR="00CA1EAA" w:rsidRPr="000E79AA">
        <w:rPr>
          <w:rFonts w:ascii="Times New Roman" w:hAnsi="Times New Roman" w:cs="Times New Roman"/>
          <w:i/>
          <w:lang w:val="en-AU"/>
        </w:rPr>
        <w:t>p</w:t>
      </w:r>
      <w:r w:rsidR="00CA1EAA" w:rsidRPr="000E79AA">
        <w:rPr>
          <w:rFonts w:ascii="Times New Roman" w:hAnsi="Times New Roman" w:cs="Times New Roman"/>
          <w:lang w:val="en-AU"/>
        </w:rPr>
        <w:t xml:space="preserve"> </w:t>
      </w:r>
      <w:r w:rsidR="00CA1EAA" w:rsidRPr="000E79AA">
        <w:rPr>
          <w:rFonts w:ascii="Times New Roman" w:eastAsia="Times New Roman" w:hAnsi="Times New Roman" w:cs="Times New Roman"/>
          <w:lang w:val="en-AU" w:eastAsia="en-GB"/>
        </w:rPr>
        <w:t>= 0.</w:t>
      </w:r>
      <w:r w:rsidR="009207E5" w:rsidRPr="000E79AA">
        <w:rPr>
          <w:rFonts w:ascii="Times New Roman" w:eastAsia="Times New Roman" w:hAnsi="Times New Roman" w:cs="Times New Roman"/>
          <w:lang w:val="en-AU" w:eastAsia="en-GB"/>
        </w:rPr>
        <w:t>193</w:t>
      </w:r>
      <w:r w:rsidR="00CA1EAA" w:rsidRPr="000E79AA">
        <w:rPr>
          <w:rFonts w:ascii="Times New Roman" w:hAnsi="Times New Roman" w:cs="Times New Roman"/>
          <w:lang w:val="en-AU"/>
        </w:rPr>
        <w:t>)</w:t>
      </w:r>
      <w:r w:rsidR="009207E5" w:rsidRPr="000E79AA">
        <w:rPr>
          <w:rFonts w:ascii="Times New Roman" w:hAnsi="Times New Roman" w:cs="Times New Roman"/>
          <w:lang w:val="en-AU"/>
        </w:rPr>
        <w:t xml:space="preserve"> or rostral (</w:t>
      </w:r>
      <w:r w:rsidR="009207E5" w:rsidRPr="000E79AA">
        <w:rPr>
          <w:rFonts w:ascii="Times New Roman" w:hAnsi="Times New Roman" w:cs="Times New Roman"/>
          <w:i/>
          <w:lang w:val="en-AU"/>
        </w:rPr>
        <w:t>t</w:t>
      </w:r>
      <w:r w:rsidR="009207E5" w:rsidRPr="000E79AA">
        <w:rPr>
          <w:rFonts w:ascii="Times New Roman" w:hAnsi="Times New Roman" w:cs="Times New Roman"/>
          <w:vertAlign w:val="subscript"/>
          <w:lang w:val="en-AU"/>
        </w:rPr>
        <w:t>(50.1)</w:t>
      </w:r>
      <w:r w:rsidR="009207E5" w:rsidRPr="000E79AA">
        <w:rPr>
          <w:rFonts w:ascii="Times New Roman" w:hAnsi="Times New Roman" w:cs="Times New Roman"/>
          <w:lang w:val="en-AU"/>
        </w:rPr>
        <w:t xml:space="preserve"> = </w:t>
      </w:r>
      <w:r w:rsidR="00B027F9" w:rsidRPr="000E79AA">
        <w:rPr>
          <w:rFonts w:ascii="Times New Roman" w:hAnsi="Times New Roman" w:cs="Times New Roman"/>
          <w:lang w:val="en-AU"/>
        </w:rPr>
        <w:t>0.140</w:t>
      </w:r>
      <w:r w:rsidR="009207E5" w:rsidRPr="000E79AA">
        <w:rPr>
          <w:rFonts w:ascii="Times New Roman" w:hAnsi="Times New Roman" w:cs="Times New Roman"/>
          <w:lang w:val="en-AU"/>
        </w:rPr>
        <w:t xml:space="preserve">, </w:t>
      </w:r>
      <w:r w:rsidR="009207E5" w:rsidRPr="000E79AA">
        <w:rPr>
          <w:rFonts w:ascii="Times New Roman" w:hAnsi="Times New Roman" w:cs="Times New Roman"/>
          <w:i/>
          <w:lang w:val="en-AU"/>
        </w:rPr>
        <w:t>p</w:t>
      </w:r>
      <w:r w:rsidR="009207E5" w:rsidRPr="000E79AA">
        <w:rPr>
          <w:rFonts w:ascii="Times New Roman" w:hAnsi="Times New Roman" w:cs="Times New Roman"/>
          <w:lang w:val="en-AU"/>
        </w:rPr>
        <w:t xml:space="preserve"> </w:t>
      </w:r>
      <w:r w:rsidR="009207E5" w:rsidRPr="000E79AA">
        <w:rPr>
          <w:rFonts w:ascii="Times New Roman" w:eastAsia="Times New Roman" w:hAnsi="Times New Roman" w:cs="Times New Roman"/>
          <w:lang w:val="en-AU" w:eastAsia="en-GB"/>
        </w:rPr>
        <w:t>= 0.</w:t>
      </w:r>
      <w:r w:rsidR="00B027F9" w:rsidRPr="000E79AA">
        <w:rPr>
          <w:rFonts w:ascii="Times New Roman" w:eastAsia="Times New Roman" w:hAnsi="Times New Roman" w:cs="Times New Roman"/>
          <w:lang w:val="en-AU" w:eastAsia="en-GB"/>
        </w:rPr>
        <w:t>889</w:t>
      </w:r>
      <w:r w:rsidR="009207E5" w:rsidRPr="000E79AA">
        <w:rPr>
          <w:rFonts w:ascii="Times New Roman" w:hAnsi="Times New Roman" w:cs="Times New Roman"/>
          <w:lang w:val="en-AU"/>
        </w:rPr>
        <w:t>) portions</w:t>
      </w:r>
      <w:r w:rsidR="001109D7" w:rsidRPr="000E79AA">
        <w:rPr>
          <w:rFonts w:ascii="Times New Roman" w:hAnsi="Times New Roman" w:cs="Times New Roman"/>
          <w:lang w:val="en-AU"/>
        </w:rPr>
        <w:t xml:space="preserve"> of the locus coeruleus</w:t>
      </w:r>
      <w:r w:rsidR="009207E5" w:rsidRPr="000E79AA">
        <w:rPr>
          <w:rFonts w:ascii="Times New Roman" w:hAnsi="Times New Roman" w:cs="Times New Roman"/>
          <w:lang w:val="en-AU"/>
        </w:rPr>
        <w:t>.</w:t>
      </w:r>
      <w:r w:rsidR="00211D2F" w:rsidRPr="000E79AA">
        <w:rPr>
          <w:rFonts w:ascii="Times New Roman" w:hAnsi="Times New Roman" w:cs="Times New Roman"/>
          <w:lang w:val="en-AU"/>
        </w:rPr>
        <w:t xml:space="preserve"> </w:t>
      </w:r>
      <w:r w:rsidR="00CB207B" w:rsidRPr="000E79AA">
        <w:rPr>
          <w:rFonts w:ascii="Times New Roman" w:hAnsi="Times New Roman" w:cs="Times New Roman"/>
          <w:bCs/>
          <w:lang w:val="en-AU"/>
        </w:rPr>
        <w:t xml:space="preserve">We did not see significant differences in left vs. right locus coeruleus degeneration, as the group comparisons did not meaningfully change when incorporating locus coeruleus side; this analysis is reported in </w:t>
      </w:r>
      <w:r w:rsidR="005651A1" w:rsidRPr="000E79AA">
        <w:rPr>
          <w:rFonts w:ascii="Times New Roman" w:hAnsi="Times New Roman" w:cs="Times New Roman"/>
          <w:bCs/>
          <w:lang w:val="en-AU"/>
        </w:rPr>
        <w:t xml:space="preserve">the </w:t>
      </w:r>
      <w:r w:rsidR="00CB207B" w:rsidRPr="000E79AA">
        <w:rPr>
          <w:rFonts w:ascii="Times New Roman" w:hAnsi="Times New Roman" w:cs="Times New Roman"/>
          <w:bCs/>
          <w:lang w:val="en-AU"/>
        </w:rPr>
        <w:t>Supplementary Material</w:t>
      </w:r>
      <w:r w:rsidR="00211D2F" w:rsidRPr="000E79AA">
        <w:rPr>
          <w:rFonts w:ascii="Times New Roman" w:hAnsi="Times New Roman" w:cs="Times New Roman"/>
          <w:lang w:val="en-AU"/>
        </w:rPr>
        <w:t xml:space="preserve">. </w:t>
      </w:r>
      <w:r w:rsidR="00F32C60" w:rsidRPr="000E79AA">
        <w:rPr>
          <w:rFonts w:ascii="Times New Roman" w:hAnsi="Times New Roman" w:cs="Times New Roman"/>
          <w:bCs/>
          <w:lang w:val="en-AU"/>
        </w:rPr>
        <w:t xml:space="preserve">Additionally, we ran the comparisons of locus coeruleus CNR between the patients and controls using a more conservative 25% probability mask and the results were qualitatively identical; this analysis is reported in </w:t>
      </w:r>
      <w:r w:rsidR="005651A1" w:rsidRPr="000E79AA">
        <w:rPr>
          <w:rFonts w:ascii="Times New Roman" w:hAnsi="Times New Roman" w:cs="Times New Roman"/>
          <w:bCs/>
          <w:lang w:val="en-AU"/>
        </w:rPr>
        <w:t xml:space="preserve">the </w:t>
      </w:r>
      <w:r w:rsidR="00F32C60" w:rsidRPr="000E79AA">
        <w:rPr>
          <w:rFonts w:ascii="Times New Roman" w:hAnsi="Times New Roman" w:cs="Times New Roman"/>
          <w:bCs/>
          <w:lang w:val="en-AU"/>
        </w:rPr>
        <w:t>Supplementary Material.</w:t>
      </w:r>
      <w:r w:rsidR="00211D2F" w:rsidRPr="000E79AA">
        <w:rPr>
          <w:rFonts w:ascii="Times New Roman" w:hAnsi="Times New Roman" w:cs="Times New Roman"/>
          <w:lang w:val="en-AU"/>
        </w:rPr>
        <w:t xml:space="preserve">  </w:t>
      </w:r>
      <w:r w:rsidR="009207E5" w:rsidRPr="000E79AA">
        <w:rPr>
          <w:rFonts w:ascii="Times New Roman" w:hAnsi="Times New Roman" w:cs="Times New Roman"/>
          <w:lang w:val="en-AU"/>
        </w:rPr>
        <w:t xml:space="preserve"> </w:t>
      </w:r>
    </w:p>
    <w:p w14:paraId="7C2FCDFC" w14:textId="77777777" w:rsidR="00124A21" w:rsidRPr="000E79AA" w:rsidRDefault="00124A21" w:rsidP="00515856">
      <w:pPr>
        <w:jc w:val="both"/>
        <w:rPr>
          <w:rFonts w:ascii="Times New Roman" w:hAnsi="Times New Roman" w:cs="Times New Roman"/>
          <w:i/>
          <w:lang w:val="en-AU"/>
        </w:rPr>
      </w:pPr>
    </w:p>
    <w:p w14:paraId="1BBA460A" w14:textId="41011CFE" w:rsidR="007B294E" w:rsidRPr="000E79AA" w:rsidRDefault="00286956" w:rsidP="00515856">
      <w:pPr>
        <w:jc w:val="both"/>
        <w:rPr>
          <w:rFonts w:ascii="Times New Roman" w:hAnsi="Times New Roman" w:cs="Times New Roman"/>
          <w:i/>
          <w:lang w:val="en-AU"/>
        </w:rPr>
      </w:pPr>
      <w:r w:rsidRPr="000E79AA">
        <w:rPr>
          <w:rFonts w:ascii="Times New Roman" w:hAnsi="Times New Roman" w:cs="Times New Roman"/>
          <w:i/>
          <w:noProof/>
          <w:lang w:val="en-AU"/>
        </w:rPr>
        <w:drawing>
          <wp:anchor distT="0" distB="0" distL="114300" distR="114300" simplePos="0" relativeHeight="251658240" behindDoc="0" locked="0" layoutInCell="1" allowOverlap="1" wp14:anchorId="7DC176BD" wp14:editId="4207917F">
            <wp:simplePos x="0" y="0"/>
            <wp:positionH relativeFrom="column">
              <wp:posOffset>0</wp:posOffset>
            </wp:positionH>
            <wp:positionV relativeFrom="paragraph">
              <wp:posOffset>0</wp:posOffset>
            </wp:positionV>
            <wp:extent cx="5727700" cy="1981835"/>
            <wp:effectExtent l="0" t="0" r="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C_combined_figureTEST.jpg"/>
                    <pic:cNvPicPr/>
                  </pic:nvPicPr>
                  <pic:blipFill>
                    <a:blip r:embed="rId14">
                      <a:extLst>
                        <a:ext uri="{28A0092B-C50C-407E-A947-70E740481C1C}">
                          <a14:useLocalDpi xmlns:a14="http://schemas.microsoft.com/office/drawing/2010/main" val="0"/>
                        </a:ext>
                      </a:extLst>
                    </a:blip>
                    <a:stretch>
                      <a:fillRect/>
                    </a:stretch>
                  </pic:blipFill>
                  <pic:spPr>
                    <a:xfrm>
                      <a:off x="0" y="0"/>
                      <a:ext cx="5727700" cy="1981835"/>
                    </a:xfrm>
                    <a:prstGeom prst="rect">
                      <a:avLst/>
                    </a:prstGeom>
                  </pic:spPr>
                </pic:pic>
              </a:graphicData>
            </a:graphic>
            <wp14:sizeRelH relativeFrom="page">
              <wp14:pctWidth>0</wp14:pctWidth>
            </wp14:sizeRelH>
            <wp14:sizeRelV relativeFrom="page">
              <wp14:pctHeight>0</wp14:pctHeight>
            </wp14:sizeRelV>
          </wp:anchor>
        </w:drawing>
      </w:r>
      <w:r w:rsidR="00C7184D" w:rsidRPr="000E79AA">
        <w:rPr>
          <w:rFonts w:ascii="Times New Roman" w:hAnsi="Times New Roman" w:cs="Times New Roman"/>
          <w:i/>
          <w:lang w:val="en-AU"/>
        </w:rPr>
        <w:t xml:space="preserve">Figure </w:t>
      </w:r>
      <w:r w:rsidR="00FB6B78" w:rsidRPr="000E79AA">
        <w:rPr>
          <w:rFonts w:ascii="Times New Roman" w:hAnsi="Times New Roman" w:cs="Times New Roman"/>
          <w:i/>
          <w:lang w:val="en-AU"/>
        </w:rPr>
        <w:t>2</w:t>
      </w:r>
      <w:r w:rsidR="00C7184D" w:rsidRPr="000E79AA">
        <w:rPr>
          <w:rFonts w:ascii="Times New Roman" w:hAnsi="Times New Roman" w:cs="Times New Roman"/>
          <w:lang w:val="en-AU"/>
        </w:rPr>
        <w:t xml:space="preserve">. </w:t>
      </w:r>
      <w:r w:rsidR="002A0385" w:rsidRPr="000E79AA">
        <w:rPr>
          <w:rFonts w:ascii="Times New Roman" w:hAnsi="Times New Roman" w:cs="Times New Roman"/>
          <w:i/>
          <w:iCs/>
          <w:lang w:val="en-AU"/>
        </w:rPr>
        <w:t>A</w:t>
      </w:r>
      <w:r w:rsidR="00C7184D" w:rsidRPr="000E79AA">
        <w:rPr>
          <w:rFonts w:ascii="Times New Roman" w:hAnsi="Times New Roman" w:cs="Times New Roman"/>
          <w:i/>
          <w:iCs/>
          <w:lang w:val="en-AU"/>
        </w:rPr>
        <w:t>) Study specific locus coeruleus atlas</w:t>
      </w:r>
      <w:r w:rsidR="002A0385" w:rsidRPr="000E79AA">
        <w:rPr>
          <w:rFonts w:ascii="Times New Roman" w:hAnsi="Times New Roman" w:cs="Times New Roman"/>
          <w:i/>
          <w:iCs/>
          <w:lang w:val="en-AU"/>
        </w:rPr>
        <w:t>, also showing the reference region</w:t>
      </w:r>
      <w:r w:rsidR="00B95B30" w:rsidRPr="000E79AA">
        <w:rPr>
          <w:rFonts w:ascii="Times New Roman" w:hAnsi="Times New Roman" w:cs="Times New Roman"/>
          <w:i/>
          <w:iCs/>
          <w:lang w:val="en-AU"/>
        </w:rPr>
        <w:t xml:space="preserve"> (blue)</w:t>
      </w:r>
      <w:r w:rsidR="002A0385" w:rsidRPr="000E79AA">
        <w:rPr>
          <w:rFonts w:ascii="Times New Roman" w:hAnsi="Times New Roman" w:cs="Times New Roman"/>
          <w:i/>
          <w:iCs/>
          <w:lang w:val="en-AU"/>
        </w:rPr>
        <w:t xml:space="preserve"> in the central pons</w:t>
      </w:r>
      <w:r w:rsidR="00C7184D" w:rsidRPr="000E79AA">
        <w:rPr>
          <w:rFonts w:ascii="Times New Roman" w:hAnsi="Times New Roman" w:cs="Times New Roman"/>
          <w:i/>
          <w:iCs/>
          <w:lang w:val="en-AU"/>
        </w:rPr>
        <w:t>; b)</w:t>
      </w:r>
      <w:r w:rsidR="002B5AEE" w:rsidRPr="000E79AA">
        <w:rPr>
          <w:rFonts w:ascii="Times New Roman" w:hAnsi="Times New Roman" w:cs="Times New Roman"/>
          <w:i/>
          <w:iCs/>
          <w:lang w:val="en-AU"/>
        </w:rPr>
        <w:t xml:space="preserve"> </w:t>
      </w:r>
      <w:r w:rsidR="00FB25B0" w:rsidRPr="000E79AA">
        <w:rPr>
          <w:rFonts w:ascii="Times New Roman" w:hAnsi="Times New Roman" w:cs="Times New Roman"/>
          <w:i/>
          <w:iCs/>
          <w:lang w:val="en-AU"/>
        </w:rPr>
        <w:t xml:space="preserve">Contrast-to-noise </w:t>
      </w:r>
      <w:r w:rsidR="00490184" w:rsidRPr="000E79AA">
        <w:rPr>
          <w:rFonts w:ascii="Times New Roman" w:hAnsi="Times New Roman" w:cs="Times New Roman"/>
          <w:i/>
          <w:iCs/>
          <w:lang w:val="en-AU"/>
        </w:rPr>
        <w:t xml:space="preserve">ratio </w:t>
      </w:r>
      <w:r w:rsidR="00FB25B0" w:rsidRPr="000E79AA">
        <w:rPr>
          <w:rFonts w:ascii="Times New Roman" w:hAnsi="Times New Roman" w:cs="Times New Roman"/>
          <w:i/>
          <w:iCs/>
          <w:lang w:val="en-AU"/>
        </w:rPr>
        <w:t>(CNR) for the locus coeruleus subdivisions and whole structure</w:t>
      </w:r>
      <w:r w:rsidR="002A0385" w:rsidRPr="000E79AA">
        <w:rPr>
          <w:rFonts w:ascii="Times New Roman" w:hAnsi="Times New Roman" w:cs="Times New Roman"/>
          <w:i/>
          <w:iCs/>
          <w:lang w:val="en-AU"/>
        </w:rPr>
        <w:t xml:space="preserve"> in Parkinson’s disease patients vs. controls</w:t>
      </w:r>
      <w:r w:rsidR="00FB25B0" w:rsidRPr="000E79AA">
        <w:rPr>
          <w:rFonts w:ascii="Times New Roman" w:hAnsi="Times New Roman" w:cs="Times New Roman"/>
          <w:i/>
          <w:iCs/>
          <w:lang w:val="en-AU"/>
        </w:rPr>
        <w:t xml:space="preserve"> (note, le</w:t>
      </w:r>
      <w:r w:rsidR="00710076" w:rsidRPr="000E79AA">
        <w:rPr>
          <w:rFonts w:ascii="Times New Roman" w:hAnsi="Times New Roman" w:cs="Times New Roman"/>
          <w:i/>
          <w:iCs/>
          <w:lang w:val="en-AU"/>
        </w:rPr>
        <w:t xml:space="preserve">ft and right locus coeruleus are combined). </w:t>
      </w:r>
      <w:r w:rsidR="00710076" w:rsidRPr="000E79AA">
        <w:rPr>
          <w:rFonts w:ascii="Times New Roman" w:hAnsi="Times New Roman" w:cs="Times New Roman"/>
          <w:lang w:val="en-AU"/>
        </w:rPr>
        <w:t xml:space="preserve"> </w:t>
      </w:r>
      <w:r w:rsidR="00FB25B0" w:rsidRPr="000E79AA">
        <w:rPr>
          <w:rFonts w:ascii="Times New Roman" w:hAnsi="Times New Roman" w:cs="Times New Roman"/>
          <w:lang w:val="en-AU"/>
        </w:rPr>
        <w:t xml:space="preserve"> </w:t>
      </w:r>
    </w:p>
    <w:p w14:paraId="541DB989" w14:textId="77777777" w:rsidR="00985076" w:rsidRPr="000E79AA" w:rsidRDefault="00985076" w:rsidP="004E671C">
      <w:pPr>
        <w:spacing w:line="360" w:lineRule="auto"/>
        <w:jc w:val="both"/>
        <w:rPr>
          <w:rFonts w:ascii="Times New Roman" w:hAnsi="Times New Roman" w:cs="Times New Roman"/>
          <w:b/>
          <w:lang w:val="en-AU"/>
        </w:rPr>
      </w:pPr>
    </w:p>
    <w:p w14:paraId="619B272C" w14:textId="77777777" w:rsidR="00AD2E51" w:rsidRPr="000E79AA" w:rsidRDefault="00AD2E51" w:rsidP="004E671C">
      <w:pPr>
        <w:spacing w:line="360" w:lineRule="auto"/>
        <w:jc w:val="both"/>
        <w:rPr>
          <w:rFonts w:ascii="Times New Roman" w:hAnsi="Times New Roman" w:cs="Times New Roman"/>
          <w:b/>
          <w:i/>
          <w:iCs/>
          <w:lang w:val="en-AU"/>
        </w:rPr>
      </w:pPr>
    </w:p>
    <w:p w14:paraId="136396B0" w14:textId="7EB0D9A9" w:rsidR="007F1663" w:rsidRPr="000E79AA" w:rsidRDefault="00324DED" w:rsidP="004E671C">
      <w:pPr>
        <w:spacing w:line="360" w:lineRule="auto"/>
        <w:jc w:val="both"/>
        <w:rPr>
          <w:rFonts w:ascii="Times New Roman" w:hAnsi="Times New Roman" w:cs="Times New Roman"/>
          <w:i/>
          <w:iCs/>
          <w:lang w:val="en-AU"/>
        </w:rPr>
      </w:pPr>
      <w:r w:rsidRPr="000E79AA">
        <w:rPr>
          <w:rFonts w:ascii="Times New Roman" w:hAnsi="Times New Roman" w:cs="Times New Roman"/>
          <w:b/>
          <w:i/>
          <w:iCs/>
          <w:lang w:val="en-AU"/>
        </w:rPr>
        <w:t>Stop</w:t>
      </w:r>
      <w:r w:rsidR="00D14E1E" w:rsidRPr="000E79AA">
        <w:rPr>
          <w:rFonts w:ascii="Times New Roman" w:hAnsi="Times New Roman" w:cs="Times New Roman"/>
          <w:b/>
          <w:i/>
          <w:iCs/>
          <w:lang w:val="en-AU"/>
        </w:rPr>
        <w:t>-</w:t>
      </w:r>
      <w:r w:rsidRPr="000E79AA">
        <w:rPr>
          <w:rFonts w:ascii="Times New Roman" w:hAnsi="Times New Roman" w:cs="Times New Roman"/>
          <w:b/>
          <w:i/>
          <w:iCs/>
          <w:lang w:val="en-AU"/>
        </w:rPr>
        <w:t xml:space="preserve">signal </w:t>
      </w:r>
      <w:r w:rsidR="007F1663" w:rsidRPr="000E79AA">
        <w:rPr>
          <w:rFonts w:ascii="Times New Roman" w:hAnsi="Times New Roman" w:cs="Times New Roman"/>
          <w:b/>
          <w:i/>
          <w:iCs/>
          <w:lang w:val="en-AU"/>
        </w:rPr>
        <w:t>task performance</w:t>
      </w:r>
      <w:r w:rsidR="00F9569E" w:rsidRPr="000E79AA">
        <w:rPr>
          <w:rFonts w:ascii="Times New Roman" w:hAnsi="Times New Roman" w:cs="Times New Roman"/>
          <w:b/>
          <w:i/>
          <w:iCs/>
          <w:lang w:val="en-AU"/>
        </w:rPr>
        <w:t xml:space="preserve"> </w:t>
      </w:r>
    </w:p>
    <w:p w14:paraId="6E989036" w14:textId="75C3133E" w:rsidR="007F1663" w:rsidRPr="000E79AA" w:rsidRDefault="009B51D2"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In keeping with the tracking algorithm, the </w:t>
      </w:r>
      <w:r w:rsidR="00AB4AFE" w:rsidRPr="000E79AA">
        <w:rPr>
          <w:rFonts w:ascii="Times New Roman" w:hAnsi="Times New Roman" w:cs="Times New Roman"/>
          <w:lang w:val="en-AU"/>
        </w:rPr>
        <w:t>stop accuracy</w:t>
      </w:r>
      <w:r w:rsidR="00F568FA" w:rsidRPr="000E79AA">
        <w:rPr>
          <w:rFonts w:ascii="Times New Roman" w:hAnsi="Times New Roman" w:cs="Times New Roman"/>
          <w:lang w:val="en-AU"/>
        </w:rPr>
        <w:t xml:space="preserve"> for the P</w:t>
      </w:r>
      <w:r w:rsidR="00D14E1E" w:rsidRPr="000E79AA">
        <w:rPr>
          <w:rFonts w:ascii="Times New Roman" w:hAnsi="Times New Roman" w:cs="Times New Roman"/>
          <w:lang w:val="en-AU"/>
        </w:rPr>
        <w:t>arkinson’s disease</w:t>
      </w:r>
      <w:r w:rsidR="00F568FA" w:rsidRPr="000E79AA">
        <w:rPr>
          <w:rFonts w:ascii="Times New Roman" w:hAnsi="Times New Roman" w:cs="Times New Roman"/>
          <w:lang w:val="en-AU"/>
        </w:rPr>
        <w:t xml:space="preserve"> group on placebo</w:t>
      </w:r>
      <w:r w:rsidR="00127C2B" w:rsidRPr="000E79AA">
        <w:rPr>
          <w:rFonts w:ascii="Times New Roman" w:hAnsi="Times New Roman" w:cs="Times New Roman"/>
          <w:lang w:val="en-AU"/>
        </w:rPr>
        <w:t xml:space="preserve"> (</w:t>
      </w:r>
      <w:r w:rsidR="00F568FA" w:rsidRPr="000E79AA">
        <w:rPr>
          <w:rFonts w:ascii="Times New Roman" w:hAnsi="Times New Roman" w:cs="Times New Roman"/>
          <w:lang w:val="en-AU"/>
        </w:rPr>
        <w:t xml:space="preserve">Figure </w:t>
      </w:r>
      <w:r w:rsidR="00F657CF" w:rsidRPr="000E79AA">
        <w:rPr>
          <w:rFonts w:ascii="Times New Roman" w:hAnsi="Times New Roman" w:cs="Times New Roman"/>
          <w:lang w:val="en-AU"/>
        </w:rPr>
        <w:t>3</w:t>
      </w:r>
      <w:r w:rsidR="00F568FA" w:rsidRPr="000E79AA">
        <w:rPr>
          <w:rFonts w:ascii="Times New Roman" w:hAnsi="Times New Roman" w:cs="Times New Roman"/>
          <w:lang w:val="en-AU"/>
        </w:rPr>
        <w:t xml:space="preserve">A; </w:t>
      </w:r>
      <w:r w:rsidR="00680479" w:rsidRPr="000E79AA">
        <w:rPr>
          <w:rFonts w:ascii="Times New Roman" w:hAnsi="Times New Roman" w:cs="Times New Roman"/>
          <w:lang w:val="en-AU"/>
        </w:rPr>
        <w:t xml:space="preserve">M = </w:t>
      </w:r>
      <w:r w:rsidR="00A93946" w:rsidRPr="000E79AA">
        <w:rPr>
          <w:rFonts w:ascii="Times New Roman" w:hAnsi="Times New Roman" w:cs="Times New Roman"/>
          <w:lang w:val="en-AU"/>
        </w:rPr>
        <w:t>0.48, SD = 0.15</w:t>
      </w:r>
      <w:r w:rsidR="00127C2B" w:rsidRPr="000E79AA">
        <w:rPr>
          <w:rFonts w:ascii="Times New Roman" w:hAnsi="Times New Roman" w:cs="Times New Roman"/>
          <w:lang w:val="en-AU"/>
        </w:rPr>
        <w:t xml:space="preserve">) </w:t>
      </w:r>
      <w:r w:rsidR="00F568FA" w:rsidRPr="000E79AA">
        <w:rPr>
          <w:rFonts w:ascii="Times New Roman" w:hAnsi="Times New Roman" w:cs="Times New Roman"/>
          <w:lang w:val="en-AU"/>
        </w:rPr>
        <w:t>was not significantly different from</w:t>
      </w:r>
      <w:r w:rsidR="00127C2B" w:rsidRPr="000E79AA">
        <w:rPr>
          <w:rFonts w:ascii="Times New Roman" w:hAnsi="Times New Roman" w:cs="Times New Roman"/>
          <w:lang w:val="en-AU"/>
        </w:rPr>
        <w:t xml:space="preserve"> controls (</w:t>
      </w:r>
      <w:r w:rsidR="00A93946" w:rsidRPr="000E79AA">
        <w:rPr>
          <w:rFonts w:ascii="Times New Roman" w:hAnsi="Times New Roman" w:cs="Times New Roman"/>
          <w:lang w:val="en-AU"/>
        </w:rPr>
        <w:t>M = 0.58, SD = 0.18</w:t>
      </w:r>
      <w:r w:rsidR="00127C2B" w:rsidRPr="000E79AA">
        <w:rPr>
          <w:rFonts w:ascii="Times New Roman" w:hAnsi="Times New Roman" w:cs="Times New Roman"/>
          <w:lang w:val="en-AU"/>
        </w:rPr>
        <w:t xml:space="preserve">; </w:t>
      </w:r>
      <w:r w:rsidR="00A93946" w:rsidRPr="000E79AA">
        <w:rPr>
          <w:rFonts w:ascii="Times New Roman" w:hAnsi="Times New Roman" w:cs="Times New Roman"/>
          <w:i/>
          <w:lang w:val="en-AU"/>
        </w:rPr>
        <w:t>t</w:t>
      </w:r>
      <w:r w:rsidR="00A93946" w:rsidRPr="000E79AA">
        <w:rPr>
          <w:rFonts w:ascii="Times New Roman" w:hAnsi="Times New Roman" w:cs="Times New Roman"/>
          <w:vertAlign w:val="subscript"/>
          <w:lang w:val="en-AU"/>
        </w:rPr>
        <w:t>(40.79)</w:t>
      </w:r>
      <w:r w:rsidR="00A93946" w:rsidRPr="000E79AA">
        <w:rPr>
          <w:rFonts w:ascii="Times New Roman" w:hAnsi="Times New Roman" w:cs="Times New Roman"/>
          <w:lang w:val="en-AU"/>
        </w:rPr>
        <w:t xml:space="preserve"> = 1.90, </w:t>
      </w:r>
      <w:r w:rsidR="00A93946" w:rsidRPr="000E79AA">
        <w:rPr>
          <w:rFonts w:ascii="Times New Roman" w:hAnsi="Times New Roman" w:cs="Times New Roman"/>
          <w:i/>
          <w:lang w:val="en-AU"/>
        </w:rPr>
        <w:t>p</w:t>
      </w:r>
      <w:r w:rsidR="00A93946" w:rsidRPr="000E79AA">
        <w:rPr>
          <w:rFonts w:ascii="Times New Roman" w:hAnsi="Times New Roman" w:cs="Times New Roman"/>
          <w:lang w:val="en-AU"/>
        </w:rPr>
        <w:t xml:space="preserve"> = .065, BF = 0.35</w:t>
      </w:r>
      <w:r w:rsidR="00127C2B" w:rsidRPr="000E79AA">
        <w:rPr>
          <w:rFonts w:ascii="Times New Roman" w:hAnsi="Times New Roman" w:cs="Times New Roman"/>
          <w:lang w:val="en-AU"/>
        </w:rPr>
        <w:t xml:space="preserve">). </w:t>
      </w:r>
      <w:r w:rsidR="00F9569E" w:rsidRPr="000E79AA">
        <w:rPr>
          <w:rFonts w:ascii="Times New Roman" w:hAnsi="Times New Roman" w:cs="Times New Roman"/>
          <w:lang w:val="en-AU"/>
        </w:rPr>
        <w:t>Across the</w:t>
      </w:r>
      <w:r w:rsidR="00127C2B" w:rsidRPr="000E79AA">
        <w:rPr>
          <w:rFonts w:ascii="Times New Roman" w:hAnsi="Times New Roman" w:cs="Times New Roman"/>
          <w:lang w:val="en-AU"/>
        </w:rPr>
        <w:t xml:space="preserve"> </w:t>
      </w:r>
      <w:r w:rsidR="00F9569E" w:rsidRPr="000E79AA">
        <w:rPr>
          <w:rFonts w:ascii="Times New Roman" w:hAnsi="Times New Roman" w:cs="Times New Roman"/>
          <w:lang w:val="en-AU"/>
        </w:rPr>
        <w:t>Parkinson’s disease</w:t>
      </w:r>
      <w:r w:rsidR="00127C2B" w:rsidRPr="000E79AA">
        <w:rPr>
          <w:rFonts w:ascii="Times New Roman" w:hAnsi="Times New Roman" w:cs="Times New Roman"/>
          <w:lang w:val="en-AU"/>
        </w:rPr>
        <w:t xml:space="preserve"> patients,</w:t>
      </w:r>
      <w:r w:rsidR="00804FDB" w:rsidRPr="000E79AA">
        <w:rPr>
          <w:rFonts w:ascii="Times New Roman" w:hAnsi="Times New Roman" w:cs="Times New Roman"/>
          <w:lang w:val="en-AU"/>
        </w:rPr>
        <w:t xml:space="preserve"> </w:t>
      </w:r>
      <w:r w:rsidR="00AD0F6B" w:rsidRPr="000E79AA">
        <w:rPr>
          <w:rFonts w:ascii="Times New Roman" w:hAnsi="Times New Roman" w:cs="Times New Roman"/>
          <w:lang w:val="en-AU"/>
        </w:rPr>
        <w:t xml:space="preserve">group-wise </w:t>
      </w:r>
      <w:r w:rsidR="00804FDB" w:rsidRPr="000E79AA">
        <w:rPr>
          <w:rFonts w:ascii="Times New Roman" w:hAnsi="Times New Roman" w:cs="Times New Roman"/>
          <w:lang w:val="en-AU"/>
        </w:rPr>
        <w:t xml:space="preserve">stop accuracy </w:t>
      </w:r>
      <w:r w:rsidR="00E72205" w:rsidRPr="000E79AA">
        <w:rPr>
          <w:rFonts w:ascii="Times New Roman" w:hAnsi="Times New Roman" w:cs="Times New Roman"/>
          <w:lang w:val="en-AU"/>
        </w:rPr>
        <w:t xml:space="preserve">on atomoxetine </w:t>
      </w:r>
      <w:r w:rsidR="00804FDB" w:rsidRPr="000E79AA">
        <w:rPr>
          <w:rFonts w:ascii="Times New Roman" w:hAnsi="Times New Roman" w:cs="Times New Roman"/>
          <w:lang w:val="en-AU"/>
        </w:rPr>
        <w:t>(</w:t>
      </w:r>
      <w:r w:rsidR="00A93946" w:rsidRPr="000E79AA">
        <w:rPr>
          <w:rFonts w:ascii="Times New Roman" w:hAnsi="Times New Roman" w:cs="Times New Roman"/>
          <w:lang w:val="en-AU"/>
        </w:rPr>
        <w:t xml:space="preserve">M = </w:t>
      </w:r>
      <w:r w:rsidR="00E72205" w:rsidRPr="000E79AA">
        <w:rPr>
          <w:rFonts w:ascii="Times New Roman" w:hAnsi="Times New Roman" w:cs="Times New Roman"/>
          <w:lang w:val="en-AU"/>
        </w:rPr>
        <w:t>0.45, SD = 0.13) was not significantly different from the placebo session (</w:t>
      </w:r>
      <w:r w:rsidR="00E72205" w:rsidRPr="000E79AA">
        <w:rPr>
          <w:rFonts w:ascii="Times New Roman" w:hAnsi="Times New Roman" w:cs="Times New Roman"/>
          <w:i/>
          <w:lang w:val="en-AU"/>
        </w:rPr>
        <w:t>t</w:t>
      </w:r>
      <w:r w:rsidR="00E72205" w:rsidRPr="000E79AA">
        <w:rPr>
          <w:rFonts w:ascii="Times New Roman" w:hAnsi="Times New Roman" w:cs="Times New Roman"/>
          <w:vertAlign w:val="subscript"/>
          <w:lang w:val="en-AU"/>
        </w:rPr>
        <w:t>(16)</w:t>
      </w:r>
      <w:r w:rsidR="00E72205" w:rsidRPr="000E79AA">
        <w:rPr>
          <w:rFonts w:ascii="Times New Roman" w:hAnsi="Times New Roman" w:cs="Times New Roman"/>
          <w:lang w:val="en-AU"/>
        </w:rPr>
        <w:t xml:space="preserve"> = 0.88, </w:t>
      </w:r>
      <w:r w:rsidR="00E72205" w:rsidRPr="000E79AA">
        <w:rPr>
          <w:rFonts w:ascii="Times New Roman" w:hAnsi="Times New Roman" w:cs="Times New Roman"/>
          <w:i/>
          <w:lang w:val="en-AU"/>
        </w:rPr>
        <w:t>p</w:t>
      </w:r>
      <w:r w:rsidR="00E72205" w:rsidRPr="000E79AA">
        <w:rPr>
          <w:rFonts w:ascii="Times New Roman" w:hAnsi="Times New Roman" w:cs="Times New Roman"/>
          <w:lang w:val="en-AU"/>
        </w:rPr>
        <w:t xml:space="preserve"> = .39, BF = 0.35</w:t>
      </w:r>
      <w:r w:rsidR="00804FDB" w:rsidRPr="000E79AA">
        <w:rPr>
          <w:rFonts w:ascii="Times New Roman" w:hAnsi="Times New Roman" w:cs="Times New Roman"/>
          <w:lang w:val="en-AU"/>
        </w:rPr>
        <w:t xml:space="preserve">). </w:t>
      </w:r>
      <w:r w:rsidR="00FE74B6" w:rsidRPr="000E79AA">
        <w:rPr>
          <w:rFonts w:ascii="Times New Roman" w:hAnsi="Times New Roman" w:cs="Times New Roman"/>
          <w:lang w:val="en-AU"/>
        </w:rPr>
        <w:t>The go error rate approached zero for most participants, yielding a skewed distribution</w:t>
      </w:r>
      <w:r w:rsidR="00733A70" w:rsidRPr="000E79AA">
        <w:rPr>
          <w:rFonts w:ascii="Times New Roman" w:hAnsi="Times New Roman" w:cs="Times New Roman"/>
          <w:lang w:val="en-AU"/>
        </w:rPr>
        <w:t xml:space="preserve"> bounded at zero</w:t>
      </w:r>
      <w:r w:rsidR="00327958" w:rsidRPr="000E79AA">
        <w:rPr>
          <w:rFonts w:ascii="Times New Roman" w:hAnsi="Times New Roman" w:cs="Times New Roman"/>
          <w:lang w:val="en-AU"/>
        </w:rPr>
        <w:t xml:space="preserve"> (Figure </w:t>
      </w:r>
      <w:r w:rsidR="00F657CF" w:rsidRPr="000E79AA">
        <w:rPr>
          <w:rFonts w:ascii="Times New Roman" w:hAnsi="Times New Roman" w:cs="Times New Roman"/>
          <w:lang w:val="en-AU"/>
        </w:rPr>
        <w:t>3</w:t>
      </w:r>
      <w:r w:rsidR="00327958" w:rsidRPr="000E79AA">
        <w:rPr>
          <w:rFonts w:ascii="Times New Roman" w:hAnsi="Times New Roman" w:cs="Times New Roman"/>
          <w:lang w:val="en-AU"/>
        </w:rPr>
        <w:t>D)</w:t>
      </w:r>
      <w:r w:rsidR="00FF110A" w:rsidRPr="000E79AA">
        <w:rPr>
          <w:rFonts w:ascii="Times New Roman" w:hAnsi="Times New Roman" w:cs="Times New Roman"/>
          <w:lang w:val="en-AU"/>
        </w:rPr>
        <w:t>, and was therefore logit</w:t>
      </w:r>
      <w:r w:rsidR="00515325" w:rsidRPr="000E79AA">
        <w:rPr>
          <w:rFonts w:ascii="Times New Roman" w:hAnsi="Times New Roman" w:cs="Times New Roman"/>
          <w:lang w:val="en-AU"/>
        </w:rPr>
        <w:t xml:space="preserve"> </w:t>
      </w:r>
      <w:r w:rsidR="00FF110A" w:rsidRPr="000E79AA">
        <w:rPr>
          <w:rFonts w:ascii="Times New Roman" w:hAnsi="Times New Roman" w:cs="Times New Roman"/>
          <w:lang w:val="en-AU"/>
        </w:rPr>
        <w:t>transformed prior to analysis</w:t>
      </w:r>
      <w:r w:rsidR="00B01732" w:rsidRPr="000E79AA">
        <w:rPr>
          <w:rFonts w:ascii="Times New Roman" w:hAnsi="Times New Roman" w:cs="Times New Roman"/>
          <w:lang w:val="en-AU"/>
        </w:rPr>
        <w:t>.</w:t>
      </w:r>
      <w:r w:rsidR="0007455D"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{"citationID":"a2me2htsqko","properties":{"formattedCitation":"\\super 84\\nosupersub{}","plainCitation":"84","noteIndex":0},"citationItems":[{"id":12220,"uris":["http://zotero.org/users/local/xUwQuTPV/items/I5WFLEWQ"],"uri":["http://zotero.org/users/local/xUwQuTPV/items/I5WFLEWQ"],"itemData":{"id":12220,"type":"article-journal","abstract":"The arcsine square root transformation has long been standard procedure when analyzing proportional data in ecology, with applications in data sets containing binomial and non-binomial response variables. Here, we argue that the arcsine transform should not be used in either circumstance. For binomial data, logistic regression has greater interpretability and higher power than analyses of transformed data. However, it is important to check the data for additional unexplained variation, i.e., overdispersion, and to account for it via the inclusion of random effects in the model if found. For non-binomial data, the arcsine transform is undesirable on the grounds of interpretability, and because it can produce nonsensical predictions. The logit transformation is proposed as an alternative approach to address these issues. Examples are presented in both cases to illustrate these advantages, comparing various methods of analyzing proportions including untransformed, arcsine- and logit-transformed linear models and logistic regression (with or without random effects). Simulations demonstrate that logistic regression usually provides a gain in power over other methods.","container-title":"Ecology","DOI":"10.1890/10-0340.1","ISSN":"1939-9170","issue":"1","language":"en","note":"_eprint: https://esajournals.onlinelibrary.wiley.com/doi/pdf/10.1890/10-0340.1","page":"3-10","source":"Wiley Online Library","title":"The arcsine is asinine: the analysis of proportions in ecology","title-short":"The arcsine is asinine","volume":"92","author":[{"family":"Warton","given":"David I."},{"family":"Hui","given":"Francis K. C."}],"issued":{"date-parts":[["2011"]]}}}],"schema":"https://github.com/citation-style-language/schema/raw/master/csl-citation.json"} </w:instrText>
      </w:r>
      <w:r w:rsidR="0007455D"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84</w:t>
      </w:r>
      <w:r w:rsidR="0007455D" w:rsidRPr="000E79AA">
        <w:rPr>
          <w:rFonts w:ascii="Times New Roman" w:hAnsi="Times New Roman" w:cs="Times New Roman"/>
          <w:lang w:val="en-AU"/>
        </w:rPr>
        <w:fldChar w:fldCharType="end"/>
      </w:r>
      <w:r w:rsidR="00804FDB" w:rsidRPr="000E79AA">
        <w:rPr>
          <w:rFonts w:ascii="Times New Roman" w:hAnsi="Times New Roman" w:cs="Times New Roman"/>
          <w:lang w:val="en-AU"/>
        </w:rPr>
        <w:t xml:space="preserve"> The logit</w:t>
      </w:r>
      <w:r w:rsidR="00FA028A" w:rsidRPr="000E79AA">
        <w:rPr>
          <w:rFonts w:ascii="Times New Roman" w:hAnsi="Times New Roman" w:cs="Times New Roman"/>
          <w:lang w:val="en-AU"/>
        </w:rPr>
        <w:t xml:space="preserve"> </w:t>
      </w:r>
      <w:r w:rsidR="00804FDB" w:rsidRPr="000E79AA">
        <w:rPr>
          <w:rFonts w:ascii="Times New Roman" w:hAnsi="Times New Roman" w:cs="Times New Roman"/>
          <w:lang w:val="en-AU"/>
        </w:rPr>
        <w:t xml:space="preserve">go error rate was </w:t>
      </w:r>
      <w:r w:rsidR="00D951DB" w:rsidRPr="000E79AA">
        <w:rPr>
          <w:rFonts w:ascii="Times New Roman" w:hAnsi="Times New Roman" w:cs="Times New Roman"/>
          <w:lang w:val="en-AU"/>
        </w:rPr>
        <w:t xml:space="preserve">slightly </w:t>
      </w:r>
      <w:r w:rsidR="00804FDB" w:rsidRPr="000E79AA">
        <w:rPr>
          <w:rFonts w:ascii="Times New Roman" w:hAnsi="Times New Roman" w:cs="Times New Roman"/>
          <w:lang w:val="en-AU"/>
        </w:rPr>
        <w:t>higher in the P</w:t>
      </w:r>
      <w:r w:rsidR="000B7151" w:rsidRPr="000E79AA">
        <w:rPr>
          <w:rFonts w:ascii="Times New Roman" w:hAnsi="Times New Roman" w:cs="Times New Roman"/>
          <w:lang w:val="en-AU"/>
        </w:rPr>
        <w:t>arkinson’s disease</w:t>
      </w:r>
      <w:r w:rsidR="00804FDB" w:rsidRPr="000E79AA">
        <w:rPr>
          <w:rFonts w:ascii="Times New Roman" w:hAnsi="Times New Roman" w:cs="Times New Roman"/>
          <w:lang w:val="en-AU"/>
        </w:rPr>
        <w:t xml:space="preserve"> group on placebo (</w:t>
      </w:r>
      <w:r w:rsidR="006A0C0D" w:rsidRPr="000E79AA">
        <w:rPr>
          <w:rFonts w:ascii="Times New Roman" w:hAnsi="Times New Roman" w:cs="Times New Roman"/>
          <w:lang w:val="en-AU"/>
        </w:rPr>
        <w:t xml:space="preserve">M = </w:t>
      </w:r>
      <w:r w:rsidR="00AB4AFE" w:rsidRPr="000E79AA">
        <w:rPr>
          <w:rFonts w:ascii="Times New Roman" w:hAnsi="Times New Roman" w:cs="Times New Roman"/>
          <w:lang w:val="en-AU"/>
        </w:rPr>
        <w:t>-4.29</w:t>
      </w:r>
      <w:r w:rsidR="006A0C0D" w:rsidRPr="000E79AA">
        <w:rPr>
          <w:rFonts w:ascii="Times New Roman" w:hAnsi="Times New Roman" w:cs="Times New Roman"/>
          <w:lang w:val="en-AU"/>
        </w:rPr>
        <w:t xml:space="preserve">, SD = </w:t>
      </w:r>
      <w:r w:rsidR="00AB4AFE" w:rsidRPr="000E79AA">
        <w:rPr>
          <w:rFonts w:ascii="Times New Roman" w:hAnsi="Times New Roman" w:cs="Times New Roman"/>
          <w:lang w:val="en-AU"/>
        </w:rPr>
        <w:t>1.23</w:t>
      </w:r>
      <w:r w:rsidR="00804FDB" w:rsidRPr="000E79AA">
        <w:rPr>
          <w:rFonts w:ascii="Times New Roman" w:hAnsi="Times New Roman" w:cs="Times New Roman"/>
          <w:lang w:val="en-AU"/>
        </w:rPr>
        <w:t xml:space="preserve">) </w:t>
      </w:r>
      <w:r w:rsidR="00F568FA" w:rsidRPr="000E79AA">
        <w:rPr>
          <w:rFonts w:ascii="Times New Roman" w:hAnsi="Times New Roman" w:cs="Times New Roman"/>
          <w:lang w:val="en-AU"/>
        </w:rPr>
        <w:t>than in</w:t>
      </w:r>
      <w:r w:rsidR="00804FDB" w:rsidRPr="000E79AA">
        <w:rPr>
          <w:rFonts w:ascii="Times New Roman" w:hAnsi="Times New Roman" w:cs="Times New Roman"/>
          <w:lang w:val="en-AU"/>
        </w:rPr>
        <w:t xml:space="preserve"> controls (</w:t>
      </w:r>
      <w:r w:rsidR="006A0C0D" w:rsidRPr="000E79AA">
        <w:rPr>
          <w:rFonts w:ascii="Times New Roman" w:hAnsi="Times New Roman" w:cs="Times New Roman"/>
          <w:lang w:val="en-AU"/>
        </w:rPr>
        <w:t xml:space="preserve">M = </w:t>
      </w:r>
      <w:r w:rsidR="00AB4AFE" w:rsidRPr="000E79AA">
        <w:rPr>
          <w:rFonts w:ascii="Times New Roman" w:hAnsi="Times New Roman" w:cs="Times New Roman"/>
          <w:lang w:val="en-AU"/>
        </w:rPr>
        <w:t>-5.04</w:t>
      </w:r>
      <w:r w:rsidR="006A0C0D" w:rsidRPr="000E79AA">
        <w:rPr>
          <w:rFonts w:ascii="Times New Roman" w:hAnsi="Times New Roman" w:cs="Times New Roman"/>
          <w:lang w:val="en-AU"/>
        </w:rPr>
        <w:t xml:space="preserve">, SD </w:t>
      </w:r>
      <w:r w:rsidR="006A0C0D" w:rsidRPr="000E79AA">
        <w:rPr>
          <w:rFonts w:ascii="Times New Roman" w:hAnsi="Times New Roman" w:cs="Times New Roman"/>
          <w:lang w:val="en-AU"/>
        </w:rPr>
        <w:lastRenderedPageBreak/>
        <w:t xml:space="preserve">= </w:t>
      </w:r>
      <w:r w:rsidR="00AB4AFE" w:rsidRPr="000E79AA">
        <w:rPr>
          <w:rFonts w:ascii="Times New Roman" w:hAnsi="Times New Roman" w:cs="Times New Roman"/>
          <w:lang w:val="en-AU"/>
        </w:rPr>
        <w:t>0.93</w:t>
      </w:r>
      <w:r w:rsidR="006A0C0D" w:rsidRPr="000E79AA">
        <w:rPr>
          <w:rFonts w:ascii="Times New Roman" w:hAnsi="Times New Roman" w:cs="Times New Roman"/>
          <w:lang w:val="en-AU"/>
        </w:rPr>
        <w:t xml:space="preserve">; </w:t>
      </w:r>
      <w:r w:rsidR="006A0C0D" w:rsidRPr="000E79AA">
        <w:rPr>
          <w:rFonts w:ascii="Times New Roman" w:hAnsi="Times New Roman" w:cs="Times New Roman"/>
          <w:i/>
          <w:lang w:val="en-AU"/>
        </w:rPr>
        <w:t>t</w:t>
      </w:r>
      <w:r w:rsidR="006A0C0D" w:rsidRPr="000E79AA">
        <w:rPr>
          <w:rFonts w:ascii="Times New Roman" w:hAnsi="Times New Roman" w:cs="Times New Roman"/>
          <w:vertAlign w:val="subscript"/>
          <w:lang w:val="en-AU"/>
        </w:rPr>
        <w:t>(</w:t>
      </w:r>
      <w:r w:rsidR="00AB4AFE" w:rsidRPr="000E79AA">
        <w:rPr>
          <w:rFonts w:ascii="Times New Roman" w:hAnsi="Times New Roman" w:cs="Times New Roman"/>
          <w:vertAlign w:val="subscript"/>
          <w:lang w:val="en-AU"/>
        </w:rPr>
        <w:t>29.94</w:t>
      </w:r>
      <w:r w:rsidR="006A0C0D" w:rsidRPr="000E79AA">
        <w:rPr>
          <w:rFonts w:ascii="Times New Roman" w:hAnsi="Times New Roman" w:cs="Times New Roman"/>
          <w:vertAlign w:val="subscript"/>
          <w:lang w:val="en-AU"/>
        </w:rPr>
        <w:t>)</w:t>
      </w:r>
      <w:r w:rsidR="006A0C0D" w:rsidRPr="000E79AA">
        <w:rPr>
          <w:rFonts w:ascii="Times New Roman" w:hAnsi="Times New Roman" w:cs="Times New Roman"/>
          <w:lang w:val="en-AU"/>
        </w:rPr>
        <w:t xml:space="preserve"> = </w:t>
      </w:r>
      <w:r w:rsidR="00AB4AFE" w:rsidRPr="000E79AA">
        <w:rPr>
          <w:rFonts w:ascii="Times New Roman" w:hAnsi="Times New Roman" w:cs="Times New Roman"/>
          <w:lang w:val="en-AU"/>
        </w:rPr>
        <w:t>-2.19</w:t>
      </w:r>
      <w:r w:rsidR="006A0C0D" w:rsidRPr="000E79AA">
        <w:rPr>
          <w:rFonts w:ascii="Times New Roman" w:hAnsi="Times New Roman" w:cs="Times New Roman"/>
          <w:lang w:val="en-AU"/>
        </w:rPr>
        <w:t xml:space="preserve">, </w:t>
      </w:r>
      <w:r w:rsidR="006A0C0D" w:rsidRPr="000E79AA">
        <w:rPr>
          <w:rFonts w:ascii="Times New Roman" w:hAnsi="Times New Roman" w:cs="Times New Roman"/>
          <w:i/>
          <w:lang w:val="en-AU"/>
        </w:rPr>
        <w:t>p</w:t>
      </w:r>
      <w:r w:rsidR="006A0C0D" w:rsidRPr="000E79AA">
        <w:rPr>
          <w:rFonts w:ascii="Times New Roman" w:hAnsi="Times New Roman" w:cs="Times New Roman"/>
          <w:lang w:val="en-AU"/>
        </w:rPr>
        <w:t xml:space="preserve"> = </w:t>
      </w:r>
      <w:r w:rsidR="00AB4AFE" w:rsidRPr="000E79AA">
        <w:rPr>
          <w:rFonts w:ascii="Times New Roman" w:hAnsi="Times New Roman" w:cs="Times New Roman"/>
          <w:lang w:val="en-AU"/>
        </w:rPr>
        <w:t>.037</w:t>
      </w:r>
      <w:r w:rsidR="006A0C0D" w:rsidRPr="000E79AA">
        <w:rPr>
          <w:rFonts w:ascii="Times New Roman" w:hAnsi="Times New Roman" w:cs="Times New Roman"/>
          <w:lang w:val="en-AU"/>
        </w:rPr>
        <w:t xml:space="preserve">, BF = </w:t>
      </w:r>
      <w:r w:rsidR="00F568FA" w:rsidRPr="000E79AA">
        <w:rPr>
          <w:rFonts w:ascii="Times New Roman" w:hAnsi="Times New Roman" w:cs="Times New Roman"/>
          <w:lang w:val="en-AU"/>
        </w:rPr>
        <w:t>0.46</w:t>
      </w:r>
      <w:r w:rsidR="00804FDB" w:rsidRPr="000E79AA">
        <w:rPr>
          <w:rFonts w:ascii="Times New Roman" w:hAnsi="Times New Roman" w:cs="Times New Roman"/>
          <w:lang w:val="en-AU"/>
        </w:rPr>
        <w:t xml:space="preserve">). Within the </w:t>
      </w:r>
      <w:r w:rsidR="00F93A13" w:rsidRPr="000E79AA">
        <w:rPr>
          <w:rFonts w:ascii="Times New Roman" w:hAnsi="Times New Roman" w:cs="Times New Roman"/>
          <w:lang w:val="en-AU"/>
        </w:rPr>
        <w:t>Parkinson’s disease</w:t>
      </w:r>
      <w:r w:rsidR="00804FDB" w:rsidRPr="000E79AA">
        <w:rPr>
          <w:rFonts w:ascii="Times New Roman" w:hAnsi="Times New Roman" w:cs="Times New Roman"/>
          <w:lang w:val="en-AU"/>
        </w:rPr>
        <w:t xml:space="preserve"> group, the logit go error rate was </w:t>
      </w:r>
      <w:r w:rsidR="00AD0F6B" w:rsidRPr="000E79AA">
        <w:rPr>
          <w:rFonts w:ascii="Times New Roman" w:hAnsi="Times New Roman" w:cs="Times New Roman"/>
          <w:lang w:val="en-AU"/>
        </w:rPr>
        <w:t xml:space="preserve">marginally </w:t>
      </w:r>
      <w:r w:rsidR="00804FDB" w:rsidRPr="000E79AA">
        <w:rPr>
          <w:rFonts w:ascii="Times New Roman" w:hAnsi="Times New Roman" w:cs="Times New Roman"/>
          <w:lang w:val="en-AU"/>
        </w:rPr>
        <w:t>reduced on atomoxetine (</w:t>
      </w:r>
      <w:r w:rsidR="00B80045" w:rsidRPr="000E79AA">
        <w:rPr>
          <w:rFonts w:ascii="Times New Roman" w:hAnsi="Times New Roman" w:cs="Times New Roman"/>
          <w:lang w:val="en-AU"/>
        </w:rPr>
        <w:t>M = -4.75, SD = 1.22</w:t>
      </w:r>
      <w:r w:rsidR="00804FDB" w:rsidRPr="000E79AA">
        <w:rPr>
          <w:rFonts w:ascii="Times New Roman" w:hAnsi="Times New Roman" w:cs="Times New Roman"/>
          <w:lang w:val="en-AU"/>
        </w:rPr>
        <w:t>)</w:t>
      </w:r>
      <w:r w:rsidR="00B80045" w:rsidRPr="000E79AA">
        <w:rPr>
          <w:rFonts w:ascii="Times New Roman" w:hAnsi="Times New Roman" w:cs="Times New Roman"/>
          <w:lang w:val="en-AU"/>
        </w:rPr>
        <w:t xml:space="preserve"> compared to placebo (</w:t>
      </w:r>
      <w:r w:rsidR="00B80045" w:rsidRPr="000E79AA">
        <w:rPr>
          <w:rFonts w:ascii="Times New Roman" w:hAnsi="Times New Roman" w:cs="Times New Roman"/>
          <w:i/>
          <w:lang w:val="en-AU"/>
        </w:rPr>
        <w:t>t</w:t>
      </w:r>
      <w:r w:rsidR="00B80045" w:rsidRPr="000E79AA">
        <w:rPr>
          <w:rFonts w:ascii="Times New Roman" w:hAnsi="Times New Roman" w:cs="Times New Roman"/>
          <w:vertAlign w:val="subscript"/>
          <w:lang w:val="en-AU"/>
        </w:rPr>
        <w:t>(16)</w:t>
      </w:r>
      <w:r w:rsidR="00B80045" w:rsidRPr="000E79AA">
        <w:rPr>
          <w:rFonts w:ascii="Times New Roman" w:hAnsi="Times New Roman" w:cs="Times New Roman"/>
          <w:lang w:val="en-AU"/>
        </w:rPr>
        <w:t xml:space="preserve"> = 2.23, </w:t>
      </w:r>
      <w:r w:rsidR="00B80045" w:rsidRPr="000E79AA">
        <w:rPr>
          <w:rFonts w:ascii="Times New Roman" w:hAnsi="Times New Roman" w:cs="Times New Roman"/>
          <w:i/>
          <w:lang w:val="en-AU"/>
        </w:rPr>
        <w:t>p</w:t>
      </w:r>
      <w:r w:rsidR="00B80045" w:rsidRPr="000E79AA">
        <w:rPr>
          <w:rFonts w:ascii="Times New Roman" w:hAnsi="Times New Roman" w:cs="Times New Roman"/>
          <w:lang w:val="en-AU"/>
        </w:rPr>
        <w:t xml:space="preserve"> = .041, BF = 1.73)</w:t>
      </w:r>
      <w:r w:rsidR="00804FDB" w:rsidRPr="000E79AA">
        <w:rPr>
          <w:rFonts w:ascii="Times New Roman" w:hAnsi="Times New Roman" w:cs="Times New Roman"/>
          <w:lang w:val="en-AU"/>
        </w:rPr>
        <w:t xml:space="preserve">. However, we note </w:t>
      </w:r>
      <w:r w:rsidR="00283670" w:rsidRPr="000E79AA">
        <w:rPr>
          <w:rFonts w:ascii="Times New Roman" w:hAnsi="Times New Roman" w:cs="Times New Roman"/>
          <w:lang w:val="en-AU"/>
        </w:rPr>
        <w:t>that the BF for both these tests fell below conventional thresholds for positive evidence (</w:t>
      </w:r>
      <w:r w:rsidR="000526F1" w:rsidRPr="000E79AA">
        <w:rPr>
          <w:rFonts w:ascii="Times New Roman" w:hAnsi="Times New Roman" w:cs="Times New Roman"/>
          <w:lang w:val="en-AU"/>
        </w:rPr>
        <w:t xml:space="preserve">i.e., </w:t>
      </w:r>
      <w:r w:rsidR="00283670" w:rsidRPr="000E79AA">
        <w:rPr>
          <w:rFonts w:ascii="Times New Roman" w:hAnsi="Times New Roman" w:cs="Times New Roman"/>
          <w:lang w:val="en-AU"/>
        </w:rPr>
        <w:t xml:space="preserve">BF &gt; 3), and these effects </w:t>
      </w:r>
      <w:r w:rsidR="00B80045" w:rsidRPr="000E79AA">
        <w:rPr>
          <w:rFonts w:ascii="Times New Roman" w:hAnsi="Times New Roman" w:cs="Times New Roman"/>
          <w:lang w:val="en-AU"/>
        </w:rPr>
        <w:t xml:space="preserve">on go error rate </w:t>
      </w:r>
      <w:r w:rsidR="00283670" w:rsidRPr="000E79AA">
        <w:rPr>
          <w:rFonts w:ascii="Times New Roman" w:hAnsi="Times New Roman" w:cs="Times New Roman"/>
          <w:lang w:val="en-AU"/>
        </w:rPr>
        <w:t xml:space="preserve">should therefore be regarded as </w:t>
      </w:r>
      <w:r w:rsidR="00400BCD" w:rsidRPr="000E79AA">
        <w:rPr>
          <w:rFonts w:ascii="Times New Roman" w:hAnsi="Times New Roman" w:cs="Times New Roman"/>
          <w:lang w:val="en-AU"/>
        </w:rPr>
        <w:t>‘</w:t>
      </w:r>
      <w:r w:rsidR="00283670" w:rsidRPr="000E79AA">
        <w:rPr>
          <w:rFonts w:ascii="Times New Roman" w:hAnsi="Times New Roman" w:cs="Times New Roman"/>
          <w:lang w:val="en-AU"/>
        </w:rPr>
        <w:t>anecdotal</w:t>
      </w:r>
      <w:r w:rsidR="00400BCD" w:rsidRPr="000E79AA">
        <w:rPr>
          <w:rFonts w:ascii="Times New Roman" w:hAnsi="Times New Roman" w:cs="Times New Roman"/>
          <w:lang w:val="en-AU"/>
        </w:rPr>
        <w:t xml:space="preserve">’ at the </w:t>
      </w:r>
      <w:r w:rsidR="00527696" w:rsidRPr="000E79AA">
        <w:rPr>
          <w:rFonts w:ascii="Times New Roman" w:hAnsi="Times New Roman" w:cs="Times New Roman"/>
          <w:lang w:val="en-AU"/>
        </w:rPr>
        <w:t>group level</w:t>
      </w:r>
      <w:r w:rsidR="00283670" w:rsidRPr="000E79AA">
        <w:rPr>
          <w:rFonts w:ascii="Times New Roman" w:hAnsi="Times New Roman" w:cs="Times New Roman"/>
          <w:lang w:val="en-AU"/>
        </w:rPr>
        <w:t>.</w:t>
      </w:r>
      <w:r w:rsidR="00F93A13" w:rsidRPr="000E79AA">
        <w:rPr>
          <w:rFonts w:ascii="Times New Roman" w:hAnsi="Times New Roman" w:cs="Times New Roman"/>
          <w:lang w:val="en-AU"/>
        </w:rPr>
        <w:t xml:space="preserve"> </w:t>
      </w:r>
      <w:r w:rsidR="008F1570" w:rsidRPr="000E79AA">
        <w:rPr>
          <w:rFonts w:ascii="Times New Roman" w:hAnsi="Times New Roman" w:cs="Times New Roman"/>
          <w:lang w:val="en-AU"/>
        </w:rPr>
        <w:t xml:space="preserve"> </w:t>
      </w:r>
    </w:p>
    <w:p w14:paraId="6DE1633F" w14:textId="77777777" w:rsidR="007F1663" w:rsidRPr="000E79AA" w:rsidRDefault="007F1663" w:rsidP="004E671C">
      <w:pPr>
        <w:spacing w:line="360" w:lineRule="auto"/>
        <w:jc w:val="both"/>
        <w:rPr>
          <w:rFonts w:ascii="Times New Roman" w:hAnsi="Times New Roman" w:cs="Times New Roman"/>
          <w:lang w:val="en-AU"/>
        </w:rPr>
      </w:pPr>
    </w:p>
    <w:p w14:paraId="7AA95CFF" w14:textId="77777777" w:rsidR="007F1663" w:rsidRPr="000E79AA" w:rsidRDefault="00A77F7E" w:rsidP="004E671C">
      <w:pPr>
        <w:spacing w:line="360" w:lineRule="auto"/>
        <w:jc w:val="both"/>
        <w:rPr>
          <w:rFonts w:ascii="Times New Roman" w:hAnsi="Times New Roman" w:cs="Times New Roman"/>
          <w:b/>
          <w:i/>
          <w:iCs/>
          <w:lang w:val="en-AU"/>
        </w:rPr>
      </w:pPr>
      <w:r w:rsidRPr="000E79AA">
        <w:rPr>
          <w:rFonts w:ascii="Times New Roman" w:hAnsi="Times New Roman" w:cs="Times New Roman"/>
          <w:b/>
          <w:i/>
          <w:iCs/>
          <w:lang w:val="en-AU"/>
        </w:rPr>
        <w:t>Ex-Gaussian model estimates of SSRT</w:t>
      </w:r>
      <w:r w:rsidR="005E5499" w:rsidRPr="000E79AA">
        <w:rPr>
          <w:rFonts w:ascii="Times New Roman" w:hAnsi="Times New Roman" w:cs="Times New Roman"/>
          <w:b/>
          <w:i/>
          <w:iCs/>
          <w:lang w:val="en-AU"/>
        </w:rPr>
        <w:t xml:space="preserve"> </w:t>
      </w:r>
    </w:p>
    <w:p w14:paraId="4E619F3E" w14:textId="77777777" w:rsidR="006B6C60" w:rsidRPr="000E79AA" w:rsidRDefault="006B6C60"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The hierarchical Bayesian estimates of the ex-Gaussian finish time distributions for the stop and matching go processes are shown in Figures </w:t>
      </w:r>
      <w:r w:rsidR="00F657CF" w:rsidRPr="000E79AA">
        <w:rPr>
          <w:rFonts w:ascii="Times New Roman" w:hAnsi="Times New Roman" w:cs="Times New Roman"/>
          <w:lang w:val="en-AU"/>
        </w:rPr>
        <w:t>3</w:t>
      </w:r>
      <w:r w:rsidRPr="000E79AA">
        <w:rPr>
          <w:rFonts w:ascii="Times New Roman" w:hAnsi="Times New Roman" w:cs="Times New Roman"/>
          <w:lang w:val="en-AU"/>
        </w:rPr>
        <w:t xml:space="preserve">B and </w:t>
      </w:r>
      <w:r w:rsidR="00F657CF" w:rsidRPr="000E79AA">
        <w:rPr>
          <w:rFonts w:ascii="Times New Roman" w:hAnsi="Times New Roman" w:cs="Times New Roman"/>
          <w:lang w:val="en-AU"/>
        </w:rPr>
        <w:t>3</w:t>
      </w:r>
      <w:r w:rsidRPr="000E79AA">
        <w:rPr>
          <w:rFonts w:ascii="Times New Roman" w:hAnsi="Times New Roman" w:cs="Times New Roman"/>
          <w:lang w:val="en-AU"/>
        </w:rPr>
        <w:t xml:space="preserve">E respectively. The stop process finish times tended to be faster for the control group than the </w:t>
      </w:r>
      <w:r w:rsidR="006D4237"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 Indeed, the posterior distribution of group-level mean SSRT (Figure </w:t>
      </w:r>
      <w:r w:rsidR="00F657CF" w:rsidRPr="000E79AA">
        <w:rPr>
          <w:rFonts w:ascii="Times New Roman" w:hAnsi="Times New Roman" w:cs="Times New Roman"/>
          <w:lang w:val="en-AU"/>
        </w:rPr>
        <w:t>3</w:t>
      </w:r>
      <w:r w:rsidRPr="000E79AA">
        <w:rPr>
          <w:rFonts w:ascii="Times New Roman" w:hAnsi="Times New Roman" w:cs="Times New Roman"/>
          <w:lang w:val="en-AU"/>
        </w:rPr>
        <w:t xml:space="preserve">C) was lower for the control group (median = 0.39 s, 95% QI: [0.36, 0.41]) than the </w:t>
      </w:r>
      <w:r w:rsidR="002D3C58"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 on placebo (median = 0.46 s, 95% QI: [0.41, 0.52]), and this group difference in SSRT was reliably different from zero (</w:t>
      </w:r>
      <w:r w:rsidR="001C5A83" w:rsidRPr="000E79AA">
        <w:rPr>
          <w:rFonts w:ascii="Times New Roman" w:hAnsi="Times New Roman" w:cs="Times New Roman"/>
          <w:lang w:val="en-AU"/>
        </w:rPr>
        <w:t xml:space="preserve">∆group </w:t>
      </w:r>
      <w:r w:rsidRPr="000E79AA">
        <w:rPr>
          <w:rFonts w:ascii="Times New Roman" w:hAnsi="Times New Roman" w:cs="Times New Roman"/>
          <w:lang w:val="en-AU"/>
        </w:rPr>
        <w:t>median = 0.07 s, 95</w:t>
      </w:r>
      <w:r w:rsidR="00BD1CEA" w:rsidRPr="000E79AA">
        <w:rPr>
          <w:rFonts w:ascii="Times New Roman" w:hAnsi="Times New Roman" w:cs="Times New Roman"/>
          <w:lang w:val="en-AU"/>
        </w:rPr>
        <w:t>%</w:t>
      </w:r>
      <w:r w:rsidRPr="000E79AA">
        <w:rPr>
          <w:rFonts w:ascii="Times New Roman" w:hAnsi="Times New Roman" w:cs="Times New Roman"/>
          <w:lang w:val="en-AU"/>
        </w:rPr>
        <w:t xml:space="preserve"> QI: [0.01, 0.14]). The mean SSRT for the </w:t>
      </w:r>
      <w:r w:rsidR="002D3C58"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 on atomoxetine (median = 0.47 s, 95% QI: [0.42, 0.52]) was comparable to the placebo session (∆drug median = 0.01 s, 95% QI: [-0.07, 0.09]).</w:t>
      </w:r>
    </w:p>
    <w:p w14:paraId="1226EA10" w14:textId="77777777" w:rsidR="006B6C60" w:rsidRPr="000E79AA" w:rsidRDefault="006B6C60" w:rsidP="004E671C">
      <w:pPr>
        <w:spacing w:line="360" w:lineRule="auto"/>
        <w:jc w:val="both"/>
        <w:rPr>
          <w:rFonts w:ascii="Times New Roman" w:hAnsi="Times New Roman" w:cs="Times New Roman"/>
          <w:lang w:val="en-AU"/>
        </w:rPr>
      </w:pPr>
    </w:p>
    <w:p w14:paraId="79EE27CC" w14:textId="443F5F7D" w:rsidR="006B6C60" w:rsidRPr="000E79AA" w:rsidRDefault="006B6C60"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For the matching go process, the distributions of finish times varied widely across participants, but the group-level distributions were highly similar. The posterior distributions of group-level mean go RT (Figure </w:t>
      </w:r>
      <w:r w:rsidR="008F7E16" w:rsidRPr="000E79AA">
        <w:rPr>
          <w:rFonts w:ascii="Times New Roman" w:hAnsi="Times New Roman" w:cs="Times New Roman"/>
          <w:lang w:val="en-AU"/>
        </w:rPr>
        <w:t>3</w:t>
      </w:r>
      <w:r w:rsidRPr="000E79AA">
        <w:rPr>
          <w:rFonts w:ascii="Times New Roman" w:hAnsi="Times New Roman" w:cs="Times New Roman"/>
          <w:lang w:val="en-AU"/>
        </w:rPr>
        <w:t xml:space="preserve">F) did not differ between the control group (median = 1.05 s, 95% QI: [0.28, 1.46]), </w:t>
      </w:r>
      <w:r w:rsidR="005E5499"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 on placebo (median = 0.98 s, 95% QI: [0.37, 1.31]; ∆group median = -0.07 s, 95% QI: [-0.78, 0.77]), and </w:t>
      </w:r>
      <w:r w:rsidR="005E5499"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 on atomoxetine (median = 0.97 s, 95% QI: [0.30, 1.34]; ∆drug median = -0.01 s, 95% QI: [-0.72, 0.67]).</w:t>
      </w:r>
      <w:r w:rsidR="003D765D" w:rsidRPr="000E79AA">
        <w:rPr>
          <w:rFonts w:ascii="Times New Roman" w:hAnsi="Times New Roman" w:cs="Times New Roman"/>
          <w:lang w:val="en-AU"/>
        </w:rPr>
        <w:t xml:space="preserve"> There were also no mean differences between groups or drug conditions for the attentional failure parameters, trigger failure and go failure (Supplementary Figure </w:t>
      </w:r>
      <w:r w:rsidR="00A577FD" w:rsidRPr="000E79AA">
        <w:rPr>
          <w:rFonts w:ascii="Times New Roman" w:hAnsi="Times New Roman" w:cs="Times New Roman"/>
          <w:lang w:val="en-AU"/>
        </w:rPr>
        <w:t>11</w:t>
      </w:r>
      <w:r w:rsidR="003D765D" w:rsidRPr="000E79AA">
        <w:rPr>
          <w:rFonts w:ascii="Times New Roman" w:hAnsi="Times New Roman" w:cs="Times New Roman"/>
          <w:lang w:val="en-AU"/>
        </w:rPr>
        <w:t>).</w:t>
      </w:r>
    </w:p>
    <w:p w14:paraId="4079C1F5" w14:textId="77777777" w:rsidR="006B6C60" w:rsidRPr="000E79AA" w:rsidRDefault="006B6C60" w:rsidP="004E671C">
      <w:pPr>
        <w:spacing w:line="360" w:lineRule="auto"/>
        <w:jc w:val="both"/>
        <w:rPr>
          <w:rFonts w:ascii="Times New Roman" w:hAnsi="Times New Roman" w:cs="Times New Roman"/>
          <w:b/>
          <w:lang w:val="en-AU"/>
        </w:rPr>
      </w:pPr>
    </w:p>
    <w:p w14:paraId="1A12AFCB" w14:textId="77777777" w:rsidR="002F0AA7" w:rsidRPr="000E79AA" w:rsidRDefault="002F0AA7" w:rsidP="004E671C">
      <w:pPr>
        <w:jc w:val="both"/>
        <w:rPr>
          <w:rFonts w:ascii="Times New Roman" w:hAnsi="Times New Roman" w:cs="Times New Roman"/>
          <w:lang w:val="en-AU"/>
        </w:rPr>
      </w:pPr>
    </w:p>
    <w:p w14:paraId="59EEC5C7" w14:textId="77777777" w:rsidR="007F1663" w:rsidRPr="000E79AA" w:rsidRDefault="00327958" w:rsidP="004E671C">
      <w:pPr>
        <w:jc w:val="both"/>
        <w:rPr>
          <w:rFonts w:ascii="Times New Roman" w:hAnsi="Times New Roman" w:cs="Times New Roman"/>
          <w:lang w:val="en-AU"/>
        </w:rPr>
      </w:pPr>
      <w:r w:rsidRPr="000E79AA">
        <w:rPr>
          <w:rFonts w:ascii="Times New Roman" w:hAnsi="Times New Roman" w:cs="Times New Roman"/>
          <w:noProof/>
          <w:lang w:val="en-AU" w:eastAsia="en-GB"/>
        </w:rPr>
        <w:lastRenderedPageBreak/>
        <w:drawing>
          <wp:inline distT="0" distB="0" distL="0" distR="0" wp14:anchorId="39720083" wp14:editId="658A8278">
            <wp:extent cx="5727700" cy="390652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20-06-03 at 15.16.13.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27700" cy="3906520"/>
                    </a:xfrm>
                    <a:prstGeom prst="rect">
                      <a:avLst/>
                    </a:prstGeom>
                  </pic:spPr>
                </pic:pic>
              </a:graphicData>
            </a:graphic>
          </wp:inline>
        </w:drawing>
      </w:r>
    </w:p>
    <w:p w14:paraId="382644A0" w14:textId="77777777" w:rsidR="006B6C60" w:rsidRPr="000E79AA" w:rsidRDefault="006B6C60" w:rsidP="004E671C">
      <w:pPr>
        <w:jc w:val="both"/>
        <w:rPr>
          <w:rFonts w:ascii="Times New Roman" w:hAnsi="Times New Roman" w:cs="Times New Roman"/>
          <w:i/>
          <w:lang w:val="en-AU"/>
        </w:rPr>
      </w:pPr>
    </w:p>
    <w:p w14:paraId="2F238618" w14:textId="3E038321" w:rsidR="00327958" w:rsidRPr="000E79AA" w:rsidRDefault="00327958" w:rsidP="004E671C">
      <w:pPr>
        <w:jc w:val="both"/>
        <w:rPr>
          <w:rFonts w:ascii="Times New Roman" w:hAnsi="Times New Roman" w:cs="Times New Roman"/>
          <w:lang w:val="en-AU"/>
        </w:rPr>
      </w:pPr>
      <w:r w:rsidRPr="000E79AA">
        <w:rPr>
          <w:rFonts w:ascii="Times New Roman" w:hAnsi="Times New Roman" w:cs="Times New Roman"/>
          <w:i/>
          <w:lang w:val="en-AU"/>
        </w:rPr>
        <w:t xml:space="preserve">Figure </w:t>
      </w:r>
      <w:r w:rsidR="006C6081" w:rsidRPr="000E79AA">
        <w:rPr>
          <w:rFonts w:ascii="Times New Roman" w:hAnsi="Times New Roman" w:cs="Times New Roman"/>
          <w:i/>
          <w:lang w:val="en-AU"/>
        </w:rPr>
        <w:t>3</w:t>
      </w:r>
      <w:r w:rsidR="00CC6CA4" w:rsidRPr="000E79AA">
        <w:rPr>
          <w:rFonts w:ascii="Times New Roman" w:hAnsi="Times New Roman" w:cs="Times New Roman"/>
          <w:i/>
          <w:lang w:val="en-AU"/>
        </w:rPr>
        <w:t>.</w:t>
      </w:r>
      <w:r w:rsidRPr="000E79AA">
        <w:rPr>
          <w:rFonts w:ascii="Times New Roman" w:hAnsi="Times New Roman" w:cs="Times New Roman"/>
          <w:i/>
          <w:lang w:val="en-AU"/>
        </w:rPr>
        <w:t xml:space="preserve"> </w:t>
      </w:r>
      <w:r w:rsidR="00A0290B" w:rsidRPr="000E79AA">
        <w:rPr>
          <w:rFonts w:ascii="Times New Roman" w:hAnsi="Times New Roman" w:cs="Times New Roman"/>
          <w:i/>
          <w:lang w:val="en-AU"/>
        </w:rPr>
        <w:t>Descriptive statistics and ex-Gaussian model estimates of stop</w:t>
      </w:r>
      <w:r w:rsidR="007B68EB" w:rsidRPr="000E79AA">
        <w:rPr>
          <w:rFonts w:ascii="Times New Roman" w:hAnsi="Times New Roman" w:cs="Times New Roman"/>
          <w:i/>
          <w:lang w:val="en-AU"/>
        </w:rPr>
        <w:t>-</w:t>
      </w:r>
      <w:r w:rsidR="00A0290B" w:rsidRPr="000E79AA">
        <w:rPr>
          <w:rFonts w:ascii="Times New Roman" w:hAnsi="Times New Roman" w:cs="Times New Roman"/>
          <w:i/>
          <w:lang w:val="en-AU"/>
        </w:rPr>
        <w:t>signal task performance. A, D</w:t>
      </w:r>
      <w:r w:rsidR="00947BCC" w:rsidRPr="000E79AA">
        <w:rPr>
          <w:rFonts w:ascii="Times New Roman" w:hAnsi="Times New Roman" w:cs="Times New Roman"/>
          <w:i/>
          <w:lang w:val="en-AU"/>
        </w:rPr>
        <w:t>:</w:t>
      </w:r>
      <w:r w:rsidR="00DD5F62" w:rsidRPr="000E79AA">
        <w:rPr>
          <w:rFonts w:ascii="Times New Roman" w:hAnsi="Times New Roman" w:cs="Times New Roman"/>
          <w:i/>
          <w:lang w:val="en-AU"/>
        </w:rPr>
        <w:t xml:space="preserve"> Proportions of successful stop trials (A) and </w:t>
      </w:r>
      <w:r w:rsidR="00C23F18" w:rsidRPr="000E79AA">
        <w:rPr>
          <w:rFonts w:ascii="Times New Roman" w:hAnsi="Times New Roman" w:cs="Times New Roman"/>
          <w:i/>
          <w:lang w:val="en-AU"/>
        </w:rPr>
        <w:t>incorrect go responses (D)</w:t>
      </w:r>
      <w:r w:rsidR="00A0290B" w:rsidRPr="000E79AA">
        <w:rPr>
          <w:rFonts w:ascii="Times New Roman" w:hAnsi="Times New Roman" w:cs="Times New Roman"/>
          <w:i/>
          <w:lang w:val="en-AU"/>
        </w:rPr>
        <w:t>. B, E</w:t>
      </w:r>
      <w:r w:rsidR="00947BCC" w:rsidRPr="000E79AA">
        <w:rPr>
          <w:rFonts w:ascii="Times New Roman" w:hAnsi="Times New Roman" w:cs="Times New Roman"/>
          <w:i/>
          <w:lang w:val="en-AU"/>
        </w:rPr>
        <w:t>:</w:t>
      </w:r>
      <w:r w:rsidR="00A0290B" w:rsidRPr="000E79AA">
        <w:rPr>
          <w:rFonts w:ascii="Times New Roman" w:hAnsi="Times New Roman" w:cs="Times New Roman"/>
          <w:i/>
          <w:lang w:val="en-AU"/>
        </w:rPr>
        <w:t xml:space="preserve"> </w:t>
      </w:r>
      <w:r w:rsidR="002F784C" w:rsidRPr="000E79AA">
        <w:rPr>
          <w:rFonts w:ascii="Times New Roman" w:hAnsi="Times New Roman" w:cs="Times New Roman"/>
          <w:i/>
          <w:lang w:val="en-AU"/>
        </w:rPr>
        <w:t>E</w:t>
      </w:r>
      <w:r w:rsidR="00A0290B" w:rsidRPr="000E79AA">
        <w:rPr>
          <w:rFonts w:ascii="Times New Roman" w:hAnsi="Times New Roman" w:cs="Times New Roman"/>
          <w:i/>
          <w:lang w:val="en-AU"/>
        </w:rPr>
        <w:t>x-Gaussian finish time distri</w:t>
      </w:r>
      <w:r w:rsidR="002F784C" w:rsidRPr="000E79AA">
        <w:rPr>
          <w:rFonts w:ascii="Times New Roman" w:hAnsi="Times New Roman" w:cs="Times New Roman"/>
          <w:i/>
          <w:lang w:val="en-AU"/>
        </w:rPr>
        <w:t xml:space="preserve">butions of the stop process (B) and matching go process (E). Bold lines represent group-level mean distributions; thin lines represent individual participants. </w:t>
      </w:r>
      <w:r w:rsidR="00D951DB" w:rsidRPr="000E79AA">
        <w:rPr>
          <w:rFonts w:ascii="Times New Roman" w:hAnsi="Times New Roman" w:cs="Times New Roman"/>
          <w:i/>
          <w:lang w:val="en-AU"/>
        </w:rPr>
        <w:t xml:space="preserve">The mean of a given ex-Gaussian distribution was taken as the SSRT (stop process) or go RT (matching go process). </w:t>
      </w:r>
      <w:r w:rsidR="002F784C" w:rsidRPr="000E79AA">
        <w:rPr>
          <w:rFonts w:ascii="Times New Roman" w:hAnsi="Times New Roman" w:cs="Times New Roman"/>
          <w:i/>
          <w:lang w:val="en-AU"/>
        </w:rPr>
        <w:t>C, F</w:t>
      </w:r>
      <w:r w:rsidR="00947BCC" w:rsidRPr="000E79AA">
        <w:rPr>
          <w:rFonts w:ascii="Times New Roman" w:hAnsi="Times New Roman" w:cs="Times New Roman"/>
          <w:i/>
          <w:lang w:val="en-AU"/>
        </w:rPr>
        <w:t>:</w:t>
      </w:r>
      <w:r w:rsidR="002F784C" w:rsidRPr="000E79AA">
        <w:rPr>
          <w:rFonts w:ascii="Times New Roman" w:hAnsi="Times New Roman" w:cs="Times New Roman"/>
          <w:i/>
          <w:lang w:val="en-AU"/>
        </w:rPr>
        <w:t xml:space="preserve"> Posterior distributions of group-level mean SSRT (C) and go RT (F). The black dots represent the medians; the thick black line segments represent the 66% quantile intervals; and the thin black line segments represent the 95% quantile intervals. </w:t>
      </w:r>
    </w:p>
    <w:p w14:paraId="00DC03A4" w14:textId="77777777" w:rsidR="00327958" w:rsidRPr="000E79AA" w:rsidRDefault="00327958" w:rsidP="004E671C">
      <w:pPr>
        <w:jc w:val="both"/>
        <w:rPr>
          <w:rFonts w:ascii="Times New Roman" w:hAnsi="Times New Roman" w:cs="Times New Roman"/>
          <w:lang w:val="en-AU"/>
        </w:rPr>
      </w:pPr>
    </w:p>
    <w:p w14:paraId="1384518B" w14:textId="77777777" w:rsidR="007F1663" w:rsidRPr="000E79AA" w:rsidRDefault="007F1663" w:rsidP="004E671C">
      <w:pPr>
        <w:spacing w:line="360" w:lineRule="auto"/>
        <w:jc w:val="both"/>
        <w:rPr>
          <w:rFonts w:ascii="Times New Roman" w:hAnsi="Times New Roman" w:cs="Times New Roman"/>
          <w:lang w:val="en-AU"/>
        </w:rPr>
      </w:pPr>
    </w:p>
    <w:p w14:paraId="5639065B" w14:textId="77777777" w:rsidR="007F1663" w:rsidRPr="000E79AA" w:rsidRDefault="00E77F78" w:rsidP="004E671C">
      <w:pPr>
        <w:spacing w:line="360" w:lineRule="auto"/>
        <w:jc w:val="both"/>
        <w:rPr>
          <w:rFonts w:ascii="Times New Roman" w:hAnsi="Times New Roman" w:cs="Times New Roman"/>
          <w:b/>
          <w:i/>
          <w:iCs/>
          <w:lang w:val="en-AU"/>
        </w:rPr>
      </w:pPr>
      <w:r w:rsidRPr="000E79AA">
        <w:rPr>
          <w:rFonts w:ascii="Times New Roman" w:hAnsi="Times New Roman" w:cs="Times New Roman"/>
          <w:b/>
          <w:i/>
          <w:iCs/>
          <w:lang w:val="en-AU"/>
        </w:rPr>
        <w:t>Locus coeruleus integrity and atomoxetine-induced changes</w:t>
      </w:r>
      <w:r w:rsidR="00A77F7E" w:rsidRPr="000E79AA">
        <w:rPr>
          <w:rFonts w:ascii="Times New Roman" w:hAnsi="Times New Roman" w:cs="Times New Roman"/>
          <w:b/>
          <w:i/>
          <w:iCs/>
          <w:lang w:val="en-AU"/>
        </w:rPr>
        <w:t xml:space="preserve"> </w:t>
      </w:r>
      <w:r w:rsidRPr="000E79AA">
        <w:rPr>
          <w:rFonts w:ascii="Times New Roman" w:hAnsi="Times New Roman" w:cs="Times New Roman"/>
          <w:b/>
          <w:i/>
          <w:iCs/>
          <w:lang w:val="en-AU"/>
        </w:rPr>
        <w:t>in</w:t>
      </w:r>
      <w:r w:rsidR="00A77F7E" w:rsidRPr="000E79AA">
        <w:rPr>
          <w:rFonts w:ascii="Times New Roman" w:hAnsi="Times New Roman" w:cs="Times New Roman"/>
          <w:b/>
          <w:i/>
          <w:iCs/>
          <w:lang w:val="en-AU"/>
        </w:rPr>
        <w:t xml:space="preserve"> SSRT</w:t>
      </w:r>
      <w:r w:rsidR="00A60C6D" w:rsidRPr="000E79AA">
        <w:rPr>
          <w:rFonts w:ascii="Times New Roman" w:hAnsi="Times New Roman" w:cs="Times New Roman"/>
          <w:b/>
          <w:i/>
          <w:iCs/>
          <w:lang w:val="en-AU"/>
        </w:rPr>
        <w:t xml:space="preserve"> </w:t>
      </w:r>
    </w:p>
    <w:p w14:paraId="42377802" w14:textId="403D0733" w:rsidR="000F0AC2" w:rsidRPr="000E79AA" w:rsidRDefault="008714D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Although </w:t>
      </w:r>
      <w:r w:rsidR="005818A6" w:rsidRPr="000E79AA">
        <w:rPr>
          <w:rFonts w:ascii="Times New Roman" w:hAnsi="Times New Roman" w:cs="Times New Roman"/>
          <w:lang w:val="en-AU"/>
        </w:rPr>
        <w:t>there was</w:t>
      </w:r>
      <w:r w:rsidR="00400BCD" w:rsidRPr="000E79AA">
        <w:rPr>
          <w:rFonts w:ascii="Times New Roman" w:hAnsi="Times New Roman" w:cs="Times New Roman"/>
          <w:lang w:val="en-AU"/>
        </w:rPr>
        <w:t xml:space="preserve"> </w:t>
      </w:r>
      <w:r w:rsidRPr="000E79AA">
        <w:rPr>
          <w:rFonts w:ascii="Times New Roman" w:hAnsi="Times New Roman" w:cs="Times New Roman"/>
          <w:lang w:val="en-AU"/>
        </w:rPr>
        <w:t xml:space="preserve">no </w:t>
      </w:r>
      <w:r w:rsidR="00400BCD" w:rsidRPr="000E79AA">
        <w:rPr>
          <w:rFonts w:ascii="Times New Roman" w:hAnsi="Times New Roman" w:cs="Times New Roman"/>
          <w:lang w:val="en-AU"/>
        </w:rPr>
        <w:t xml:space="preserve">group-wise </w:t>
      </w:r>
      <w:r w:rsidRPr="000E79AA">
        <w:rPr>
          <w:rFonts w:ascii="Times New Roman" w:hAnsi="Times New Roman" w:cs="Times New Roman"/>
          <w:lang w:val="en-AU"/>
        </w:rPr>
        <w:t xml:space="preserve">effect of atomoxetine on the </w:t>
      </w:r>
      <w:r w:rsidR="00A87766" w:rsidRPr="000E79AA">
        <w:rPr>
          <w:rFonts w:ascii="Times New Roman" w:hAnsi="Times New Roman" w:cs="Times New Roman"/>
          <w:lang w:val="en-AU"/>
        </w:rPr>
        <w:t>Parkinson’s disease</w:t>
      </w:r>
      <w:r w:rsidRPr="000E79AA">
        <w:rPr>
          <w:rFonts w:ascii="Times New Roman" w:hAnsi="Times New Roman" w:cs="Times New Roman"/>
          <w:lang w:val="en-AU"/>
        </w:rPr>
        <w:t xml:space="preserve"> group</w:t>
      </w:r>
      <w:r w:rsidR="00A87766" w:rsidRPr="000E79AA">
        <w:rPr>
          <w:rFonts w:ascii="Times New Roman" w:hAnsi="Times New Roman" w:cs="Times New Roman"/>
          <w:lang w:val="en-AU"/>
        </w:rPr>
        <w:t xml:space="preserve"> </w:t>
      </w:r>
      <w:r w:rsidR="00400BCD" w:rsidRPr="000E79AA">
        <w:rPr>
          <w:rFonts w:ascii="Times New Roman" w:hAnsi="Times New Roman" w:cs="Times New Roman"/>
          <w:lang w:val="en-AU"/>
        </w:rPr>
        <w:t xml:space="preserve">in terms of their </w:t>
      </w:r>
      <w:r w:rsidRPr="000E79AA">
        <w:rPr>
          <w:rFonts w:ascii="Times New Roman" w:hAnsi="Times New Roman" w:cs="Times New Roman"/>
          <w:lang w:val="en-AU"/>
        </w:rPr>
        <w:t xml:space="preserve">mean SSRT, we </w:t>
      </w:r>
      <w:r w:rsidR="00400BCD" w:rsidRPr="000E79AA">
        <w:rPr>
          <w:rFonts w:ascii="Times New Roman" w:hAnsi="Times New Roman" w:cs="Times New Roman"/>
          <w:lang w:val="en-AU"/>
        </w:rPr>
        <w:t xml:space="preserve">predicted </w:t>
      </w:r>
      <w:r w:rsidRPr="000E79AA">
        <w:rPr>
          <w:rFonts w:ascii="Times New Roman" w:hAnsi="Times New Roman" w:cs="Times New Roman"/>
          <w:lang w:val="en-AU"/>
        </w:rPr>
        <w:t xml:space="preserve">that the effect of atomoxetine would depend on individual differences in </w:t>
      </w:r>
      <w:r w:rsidR="00213532" w:rsidRPr="000E79AA">
        <w:rPr>
          <w:rFonts w:ascii="Times New Roman" w:hAnsi="Times New Roman" w:cs="Times New Roman"/>
          <w:lang w:val="en-AU"/>
        </w:rPr>
        <w:t>locus coeruleus</w:t>
      </w:r>
      <w:r w:rsidR="0055722F" w:rsidRPr="000E79AA">
        <w:rPr>
          <w:rFonts w:ascii="Times New Roman" w:hAnsi="Times New Roman" w:cs="Times New Roman"/>
          <w:lang w:val="en-AU"/>
        </w:rPr>
        <w:t xml:space="preserve"> integrity, </w:t>
      </w:r>
      <w:r w:rsidRPr="000E79AA">
        <w:rPr>
          <w:rFonts w:ascii="Times New Roman" w:hAnsi="Times New Roman" w:cs="Times New Roman"/>
          <w:lang w:val="en-AU"/>
        </w:rPr>
        <w:t xml:space="preserve">as indexed by the CNR. </w:t>
      </w:r>
      <w:r w:rsidR="00400BCD" w:rsidRPr="000E79AA">
        <w:rPr>
          <w:rFonts w:ascii="Times New Roman" w:hAnsi="Times New Roman" w:cs="Times New Roman"/>
          <w:lang w:val="en-AU"/>
        </w:rPr>
        <w:t>We confirmed</w:t>
      </w:r>
      <w:r w:rsidRPr="000E79AA">
        <w:rPr>
          <w:rFonts w:ascii="Times New Roman" w:hAnsi="Times New Roman" w:cs="Times New Roman"/>
          <w:lang w:val="en-AU"/>
        </w:rPr>
        <w:t xml:space="preserve"> a </w:t>
      </w:r>
      <w:r w:rsidR="00B566DF" w:rsidRPr="000E79AA">
        <w:rPr>
          <w:rFonts w:ascii="Times New Roman" w:hAnsi="Times New Roman" w:cs="Times New Roman"/>
          <w:lang w:val="en-AU"/>
        </w:rPr>
        <w:t xml:space="preserve">significant </w:t>
      </w:r>
      <w:r w:rsidRPr="000E79AA">
        <w:rPr>
          <w:rFonts w:ascii="Times New Roman" w:hAnsi="Times New Roman" w:cs="Times New Roman"/>
          <w:lang w:val="en-AU"/>
        </w:rPr>
        <w:t xml:space="preserve">interaction effect between the drug condition and </w:t>
      </w:r>
      <w:r w:rsidR="00A60C6D" w:rsidRPr="000E79AA">
        <w:rPr>
          <w:rFonts w:ascii="Times New Roman" w:hAnsi="Times New Roman" w:cs="Times New Roman"/>
          <w:lang w:val="en-AU"/>
        </w:rPr>
        <w:t>locus coeruleus</w:t>
      </w:r>
      <w:r w:rsidRPr="000E79AA">
        <w:rPr>
          <w:rFonts w:ascii="Times New Roman" w:hAnsi="Times New Roman" w:cs="Times New Roman"/>
          <w:lang w:val="en-AU"/>
        </w:rPr>
        <w:t xml:space="preserve"> CNR on the participant-level estimates of SSRT (Figure </w:t>
      </w:r>
      <w:r w:rsidR="00DE3DD5" w:rsidRPr="000E79AA">
        <w:rPr>
          <w:rFonts w:ascii="Times New Roman" w:hAnsi="Times New Roman" w:cs="Times New Roman"/>
          <w:lang w:val="en-AU"/>
        </w:rPr>
        <w:t>4</w:t>
      </w:r>
      <w:r w:rsidRPr="000E79AA">
        <w:rPr>
          <w:rFonts w:ascii="Times New Roman" w:hAnsi="Times New Roman" w:cs="Times New Roman"/>
          <w:lang w:val="en-AU"/>
        </w:rPr>
        <w:t xml:space="preserve">A; β = 0.27, </w:t>
      </w:r>
      <w:r w:rsidRPr="000E79AA">
        <w:rPr>
          <w:rFonts w:ascii="Times New Roman" w:hAnsi="Times New Roman" w:cs="Times New Roman"/>
          <w:i/>
          <w:lang w:val="en-AU"/>
        </w:rPr>
        <w:t>F</w:t>
      </w:r>
      <w:r w:rsidRPr="000E79AA">
        <w:rPr>
          <w:rFonts w:ascii="Times New Roman" w:hAnsi="Times New Roman" w:cs="Times New Roman"/>
          <w:vertAlign w:val="subscript"/>
          <w:lang w:val="en-AU"/>
        </w:rPr>
        <w:t>(1, 14.61)</w:t>
      </w:r>
      <w:r w:rsidRPr="000E79AA">
        <w:rPr>
          <w:rFonts w:ascii="Times New Roman" w:hAnsi="Times New Roman" w:cs="Times New Roman"/>
          <w:lang w:val="en-AU"/>
        </w:rPr>
        <w:t xml:space="preserve"> = 14.61, </w:t>
      </w:r>
      <w:r w:rsidRPr="000E79AA">
        <w:rPr>
          <w:rFonts w:ascii="Times New Roman" w:hAnsi="Times New Roman" w:cs="Times New Roman"/>
          <w:i/>
          <w:lang w:val="en-AU"/>
        </w:rPr>
        <w:t>p</w:t>
      </w:r>
      <w:r w:rsidRPr="000E79AA">
        <w:rPr>
          <w:rFonts w:ascii="Times New Roman" w:hAnsi="Times New Roman" w:cs="Times New Roman"/>
          <w:lang w:val="en-AU"/>
        </w:rPr>
        <w:t xml:space="preserve"> = .002; BF = 11.56). This interaction effect did not meaningfully change when including clinical covariates such as age, disease severity</w:t>
      </w:r>
      <w:r w:rsidR="00F07ACA" w:rsidRPr="000E79AA">
        <w:rPr>
          <w:rFonts w:ascii="Times New Roman" w:hAnsi="Times New Roman" w:cs="Times New Roman"/>
          <w:lang w:val="en-AU"/>
        </w:rPr>
        <w:t>, atomoxetine plasma level</w:t>
      </w:r>
      <w:r w:rsidRPr="000E79AA">
        <w:rPr>
          <w:rFonts w:ascii="Times New Roman" w:hAnsi="Times New Roman" w:cs="Times New Roman"/>
          <w:lang w:val="en-AU"/>
        </w:rPr>
        <w:t xml:space="preserve"> and dopaminergic medication</w:t>
      </w:r>
      <w:r w:rsidR="00A60C6D" w:rsidRPr="000E79AA">
        <w:rPr>
          <w:rFonts w:ascii="Times New Roman" w:hAnsi="Times New Roman" w:cs="Times New Roman"/>
          <w:lang w:val="en-AU"/>
        </w:rPr>
        <w:t>, as b</w:t>
      </w:r>
      <w:r w:rsidRPr="000E79AA">
        <w:rPr>
          <w:rFonts w:ascii="Times New Roman" w:hAnsi="Times New Roman" w:cs="Times New Roman"/>
          <w:lang w:val="en-AU"/>
        </w:rPr>
        <w:t>oth frequentist and Bayesian model selection procedures indicated that such covariates did not significantly improve the model fit (</w:t>
      </w:r>
      <w:r w:rsidR="00A60C6D" w:rsidRPr="000E79AA">
        <w:rPr>
          <w:rFonts w:ascii="Times New Roman" w:hAnsi="Times New Roman" w:cs="Times New Roman"/>
          <w:lang w:val="en-AU"/>
        </w:rPr>
        <w:t xml:space="preserve">for details see </w:t>
      </w:r>
      <w:r w:rsidRPr="000E79AA">
        <w:rPr>
          <w:rFonts w:ascii="Times New Roman" w:hAnsi="Times New Roman" w:cs="Times New Roman"/>
          <w:lang w:val="en-AU"/>
        </w:rPr>
        <w:t>Supplement</w:t>
      </w:r>
      <w:r w:rsidR="00795EAD" w:rsidRPr="000E79AA">
        <w:rPr>
          <w:rFonts w:ascii="Times New Roman" w:hAnsi="Times New Roman" w:cs="Times New Roman"/>
          <w:lang w:val="en-AU"/>
        </w:rPr>
        <w:t>ary Material</w:t>
      </w:r>
      <w:r w:rsidRPr="000E79AA">
        <w:rPr>
          <w:rFonts w:ascii="Times New Roman" w:hAnsi="Times New Roman" w:cs="Times New Roman"/>
          <w:lang w:val="en-AU"/>
        </w:rPr>
        <w:t>).</w:t>
      </w:r>
      <w:r w:rsidR="00B30F7B" w:rsidRPr="000E79AA">
        <w:rPr>
          <w:rFonts w:ascii="Times New Roman" w:hAnsi="Times New Roman" w:cs="Times New Roman"/>
          <w:lang w:val="en-AU"/>
        </w:rPr>
        <w:t xml:space="preserve">We performed </w:t>
      </w:r>
      <w:r w:rsidR="00B30F7B" w:rsidRPr="000E79AA">
        <w:rPr>
          <w:rFonts w:ascii="Times New Roman" w:hAnsi="Times New Roman" w:cs="Times New Roman"/>
          <w:lang w:val="en-AU"/>
        </w:rPr>
        <w:lastRenderedPageBreak/>
        <w:t>several follow-up analyses that confirmed this interaction was not driven by overly influential outlier participants</w:t>
      </w:r>
      <w:r w:rsidR="00D7380B" w:rsidRPr="000E79AA">
        <w:rPr>
          <w:rFonts w:ascii="Times New Roman" w:hAnsi="Times New Roman" w:cs="Times New Roman"/>
          <w:lang w:val="en-AU"/>
        </w:rPr>
        <w:t>, including</w:t>
      </w:r>
      <w:r w:rsidR="008F759E" w:rsidRPr="000E79AA">
        <w:rPr>
          <w:rFonts w:ascii="Times New Roman" w:hAnsi="Times New Roman" w:cs="Times New Roman"/>
          <w:lang w:val="en-AU"/>
        </w:rPr>
        <w:t xml:space="preserve"> Cook’s distance</w:t>
      </w:r>
      <w:r w:rsidR="004817BA" w:rsidRPr="000E79AA">
        <w:rPr>
          <w:rFonts w:ascii="Times New Roman" w:hAnsi="Times New Roman" w:cs="Times New Roman"/>
          <w:lang w:val="en-AU"/>
        </w:rPr>
        <w:t>,</w:t>
      </w:r>
      <w:r w:rsidR="00784006"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{"citationID":"a20n67ktndp","properties":{"formattedCitation":"\\super 85,86\\nosupersub{}","plainCitation":"85,86","noteIndex":0},"citationItems":[{"id":14695,"uris":["http://zotero.org/users/local/xUwQuTPV/items/6L6BLL6P"],"uri":["http://zotero.org/users/local/xUwQuTPV/items/6L6BLL6P"],"itemData":{"id":14695,"type":"article-journal","container-title":"Technometrics","issue":"1","note":"ISBN: 0040-1706\npublisher: Taylor &amp; Francis Group","page":"15-18","title":"Detection of influential observation in linear regression","volume":"19","author":[{"family":"Cook","given":"R. Dennis"}],"issued":{"date-parts":[["1977"]]}}},{"id":14697,"uris":["http://zotero.org/users/local/xUwQuTPV/items/2KBMPDVG"],"uri":["http://zotero.org/users/local/xUwQuTPV/items/2KBMPDVG"],"itemData":{"id":14697,"type":"chapter","abstract":"This chapter focuses on diagnostics for the two-level Hierarchical Linear Model (HLM). This presentation of diagnostic techniques starts with techniques that can be represented as model checks remaining within the framework of the HLM. This is followed by a section on model checking based on various types of residuals. An important type of misspecification can reside in non-linearity of the effects of explanatory variables. The last part of the chapter presents methods to identify such misspecifications and estimate the non-linear relationships that may obtain. (PsycINFO Database Record (c) 2016 APA, all rights reserved)","container-title":"Handbook of multilevel analysis.","event-place":"New York,  NY,  US","ISBN":"978-0-387-73183-4","note":"DOI: 10.1007/978-0-387-73186-5_3","page":"141-175","publisher":"Springer Science + Business Media","publisher-place":"New York,  NY,  US","title":"Diagnostic checks for multilevel models.","author":[{"family":"Snijders","given":"Tom A. B."},{"family":"Berkhof","given":"Johannes"}],"issued":{"date-parts":[["2008"]]}}}],"schema":"https://github.com/citation-style-language/schema/raw/master/csl-citation.json"} </w:instrText>
      </w:r>
      <w:r w:rsidR="00784006"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85,86</w:t>
      </w:r>
      <w:r w:rsidR="00784006" w:rsidRPr="000E79AA">
        <w:rPr>
          <w:rFonts w:ascii="Times New Roman" w:hAnsi="Times New Roman" w:cs="Times New Roman"/>
          <w:lang w:val="en-AU"/>
        </w:rPr>
        <w:fldChar w:fldCharType="end"/>
      </w:r>
      <w:r w:rsidR="006A170F" w:rsidRPr="000E79AA">
        <w:rPr>
          <w:rFonts w:ascii="Times New Roman" w:hAnsi="Times New Roman" w:cs="Times New Roman"/>
          <w:lang w:val="en-AU"/>
        </w:rPr>
        <w:t xml:space="preserve"> DFBETA</w:t>
      </w:r>
      <w:r w:rsidR="00784006" w:rsidRPr="000E79AA">
        <w:rPr>
          <w:rFonts w:ascii="Times New Roman" w:hAnsi="Times New Roman" w:cs="Times New Roman"/>
          <w:lang w:val="en-AU"/>
        </w:rPr>
        <w:fldChar w:fldCharType="begin"/>
      </w:r>
      <w:r w:rsidR="00C868EB" w:rsidRPr="000E79AA">
        <w:rPr>
          <w:rFonts w:ascii="Times New Roman" w:hAnsi="Times New Roman" w:cs="Times New Roman"/>
          <w:lang w:val="en-AU"/>
        </w:rPr>
        <w:instrText xml:space="preserve"> ADDIN ZOTERO_ITEM CSL_CITATION {"citationID":"a2hduhovimu","properties":{"formattedCitation":"\\super 87\\nosupersub{}","plainCitation":"87","noteIndex":0},"citationItems":[{"id":14699,"uris":["http://zotero.org/users/local/xUwQuTPV/items/MN4K5LCP"],"uri":["http://zotero.org/users/local/xUwQuTPV/items/MN4K5LCP"],"itemData":{"id":14699,"type":"book","ISBN":"0-7619-2280-6","publisher":"Sage","title":"An R and S-Plus companion to applied regression","author":[{"family":"Fox","given":"John"},{"family":"Monette","given":"Georges"}],"issued":{"date-parts":[["2002"]]}}}],"schema":"https://github.com/citation-style-language/schema/raw/master/csl-citation.json"} </w:instrText>
      </w:r>
      <w:r w:rsidR="00784006" w:rsidRPr="000E79AA">
        <w:rPr>
          <w:rFonts w:ascii="Times New Roman" w:hAnsi="Times New Roman" w:cs="Times New Roman"/>
          <w:lang w:val="en-AU"/>
        </w:rPr>
        <w:fldChar w:fldCharType="separate"/>
      </w:r>
      <w:r w:rsidR="00C868EB" w:rsidRPr="000E79AA">
        <w:rPr>
          <w:rFonts w:ascii="Times New Roman" w:hAnsi="Times New Roman" w:cs="Times New Roman"/>
          <w:vertAlign w:val="superscript"/>
        </w:rPr>
        <w:t>87</w:t>
      </w:r>
      <w:r w:rsidR="00784006" w:rsidRPr="000E79AA">
        <w:rPr>
          <w:rFonts w:ascii="Times New Roman" w:hAnsi="Times New Roman" w:cs="Times New Roman"/>
          <w:lang w:val="en-AU"/>
        </w:rPr>
        <w:fldChar w:fldCharType="end"/>
      </w:r>
      <w:r w:rsidR="00D7380B" w:rsidRPr="000E79AA">
        <w:rPr>
          <w:rFonts w:ascii="Times New Roman" w:hAnsi="Times New Roman" w:cs="Times New Roman"/>
          <w:lang w:val="en-AU"/>
        </w:rPr>
        <w:t xml:space="preserve"> and re-fitting using a robust estimation method (for details see Supplementary Material).</w:t>
      </w:r>
      <w:r w:rsidR="00865B81" w:rsidRPr="000E79AA">
        <w:rPr>
          <w:rFonts w:ascii="Times New Roman" w:hAnsi="Times New Roman" w:cs="Times New Roman"/>
          <w:lang w:val="en-AU"/>
        </w:rPr>
        <w:t xml:space="preserve"> </w:t>
      </w:r>
      <w:r w:rsidR="00BD72F7" w:rsidRPr="000E79AA">
        <w:rPr>
          <w:rFonts w:ascii="Times New Roman" w:hAnsi="Times New Roman" w:cs="Times New Roman"/>
          <w:lang w:val="en-AU"/>
        </w:rPr>
        <w:t xml:space="preserve">We also showed that the drug × locus coeruleus CNR interaction did not change when additional brain imaging metrics were included as covariates. These metrics included total intracranial volume and CNR extracted from the substantia nigra (details can be found in </w:t>
      </w:r>
      <w:r w:rsidR="006B65F0" w:rsidRPr="000E79AA">
        <w:rPr>
          <w:rFonts w:ascii="Times New Roman" w:hAnsi="Times New Roman" w:cs="Times New Roman"/>
          <w:lang w:val="en-AU"/>
        </w:rPr>
        <w:t xml:space="preserve">the </w:t>
      </w:r>
      <w:r w:rsidR="00BD72F7" w:rsidRPr="000E79AA">
        <w:rPr>
          <w:rFonts w:ascii="Times New Roman" w:hAnsi="Times New Roman" w:cs="Times New Roman"/>
          <w:lang w:val="en-AU"/>
        </w:rPr>
        <w:t>Supplementary Material).</w:t>
      </w:r>
      <w:r w:rsidR="00BD72F7" w:rsidRPr="000E79AA">
        <w:rPr>
          <w:rFonts w:ascii="Times New Roman" w:hAnsi="Times New Roman" w:cs="Times New Roman"/>
          <w:b/>
          <w:bCs/>
          <w:lang w:val="en-AU"/>
        </w:rPr>
        <w:t xml:space="preserve"> </w:t>
      </w:r>
      <w:r w:rsidR="00BD72F7" w:rsidRPr="000E79AA">
        <w:rPr>
          <w:rFonts w:ascii="Times New Roman" w:hAnsi="Times New Roman" w:cs="Times New Roman"/>
          <w:lang w:val="en-AU"/>
        </w:rPr>
        <w:t xml:space="preserve">Finally, </w:t>
      </w:r>
      <w:r w:rsidR="009C7CDE" w:rsidRPr="000E79AA">
        <w:rPr>
          <w:rFonts w:ascii="Times New Roman" w:hAnsi="Times New Roman" w:cs="Times New Roman"/>
          <w:lang w:val="en-AU"/>
        </w:rPr>
        <w:t>we found that the interaction did not change when using an alternative calculation for locus coeruleus contrast (</w:t>
      </w:r>
      <w:r w:rsidR="000217E0" w:rsidRPr="000E79AA">
        <w:rPr>
          <w:rFonts w:ascii="Times New Roman" w:hAnsi="Times New Roman" w:cs="Times New Roman"/>
          <w:lang w:val="en-AU"/>
        </w:rPr>
        <w:t>c</w:t>
      </w:r>
      <w:r w:rsidR="009C7CDE" w:rsidRPr="000E79AA">
        <w:rPr>
          <w:rFonts w:ascii="Times New Roman" w:hAnsi="Times New Roman" w:cs="Times New Roman"/>
          <w:lang w:val="en-AU"/>
        </w:rPr>
        <w:t>ontrast ratio to mean, not SD, see Supplementary Material)</w:t>
      </w:r>
      <w:r w:rsidR="00041EB6" w:rsidRPr="000E79AA">
        <w:rPr>
          <w:rFonts w:ascii="Times New Roman" w:hAnsi="Times New Roman" w:cs="Times New Roman"/>
          <w:lang w:val="en-AU"/>
        </w:rPr>
        <w:t xml:space="preserve">, or when the contrast values were obtained using the </w:t>
      </w:r>
      <w:r w:rsidR="00041EB6" w:rsidRPr="000E79AA">
        <w:rPr>
          <w:rFonts w:ascii="Times New Roman" w:hAnsi="Times New Roman" w:cs="Times New Roman"/>
          <w:bCs/>
          <w:lang w:val="en-AU"/>
        </w:rPr>
        <w:t>more conservative 25% probability mask (</w:t>
      </w:r>
      <w:r w:rsidR="00041EB6" w:rsidRPr="000E79AA">
        <w:rPr>
          <w:rFonts w:ascii="Times New Roman" w:hAnsi="Times New Roman" w:cs="Times New Roman"/>
          <w:lang w:val="en-AU"/>
        </w:rPr>
        <w:t xml:space="preserve">see Supplementary Material). </w:t>
      </w:r>
      <w:r w:rsidR="000F0AC2" w:rsidRPr="000E79AA">
        <w:rPr>
          <w:rFonts w:ascii="Times New Roman" w:hAnsi="Times New Roman" w:cs="Times New Roman"/>
          <w:lang w:val="en-AU"/>
        </w:rPr>
        <w:t xml:space="preserve"> </w:t>
      </w:r>
    </w:p>
    <w:p w14:paraId="5B53B69D" w14:textId="77777777" w:rsidR="000F0AC2" w:rsidRPr="000E79AA" w:rsidRDefault="000F0AC2" w:rsidP="004E671C">
      <w:pPr>
        <w:spacing w:line="360" w:lineRule="auto"/>
        <w:jc w:val="both"/>
        <w:rPr>
          <w:rFonts w:ascii="Times New Roman" w:hAnsi="Times New Roman" w:cs="Times New Roman"/>
          <w:lang w:val="en-AU"/>
        </w:rPr>
      </w:pPr>
    </w:p>
    <w:p w14:paraId="64B5B3A0" w14:textId="6503BC17" w:rsidR="00FA57C3" w:rsidRPr="000E79AA" w:rsidRDefault="00FA57C3"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There was </w:t>
      </w:r>
      <w:r w:rsidR="00490184" w:rsidRPr="000E79AA">
        <w:rPr>
          <w:rFonts w:ascii="Times New Roman" w:hAnsi="Times New Roman" w:cs="Times New Roman"/>
          <w:lang w:val="en-AU"/>
        </w:rPr>
        <w:t xml:space="preserve">also </w:t>
      </w:r>
      <w:r w:rsidRPr="000E79AA">
        <w:rPr>
          <w:rFonts w:ascii="Times New Roman" w:hAnsi="Times New Roman" w:cs="Times New Roman"/>
          <w:lang w:val="en-AU"/>
        </w:rPr>
        <w:t xml:space="preserve">a main effect of session (β = 0.25, </w:t>
      </w:r>
      <w:r w:rsidRPr="000E79AA">
        <w:rPr>
          <w:rFonts w:ascii="Times New Roman" w:hAnsi="Times New Roman" w:cs="Times New Roman"/>
          <w:i/>
          <w:lang w:val="en-AU"/>
        </w:rPr>
        <w:t>F</w:t>
      </w:r>
      <w:r w:rsidRPr="000E79AA">
        <w:rPr>
          <w:rFonts w:ascii="Times New Roman" w:hAnsi="Times New Roman" w:cs="Times New Roman"/>
          <w:vertAlign w:val="subscript"/>
          <w:lang w:val="en-AU"/>
        </w:rPr>
        <w:t>(1, 14.53)</w:t>
      </w:r>
      <w:r w:rsidRPr="000E79AA">
        <w:rPr>
          <w:rFonts w:ascii="Times New Roman" w:hAnsi="Times New Roman" w:cs="Times New Roman"/>
          <w:lang w:val="en-AU"/>
        </w:rPr>
        <w:t xml:space="preserve"> = 13.33, </w:t>
      </w:r>
      <w:r w:rsidRPr="000E79AA">
        <w:rPr>
          <w:rFonts w:ascii="Times New Roman" w:hAnsi="Times New Roman" w:cs="Times New Roman"/>
          <w:i/>
          <w:lang w:val="en-AU"/>
        </w:rPr>
        <w:t>p</w:t>
      </w:r>
      <w:r w:rsidRPr="000E79AA">
        <w:rPr>
          <w:rFonts w:ascii="Times New Roman" w:hAnsi="Times New Roman" w:cs="Times New Roman"/>
          <w:lang w:val="en-AU"/>
        </w:rPr>
        <w:t xml:space="preserve"> = .002; BF = 2.5</w:t>
      </w:r>
      <w:r w:rsidR="007F01ED" w:rsidRPr="000E79AA">
        <w:rPr>
          <w:rFonts w:ascii="Times New Roman" w:hAnsi="Times New Roman" w:cs="Times New Roman"/>
          <w:lang w:val="en-AU"/>
        </w:rPr>
        <w:t>8</w:t>
      </w:r>
      <w:r w:rsidRPr="000E79AA">
        <w:rPr>
          <w:rFonts w:ascii="Times New Roman" w:hAnsi="Times New Roman" w:cs="Times New Roman"/>
          <w:lang w:val="en-AU"/>
        </w:rPr>
        <w:t xml:space="preserve">), reflecting slightly </w:t>
      </w:r>
      <w:r w:rsidR="00400BCD" w:rsidRPr="000E79AA">
        <w:rPr>
          <w:rFonts w:ascii="Times New Roman" w:hAnsi="Times New Roman" w:cs="Times New Roman"/>
          <w:lang w:val="en-AU"/>
        </w:rPr>
        <w:t xml:space="preserve">shorter </w:t>
      </w:r>
      <w:r w:rsidRPr="000E79AA">
        <w:rPr>
          <w:rFonts w:ascii="Times New Roman" w:hAnsi="Times New Roman" w:cs="Times New Roman"/>
          <w:lang w:val="en-AU"/>
        </w:rPr>
        <w:t>SSRTs for the second session compared to the first, regardless of the drug condition. There were no significant main effects of drug condition (</w:t>
      </w:r>
      <w:r w:rsidR="007F01ED" w:rsidRPr="000E79AA">
        <w:rPr>
          <w:rFonts w:ascii="Times New Roman" w:hAnsi="Times New Roman" w:cs="Times New Roman"/>
          <w:lang w:val="en-AU"/>
        </w:rPr>
        <w:t xml:space="preserve">β = -0.05, </w:t>
      </w:r>
      <w:r w:rsidR="007F01ED" w:rsidRPr="000E79AA">
        <w:rPr>
          <w:rFonts w:ascii="Times New Roman" w:hAnsi="Times New Roman" w:cs="Times New Roman"/>
          <w:i/>
          <w:lang w:val="en-AU"/>
        </w:rPr>
        <w:t>F</w:t>
      </w:r>
      <w:r w:rsidR="007F01ED" w:rsidRPr="000E79AA">
        <w:rPr>
          <w:rFonts w:ascii="Times New Roman" w:hAnsi="Times New Roman" w:cs="Times New Roman"/>
          <w:vertAlign w:val="subscript"/>
          <w:lang w:val="en-AU"/>
        </w:rPr>
        <w:t>(1, 14.21)</w:t>
      </w:r>
      <w:r w:rsidR="007F01ED" w:rsidRPr="000E79AA">
        <w:rPr>
          <w:rFonts w:ascii="Times New Roman" w:hAnsi="Times New Roman" w:cs="Times New Roman"/>
          <w:lang w:val="en-AU"/>
        </w:rPr>
        <w:t xml:space="preserve"> = 0.70, </w:t>
      </w:r>
      <w:r w:rsidR="007F01ED" w:rsidRPr="000E79AA">
        <w:rPr>
          <w:rFonts w:ascii="Times New Roman" w:hAnsi="Times New Roman" w:cs="Times New Roman"/>
          <w:i/>
          <w:lang w:val="en-AU"/>
        </w:rPr>
        <w:t>p</w:t>
      </w:r>
      <w:r w:rsidR="007F01ED" w:rsidRPr="000E79AA">
        <w:rPr>
          <w:rFonts w:ascii="Times New Roman" w:hAnsi="Times New Roman" w:cs="Times New Roman"/>
          <w:lang w:val="en-AU"/>
        </w:rPr>
        <w:t xml:space="preserve"> = .416; BF = 0.37</w:t>
      </w:r>
      <w:r w:rsidRPr="000E79AA">
        <w:rPr>
          <w:rFonts w:ascii="Times New Roman" w:hAnsi="Times New Roman" w:cs="Times New Roman"/>
          <w:lang w:val="en-AU"/>
        </w:rPr>
        <w:t xml:space="preserve">) or </w:t>
      </w:r>
      <w:r w:rsidR="007F01ED" w:rsidRPr="000E79AA">
        <w:rPr>
          <w:rFonts w:ascii="Times New Roman" w:hAnsi="Times New Roman" w:cs="Times New Roman"/>
          <w:lang w:val="en-AU"/>
        </w:rPr>
        <w:t>locus coeruleus</w:t>
      </w:r>
      <w:r w:rsidRPr="000E79AA">
        <w:rPr>
          <w:rFonts w:ascii="Times New Roman" w:hAnsi="Times New Roman" w:cs="Times New Roman"/>
          <w:lang w:val="en-AU"/>
        </w:rPr>
        <w:t xml:space="preserve"> CNR (</w:t>
      </w:r>
      <w:r w:rsidR="007F01ED" w:rsidRPr="000E79AA">
        <w:rPr>
          <w:rFonts w:ascii="Times New Roman" w:hAnsi="Times New Roman" w:cs="Times New Roman"/>
          <w:lang w:val="en-AU"/>
        </w:rPr>
        <w:t xml:space="preserve">β = 0.11, </w:t>
      </w:r>
      <w:r w:rsidR="007F01ED" w:rsidRPr="000E79AA">
        <w:rPr>
          <w:rFonts w:ascii="Times New Roman" w:hAnsi="Times New Roman" w:cs="Times New Roman"/>
          <w:i/>
          <w:lang w:val="en-AU"/>
        </w:rPr>
        <w:t>F</w:t>
      </w:r>
      <w:r w:rsidR="007F01ED" w:rsidRPr="000E79AA">
        <w:rPr>
          <w:rFonts w:ascii="Times New Roman" w:hAnsi="Times New Roman" w:cs="Times New Roman"/>
          <w:vertAlign w:val="subscript"/>
          <w:lang w:val="en-AU"/>
        </w:rPr>
        <w:t>(1, 14.61)</w:t>
      </w:r>
      <w:r w:rsidR="007F01ED" w:rsidRPr="000E79AA">
        <w:rPr>
          <w:rFonts w:ascii="Times New Roman" w:hAnsi="Times New Roman" w:cs="Times New Roman"/>
          <w:lang w:val="en-AU"/>
        </w:rPr>
        <w:t xml:space="preserve"> = 0.266, </w:t>
      </w:r>
      <w:r w:rsidR="007F01ED" w:rsidRPr="000E79AA">
        <w:rPr>
          <w:rFonts w:ascii="Times New Roman" w:hAnsi="Times New Roman" w:cs="Times New Roman"/>
          <w:i/>
          <w:lang w:val="en-AU"/>
        </w:rPr>
        <w:t>p</w:t>
      </w:r>
      <w:r w:rsidR="007F01ED" w:rsidRPr="000E79AA">
        <w:rPr>
          <w:rFonts w:ascii="Times New Roman" w:hAnsi="Times New Roman" w:cs="Times New Roman"/>
          <w:lang w:val="en-AU"/>
        </w:rPr>
        <w:t xml:space="preserve"> = .613; BF = 0.55</w:t>
      </w:r>
      <w:r w:rsidRPr="000E79AA">
        <w:rPr>
          <w:rFonts w:ascii="Times New Roman" w:hAnsi="Times New Roman" w:cs="Times New Roman"/>
          <w:lang w:val="en-AU"/>
        </w:rPr>
        <w:t>) on SSRT.</w:t>
      </w:r>
    </w:p>
    <w:p w14:paraId="29B8EC20" w14:textId="77777777" w:rsidR="00FA57C3" w:rsidRPr="000E79AA" w:rsidRDefault="00FA57C3" w:rsidP="004E671C">
      <w:pPr>
        <w:spacing w:line="360" w:lineRule="auto"/>
        <w:jc w:val="both"/>
        <w:rPr>
          <w:rFonts w:ascii="Times New Roman" w:hAnsi="Times New Roman" w:cs="Times New Roman"/>
          <w:lang w:val="en-AU"/>
        </w:rPr>
      </w:pPr>
    </w:p>
    <w:p w14:paraId="364749CA" w14:textId="77777777" w:rsidR="008714DD" w:rsidRPr="000E79AA" w:rsidRDefault="008714D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To further understand the drug × </w:t>
      </w:r>
      <w:r w:rsidR="007E291E" w:rsidRPr="000E79AA">
        <w:rPr>
          <w:rFonts w:ascii="Times New Roman" w:hAnsi="Times New Roman" w:cs="Times New Roman"/>
          <w:lang w:val="en-AU"/>
        </w:rPr>
        <w:t>locus coeruleus</w:t>
      </w:r>
      <w:r w:rsidRPr="000E79AA">
        <w:rPr>
          <w:rFonts w:ascii="Times New Roman" w:hAnsi="Times New Roman" w:cs="Times New Roman"/>
          <w:lang w:val="en-AU"/>
        </w:rPr>
        <w:t xml:space="preserve"> CNR interaction, we examined the relationship between </w:t>
      </w:r>
      <w:r w:rsidR="007E291E" w:rsidRPr="000E79AA">
        <w:rPr>
          <w:rFonts w:ascii="Times New Roman" w:hAnsi="Times New Roman" w:cs="Times New Roman"/>
          <w:lang w:val="en-AU"/>
        </w:rPr>
        <w:t>locus coeruleus</w:t>
      </w:r>
      <w:r w:rsidRPr="000E79AA">
        <w:rPr>
          <w:rFonts w:ascii="Times New Roman" w:hAnsi="Times New Roman" w:cs="Times New Roman"/>
          <w:lang w:val="en-AU"/>
        </w:rPr>
        <w:t xml:space="preserve"> CNR and the drug-induced change in SSRT (∆drug: atomoxetine - placebo), adjusted for the </w:t>
      </w:r>
      <w:r w:rsidR="001260A1" w:rsidRPr="000E79AA">
        <w:rPr>
          <w:rFonts w:ascii="Times New Roman" w:hAnsi="Times New Roman" w:cs="Times New Roman"/>
          <w:lang w:val="en-AU"/>
        </w:rPr>
        <w:t xml:space="preserve">main </w:t>
      </w:r>
      <w:r w:rsidRPr="000E79AA">
        <w:rPr>
          <w:rFonts w:ascii="Times New Roman" w:hAnsi="Times New Roman" w:cs="Times New Roman"/>
          <w:lang w:val="en-AU"/>
        </w:rPr>
        <w:t xml:space="preserve">effect of session. This relationship was </w:t>
      </w:r>
      <w:r w:rsidR="006D133A" w:rsidRPr="000E79AA">
        <w:rPr>
          <w:rFonts w:ascii="Times New Roman" w:hAnsi="Times New Roman" w:cs="Times New Roman"/>
          <w:lang w:val="en-AU"/>
        </w:rPr>
        <w:t xml:space="preserve">strongly </w:t>
      </w:r>
      <w:r w:rsidRPr="000E79AA">
        <w:rPr>
          <w:rFonts w:ascii="Times New Roman" w:hAnsi="Times New Roman" w:cs="Times New Roman"/>
          <w:lang w:val="en-AU"/>
        </w:rPr>
        <w:t xml:space="preserve">positive, suggesting that patients with lower </w:t>
      </w:r>
      <w:r w:rsidR="00D83974" w:rsidRPr="000E79AA">
        <w:rPr>
          <w:rFonts w:ascii="Times New Roman" w:hAnsi="Times New Roman" w:cs="Times New Roman"/>
          <w:lang w:val="en-AU"/>
        </w:rPr>
        <w:t>locus coeruleus</w:t>
      </w:r>
      <w:r w:rsidRPr="000E79AA">
        <w:rPr>
          <w:rFonts w:ascii="Times New Roman" w:hAnsi="Times New Roman" w:cs="Times New Roman"/>
          <w:lang w:val="en-AU"/>
        </w:rPr>
        <w:t xml:space="preserve"> CNR </w:t>
      </w:r>
      <w:r w:rsidR="006D133A" w:rsidRPr="000E79AA">
        <w:rPr>
          <w:rFonts w:ascii="Times New Roman" w:hAnsi="Times New Roman" w:cs="Times New Roman"/>
          <w:lang w:val="en-AU"/>
        </w:rPr>
        <w:t>have</w:t>
      </w:r>
      <w:r w:rsidRPr="000E79AA">
        <w:rPr>
          <w:rFonts w:ascii="Times New Roman" w:hAnsi="Times New Roman" w:cs="Times New Roman"/>
          <w:lang w:val="en-AU"/>
        </w:rPr>
        <w:t xml:space="preserve"> a greater reduction in SSRT </w:t>
      </w:r>
      <w:r w:rsidR="00236B58" w:rsidRPr="000E79AA">
        <w:rPr>
          <w:rFonts w:ascii="Times New Roman" w:hAnsi="Times New Roman" w:cs="Times New Roman"/>
          <w:lang w:val="en-AU"/>
        </w:rPr>
        <w:t>after</w:t>
      </w:r>
      <w:r w:rsidRPr="000E79AA">
        <w:rPr>
          <w:rFonts w:ascii="Times New Roman" w:hAnsi="Times New Roman" w:cs="Times New Roman"/>
          <w:lang w:val="en-AU"/>
        </w:rPr>
        <w:t xml:space="preserve"> atomoxetine (Figure </w:t>
      </w:r>
      <w:r w:rsidR="001F4A84" w:rsidRPr="000E79AA">
        <w:rPr>
          <w:rFonts w:ascii="Times New Roman" w:hAnsi="Times New Roman" w:cs="Times New Roman"/>
          <w:lang w:val="en-AU"/>
        </w:rPr>
        <w:t>4</w:t>
      </w:r>
      <w:r w:rsidRPr="000E79AA">
        <w:rPr>
          <w:rFonts w:ascii="Times New Roman" w:hAnsi="Times New Roman" w:cs="Times New Roman"/>
          <w:lang w:val="en-AU"/>
        </w:rPr>
        <w:t xml:space="preserve">B; </w:t>
      </w:r>
      <w:r w:rsidRPr="000E79AA">
        <w:rPr>
          <w:rFonts w:ascii="Times New Roman" w:hAnsi="Times New Roman" w:cs="Times New Roman"/>
          <w:i/>
          <w:lang w:val="en-AU"/>
        </w:rPr>
        <w:t>r</w:t>
      </w:r>
      <w:r w:rsidRPr="000E79AA">
        <w:rPr>
          <w:rFonts w:ascii="Times New Roman" w:hAnsi="Times New Roman" w:cs="Times New Roman"/>
          <w:vertAlign w:val="subscript"/>
          <w:lang w:val="en-AU"/>
        </w:rPr>
        <w:t>(15)</w:t>
      </w:r>
      <w:r w:rsidRPr="000E79AA">
        <w:rPr>
          <w:rFonts w:ascii="Times New Roman" w:hAnsi="Times New Roman" w:cs="Times New Roman"/>
          <w:lang w:val="en-AU"/>
        </w:rPr>
        <w:t xml:space="preserve"> = 0.73, </w:t>
      </w:r>
      <w:r w:rsidRPr="000E79AA">
        <w:rPr>
          <w:rFonts w:ascii="Times New Roman" w:hAnsi="Times New Roman" w:cs="Times New Roman"/>
          <w:i/>
          <w:lang w:val="en-AU"/>
        </w:rPr>
        <w:t>p</w:t>
      </w:r>
      <w:r w:rsidRPr="000E79AA">
        <w:rPr>
          <w:rFonts w:ascii="Times New Roman" w:hAnsi="Times New Roman" w:cs="Times New Roman"/>
          <w:lang w:val="en-AU"/>
        </w:rPr>
        <w:t xml:space="preserve"> &lt; .001; BF = 32.70).</w:t>
      </w:r>
      <w:r w:rsidR="00D83974" w:rsidRPr="000E79AA">
        <w:rPr>
          <w:rFonts w:ascii="Times New Roman" w:hAnsi="Times New Roman" w:cs="Times New Roman"/>
          <w:lang w:val="en-AU"/>
        </w:rPr>
        <w:t xml:space="preserve"> </w:t>
      </w:r>
      <w:r w:rsidR="0011624A" w:rsidRPr="000E79AA">
        <w:rPr>
          <w:rFonts w:ascii="Times New Roman" w:hAnsi="Times New Roman" w:cs="Times New Roman"/>
          <w:lang w:val="en-AU"/>
        </w:rPr>
        <w:t xml:space="preserve"> </w:t>
      </w:r>
    </w:p>
    <w:p w14:paraId="67E68CC4" w14:textId="77777777" w:rsidR="008714DD" w:rsidRPr="000E79AA" w:rsidRDefault="008714DD" w:rsidP="004E671C">
      <w:pPr>
        <w:spacing w:line="360" w:lineRule="auto"/>
        <w:jc w:val="both"/>
        <w:rPr>
          <w:rFonts w:ascii="Times New Roman" w:hAnsi="Times New Roman" w:cs="Times New Roman"/>
          <w:lang w:val="en-AU"/>
        </w:rPr>
      </w:pPr>
    </w:p>
    <w:p w14:paraId="12B338DC" w14:textId="55711270" w:rsidR="008714DD" w:rsidRPr="000E79AA" w:rsidRDefault="008714D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There was no interaction effect between drug condition and </w:t>
      </w:r>
      <w:r w:rsidR="00EA02BA" w:rsidRPr="000E79AA">
        <w:rPr>
          <w:rFonts w:ascii="Times New Roman" w:hAnsi="Times New Roman" w:cs="Times New Roman"/>
          <w:lang w:val="en-AU"/>
        </w:rPr>
        <w:t>locus coeruleus</w:t>
      </w:r>
      <w:r w:rsidRPr="000E79AA">
        <w:rPr>
          <w:rFonts w:ascii="Times New Roman" w:hAnsi="Times New Roman" w:cs="Times New Roman"/>
          <w:lang w:val="en-AU"/>
        </w:rPr>
        <w:t xml:space="preserve"> CNR on the participant-level estimates of go RT (β = 0.01, </w:t>
      </w:r>
      <w:r w:rsidRPr="000E79AA">
        <w:rPr>
          <w:rFonts w:ascii="Times New Roman" w:hAnsi="Times New Roman" w:cs="Times New Roman"/>
          <w:i/>
          <w:lang w:val="en-AU"/>
        </w:rPr>
        <w:t>F</w:t>
      </w:r>
      <w:r w:rsidRPr="000E79AA">
        <w:rPr>
          <w:rFonts w:ascii="Times New Roman" w:hAnsi="Times New Roman" w:cs="Times New Roman"/>
          <w:vertAlign w:val="subscript"/>
          <w:lang w:val="en-AU"/>
        </w:rPr>
        <w:t>(1, 16.37)</w:t>
      </w:r>
      <w:r w:rsidRPr="000E79AA">
        <w:rPr>
          <w:rFonts w:ascii="Times New Roman" w:hAnsi="Times New Roman" w:cs="Times New Roman"/>
          <w:lang w:val="en-AU"/>
        </w:rPr>
        <w:t xml:space="preserve"> = 0.00, </w:t>
      </w:r>
      <w:r w:rsidRPr="000E79AA">
        <w:rPr>
          <w:rFonts w:ascii="Times New Roman" w:hAnsi="Times New Roman" w:cs="Times New Roman"/>
          <w:i/>
          <w:lang w:val="en-AU"/>
        </w:rPr>
        <w:t>p</w:t>
      </w:r>
      <w:r w:rsidRPr="000E79AA">
        <w:rPr>
          <w:rFonts w:ascii="Times New Roman" w:hAnsi="Times New Roman" w:cs="Times New Roman"/>
          <w:lang w:val="en-AU"/>
        </w:rPr>
        <w:t xml:space="preserve"> = .971; BF = 0.47), stop accuracy rate (β = -0.18, </w:t>
      </w:r>
      <w:r w:rsidRPr="000E79AA">
        <w:rPr>
          <w:rFonts w:ascii="Times New Roman" w:hAnsi="Times New Roman" w:cs="Times New Roman"/>
          <w:i/>
          <w:lang w:val="en-AU"/>
        </w:rPr>
        <w:t>F</w:t>
      </w:r>
      <w:r w:rsidRPr="000E79AA">
        <w:rPr>
          <w:rFonts w:ascii="Times New Roman" w:hAnsi="Times New Roman" w:cs="Times New Roman"/>
          <w:vertAlign w:val="subscript"/>
          <w:lang w:val="en-AU"/>
        </w:rPr>
        <w:t>(1, 16.52)</w:t>
      </w:r>
      <w:r w:rsidRPr="000E79AA">
        <w:rPr>
          <w:rFonts w:ascii="Times New Roman" w:hAnsi="Times New Roman" w:cs="Times New Roman"/>
          <w:lang w:val="en-AU"/>
        </w:rPr>
        <w:t xml:space="preserve"> = 1.15, </w:t>
      </w:r>
      <w:r w:rsidRPr="000E79AA">
        <w:rPr>
          <w:rFonts w:ascii="Times New Roman" w:hAnsi="Times New Roman" w:cs="Times New Roman"/>
          <w:i/>
          <w:lang w:val="en-AU"/>
        </w:rPr>
        <w:t>p</w:t>
      </w:r>
      <w:r w:rsidRPr="000E79AA">
        <w:rPr>
          <w:rFonts w:ascii="Times New Roman" w:hAnsi="Times New Roman" w:cs="Times New Roman"/>
          <w:lang w:val="en-AU"/>
        </w:rPr>
        <w:t xml:space="preserve"> = .300; BF = 0.58), or logit go error rate (β = -0.02, </w:t>
      </w:r>
      <w:r w:rsidRPr="000E79AA">
        <w:rPr>
          <w:rFonts w:ascii="Times New Roman" w:hAnsi="Times New Roman" w:cs="Times New Roman"/>
          <w:i/>
          <w:lang w:val="en-AU"/>
        </w:rPr>
        <w:t>F</w:t>
      </w:r>
      <w:r w:rsidRPr="000E79AA">
        <w:rPr>
          <w:rFonts w:ascii="Times New Roman" w:hAnsi="Times New Roman" w:cs="Times New Roman"/>
          <w:vertAlign w:val="subscript"/>
          <w:lang w:val="en-AU"/>
        </w:rPr>
        <w:t>(1, 15.14)</w:t>
      </w:r>
      <w:r w:rsidRPr="000E79AA">
        <w:rPr>
          <w:rFonts w:ascii="Times New Roman" w:hAnsi="Times New Roman" w:cs="Times New Roman"/>
          <w:lang w:val="en-AU"/>
        </w:rPr>
        <w:t xml:space="preserve"> = 0.03, </w:t>
      </w:r>
      <w:r w:rsidRPr="000E79AA">
        <w:rPr>
          <w:rFonts w:ascii="Times New Roman" w:hAnsi="Times New Roman" w:cs="Times New Roman"/>
          <w:i/>
          <w:lang w:val="en-AU"/>
        </w:rPr>
        <w:t>p</w:t>
      </w:r>
      <w:r w:rsidRPr="000E79AA">
        <w:rPr>
          <w:rFonts w:ascii="Times New Roman" w:hAnsi="Times New Roman" w:cs="Times New Roman"/>
          <w:lang w:val="en-AU"/>
        </w:rPr>
        <w:t xml:space="preserve"> = .865; BF = 0.46).</w:t>
      </w:r>
      <w:r w:rsidR="000E6421" w:rsidRPr="000E79AA">
        <w:rPr>
          <w:rFonts w:ascii="Times New Roman" w:hAnsi="Times New Roman" w:cs="Times New Roman"/>
          <w:lang w:val="en-AU"/>
        </w:rPr>
        <w:t xml:space="preserve"> </w:t>
      </w:r>
      <w:r w:rsidR="00392B6A" w:rsidRPr="000E79AA">
        <w:rPr>
          <w:rFonts w:ascii="Times New Roman" w:hAnsi="Times New Roman" w:cs="Times New Roman"/>
          <w:bCs/>
          <w:lang w:val="en-AU"/>
        </w:rPr>
        <w:t>Finally, to explore the possibility of hemisphere-specific effects, we ran the linear mixed model analysis separately for CNR values from the left and right locus coeruleus. These results were qualitatively identical to the original combined analysis, arguing against hemisphere-specific effects (see Supplementary Material for detail).</w:t>
      </w:r>
    </w:p>
    <w:p w14:paraId="00991ADB" w14:textId="77777777" w:rsidR="007F1663" w:rsidRPr="000E79AA" w:rsidRDefault="007F1663" w:rsidP="004E671C">
      <w:pPr>
        <w:jc w:val="both"/>
        <w:rPr>
          <w:rFonts w:ascii="Times New Roman" w:hAnsi="Times New Roman" w:cs="Times New Roman"/>
          <w:lang w:val="en-AU"/>
        </w:rPr>
      </w:pPr>
    </w:p>
    <w:p w14:paraId="0CA7E940" w14:textId="77777777" w:rsidR="006B6C60" w:rsidRPr="000E79AA" w:rsidRDefault="006B6C60" w:rsidP="004E671C">
      <w:pPr>
        <w:jc w:val="both"/>
        <w:rPr>
          <w:rFonts w:ascii="Times New Roman" w:hAnsi="Times New Roman" w:cs="Times New Roman"/>
          <w:i/>
          <w:lang w:val="en-AU"/>
        </w:rPr>
      </w:pPr>
    </w:p>
    <w:p w14:paraId="01321790" w14:textId="5488ADAA" w:rsidR="004E693F" w:rsidRPr="000E79AA" w:rsidRDefault="0070068A" w:rsidP="004E671C">
      <w:pPr>
        <w:jc w:val="both"/>
        <w:rPr>
          <w:rFonts w:ascii="Times New Roman" w:hAnsi="Times New Roman" w:cs="Times New Roman"/>
          <w:iCs/>
          <w:lang w:val="en-AU"/>
        </w:rPr>
      </w:pPr>
      <w:r w:rsidRPr="000E79AA">
        <w:rPr>
          <w:rFonts w:ascii="Times New Roman" w:hAnsi="Times New Roman" w:cs="Times New Roman"/>
          <w:iCs/>
          <w:noProof/>
          <w:lang w:val="en-AU"/>
        </w:rPr>
        <w:lastRenderedPageBreak/>
        <w:drawing>
          <wp:anchor distT="0" distB="0" distL="114300" distR="114300" simplePos="0" relativeHeight="251659264" behindDoc="0" locked="0" layoutInCell="1" allowOverlap="1" wp14:anchorId="747F3252" wp14:editId="529BBAFB">
            <wp:simplePos x="0" y="0"/>
            <wp:positionH relativeFrom="column">
              <wp:posOffset>0</wp:posOffset>
            </wp:positionH>
            <wp:positionV relativeFrom="paragraph">
              <wp:posOffset>0</wp:posOffset>
            </wp:positionV>
            <wp:extent cx="5727700" cy="2453640"/>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727700" cy="2453640"/>
                    </a:xfrm>
                    <a:prstGeom prst="rect">
                      <a:avLst/>
                    </a:prstGeom>
                  </pic:spPr>
                </pic:pic>
              </a:graphicData>
            </a:graphic>
            <wp14:sizeRelH relativeFrom="page">
              <wp14:pctWidth>0</wp14:pctWidth>
            </wp14:sizeRelH>
            <wp14:sizeRelV relativeFrom="page">
              <wp14:pctHeight>0</wp14:pctHeight>
            </wp14:sizeRelV>
          </wp:anchor>
        </w:drawing>
      </w:r>
    </w:p>
    <w:p w14:paraId="79BEAD9D" w14:textId="39F687E8" w:rsidR="004172D4" w:rsidRPr="000E79AA" w:rsidRDefault="004172D4" w:rsidP="004E671C">
      <w:pPr>
        <w:jc w:val="both"/>
        <w:rPr>
          <w:rFonts w:ascii="Times New Roman" w:hAnsi="Times New Roman" w:cs="Times New Roman"/>
          <w:lang w:val="en-AU"/>
        </w:rPr>
      </w:pPr>
      <w:r w:rsidRPr="000E79AA">
        <w:rPr>
          <w:rFonts w:ascii="Times New Roman" w:hAnsi="Times New Roman" w:cs="Times New Roman"/>
          <w:i/>
          <w:lang w:val="en-AU"/>
        </w:rPr>
        <w:t xml:space="preserve">Figure </w:t>
      </w:r>
      <w:r w:rsidR="00371277" w:rsidRPr="000E79AA">
        <w:rPr>
          <w:rFonts w:ascii="Times New Roman" w:hAnsi="Times New Roman" w:cs="Times New Roman"/>
          <w:i/>
          <w:lang w:val="en-AU"/>
        </w:rPr>
        <w:t>4</w:t>
      </w:r>
      <w:r w:rsidR="006A4CF9" w:rsidRPr="000E79AA">
        <w:rPr>
          <w:rFonts w:ascii="Times New Roman" w:hAnsi="Times New Roman" w:cs="Times New Roman"/>
          <w:i/>
          <w:lang w:val="en-AU"/>
        </w:rPr>
        <w:t>.</w:t>
      </w:r>
      <w:r w:rsidRPr="000E79AA">
        <w:rPr>
          <w:rFonts w:ascii="Times New Roman" w:hAnsi="Times New Roman" w:cs="Times New Roman"/>
          <w:i/>
          <w:lang w:val="en-AU"/>
        </w:rPr>
        <w:t xml:space="preserve"> </w:t>
      </w:r>
      <w:r w:rsidR="00C317BE" w:rsidRPr="000E79AA">
        <w:rPr>
          <w:rFonts w:ascii="Times New Roman" w:hAnsi="Times New Roman" w:cs="Times New Roman"/>
          <w:i/>
          <w:lang w:val="en-AU"/>
        </w:rPr>
        <w:t xml:space="preserve">(A) </w:t>
      </w:r>
      <w:r w:rsidR="007D50E2" w:rsidRPr="000E79AA">
        <w:rPr>
          <w:rFonts w:ascii="Times New Roman" w:hAnsi="Times New Roman" w:cs="Times New Roman"/>
          <w:i/>
          <w:lang w:val="en-AU"/>
        </w:rPr>
        <w:t>SSRT estimates as a function of</w:t>
      </w:r>
      <w:r w:rsidR="00C317BE" w:rsidRPr="000E79AA">
        <w:rPr>
          <w:rFonts w:ascii="Times New Roman" w:hAnsi="Times New Roman" w:cs="Times New Roman"/>
          <w:i/>
          <w:lang w:val="en-AU"/>
        </w:rPr>
        <w:t xml:space="preserve"> </w:t>
      </w:r>
      <w:r w:rsidR="007D50E2" w:rsidRPr="000E79AA">
        <w:rPr>
          <w:rFonts w:ascii="Times New Roman" w:hAnsi="Times New Roman" w:cs="Times New Roman"/>
          <w:i/>
          <w:lang w:val="en-AU"/>
        </w:rPr>
        <w:t xml:space="preserve">drug condition and </w:t>
      </w:r>
      <w:r w:rsidR="00C75694" w:rsidRPr="000E79AA">
        <w:rPr>
          <w:rFonts w:ascii="Times New Roman" w:hAnsi="Times New Roman" w:cs="Times New Roman"/>
          <w:i/>
          <w:lang w:val="en-AU"/>
        </w:rPr>
        <w:t>locus coeruleus</w:t>
      </w:r>
      <w:r w:rsidR="00C317BE" w:rsidRPr="000E79AA">
        <w:rPr>
          <w:rFonts w:ascii="Times New Roman" w:hAnsi="Times New Roman" w:cs="Times New Roman"/>
          <w:i/>
          <w:lang w:val="en-AU"/>
        </w:rPr>
        <w:t xml:space="preserve"> </w:t>
      </w:r>
      <w:r w:rsidR="00490184" w:rsidRPr="000E79AA">
        <w:rPr>
          <w:rFonts w:ascii="Times New Roman" w:hAnsi="Times New Roman" w:cs="Times New Roman"/>
          <w:i/>
          <w:lang w:val="en-AU"/>
        </w:rPr>
        <w:t>contrast-to-noise ratio (CNR)</w:t>
      </w:r>
      <w:r w:rsidR="00A53AC1" w:rsidRPr="000E79AA">
        <w:rPr>
          <w:rFonts w:ascii="Times New Roman" w:hAnsi="Times New Roman" w:cs="Times New Roman"/>
          <w:i/>
          <w:lang w:val="en-AU"/>
        </w:rPr>
        <w:t>.</w:t>
      </w:r>
      <w:r w:rsidR="00F958CC" w:rsidRPr="000E79AA">
        <w:rPr>
          <w:rFonts w:ascii="Times New Roman" w:hAnsi="Times New Roman" w:cs="Times New Roman"/>
          <w:i/>
          <w:lang w:val="en-AU"/>
        </w:rPr>
        <w:t xml:space="preserve"> Within-subject change </w:t>
      </w:r>
      <w:r w:rsidR="00A53AC1" w:rsidRPr="000E79AA">
        <w:rPr>
          <w:rFonts w:ascii="Times New Roman" w:hAnsi="Times New Roman" w:cs="Times New Roman"/>
          <w:i/>
          <w:lang w:val="en-AU"/>
        </w:rPr>
        <w:t xml:space="preserve">in SSRT from placebo to atomoxetine </w:t>
      </w:r>
      <w:r w:rsidR="00F958CC" w:rsidRPr="000E79AA">
        <w:rPr>
          <w:rFonts w:ascii="Times New Roman" w:hAnsi="Times New Roman" w:cs="Times New Roman"/>
          <w:i/>
          <w:lang w:val="en-AU"/>
        </w:rPr>
        <w:t>is illustrated with vertical grey arrows</w:t>
      </w:r>
      <w:r w:rsidR="007D50E2" w:rsidRPr="000E79AA">
        <w:rPr>
          <w:rFonts w:ascii="Times New Roman" w:hAnsi="Times New Roman" w:cs="Times New Roman"/>
          <w:i/>
          <w:lang w:val="en-AU"/>
        </w:rPr>
        <w:t>. (B)</w:t>
      </w:r>
      <w:r w:rsidR="00A0290B" w:rsidRPr="000E79AA">
        <w:rPr>
          <w:rFonts w:ascii="Times New Roman" w:hAnsi="Times New Roman" w:cs="Times New Roman"/>
          <w:i/>
          <w:lang w:val="en-AU"/>
        </w:rPr>
        <w:t xml:space="preserve"> </w:t>
      </w:r>
      <w:r w:rsidR="007D50E2" w:rsidRPr="000E79AA">
        <w:rPr>
          <w:rFonts w:ascii="Times New Roman" w:hAnsi="Times New Roman" w:cs="Times New Roman"/>
          <w:i/>
          <w:lang w:val="en-AU"/>
        </w:rPr>
        <w:t xml:space="preserve">Relationship between </w:t>
      </w:r>
      <w:r w:rsidR="00C75694" w:rsidRPr="000E79AA">
        <w:rPr>
          <w:rFonts w:ascii="Times New Roman" w:hAnsi="Times New Roman" w:cs="Times New Roman"/>
          <w:i/>
          <w:lang w:val="en-AU"/>
        </w:rPr>
        <w:t>locus coeruleus</w:t>
      </w:r>
      <w:r w:rsidR="007D50E2" w:rsidRPr="000E79AA">
        <w:rPr>
          <w:rFonts w:ascii="Times New Roman" w:hAnsi="Times New Roman" w:cs="Times New Roman"/>
          <w:i/>
          <w:lang w:val="en-AU"/>
        </w:rPr>
        <w:t xml:space="preserve"> </w:t>
      </w:r>
      <w:r w:rsidR="00442CAE" w:rsidRPr="000E79AA">
        <w:rPr>
          <w:rFonts w:ascii="Times New Roman" w:hAnsi="Times New Roman" w:cs="Times New Roman"/>
          <w:i/>
          <w:lang w:val="en-AU"/>
        </w:rPr>
        <w:t xml:space="preserve">CNR </w:t>
      </w:r>
      <w:r w:rsidR="007D50E2" w:rsidRPr="000E79AA">
        <w:rPr>
          <w:rFonts w:ascii="Times New Roman" w:hAnsi="Times New Roman" w:cs="Times New Roman"/>
          <w:i/>
          <w:lang w:val="en-AU"/>
        </w:rPr>
        <w:t>and the drug-induced change in SSRT</w:t>
      </w:r>
      <w:r w:rsidR="00A0290B" w:rsidRPr="000E79AA">
        <w:rPr>
          <w:rFonts w:ascii="Times New Roman" w:hAnsi="Times New Roman" w:cs="Times New Roman"/>
          <w:i/>
          <w:lang w:val="en-AU"/>
        </w:rPr>
        <w:t xml:space="preserve">. Note: For visualisation purposes, the SSRT estimates </w:t>
      </w:r>
      <w:r w:rsidR="007D50E2" w:rsidRPr="000E79AA">
        <w:rPr>
          <w:rFonts w:ascii="Times New Roman" w:hAnsi="Times New Roman" w:cs="Times New Roman"/>
          <w:i/>
          <w:lang w:val="en-AU"/>
        </w:rPr>
        <w:t xml:space="preserve">were </w:t>
      </w:r>
      <w:r w:rsidR="00A0290B" w:rsidRPr="000E79AA">
        <w:rPr>
          <w:rFonts w:ascii="Times New Roman" w:hAnsi="Times New Roman" w:cs="Times New Roman"/>
          <w:i/>
          <w:lang w:val="en-AU"/>
        </w:rPr>
        <w:t>adjusted for the fixed effect of session and random effect of participants (i.e., partial residuals).</w:t>
      </w:r>
    </w:p>
    <w:p w14:paraId="6E0BCD6E" w14:textId="77777777" w:rsidR="00DE6C4F" w:rsidRPr="000E79AA" w:rsidRDefault="00DE6C4F" w:rsidP="00DE6C4F">
      <w:pPr>
        <w:rPr>
          <w:rFonts w:ascii="Times New Roman" w:hAnsi="Times New Roman" w:cs="Times New Roman"/>
          <w:lang w:val="en-AU"/>
        </w:rPr>
      </w:pPr>
    </w:p>
    <w:p w14:paraId="1D8D8615" w14:textId="77777777" w:rsidR="00AD2E51" w:rsidRPr="000E79AA" w:rsidRDefault="00AD2E51" w:rsidP="00DE6C4F">
      <w:pPr>
        <w:spacing w:line="360" w:lineRule="auto"/>
        <w:rPr>
          <w:rFonts w:ascii="Times New Roman" w:hAnsi="Times New Roman" w:cs="Times New Roman"/>
          <w:b/>
          <w:lang w:val="en-AU"/>
        </w:rPr>
      </w:pPr>
    </w:p>
    <w:p w14:paraId="19ABDD1F" w14:textId="183AA9B7" w:rsidR="00BD6B53" w:rsidRPr="000E79AA" w:rsidRDefault="00531DC3" w:rsidP="00DE6C4F">
      <w:pPr>
        <w:spacing w:line="360" w:lineRule="auto"/>
        <w:rPr>
          <w:rFonts w:ascii="Times New Roman" w:hAnsi="Times New Roman" w:cs="Times New Roman"/>
          <w:b/>
          <w:lang w:val="en-AU"/>
        </w:rPr>
      </w:pPr>
      <w:r w:rsidRPr="000E79AA">
        <w:rPr>
          <w:rFonts w:ascii="Times New Roman" w:hAnsi="Times New Roman" w:cs="Times New Roman"/>
          <w:b/>
          <w:lang w:val="en-AU"/>
        </w:rPr>
        <w:t>D</w:t>
      </w:r>
      <w:r w:rsidR="0098427D" w:rsidRPr="000E79AA">
        <w:rPr>
          <w:rFonts w:ascii="Times New Roman" w:hAnsi="Times New Roman" w:cs="Times New Roman"/>
          <w:b/>
          <w:lang w:val="en-AU"/>
        </w:rPr>
        <w:t>iscussion</w:t>
      </w:r>
    </w:p>
    <w:p w14:paraId="714EA76E" w14:textId="55D4E4FA" w:rsidR="00126A12" w:rsidRPr="000E79AA" w:rsidRDefault="00D5368B" w:rsidP="00DE6C4F">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W</w:t>
      </w:r>
      <w:r w:rsidR="00473D06" w:rsidRPr="000E79AA">
        <w:rPr>
          <w:rFonts w:ascii="Times New Roman" w:hAnsi="Times New Roman" w:cs="Times New Roman"/>
          <w:bCs/>
          <w:lang w:val="en-AU"/>
        </w:rPr>
        <w:t>e</w:t>
      </w:r>
      <w:r w:rsidR="007C22E9" w:rsidRPr="000E79AA">
        <w:rPr>
          <w:rFonts w:ascii="Times New Roman" w:hAnsi="Times New Roman" w:cs="Times New Roman"/>
          <w:bCs/>
          <w:lang w:val="en-AU"/>
        </w:rPr>
        <w:t xml:space="preserve"> show that </w:t>
      </w:r>
      <w:r w:rsidR="00473D06" w:rsidRPr="000E79AA">
        <w:rPr>
          <w:rFonts w:ascii="Times New Roman" w:hAnsi="Times New Roman" w:cs="Times New Roman"/>
          <w:bCs/>
          <w:lang w:val="en-AU"/>
        </w:rPr>
        <w:t>improvement</w:t>
      </w:r>
      <w:r w:rsidR="00F622B9" w:rsidRPr="000E79AA">
        <w:rPr>
          <w:rFonts w:ascii="Times New Roman" w:hAnsi="Times New Roman" w:cs="Times New Roman"/>
          <w:bCs/>
          <w:lang w:val="en-AU"/>
        </w:rPr>
        <w:t>s</w:t>
      </w:r>
      <w:r w:rsidR="00473D06" w:rsidRPr="000E79AA">
        <w:rPr>
          <w:rFonts w:ascii="Times New Roman" w:hAnsi="Times New Roman" w:cs="Times New Roman"/>
          <w:bCs/>
          <w:lang w:val="en-AU"/>
        </w:rPr>
        <w:t xml:space="preserve"> in response inhibition </w:t>
      </w:r>
      <w:r w:rsidR="00D73E81" w:rsidRPr="000E79AA">
        <w:rPr>
          <w:rFonts w:ascii="Times New Roman" w:hAnsi="Times New Roman" w:cs="Times New Roman"/>
          <w:bCs/>
          <w:lang w:val="en-AU"/>
        </w:rPr>
        <w:t>after</w:t>
      </w:r>
      <w:r w:rsidR="00473D06" w:rsidRPr="000E79AA">
        <w:rPr>
          <w:rFonts w:ascii="Times New Roman" w:hAnsi="Times New Roman" w:cs="Times New Roman"/>
          <w:bCs/>
          <w:lang w:val="en-AU"/>
        </w:rPr>
        <w:t xml:space="preserve"> </w:t>
      </w:r>
      <w:r w:rsidR="007C22E9" w:rsidRPr="000E79AA">
        <w:rPr>
          <w:rFonts w:ascii="Times New Roman" w:hAnsi="Times New Roman" w:cs="Times New Roman"/>
          <w:bCs/>
          <w:lang w:val="en-AU"/>
        </w:rPr>
        <w:t>atomoxetine are dependent on locus coeruleus integrity in people with Parkinson’s disease.</w:t>
      </w:r>
      <w:r w:rsidR="00D73E81" w:rsidRPr="000E79AA">
        <w:rPr>
          <w:rFonts w:ascii="Times New Roman" w:hAnsi="Times New Roman" w:cs="Times New Roman"/>
          <w:bCs/>
          <w:lang w:val="en-AU"/>
        </w:rPr>
        <w:t xml:space="preserve"> Following a single dose of atomoxetine</w:t>
      </w:r>
      <w:r w:rsidR="0001154F" w:rsidRPr="000E79AA">
        <w:rPr>
          <w:rFonts w:ascii="Times New Roman" w:hAnsi="Times New Roman" w:cs="Times New Roman"/>
          <w:bCs/>
          <w:lang w:val="en-AU"/>
        </w:rPr>
        <w:t xml:space="preserve"> 40</w:t>
      </w:r>
      <w:r w:rsidR="00FE5009" w:rsidRPr="000E79AA">
        <w:rPr>
          <w:rFonts w:ascii="Times New Roman" w:hAnsi="Times New Roman" w:cs="Times New Roman"/>
          <w:bCs/>
          <w:lang w:val="en-AU"/>
        </w:rPr>
        <w:t xml:space="preserve"> </w:t>
      </w:r>
      <w:r w:rsidR="0001154F" w:rsidRPr="000E79AA">
        <w:rPr>
          <w:rFonts w:ascii="Times New Roman" w:hAnsi="Times New Roman" w:cs="Times New Roman"/>
          <w:bCs/>
          <w:lang w:val="en-AU"/>
        </w:rPr>
        <w:t>mg</w:t>
      </w:r>
      <w:r w:rsidR="00D73E81" w:rsidRPr="000E79AA">
        <w:rPr>
          <w:rFonts w:ascii="Times New Roman" w:hAnsi="Times New Roman" w:cs="Times New Roman"/>
          <w:bCs/>
          <w:lang w:val="en-AU"/>
        </w:rPr>
        <w:t>, i</w:t>
      </w:r>
      <w:r w:rsidR="00FF1140" w:rsidRPr="000E79AA">
        <w:rPr>
          <w:rFonts w:ascii="Times New Roman" w:hAnsi="Times New Roman" w:cs="Times New Roman"/>
          <w:bCs/>
          <w:lang w:val="en-AU"/>
        </w:rPr>
        <w:t xml:space="preserve">ndividuals with lower </w:t>
      </w:r>
      <w:r w:rsidR="00096B19" w:rsidRPr="000E79AA">
        <w:rPr>
          <w:rFonts w:ascii="Times New Roman" w:hAnsi="Times New Roman" w:cs="Times New Roman"/>
          <w:bCs/>
          <w:lang w:val="en-AU"/>
        </w:rPr>
        <w:t xml:space="preserve">locus coeruleus integrity </w:t>
      </w:r>
      <w:r w:rsidR="00DE723C" w:rsidRPr="000E79AA">
        <w:rPr>
          <w:rFonts w:ascii="Times New Roman" w:hAnsi="Times New Roman" w:cs="Times New Roman"/>
          <w:bCs/>
          <w:lang w:val="en-AU"/>
        </w:rPr>
        <w:t>had</w:t>
      </w:r>
      <w:r w:rsidR="00F61E52" w:rsidRPr="000E79AA">
        <w:rPr>
          <w:rFonts w:ascii="Times New Roman" w:hAnsi="Times New Roman" w:cs="Times New Roman"/>
          <w:bCs/>
          <w:lang w:val="en-AU"/>
        </w:rPr>
        <w:t xml:space="preserve"> a greater </w:t>
      </w:r>
      <w:r w:rsidR="006D133A" w:rsidRPr="000E79AA">
        <w:rPr>
          <w:rFonts w:ascii="Times New Roman" w:hAnsi="Times New Roman" w:cs="Times New Roman"/>
          <w:bCs/>
          <w:lang w:val="en-AU"/>
        </w:rPr>
        <w:t>improvement in response inhibition (i</w:t>
      </w:r>
      <w:r w:rsidR="00961E72" w:rsidRPr="000E79AA">
        <w:rPr>
          <w:rFonts w:ascii="Times New Roman" w:hAnsi="Times New Roman" w:cs="Times New Roman"/>
          <w:bCs/>
          <w:lang w:val="en-AU"/>
        </w:rPr>
        <w:t>.e.,</w:t>
      </w:r>
      <w:r w:rsidR="006D133A" w:rsidRPr="000E79AA">
        <w:rPr>
          <w:rFonts w:ascii="Times New Roman" w:hAnsi="Times New Roman" w:cs="Times New Roman"/>
          <w:bCs/>
          <w:lang w:val="en-AU"/>
        </w:rPr>
        <w:t xml:space="preserve"> </w:t>
      </w:r>
      <w:r w:rsidR="00F61E52" w:rsidRPr="000E79AA">
        <w:rPr>
          <w:rFonts w:ascii="Times New Roman" w:hAnsi="Times New Roman" w:cs="Times New Roman"/>
          <w:bCs/>
          <w:lang w:val="en-AU"/>
        </w:rPr>
        <w:t>reduction in their stop-signal reaction time</w:t>
      </w:r>
      <w:r w:rsidR="00FA049B" w:rsidRPr="000E79AA">
        <w:rPr>
          <w:rFonts w:ascii="Times New Roman" w:hAnsi="Times New Roman" w:cs="Times New Roman"/>
          <w:bCs/>
          <w:lang w:val="en-AU"/>
        </w:rPr>
        <w:t>; SSRT</w:t>
      </w:r>
      <w:r w:rsidR="00F61E52" w:rsidRPr="000E79AA">
        <w:rPr>
          <w:rFonts w:ascii="Times New Roman" w:hAnsi="Times New Roman" w:cs="Times New Roman"/>
          <w:bCs/>
          <w:lang w:val="en-AU"/>
        </w:rPr>
        <w:t>)</w:t>
      </w:r>
      <w:r w:rsidR="008642A9" w:rsidRPr="000E79AA">
        <w:rPr>
          <w:rFonts w:ascii="Times New Roman" w:hAnsi="Times New Roman" w:cs="Times New Roman"/>
          <w:bCs/>
          <w:lang w:val="en-AU"/>
        </w:rPr>
        <w:t>.</w:t>
      </w:r>
      <w:r w:rsidR="0096123A" w:rsidRPr="000E79AA">
        <w:rPr>
          <w:rFonts w:ascii="Times New Roman" w:hAnsi="Times New Roman" w:cs="Times New Roman"/>
          <w:bCs/>
          <w:lang w:val="en-AU"/>
        </w:rPr>
        <w:t xml:space="preserve"> </w:t>
      </w:r>
      <w:r w:rsidR="006D133A" w:rsidRPr="000E79AA">
        <w:rPr>
          <w:rFonts w:ascii="Times New Roman" w:hAnsi="Times New Roman" w:cs="Times New Roman"/>
          <w:bCs/>
          <w:lang w:val="en-AU"/>
        </w:rPr>
        <w:t>This result</w:t>
      </w:r>
      <w:r w:rsidR="006212EE" w:rsidRPr="000E79AA">
        <w:rPr>
          <w:rFonts w:ascii="Times New Roman" w:hAnsi="Times New Roman" w:cs="Times New Roman"/>
          <w:bCs/>
          <w:lang w:val="en-AU"/>
        </w:rPr>
        <w:t xml:space="preserve"> highlights </w:t>
      </w:r>
      <w:r w:rsidR="0001154F" w:rsidRPr="000E79AA">
        <w:rPr>
          <w:rFonts w:ascii="Times New Roman" w:hAnsi="Times New Roman" w:cs="Times New Roman"/>
          <w:bCs/>
          <w:lang w:val="en-AU"/>
        </w:rPr>
        <w:t xml:space="preserve">the </w:t>
      </w:r>
      <w:r w:rsidR="006212EE" w:rsidRPr="000E79AA">
        <w:rPr>
          <w:rFonts w:ascii="Times New Roman" w:hAnsi="Times New Roman" w:cs="Times New Roman"/>
          <w:bCs/>
          <w:lang w:val="en-AU"/>
        </w:rPr>
        <w:t xml:space="preserve">link between </w:t>
      </w:r>
      <w:r w:rsidR="006F6247" w:rsidRPr="000E79AA">
        <w:rPr>
          <w:rFonts w:ascii="Times New Roman" w:hAnsi="Times New Roman" w:cs="Times New Roman"/>
          <w:bCs/>
          <w:lang w:val="en-AU"/>
        </w:rPr>
        <w:t xml:space="preserve">integrity of the </w:t>
      </w:r>
      <w:r w:rsidR="006212EE" w:rsidRPr="000E79AA">
        <w:rPr>
          <w:rFonts w:ascii="Times New Roman" w:hAnsi="Times New Roman" w:cs="Times New Roman"/>
          <w:bCs/>
          <w:lang w:val="en-AU"/>
        </w:rPr>
        <w:t xml:space="preserve">noradrenergic </w:t>
      </w:r>
      <w:r w:rsidR="00D41353" w:rsidRPr="000E79AA">
        <w:rPr>
          <w:rFonts w:ascii="Times New Roman" w:hAnsi="Times New Roman" w:cs="Times New Roman"/>
          <w:bCs/>
          <w:lang w:val="en-AU"/>
        </w:rPr>
        <w:t xml:space="preserve">locus coeruleus </w:t>
      </w:r>
      <w:r w:rsidR="006212EE" w:rsidRPr="000E79AA">
        <w:rPr>
          <w:rFonts w:ascii="Times New Roman" w:hAnsi="Times New Roman" w:cs="Times New Roman"/>
          <w:bCs/>
          <w:lang w:val="en-AU"/>
        </w:rPr>
        <w:t xml:space="preserve">and </w:t>
      </w:r>
      <w:r w:rsidR="00D41353" w:rsidRPr="000E79AA">
        <w:rPr>
          <w:rFonts w:ascii="Times New Roman" w:hAnsi="Times New Roman" w:cs="Times New Roman"/>
          <w:bCs/>
          <w:lang w:val="en-AU"/>
        </w:rPr>
        <w:t>action cancellation, which has previously</w:t>
      </w:r>
      <w:r w:rsidR="00126A12" w:rsidRPr="000E79AA">
        <w:rPr>
          <w:rFonts w:ascii="Times New Roman" w:hAnsi="Times New Roman" w:cs="Times New Roman"/>
          <w:bCs/>
          <w:lang w:val="en-AU"/>
        </w:rPr>
        <w:t xml:space="preserve"> been</w:t>
      </w:r>
      <w:r w:rsidR="00D41353" w:rsidRPr="000E79AA">
        <w:rPr>
          <w:rFonts w:ascii="Times New Roman" w:hAnsi="Times New Roman" w:cs="Times New Roman"/>
          <w:bCs/>
          <w:lang w:val="en-AU"/>
        </w:rPr>
        <w:t xml:space="preserve"> inferred </w:t>
      </w:r>
      <w:r w:rsidR="006D133A" w:rsidRPr="000E79AA">
        <w:rPr>
          <w:rFonts w:ascii="Times New Roman" w:hAnsi="Times New Roman" w:cs="Times New Roman"/>
          <w:bCs/>
          <w:lang w:val="en-AU"/>
        </w:rPr>
        <w:t>from</w:t>
      </w:r>
      <w:r w:rsidR="00D41353" w:rsidRPr="000E79AA">
        <w:rPr>
          <w:rFonts w:ascii="Times New Roman" w:hAnsi="Times New Roman" w:cs="Times New Roman"/>
          <w:bCs/>
          <w:lang w:val="en-AU"/>
        </w:rPr>
        <w:t xml:space="preserve"> preclinical work and pharmacological manipulations. </w:t>
      </w:r>
      <w:r w:rsidR="000A0EB5" w:rsidRPr="000E79AA">
        <w:rPr>
          <w:rFonts w:ascii="Times New Roman" w:hAnsi="Times New Roman" w:cs="Times New Roman"/>
          <w:bCs/>
          <w:lang w:val="en-AU"/>
        </w:rPr>
        <w:t>Th</w:t>
      </w:r>
      <w:r w:rsidR="00126A12" w:rsidRPr="000E79AA">
        <w:rPr>
          <w:rFonts w:ascii="Times New Roman" w:hAnsi="Times New Roman" w:cs="Times New Roman"/>
          <w:bCs/>
          <w:lang w:val="en-AU"/>
        </w:rPr>
        <w:t>e finding</w:t>
      </w:r>
      <w:r w:rsidR="000A0EB5" w:rsidRPr="000E79AA">
        <w:rPr>
          <w:rFonts w:ascii="Times New Roman" w:hAnsi="Times New Roman" w:cs="Times New Roman"/>
          <w:bCs/>
          <w:lang w:val="en-AU"/>
        </w:rPr>
        <w:t xml:space="preserve"> </w:t>
      </w:r>
      <w:r w:rsidR="00AD2B37" w:rsidRPr="000E79AA">
        <w:rPr>
          <w:rFonts w:ascii="Times New Roman" w:hAnsi="Times New Roman" w:cs="Times New Roman"/>
          <w:bCs/>
          <w:lang w:val="en-AU"/>
        </w:rPr>
        <w:t>also</w:t>
      </w:r>
      <w:r w:rsidR="000A0EB5" w:rsidRPr="000E79AA">
        <w:rPr>
          <w:rFonts w:ascii="Times New Roman" w:hAnsi="Times New Roman" w:cs="Times New Roman"/>
          <w:bCs/>
          <w:lang w:val="en-AU"/>
        </w:rPr>
        <w:t xml:space="preserve"> </w:t>
      </w:r>
      <w:r w:rsidR="008B1215" w:rsidRPr="000E79AA">
        <w:rPr>
          <w:rFonts w:ascii="Times New Roman" w:hAnsi="Times New Roman" w:cs="Times New Roman"/>
          <w:bCs/>
          <w:lang w:val="en-AU"/>
        </w:rPr>
        <w:t xml:space="preserve">demonstrates the </w:t>
      </w:r>
      <w:r w:rsidR="006D133A" w:rsidRPr="000E79AA">
        <w:rPr>
          <w:rFonts w:ascii="Times New Roman" w:hAnsi="Times New Roman" w:cs="Times New Roman"/>
          <w:bCs/>
          <w:lang w:val="en-AU"/>
        </w:rPr>
        <w:t xml:space="preserve">importance </w:t>
      </w:r>
      <w:r w:rsidR="001A6D3F" w:rsidRPr="000E79AA">
        <w:rPr>
          <w:rFonts w:ascii="Times New Roman" w:hAnsi="Times New Roman" w:cs="Times New Roman"/>
          <w:bCs/>
          <w:lang w:val="en-AU"/>
        </w:rPr>
        <w:t>of baseline noradrenergic</w:t>
      </w:r>
      <w:r w:rsidR="00172E46" w:rsidRPr="000E79AA">
        <w:rPr>
          <w:rFonts w:ascii="Times New Roman" w:hAnsi="Times New Roman" w:cs="Times New Roman"/>
          <w:bCs/>
          <w:lang w:val="en-AU"/>
        </w:rPr>
        <w:t xml:space="preserve"> capacity</w:t>
      </w:r>
      <w:r w:rsidR="006F6247" w:rsidRPr="000E79AA">
        <w:rPr>
          <w:rFonts w:ascii="Times New Roman" w:hAnsi="Times New Roman" w:cs="Times New Roman"/>
          <w:bCs/>
          <w:lang w:val="en-AU"/>
        </w:rPr>
        <w:t xml:space="preserve"> </w:t>
      </w:r>
      <w:r w:rsidR="001A6D3F" w:rsidRPr="000E79AA">
        <w:rPr>
          <w:rFonts w:ascii="Times New Roman" w:hAnsi="Times New Roman" w:cs="Times New Roman"/>
          <w:bCs/>
          <w:lang w:val="en-AU"/>
        </w:rPr>
        <w:t xml:space="preserve">in determining </w:t>
      </w:r>
      <w:r w:rsidR="006D133A" w:rsidRPr="000E79AA">
        <w:rPr>
          <w:rFonts w:ascii="Times New Roman" w:hAnsi="Times New Roman" w:cs="Times New Roman"/>
          <w:bCs/>
          <w:lang w:val="en-AU"/>
        </w:rPr>
        <w:t xml:space="preserve">the response to </w:t>
      </w:r>
      <w:r w:rsidR="00A8775D" w:rsidRPr="000E79AA">
        <w:rPr>
          <w:rFonts w:ascii="Times New Roman" w:hAnsi="Times New Roman" w:cs="Times New Roman"/>
          <w:bCs/>
          <w:lang w:val="en-AU"/>
        </w:rPr>
        <w:t xml:space="preserve">atomoxetine, </w:t>
      </w:r>
      <w:r w:rsidR="003C292C" w:rsidRPr="000E79AA">
        <w:rPr>
          <w:rFonts w:ascii="Times New Roman" w:hAnsi="Times New Roman" w:cs="Times New Roman"/>
          <w:bCs/>
          <w:lang w:val="en-AU"/>
        </w:rPr>
        <w:t>c</w:t>
      </w:r>
      <w:r w:rsidR="00A8775D" w:rsidRPr="000E79AA">
        <w:rPr>
          <w:rFonts w:ascii="Times New Roman" w:hAnsi="Times New Roman" w:cs="Times New Roman"/>
          <w:bCs/>
          <w:lang w:val="en-AU"/>
        </w:rPr>
        <w:t>onfirm</w:t>
      </w:r>
      <w:r w:rsidR="003C292C" w:rsidRPr="000E79AA">
        <w:rPr>
          <w:rFonts w:ascii="Times New Roman" w:hAnsi="Times New Roman" w:cs="Times New Roman"/>
          <w:bCs/>
          <w:lang w:val="en-AU"/>
        </w:rPr>
        <w:t>ing</w:t>
      </w:r>
      <w:r w:rsidR="00126A12" w:rsidRPr="000E79AA">
        <w:rPr>
          <w:rFonts w:ascii="Times New Roman" w:hAnsi="Times New Roman" w:cs="Times New Roman"/>
          <w:bCs/>
          <w:lang w:val="en-AU"/>
        </w:rPr>
        <w:t xml:space="preserve"> the need </w:t>
      </w:r>
      <w:r w:rsidR="00440FA3" w:rsidRPr="000E79AA">
        <w:rPr>
          <w:rFonts w:ascii="Times New Roman" w:hAnsi="Times New Roman" w:cs="Times New Roman"/>
          <w:bCs/>
          <w:lang w:val="en-AU"/>
        </w:rPr>
        <w:t xml:space="preserve">to stratify patients </w:t>
      </w:r>
      <w:r w:rsidR="006D133A" w:rsidRPr="000E79AA">
        <w:rPr>
          <w:rFonts w:ascii="Times New Roman" w:hAnsi="Times New Roman" w:cs="Times New Roman"/>
          <w:bCs/>
          <w:lang w:val="en-AU"/>
        </w:rPr>
        <w:t>for</w:t>
      </w:r>
      <w:r w:rsidR="00440FA3" w:rsidRPr="000E79AA">
        <w:rPr>
          <w:rFonts w:ascii="Times New Roman" w:hAnsi="Times New Roman" w:cs="Times New Roman"/>
          <w:bCs/>
          <w:lang w:val="en-AU"/>
        </w:rPr>
        <w:t xml:space="preserve"> noradrenergic therapy</w:t>
      </w:r>
      <w:r w:rsidR="006D133A" w:rsidRPr="000E79AA">
        <w:rPr>
          <w:rFonts w:ascii="Times New Roman" w:hAnsi="Times New Roman" w:cs="Times New Roman"/>
          <w:bCs/>
          <w:lang w:val="en-AU"/>
        </w:rPr>
        <w:t>. L</w:t>
      </w:r>
      <w:r w:rsidR="005D5101" w:rsidRPr="000E79AA">
        <w:rPr>
          <w:rFonts w:ascii="Times New Roman" w:hAnsi="Times New Roman" w:cs="Times New Roman"/>
          <w:bCs/>
          <w:lang w:val="en-AU"/>
        </w:rPr>
        <w:t>ocus coeruleus</w:t>
      </w:r>
      <w:r w:rsidR="003C292C" w:rsidRPr="000E79AA">
        <w:rPr>
          <w:rFonts w:ascii="Times New Roman" w:hAnsi="Times New Roman" w:cs="Times New Roman"/>
          <w:bCs/>
          <w:lang w:val="en-AU"/>
        </w:rPr>
        <w:t xml:space="preserve"> neuromelanin imaging</w:t>
      </w:r>
      <w:r w:rsidR="00295F9C" w:rsidRPr="000E79AA">
        <w:rPr>
          <w:rFonts w:ascii="Times New Roman" w:hAnsi="Times New Roman" w:cs="Times New Roman"/>
          <w:bCs/>
          <w:lang w:val="en-AU"/>
        </w:rPr>
        <w:t xml:space="preserve"> </w:t>
      </w:r>
      <w:r w:rsidR="006D133A" w:rsidRPr="000E79AA">
        <w:rPr>
          <w:rFonts w:ascii="Times New Roman" w:hAnsi="Times New Roman" w:cs="Times New Roman"/>
          <w:bCs/>
          <w:lang w:val="en-AU"/>
        </w:rPr>
        <w:t xml:space="preserve">would be a safe and affordable </w:t>
      </w:r>
      <w:r w:rsidR="00752D5E" w:rsidRPr="000E79AA">
        <w:rPr>
          <w:rFonts w:ascii="Times New Roman" w:hAnsi="Times New Roman" w:cs="Times New Roman"/>
          <w:bCs/>
          <w:lang w:val="en-AU"/>
        </w:rPr>
        <w:t>means to achieve this</w:t>
      </w:r>
      <w:r w:rsidR="003C292C" w:rsidRPr="000E79AA">
        <w:rPr>
          <w:rFonts w:ascii="Times New Roman" w:hAnsi="Times New Roman" w:cs="Times New Roman"/>
          <w:bCs/>
          <w:lang w:val="en-AU"/>
        </w:rPr>
        <w:t xml:space="preserve"> stratification</w:t>
      </w:r>
      <w:r w:rsidR="006D133A" w:rsidRPr="000E79AA">
        <w:rPr>
          <w:rFonts w:ascii="Times New Roman" w:hAnsi="Times New Roman" w:cs="Times New Roman"/>
          <w:bCs/>
          <w:lang w:val="en-AU"/>
        </w:rPr>
        <w:t xml:space="preserve">. </w:t>
      </w:r>
    </w:p>
    <w:p w14:paraId="717A1780" w14:textId="77777777" w:rsidR="0011252D" w:rsidRPr="000E79AA" w:rsidRDefault="0011252D" w:rsidP="00BD6B53">
      <w:pPr>
        <w:spacing w:line="360" w:lineRule="auto"/>
        <w:jc w:val="both"/>
        <w:rPr>
          <w:rFonts w:ascii="Times New Roman" w:hAnsi="Times New Roman" w:cs="Times New Roman"/>
          <w:bCs/>
          <w:lang w:val="en-AU"/>
        </w:rPr>
      </w:pPr>
    </w:p>
    <w:p w14:paraId="73E4831B" w14:textId="05731C6C" w:rsidR="0099117F" w:rsidRPr="000E79AA" w:rsidRDefault="00B34143" w:rsidP="00BD6B53">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Previous work</w:t>
      </w:r>
      <w:r w:rsidR="00C925D8" w:rsidRPr="000E79AA">
        <w:rPr>
          <w:rFonts w:ascii="Times New Roman" w:hAnsi="Times New Roman" w:cs="Times New Roman"/>
          <w:bCs/>
          <w:lang w:val="en-AU"/>
        </w:rPr>
        <w:t xml:space="preserve"> </w:t>
      </w:r>
      <w:r w:rsidR="005F4DD8" w:rsidRPr="000E79AA">
        <w:rPr>
          <w:rFonts w:ascii="Times New Roman" w:hAnsi="Times New Roman" w:cs="Times New Roman"/>
          <w:bCs/>
          <w:lang w:val="en-AU"/>
        </w:rPr>
        <w:t xml:space="preserve">in Parkinson’s disease </w:t>
      </w:r>
      <w:r w:rsidR="00797240" w:rsidRPr="000E79AA">
        <w:rPr>
          <w:rFonts w:ascii="Times New Roman" w:hAnsi="Times New Roman" w:cs="Times New Roman"/>
          <w:bCs/>
          <w:lang w:val="en-AU"/>
        </w:rPr>
        <w:t>showed</w:t>
      </w:r>
      <w:r w:rsidR="005F4DD8" w:rsidRPr="000E79AA">
        <w:rPr>
          <w:rFonts w:ascii="Times New Roman" w:hAnsi="Times New Roman" w:cs="Times New Roman"/>
          <w:bCs/>
          <w:lang w:val="en-AU"/>
        </w:rPr>
        <w:t xml:space="preserve"> that</w:t>
      </w:r>
      <w:r w:rsidR="00813009" w:rsidRPr="000E79AA">
        <w:rPr>
          <w:rFonts w:ascii="Times New Roman" w:hAnsi="Times New Roman" w:cs="Times New Roman"/>
          <w:bCs/>
          <w:lang w:val="en-AU"/>
        </w:rPr>
        <w:t xml:space="preserve"> atomoxetine </w:t>
      </w:r>
      <w:r w:rsidR="00F83253" w:rsidRPr="000E79AA">
        <w:rPr>
          <w:rFonts w:ascii="Times New Roman" w:hAnsi="Times New Roman" w:cs="Times New Roman"/>
          <w:bCs/>
          <w:lang w:val="en-AU"/>
        </w:rPr>
        <w:t xml:space="preserve">led to greater improvements in SSRT and enhanced </w:t>
      </w:r>
      <w:r w:rsidR="0086248A" w:rsidRPr="000E79AA">
        <w:rPr>
          <w:rFonts w:ascii="Times New Roman" w:hAnsi="Times New Roman" w:cs="Times New Roman"/>
          <w:bCs/>
          <w:lang w:val="en-AU"/>
        </w:rPr>
        <w:t>activation in the stopping network in patients with more severe disease</w:t>
      </w:r>
      <w:r w:rsidR="001E0DE4" w:rsidRPr="000E79AA">
        <w:rPr>
          <w:rFonts w:ascii="Times New Roman" w:hAnsi="Times New Roman" w:cs="Times New Roman"/>
          <w:bCs/>
          <w:lang w:val="en-AU"/>
        </w:rPr>
        <w:t>.</w:t>
      </w:r>
      <w:r w:rsidR="00947EB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{"citationID":"aj9sqkkadk","properties":{"formattedCitation":"\\super 11,12\\nosupersub{}","plainCitation":"11,12","noteIndex":0},"citationItems":[{"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947EB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11,12</w:t>
      </w:r>
      <w:r w:rsidR="00947EB7" w:rsidRPr="000E79AA">
        <w:rPr>
          <w:rFonts w:ascii="Times New Roman" w:hAnsi="Times New Roman" w:cs="Times New Roman"/>
          <w:bCs/>
          <w:lang w:val="en-AU"/>
        </w:rPr>
        <w:fldChar w:fldCharType="end"/>
      </w:r>
      <w:r w:rsidR="00C46290" w:rsidRPr="000E79AA">
        <w:rPr>
          <w:rFonts w:ascii="Times New Roman" w:hAnsi="Times New Roman" w:cs="Times New Roman"/>
          <w:bCs/>
          <w:lang w:val="en-AU"/>
        </w:rPr>
        <w:t xml:space="preserve"> Extending this work</w:t>
      </w:r>
      <w:r w:rsidR="0096123A" w:rsidRPr="000E79AA">
        <w:rPr>
          <w:rFonts w:ascii="Times New Roman" w:hAnsi="Times New Roman" w:cs="Times New Roman"/>
          <w:bCs/>
          <w:lang w:val="en-AU"/>
        </w:rPr>
        <w:t xml:space="preserve">, we </w:t>
      </w:r>
      <w:r w:rsidR="00E141DA" w:rsidRPr="000E79AA">
        <w:rPr>
          <w:rFonts w:ascii="Times New Roman" w:hAnsi="Times New Roman" w:cs="Times New Roman"/>
          <w:bCs/>
          <w:lang w:val="en-AU"/>
        </w:rPr>
        <w:t xml:space="preserve">confirm </w:t>
      </w:r>
      <w:r w:rsidR="00C939FE" w:rsidRPr="000E79AA">
        <w:rPr>
          <w:rFonts w:ascii="Times New Roman" w:hAnsi="Times New Roman" w:cs="Times New Roman"/>
          <w:bCs/>
          <w:lang w:val="en-AU"/>
        </w:rPr>
        <w:t xml:space="preserve">that </w:t>
      </w:r>
      <w:r w:rsidR="00C46290" w:rsidRPr="000E79AA">
        <w:rPr>
          <w:rFonts w:ascii="Times New Roman" w:hAnsi="Times New Roman" w:cs="Times New Roman"/>
          <w:bCs/>
          <w:lang w:val="en-AU"/>
        </w:rPr>
        <w:t>i</w:t>
      </w:r>
      <w:r w:rsidR="0096123A" w:rsidRPr="000E79AA">
        <w:rPr>
          <w:rFonts w:ascii="Times New Roman" w:hAnsi="Times New Roman" w:cs="Times New Roman"/>
          <w:bCs/>
          <w:lang w:val="en-AU"/>
        </w:rPr>
        <w:t xml:space="preserve">mproved SSRTs under atomoxetine occurred in those patients with more severe locus coeruleus degeneration. </w:t>
      </w:r>
      <w:r w:rsidR="00C46290" w:rsidRPr="000E79AA">
        <w:rPr>
          <w:rFonts w:ascii="Times New Roman" w:hAnsi="Times New Roman" w:cs="Times New Roman"/>
          <w:bCs/>
          <w:lang w:val="en-AU"/>
        </w:rPr>
        <w:t xml:space="preserve">This </w:t>
      </w:r>
      <w:r w:rsidR="00945EFC" w:rsidRPr="000E79AA">
        <w:rPr>
          <w:rFonts w:ascii="Times New Roman" w:hAnsi="Times New Roman" w:cs="Times New Roman"/>
          <w:bCs/>
          <w:lang w:val="en-AU"/>
        </w:rPr>
        <w:t>wa</w:t>
      </w:r>
      <w:r w:rsidR="00C46290" w:rsidRPr="000E79AA">
        <w:rPr>
          <w:rFonts w:ascii="Times New Roman" w:hAnsi="Times New Roman" w:cs="Times New Roman"/>
          <w:bCs/>
          <w:lang w:val="en-AU"/>
        </w:rPr>
        <w:t>s in the context of</w:t>
      </w:r>
      <w:r w:rsidR="00D84428" w:rsidRPr="000E79AA">
        <w:rPr>
          <w:rFonts w:ascii="Times New Roman" w:hAnsi="Times New Roman" w:cs="Times New Roman"/>
          <w:bCs/>
          <w:lang w:val="en-AU"/>
        </w:rPr>
        <w:t xml:space="preserve"> a general impairment in response inhibition, </w:t>
      </w:r>
      <w:r w:rsidR="00C46290" w:rsidRPr="000E79AA">
        <w:rPr>
          <w:rFonts w:ascii="Times New Roman" w:hAnsi="Times New Roman" w:cs="Times New Roman"/>
          <w:bCs/>
          <w:lang w:val="en-AU"/>
        </w:rPr>
        <w:t>as patients on placebo had longer SSRTs compared to controls</w:t>
      </w:r>
      <w:r w:rsidR="00D84428" w:rsidRPr="000E79AA">
        <w:rPr>
          <w:rFonts w:ascii="Times New Roman" w:hAnsi="Times New Roman" w:cs="Times New Roman"/>
          <w:bCs/>
          <w:lang w:val="en-AU"/>
        </w:rPr>
        <w:t>. Our result suggest</w:t>
      </w:r>
      <w:r w:rsidR="00775E52" w:rsidRPr="000E79AA">
        <w:rPr>
          <w:rFonts w:ascii="Times New Roman" w:hAnsi="Times New Roman" w:cs="Times New Roman"/>
          <w:bCs/>
          <w:lang w:val="en-AU"/>
        </w:rPr>
        <w:t>s</w:t>
      </w:r>
      <w:r w:rsidR="00D84428" w:rsidRPr="000E79AA">
        <w:rPr>
          <w:rFonts w:ascii="Times New Roman" w:hAnsi="Times New Roman" w:cs="Times New Roman"/>
          <w:bCs/>
          <w:lang w:val="en-AU"/>
        </w:rPr>
        <w:t xml:space="preserve"> </w:t>
      </w:r>
      <w:r w:rsidR="00AD5018" w:rsidRPr="000E79AA">
        <w:rPr>
          <w:rFonts w:ascii="Times New Roman" w:hAnsi="Times New Roman" w:cs="Times New Roman"/>
          <w:bCs/>
          <w:lang w:val="en-AU"/>
        </w:rPr>
        <w:t xml:space="preserve">that </w:t>
      </w:r>
      <w:r w:rsidR="00E65089" w:rsidRPr="000E79AA">
        <w:rPr>
          <w:rFonts w:ascii="Times New Roman" w:hAnsi="Times New Roman" w:cs="Times New Roman"/>
          <w:bCs/>
          <w:lang w:val="en-AU"/>
        </w:rPr>
        <w:t>a single 40 mg</w:t>
      </w:r>
      <w:r w:rsidR="007E51AA" w:rsidRPr="000E79AA">
        <w:rPr>
          <w:rFonts w:ascii="Times New Roman" w:hAnsi="Times New Roman" w:cs="Times New Roman"/>
          <w:bCs/>
          <w:lang w:val="en-AU"/>
        </w:rPr>
        <w:t xml:space="preserve"> </w:t>
      </w:r>
      <w:r w:rsidR="00AD5018" w:rsidRPr="000E79AA">
        <w:rPr>
          <w:rFonts w:ascii="Times New Roman" w:hAnsi="Times New Roman" w:cs="Times New Roman"/>
          <w:bCs/>
          <w:lang w:val="en-AU"/>
        </w:rPr>
        <w:t xml:space="preserve">atomoxetine dose </w:t>
      </w:r>
      <w:r w:rsidR="007E51AA" w:rsidRPr="000E79AA">
        <w:rPr>
          <w:rFonts w:ascii="Times New Roman" w:hAnsi="Times New Roman" w:cs="Times New Roman"/>
          <w:bCs/>
          <w:lang w:val="en-AU"/>
        </w:rPr>
        <w:t xml:space="preserve">confers </w:t>
      </w:r>
      <w:r w:rsidR="00877546" w:rsidRPr="000E79AA">
        <w:rPr>
          <w:rFonts w:ascii="Times New Roman" w:hAnsi="Times New Roman" w:cs="Times New Roman"/>
          <w:bCs/>
          <w:lang w:val="en-AU"/>
        </w:rPr>
        <w:t xml:space="preserve">the </w:t>
      </w:r>
      <w:r w:rsidR="007E51AA" w:rsidRPr="000E79AA">
        <w:rPr>
          <w:rFonts w:ascii="Times New Roman" w:hAnsi="Times New Roman" w:cs="Times New Roman"/>
          <w:bCs/>
          <w:lang w:val="en-AU"/>
        </w:rPr>
        <w:t xml:space="preserve">most benefit </w:t>
      </w:r>
      <w:r w:rsidR="00C939FE" w:rsidRPr="000E79AA">
        <w:rPr>
          <w:rFonts w:ascii="Times New Roman" w:hAnsi="Times New Roman" w:cs="Times New Roman"/>
          <w:bCs/>
          <w:lang w:val="en-AU"/>
        </w:rPr>
        <w:t>on individuals</w:t>
      </w:r>
      <w:r w:rsidR="007E51AA" w:rsidRPr="000E79AA">
        <w:rPr>
          <w:rFonts w:ascii="Times New Roman" w:hAnsi="Times New Roman" w:cs="Times New Roman"/>
          <w:bCs/>
          <w:lang w:val="en-AU"/>
        </w:rPr>
        <w:t xml:space="preserve"> with a </w:t>
      </w:r>
      <w:r w:rsidR="00E141DA" w:rsidRPr="000E79AA">
        <w:rPr>
          <w:rFonts w:ascii="Times New Roman" w:hAnsi="Times New Roman" w:cs="Times New Roman"/>
          <w:bCs/>
          <w:lang w:val="en-AU"/>
        </w:rPr>
        <w:t xml:space="preserve">severe </w:t>
      </w:r>
      <w:r w:rsidR="007E51AA" w:rsidRPr="000E79AA">
        <w:rPr>
          <w:rFonts w:ascii="Times New Roman" w:hAnsi="Times New Roman" w:cs="Times New Roman"/>
          <w:bCs/>
          <w:lang w:val="en-AU"/>
        </w:rPr>
        <w:t>loss of noradrenergic capacity.</w:t>
      </w:r>
      <w:r w:rsidR="00C7402F" w:rsidRPr="000E79AA">
        <w:rPr>
          <w:rFonts w:ascii="Times New Roman" w:hAnsi="Times New Roman" w:cs="Times New Roman"/>
          <w:bCs/>
          <w:lang w:val="en-AU"/>
        </w:rPr>
        <w:t xml:space="preserve"> In this </w:t>
      </w:r>
      <w:r w:rsidR="00D84428" w:rsidRPr="000E79AA">
        <w:rPr>
          <w:rFonts w:ascii="Times New Roman" w:hAnsi="Times New Roman" w:cs="Times New Roman"/>
          <w:bCs/>
          <w:lang w:val="en-AU"/>
        </w:rPr>
        <w:t>way</w:t>
      </w:r>
      <w:r w:rsidR="00C7402F" w:rsidRPr="000E79AA">
        <w:rPr>
          <w:rFonts w:ascii="Times New Roman" w:hAnsi="Times New Roman" w:cs="Times New Roman"/>
          <w:bCs/>
          <w:lang w:val="en-AU"/>
        </w:rPr>
        <w:t xml:space="preserve">, </w:t>
      </w:r>
      <w:r w:rsidR="00C7402F" w:rsidRPr="000E79AA">
        <w:rPr>
          <w:rFonts w:ascii="Times New Roman" w:hAnsi="Times New Roman" w:cs="Times New Roman"/>
          <w:bCs/>
          <w:lang w:val="en-AU"/>
        </w:rPr>
        <w:lastRenderedPageBreak/>
        <w:t xml:space="preserve">noradrenergic replacement in </w:t>
      </w:r>
      <w:r w:rsidR="00E65089" w:rsidRPr="000E79AA">
        <w:rPr>
          <w:rFonts w:ascii="Times New Roman" w:hAnsi="Times New Roman" w:cs="Times New Roman"/>
          <w:bCs/>
          <w:lang w:val="en-AU"/>
        </w:rPr>
        <w:t>patients</w:t>
      </w:r>
      <w:r w:rsidR="00C7402F" w:rsidRPr="000E79AA">
        <w:rPr>
          <w:rFonts w:ascii="Times New Roman" w:hAnsi="Times New Roman" w:cs="Times New Roman"/>
          <w:bCs/>
          <w:lang w:val="en-AU"/>
        </w:rPr>
        <w:t xml:space="preserve"> with a</w:t>
      </w:r>
      <w:r w:rsidR="00DD0B43" w:rsidRPr="000E79AA">
        <w:rPr>
          <w:rFonts w:ascii="Times New Roman" w:hAnsi="Times New Roman" w:cs="Times New Roman"/>
          <w:bCs/>
          <w:lang w:val="en-AU"/>
        </w:rPr>
        <w:t xml:space="preserve"> </w:t>
      </w:r>
      <w:r w:rsidR="00C7402F" w:rsidRPr="000E79AA">
        <w:rPr>
          <w:rFonts w:ascii="Times New Roman" w:hAnsi="Times New Roman" w:cs="Times New Roman"/>
          <w:bCs/>
          <w:lang w:val="en-AU"/>
        </w:rPr>
        <w:t xml:space="preserve">compromised system </w:t>
      </w:r>
      <w:r w:rsidR="00E65089" w:rsidRPr="000E79AA">
        <w:rPr>
          <w:rFonts w:ascii="Times New Roman" w:hAnsi="Times New Roman" w:cs="Times New Roman"/>
          <w:bCs/>
          <w:lang w:val="en-AU"/>
        </w:rPr>
        <w:t>may</w:t>
      </w:r>
      <w:r w:rsidR="00C7402F" w:rsidRPr="000E79AA">
        <w:rPr>
          <w:rFonts w:ascii="Times New Roman" w:hAnsi="Times New Roman" w:cs="Times New Roman"/>
          <w:bCs/>
          <w:lang w:val="en-AU"/>
        </w:rPr>
        <w:t xml:space="preserve"> achieve restoration closer to normal levels</w:t>
      </w:r>
      <w:r w:rsidR="009E6A34" w:rsidRPr="000E79AA">
        <w:rPr>
          <w:rFonts w:ascii="Times New Roman" w:hAnsi="Times New Roman" w:cs="Times New Roman"/>
          <w:bCs/>
          <w:lang w:val="en-AU"/>
        </w:rPr>
        <w:t xml:space="preserve"> and improve behaviour</w:t>
      </w:r>
      <w:r w:rsidR="00CC6266" w:rsidRPr="000E79AA">
        <w:rPr>
          <w:rFonts w:ascii="Times New Roman" w:hAnsi="Times New Roman" w:cs="Times New Roman"/>
          <w:bCs/>
          <w:lang w:val="en-AU"/>
        </w:rPr>
        <w:t xml:space="preserve">. </w:t>
      </w:r>
      <w:r w:rsidR="00DD0B43" w:rsidRPr="000E79AA">
        <w:rPr>
          <w:rFonts w:ascii="Times New Roman" w:hAnsi="Times New Roman" w:cs="Times New Roman"/>
          <w:bCs/>
          <w:lang w:val="en-AU"/>
        </w:rPr>
        <w:t>Conversely</w:t>
      </w:r>
      <w:r w:rsidR="00CC6266" w:rsidRPr="000E79AA">
        <w:rPr>
          <w:rFonts w:ascii="Times New Roman" w:hAnsi="Times New Roman" w:cs="Times New Roman"/>
          <w:bCs/>
          <w:lang w:val="en-AU"/>
        </w:rPr>
        <w:t xml:space="preserve">, </w:t>
      </w:r>
      <w:r w:rsidR="008E6C05" w:rsidRPr="000E79AA">
        <w:rPr>
          <w:rFonts w:ascii="Times New Roman" w:hAnsi="Times New Roman" w:cs="Times New Roman"/>
          <w:bCs/>
          <w:lang w:val="en-AU"/>
        </w:rPr>
        <w:t xml:space="preserve">in </w:t>
      </w:r>
      <w:r w:rsidR="00E65089" w:rsidRPr="000E79AA">
        <w:rPr>
          <w:rFonts w:ascii="Times New Roman" w:hAnsi="Times New Roman" w:cs="Times New Roman"/>
          <w:bCs/>
          <w:lang w:val="en-AU"/>
        </w:rPr>
        <w:t>patients</w:t>
      </w:r>
      <w:r w:rsidR="008E6C05" w:rsidRPr="000E79AA">
        <w:rPr>
          <w:rFonts w:ascii="Times New Roman" w:hAnsi="Times New Roman" w:cs="Times New Roman"/>
          <w:bCs/>
          <w:lang w:val="en-AU"/>
        </w:rPr>
        <w:t xml:space="preserve"> with a less</w:t>
      </w:r>
      <w:r w:rsidR="00DD0B43" w:rsidRPr="000E79AA">
        <w:rPr>
          <w:rFonts w:ascii="Times New Roman" w:hAnsi="Times New Roman" w:cs="Times New Roman"/>
          <w:bCs/>
          <w:lang w:val="en-AU"/>
        </w:rPr>
        <w:t xml:space="preserve"> affected</w:t>
      </w:r>
      <w:r w:rsidR="008E6C05" w:rsidRPr="000E79AA">
        <w:rPr>
          <w:rFonts w:ascii="Times New Roman" w:hAnsi="Times New Roman" w:cs="Times New Roman"/>
          <w:bCs/>
          <w:lang w:val="en-AU"/>
        </w:rPr>
        <w:t xml:space="preserve"> system </w:t>
      </w:r>
      <w:r w:rsidR="00E65089" w:rsidRPr="000E79AA">
        <w:rPr>
          <w:rFonts w:ascii="Times New Roman" w:hAnsi="Times New Roman" w:cs="Times New Roman"/>
          <w:bCs/>
          <w:lang w:val="en-AU"/>
        </w:rPr>
        <w:t>th</w:t>
      </w:r>
      <w:r w:rsidR="00CC6266" w:rsidRPr="000E79AA">
        <w:rPr>
          <w:rFonts w:ascii="Times New Roman" w:hAnsi="Times New Roman" w:cs="Times New Roman"/>
          <w:bCs/>
          <w:lang w:val="en-AU"/>
        </w:rPr>
        <w:t>e same dose</w:t>
      </w:r>
      <w:r w:rsidR="008E6C05" w:rsidRPr="000E79AA">
        <w:rPr>
          <w:rFonts w:ascii="Times New Roman" w:hAnsi="Times New Roman" w:cs="Times New Roman"/>
          <w:bCs/>
          <w:lang w:val="en-AU"/>
        </w:rPr>
        <w:t xml:space="preserve"> may offer no appreciable benefit </w:t>
      </w:r>
      <w:r w:rsidR="00E77164" w:rsidRPr="000E79AA">
        <w:rPr>
          <w:rFonts w:ascii="Times New Roman" w:hAnsi="Times New Roman" w:cs="Times New Roman"/>
          <w:bCs/>
          <w:lang w:val="en-AU"/>
        </w:rPr>
        <w:t>or even</w:t>
      </w:r>
      <w:r w:rsidR="008E6C05" w:rsidRPr="000E79AA">
        <w:rPr>
          <w:rFonts w:ascii="Times New Roman" w:hAnsi="Times New Roman" w:cs="Times New Roman"/>
          <w:bCs/>
          <w:lang w:val="en-AU"/>
        </w:rPr>
        <w:t xml:space="preserve"> </w:t>
      </w:r>
      <w:r w:rsidR="00E141DA" w:rsidRPr="000E79AA">
        <w:rPr>
          <w:rFonts w:ascii="Times New Roman" w:hAnsi="Times New Roman" w:cs="Times New Roman"/>
          <w:bCs/>
          <w:lang w:val="en-AU"/>
        </w:rPr>
        <w:t>‘</w:t>
      </w:r>
      <w:r w:rsidR="008E6C05" w:rsidRPr="000E79AA">
        <w:rPr>
          <w:rFonts w:ascii="Times New Roman" w:hAnsi="Times New Roman" w:cs="Times New Roman"/>
          <w:bCs/>
          <w:lang w:val="en-AU"/>
        </w:rPr>
        <w:t>overdose</w:t>
      </w:r>
      <w:r w:rsidR="00E141DA" w:rsidRPr="000E79AA">
        <w:rPr>
          <w:rFonts w:ascii="Times New Roman" w:hAnsi="Times New Roman" w:cs="Times New Roman"/>
          <w:bCs/>
          <w:lang w:val="en-AU"/>
        </w:rPr>
        <w:t>’</w:t>
      </w:r>
      <w:r w:rsidR="008E6C05" w:rsidRPr="000E79AA">
        <w:rPr>
          <w:rFonts w:ascii="Times New Roman" w:hAnsi="Times New Roman" w:cs="Times New Roman"/>
          <w:bCs/>
          <w:lang w:val="en-AU"/>
        </w:rPr>
        <w:t xml:space="preserve"> the system</w:t>
      </w:r>
      <w:r w:rsidR="00CC6266" w:rsidRPr="000E79AA">
        <w:rPr>
          <w:rFonts w:ascii="Times New Roman" w:hAnsi="Times New Roman" w:cs="Times New Roman"/>
          <w:bCs/>
          <w:lang w:val="en-AU"/>
        </w:rPr>
        <w:t>,</w:t>
      </w:r>
      <w:r w:rsidR="009E6A34" w:rsidRPr="000E79AA">
        <w:rPr>
          <w:rFonts w:ascii="Times New Roman" w:hAnsi="Times New Roman" w:cs="Times New Roman"/>
          <w:bCs/>
          <w:lang w:val="en-AU"/>
        </w:rPr>
        <w:t xml:space="preserve"> leading to </w:t>
      </w:r>
      <w:r w:rsidR="006023AA" w:rsidRPr="000E79AA">
        <w:rPr>
          <w:rFonts w:ascii="Times New Roman" w:hAnsi="Times New Roman" w:cs="Times New Roman"/>
          <w:bCs/>
          <w:lang w:val="en-AU"/>
        </w:rPr>
        <w:t>worse behaviour</w:t>
      </w:r>
      <w:r w:rsidR="008E6C05" w:rsidRPr="000E79AA">
        <w:rPr>
          <w:rFonts w:ascii="Times New Roman" w:hAnsi="Times New Roman" w:cs="Times New Roman"/>
          <w:bCs/>
          <w:lang w:val="en-AU"/>
        </w:rPr>
        <w:t>.</w:t>
      </w:r>
      <w:r w:rsidR="00A7779D" w:rsidRPr="000E79AA">
        <w:rPr>
          <w:rFonts w:ascii="Times New Roman" w:hAnsi="Times New Roman" w:cs="Times New Roman"/>
          <w:bCs/>
          <w:lang w:val="en-AU"/>
        </w:rPr>
        <w:t xml:space="preserve"> </w:t>
      </w:r>
      <w:r w:rsidR="0099117F" w:rsidRPr="000E79AA">
        <w:rPr>
          <w:rFonts w:ascii="Times New Roman" w:hAnsi="Times New Roman" w:cs="Times New Roman"/>
          <w:bCs/>
          <w:lang w:val="en-AU"/>
        </w:rPr>
        <w:t>This relationship is captured by the inverted-U shaped curve (known as a Yerkes-Dodson function)</w:t>
      </w:r>
      <w:r w:rsidR="00965AC3" w:rsidRPr="000E79AA">
        <w:rPr>
          <w:rFonts w:ascii="Times New Roman" w:hAnsi="Times New Roman" w:cs="Times New Roman"/>
          <w:bCs/>
          <w:lang w:val="en-AU"/>
        </w:rPr>
        <w:t xml:space="preserve"> that is common across monoaminergic and cholinergic systems, whereby </w:t>
      </w:r>
      <w:r w:rsidR="00E2774B" w:rsidRPr="000E79AA">
        <w:rPr>
          <w:rFonts w:ascii="Times New Roman" w:hAnsi="Times New Roman" w:cs="Times New Roman"/>
          <w:bCs/>
          <w:lang w:val="en-AU"/>
        </w:rPr>
        <w:t>intermediate levels of neuromodulatory influence</w:t>
      </w:r>
      <w:r w:rsidR="00D95B39" w:rsidRPr="000E79AA">
        <w:rPr>
          <w:rFonts w:ascii="Times New Roman" w:hAnsi="Times New Roman" w:cs="Times New Roman"/>
          <w:bCs/>
          <w:lang w:val="en-AU"/>
        </w:rPr>
        <w:t xml:space="preserve"> are associated with optimal performance</w:t>
      </w:r>
      <w:r w:rsidR="0099117F" w:rsidRPr="000E79AA">
        <w:rPr>
          <w:rFonts w:ascii="Times New Roman" w:hAnsi="Times New Roman" w:cs="Times New Roman"/>
          <w:bCs/>
          <w:lang w:val="en-AU"/>
        </w:rPr>
        <w:t xml:space="preserve">, with too much or too little </w:t>
      </w:r>
      <w:r w:rsidR="00D95B39" w:rsidRPr="000E79AA">
        <w:rPr>
          <w:rFonts w:ascii="Times New Roman" w:hAnsi="Times New Roman" w:cs="Times New Roman"/>
          <w:bCs/>
          <w:lang w:val="en-AU"/>
        </w:rPr>
        <w:t>having</w:t>
      </w:r>
      <w:r w:rsidR="0099117F" w:rsidRPr="000E79AA">
        <w:rPr>
          <w:rFonts w:ascii="Times New Roman" w:hAnsi="Times New Roman" w:cs="Times New Roman"/>
          <w:bCs/>
          <w:lang w:val="en-AU"/>
        </w:rPr>
        <w:t xml:space="preserve"> deleterious effects on behaviour</w:t>
      </w:r>
      <w:r w:rsidR="004B3CB5" w:rsidRPr="000E79AA">
        <w:rPr>
          <w:rFonts w:ascii="Times New Roman" w:hAnsi="Times New Roman" w:cs="Times New Roman"/>
          <w:bCs/>
          <w:lang w:val="en-AU"/>
        </w:rPr>
        <w:t>.</w:t>
      </w:r>
      <w:r w:rsidR="005F2A32"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{"citationID":"a19a7trsg63","properties":{"formattedCitation":"\\super 25,88\\nosupersub{}","plainCitation":"25,88","noteIndex":0},"citationItems":[{"id":12229,"uris":["http://zotero.org/users/local/xUwQuTPV/items/25EM7D53"],"uri":["http://zotero.org/users/local/xUwQuTPV/items/25EM7D53"],"itemData":{"id":12229,"type":"article-journal","abstract":"Neuromodulation of frontal-executive function is reviewed in the context of experiments on rats, monkeys and human subjects. The different functions of the chemically identified systems of the reticular core are analysed from the perspective of their possible different interactions with the prefrontal cortex. The role of dopamine in spatial working memory is reviewed, taking account of its deleterious as well as facilitatory effects. Baseline-dependent effects of dopaminergic manipulation are described in rats on an attentional task, including evidence of enhanced function following infusions of D1 receptor agonists into the prefrontal cortex. The precise nature of the cognitive task under study is shown to be a powerful determinant of the effects of mesofrontal dopamine depletion in monkeys. Parallels are identified in human subjects receiving drugs such as the indirect catecholamine agonists L-dopa, methylphenidate and the dopamine D2 receptor blocker sulpiride. The effects of these drugs on different types of cognitive function sensitive to frontal lobe dysfunction are contrasted with those of a manipulation of 5-HT function, dietary tryptophan depletion. Hypotheses are advanced that accord the ascending systems a greater deal of specificity in modulating prefrontal cortical function than has hitherto been entertained, and clinical and theoretical implications of this hypothesis are discussed.","container-title":"Experimental Brain Research","DOI":"10.1007/s002210000407","ISSN":"0014-4819, 1432-1106","issue":"1","journalAbbreviation":"Exp Brain Res","language":"en","page":"130-138","source":"DOI.org (Crossref)","title":"Chemical neuromodulation of frontal-executive functions in humans and other animals","volume":"133","author":[{"family":"Robbins","given":"T.W."}],"issued":{"date-parts":[["2000",7]]}}},{"id":4793,"uris":["http://zotero.org/users/local/xUwQuTPV/items/6HPWGXHL"],"uri":["http://zotero.org/users/local/xUwQuTPV/items/6HPWGXHL"],"itemData":{"id":4793,"type":"article-journal","abstract":"Historically, the locus coeruleus-norepinephrine (LC-NE) system has been implicated in arousal, but recent findings suggest that this system plays a more complex and specific role in the control of behavior than investigators previously thought. We review neurophysiological and modeling studies in monkey that support a new theory of LC-NE function. LC neurons exhibit two modes of activity, phasic and tonic. Phasic LC activation is driven by the outcome of task-related decision processes and is proposed to facilitate ensuing behaviors and to help optimize task performance (exploitation). When utility in the task wanes, LC neurons exhibit a tonic activity mode, associated with disengagement from the current task and a search for alternative behaviors (exploration). Monkey LC receives prominent, direct inputs from the anterior cingulate (ACC) and orbitofrontal cortices (OFC), both of which are thought to monitor task-related utility. We propose that these frontal areas produce the above patterns of LC activity to optimize utility on both short and long timescales.","container-title":"Annual review of neuroscience","DOI":"10.1146/annurev.neuro.28.061604.135709","issue":"1","journalAbbreviation":"Annu. Rev. Neurosci.","language":"English","page":"403-450","title":"An integrative theory of locus coeruleus-norepinephrine function: adaptive gain and optimal performance.","volume":"28","author":[{"family":"Aston-Jones","given":"Gary"},{"family":"Cohen","given":"Jonathan D."}],"issued":{"date-parts":[["2005"]]}}}],"schema":"https://github.com/citation-style-language/schema/raw/master/csl-citation.json"} </w:instrText>
      </w:r>
      <w:r w:rsidR="005F2A32"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25,88</w:t>
      </w:r>
      <w:r w:rsidR="005F2A32" w:rsidRPr="000E79AA">
        <w:rPr>
          <w:rFonts w:ascii="Times New Roman" w:hAnsi="Times New Roman" w:cs="Times New Roman"/>
          <w:bCs/>
          <w:lang w:val="en-AU"/>
        </w:rPr>
        <w:fldChar w:fldCharType="end"/>
      </w:r>
      <w:r w:rsidR="005F2A32" w:rsidRPr="000E79AA">
        <w:rPr>
          <w:rFonts w:ascii="Times New Roman" w:hAnsi="Times New Roman" w:cs="Times New Roman"/>
          <w:bCs/>
          <w:lang w:val="en-AU"/>
        </w:rPr>
        <w:t xml:space="preserve"> </w:t>
      </w:r>
      <w:r w:rsidR="00442E25" w:rsidRPr="000E79AA">
        <w:rPr>
          <w:rFonts w:ascii="Times New Roman" w:hAnsi="Times New Roman" w:cs="Times New Roman"/>
          <w:bCs/>
          <w:lang w:val="en-AU"/>
        </w:rPr>
        <w:t xml:space="preserve"> </w:t>
      </w:r>
      <w:r w:rsidR="003077C1" w:rsidRPr="000E79AA">
        <w:rPr>
          <w:rFonts w:ascii="Times New Roman" w:hAnsi="Times New Roman" w:cs="Times New Roman"/>
          <w:bCs/>
          <w:lang w:val="en-AU"/>
        </w:rPr>
        <w:t xml:space="preserve"> </w:t>
      </w:r>
    </w:p>
    <w:p w14:paraId="20869B85" w14:textId="77777777" w:rsidR="004D4236" w:rsidRPr="000E79AA" w:rsidRDefault="004D4236" w:rsidP="00BD6B53">
      <w:pPr>
        <w:spacing w:line="360" w:lineRule="auto"/>
        <w:jc w:val="both"/>
        <w:rPr>
          <w:rFonts w:ascii="Times New Roman" w:hAnsi="Times New Roman" w:cs="Times New Roman"/>
          <w:bCs/>
          <w:lang w:val="en-AU"/>
        </w:rPr>
      </w:pPr>
    </w:p>
    <w:p w14:paraId="670908C4" w14:textId="3562927B" w:rsidR="00D918B7" w:rsidRPr="000E79AA" w:rsidRDefault="00623515" w:rsidP="00BD6B53">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B</w:t>
      </w:r>
      <w:r w:rsidR="005C3A7C" w:rsidRPr="000E79AA">
        <w:rPr>
          <w:rFonts w:ascii="Times New Roman" w:hAnsi="Times New Roman" w:cs="Times New Roman"/>
          <w:bCs/>
          <w:lang w:val="en-AU"/>
        </w:rPr>
        <w:t xml:space="preserve">aseline dependency </w:t>
      </w:r>
      <w:r w:rsidR="00D14FDC" w:rsidRPr="000E79AA">
        <w:rPr>
          <w:rFonts w:ascii="Times New Roman" w:hAnsi="Times New Roman" w:cs="Times New Roman"/>
          <w:bCs/>
          <w:lang w:val="en-AU"/>
        </w:rPr>
        <w:t>i</w:t>
      </w:r>
      <w:r w:rsidR="007C03D4" w:rsidRPr="000E79AA">
        <w:rPr>
          <w:rFonts w:ascii="Times New Roman" w:hAnsi="Times New Roman" w:cs="Times New Roman"/>
          <w:bCs/>
          <w:lang w:val="en-AU"/>
        </w:rPr>
        <w:t>n dose-response curves</w:t>
      </w:r>
      <w:r w:rsidRPr="000E79AA">
        <w:rPr>
          <w:rFonts w:ascii="Times New Roman" w:hAnsi="Times New Roman" w:cs="Times New Roman"/>
          <w:bCs/>
          <w:lang w:val="en-AU"/>
        </w:rPr>
        <w:t xml:space="preserve"> </w:t>
      </w:r>
      <w:r w:rsidR="00C26E11" w:rsidRPr="000E79AA">
        <w:rPr>
          <w:rFonts w:ascii="Times New Roman" w:hAnsi="Times New Roman" w:cs="Times New Roman"/>
          <w:bCs/>
          <w:lang w:val="en-AU"/>
        </w:rPr>
        <w:t>is</w:t>
      </w:r>
      <w:r w:rsidRPr="000E79AA">
        <w:rPr>
          <w:rFonts w:ascii="Times New Roman" w:hAnsi="Times New Roman" w:cs="Times New Roman"/>
          <w:bCs/>
          <w:lang w:val="en-AU"/>
        </w:rPr>
        <w:t xml:space="preserve"> well documented in relation to dopaminergic therapy</w:t>
      </w:r>
      <w:r w:rsidR="00193D4C" w:rsidRPr="000E79AA">
        <w:rPr>
          <w:rFonts w:ascii="Times New Roman" w:hAnsi="Times New Roman" w:cs="Times New Roman"/>
          <w:bCs/>
          <w:lang w:val="en-AU"/>
        </w:rPr>
        <w:t>,</w:t>
      </w:r>
      <w:r w:rsidR="00C87130"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{"citationID":"a2orh2hioji","properties":{"formattedCitation":"\\super 89,90\\nosupersub{}","plainCitation":"89,90","noteIndex":0},"citationItems":[{"id":13745,"uris":["http://zotero.org/users/local/xUwQuTPV/items/BFJVMD6W"],"uri":["http://zotero.org/users/local/xUwQuTPV/items/BFJVMD6W"],"itemData":{"id":13745,"type":"article-journal","container-title":"Brain","DOI":"10.1093/brain/awn112","ISSN":"1460-2156, 0006-8950","issue":"8","language":"en","page":"2094-2105","source":"DOI.org (Crossref)","title":"Parkinson's disease and dopaminergic therapy—differential effects on movement, reward and cognition","volume":"131","author":[{"family":"Rowe","given":"J. B."},{"family":"Hughes","given":"L."},{"family":"Ghosh","given":"B. C. P."},{"family":"Eckstein","given":"D."},{"family":"Williams-Gray","given":"C. H."},{"family":"Fallon","given":"S."},{"family":"Barker","given":"R. A."},{"family":"Owen","given":"A. M."}],"issued":{"date-parts":[["2008",8]]}}},{"id":12240,"uris":["http://zotero.org/users/local/xUwQuTPV/items/QISXURC9"],"uri":["http://zotero.org/users/local/xUwQuTPV/items/QISXURC9"],"itemData":{"id":12240,"type":"article-journal","abstract":"Brain dopamine (DA) has long been implicated in cognitive control processes, including working memory. However, the precise role of DA in cognition is not well-understood, partly because there is large variability in the response to dopaminergic drugs both across different behaviors and across different individuals. We review evidence from a series of studies with experimental animals, healthy humans, and patients with Parkinson's disease, which highlight two important factors that contribute to this large variability. First, the existence of an optimum DA level for cognitive function implicates the need to take into account baseline levels of DA when isolating the effects of DA. Second, cognitive control is a multifactorial phenomenon, requiring a dynamic balance between cognitive stability and cognitive flexibility. These distinct components might implicate the prefrontal cortex and the striatum, respectively. Manipulating DA will thus have paradoxical consequences for distinct cognitive control processes, depending on distinct basal or optimal levels of DA in different brain regions.","collection-title":"Prefrontal Cortical Circuits Regulating Attention, Behavior and Emotion","container-title":"Biological Psychiatry","DOI":"10.1016/j.biopsych.2011.03.028","ISSN":"0006-3223","issue":"12","journalAbbreviation":"Biological Psychiatry","language":"en","page":"e113-e125","source":"ScienceDirect","title":"Inverted-U–Shaped Dopamine Actions on Human Working Memory and Cognitive Control","volume":"69","author":[{"family":"Cools","given":"Roshan"},{"family":"D'Esposito","given":"Mark"}],"issued":{"date-parts":[["2011",6,15]]}}}],"schema":"https://github.com/citation-style-language/schema/raw/master/csl-citation.json"} </w:instrText>
      </w:r>
      <w:r w:rsidR="00C87130"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89,90</w:t>
      </w:r>
      <w:r w:rsidR="00C87130" w:rsidRPr="000E79AA">
        <w:rPr>
          <w:rFonts w:ascii="Times New Roman" w:hAnsi="Times New Roman" w:cs="Times New Roman"/>
          <w:bCs/>
          <w:lang w:val="en-AU"/>
        </w:rPr>
        <w:fldChar w:fldCharType="end"/>
      </w:r>
      <w:r w:rsidR="00C87130" w:rsidRPr="000E79AA">
        <w:rPr>
          <w:rFonts w:ascii="Times New Roman" w:hAnsi="Times New Roman" w:cs="Times New Roman"/>
          <w:bCs/>
          <w:lang w:val="en-AU"/>
        </w:rPr>
        <w:t xml:space="preserve"> </w:t>
      </w:r>
      <w:r w:rsidR="000F1BA3" w:rsidRPr="000E79AA">
        <w:rPr>
          <w:rFonts w:ascii="Times New Roman" w:hAnsi="Times New Roman" w:cs="Times New Roman"/>
          <w:bCs/>
          <w:lang w:val="en-AU"/>
        </w:rPr>
        <w:t xml:space="preserve">such that </w:t>
      </w:r>
      <w:r w:rsidR="00CC3187" w:rsidRPr="000E79AA">
        <w:rPr>
          <w:rFonts w:ascii="Times New Roman" w:hAnsi="Times New Roman" w:cs="Times New Roman"/>
          <w:bCs/>
          <w:lang w:val="en-AU"/>
        </w:rPr>
        <w:t>the optimal level of dopamine enhancement needed to improve behaviour depend</w:t>
      </w:r>
      <w:r w:rsidR="000F1BA3" w:rsidRPr="000E79AA">
        <w:rPr>
          <w:rFonts w:ascii="Times New Roman" w:hAnsi="Times New Roman" w:cs="Times New Roman"/>
          <w:bCs/>
          <w:lang w:val="en-AU"/>
        </w:rPr>
        <w:t>s</w:t>
      </w:r>
      <w:r w:rsidR="00CC3187" w:rsidRPr="000E79AA">
        <w:rPr>
          <w:rFonts w:ascii="Times New Roman" w:hAnsi="Times New Roman" w:cs="Times New Roman"/>
          <w:bCs/>
          <w:lang w:val="en-AU"/>
        </w:rPr>
        <w:t xml:space="preserve"> on </w:t>
      </w:r>
      <w:r w:rsidR="000F1BA3" w:rsidRPr="000E79AA">
        <w:rPr>
          <w:rFonts w:ascii="Times New Roman" w:hAnsi="Times New Roman" w:cs="Times New Roman"/>
          <w:bCs/>
          <w:lang w:val="en-AU"/>
        </w:rPr>
        <w:t>pre-</w:t>
      </w:r>
      <w:r w:rsidR="00CC3187" w:rsidRPr="000E79AA">
        <w:rPr>
          <w:rFonts w:ascii="Times New Roman" w:hAnsi="Times New Roman" w:cs="Times New Roman"/>
          <w:bCs/>
          <w:lang w:val="en-AU"/>
        </w:rPr>
        <w:t>existing dopamine levels.</w:t>
      </w:r>
      <w:r w:rsidR="000E70FE" w:rsidRPr="000E79AA">
        <w:rPr>
          <w:rFonts w:ascii="Times New Roman" w:hAnsi="Times New Roman" w:cs="Times New Roman"/>
          <w:bCs/>
          <w:lang w:val="en-AU"/>
        </w:rPr>
        <w:t xml:space="preserve"> This </w:t>
      </w:r>
      <w:r w:rsidR="0066325B" w:rsidRPr="000E79AA">
        <w:rPr>
          <w:rFonts w:ascii="Times New Roman" w:hAnsi="Times New Roman" w:cs="Times New Roman"/>
          <w:bCs/>
          <w:lang w:val="en-AU"/>
        </w:rPr>
        <w:t xml:space="preserve">has </w:t>
      </w:r>
      <w:r w:rsidR="008E0484" w:rsidRPr="000E79AA">
        <w:rPr>
          <w:rFonts w:ascii="Times New Roman" w:hAnsi="Times New Roman" w:cs="Times New Roman"/>
          <w:bCs/>
          <w:lang w:val="en-AU"/>
        </w:rPr>
        <w:t xml:space="preserve">had </w:t>
      </w:r>
      <w:r w:rsidR="0066325B" w:rsidRPr="000E79AA">
        <w:rPr>
          <w:rFonts w:ascii="Times New Roman" w:hAnsi="Times New Roman" w:cs="Times New Roman"/>
          <w:bCs/>
          <w:lang w:val="en-AU"/>
        </w:rPr>
        <w:t>critical implications for Parkinson’s</w:t>
      </w:r>
      <w:r w:rsidR="00C26E11" w:rsidRPr="000E79AA">
        <w:rPr>
          <w:rFonts w:ascii="Times New Roman" w:hAnsi="Times New Roman" w:cs="Times New Roman"/>
          <w:bCs/>
          <w:lang w:val="en-AU"/>
        </w:rPr>
        <w:t xml:space="preserve"> disease</w:t>
      </w:r>
      <w:r w:rsidR="0066325B" w:rsidRPr="000E79AA">
        <w:rPr>
          <w:rFonts w:ascii="Times New Roman" w:hAnsi="Times New Roman" w:cs="Times New Roman"/>
          <w:bCs/>
          <w:lang w:val="en-AU"/>
        </w:rPr>
        <w:t xml:space="preserve"> therapy.</w:t>
      </w:r>
      <w:r w:rsidR="003C5328" w:rsidRPr="000E79AA">
        <w:rPr>
          <w:rFonts w:ascii="Times New Roman" w:hAnsi="Times New Roman" w:cs="Times New Roman"/>
          <w:bCs/>
          <w:lang w:val="en-AU"/>
        </w:rPr>
        <w:t xml:space="preserve"> </w:t>
      </w:r>
      <w:r w:rsidR="00BF4B43" w:rsidRPr="000E79AA">
        <w:rPr>
          <w:rFonts w:ascii="Times New Roman" w:hAnsi="Times New Roman" w:cs="Times New Roman"/>
          <w:bCs/>
          <w:lang w:val="en-AU"/>
        </w:rPr>
        <w:t>Dopamine d</w:t>
      </w:r>
      <w:r w:rsidR="00847ED9" w:rsidRPr="000E79AA">
        <w:rPr>
          <w:rFonts w:ascii="Times New Roman" w:hAnsi="Times New Roman" w:cs="Times New Roman"/>
          <w:bCs/>
          <w:lang w:val="en-AU"/>
        </w:rPr>
        <w:t>osages titrated to restore levels in the severely depleted</w:t>
      </w:r>
      <w:r w:rsidR="00BF4B43" w:rsidRPr="000E79AA">
        <w:rPr>
          <w:rFonts w:ascii="Times New Roman" w:hAnsi="Times New Roman" w:cs="Times New Roman"/>
          <w:bCs/>
          <w:lang w:val="en-AU"/>
        </w:rPr>
        <w:t xml:space="preserve"> dorsal str</w:t>
      </w:r>
      <w:r w:rsidR="008E0484" w:rsidRPr="000E79AA">
        <w:rPr>
          <w:rFonts w:ascii="Times New Roman" w:hAnsi="Times New Roman" w:cs="Times New Roman"/>
          <w:bCs/>
          <w:lang w:val="en-AU"/>
        </w:rPr>
        <w:t>iatum</w:t>
      </w:r>
      <w:r w:rsidR="00BF4B43" w:rsidRPr="000E79AA">
        <w:rPr>
          <w:rFonts w:ascii="Times New Roman" w:hAnsi="Times New Roman" w:cs="Times New Roman"/>
          <w:bCs/>
          <w:lang w:val="en-AU"/>
        </w:rPr>
        <w:t xml:space="preserve"> and motor system circuitry</w:t>
      </w:r>
      <w:r w:rsidR="003C5328" w:rsidRPr="000E79AA">
        <w:rPr>
          <w:rFonts w:ascii="Times New Roman" w:hAnsi="Times New Roman" w:cs="Times New Roman"/>
          <w:bCs/>
          <w:lang w:val="en-AU"/>
        </w:rPr>
        <w:t xml:space="preserve"> </w:t>
      </w:r>
      <w:r w:rsidR="001F6658" w:rsidRPr="000E79AA">
        <w:rPr>
          <w:rFonts w:ascii="Times New Roman" w:hAnsi="Times New Roman" w:cs="Times New Roman"/>
          <w:bCs/>
          <w:lang w:val="en-AU"/>
        </w:rPr>
        <w:t>effectively</w:t>
      </w:r>
      <w:r w:rsidR="003C5328" w:rsidRPr="000E79AA">
        <w:rPr>
          <w:rFonts w:ascii="Times New Roman" w:hAnsi="Times New Roman" w:cs="Times New Roman"/>
          <w:bCs/>
          <w:lang w:val="en-AU"/>
        </w:rPr>
        <w:t xml:space="preserve"> overdose the less affected ventral tegmental area</w:t>
      </w:r>
      <w:r w:rsidR="000F1BA3" w:rsidRPr="000E79AA">
        <w:rPr>
          <w:rFonts w:ascii="Times New Roman" w:hAnsi="Times New Roman" w:cs="Times New Roman"/>
          <w:bCs/>
          <w:lang w:val="en-AU"/>
        </w:rPr>
        <w:t xml:space="preserve">, </w:t>
      </w:r>
      <w:r w:rsidR="003C5328" w:rsidRPr="000E79AA">
        <w:rPr>
          <w:rFonts w:ascii="Times New Roman" w:hAnsi="Times New Roman" w:cs="Times New Roman"/>
          <w:bCs/>
          <w:lang w:val="en-AU"/>
        </w:rPr>
        <w:t>ventral striatum and associated limbic pathways</w:t>
      </w:r>
      <w:r w:rsidR="00733DC5" w:rsidRPr="000E79AA">
        <w:rPr>
          <w:rFonts w:ascii="Times New Roman" w:hAnsi="Times New Roman" w:cs="Times New Roman"/>
          <w:bCs/>
          <w:lang w:val="en-AU"/>
        </w:rPr>
        <w:t>,</w:t>
      </w:r>
      <w:r w:rsidR="009161CE"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{"citationID":"a2lk9ahljo8","properties":{"formattedCitation":"\\super 91\\nosupersub{}","plainCitation":"91","noteIndex":0},"citationItems":[{"id":9041,"uris":["http://zotero.org/users/local/xUwQuTPV/items/6PLVTQMN"],"uri":["http://zotero.org/users/local/xUwQuTPV/items/6PLVTQMN"],"itemData":{"id":9041,"type":"article-journal","abstract":"Abstract We investigated how dopamine (DA) systems contribute to cognitive performance in the domain of learning and attentional flexibility by examining effects of withdrawing DA- ergic medication in patients with Parkinson&amp;apos;s disease (PD). Medication remediated ...","DOI":"10.1093/cercor/11.12.1136","issue":"12","language":"English","page":"1136-1143","title":"Enhanced or Impaired Cognitive Function in Parkinson's Disease as a Function of Dopaminergic Medication and Task Demands","volume":"11","author":[{"family":"Cools","given":"Roshan"},{"family":"Barker","given":"Roger A."},{"family":"Sahakian","given":"Barbara J."},{"family":"Robbins","given":"Trevor W."}],"issued":{"date-parts":[["2001",12,1]]}}}],"schema":"https://github.com/citation-style-language/schema/raw/master/csl-citation.json"} </w:instrText>
      </w:r>
      <w:r w:rsidR="009161CE"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91</w:t>
      </w:r>
      <w:r w:rsidR="009161CE" w:rsidRPr="000E79AA">
        <w:rPr>
          <w:rFonts w:ascii="Times New Roman" w:hAnsi="Times New Roman" w:cs="Times New Roman"/>
          <w:bCs/>
          <w:lang w:val="en-AU"/>
        </w:rPr>
        <w:fldChar w:fldCharType="end"/>
      </w:r>
      <w:r w:rsidR="003C5328" w:rsidRPr="000E79AA">
        <w:rPr>
          <w:rFonts w:ascii="Times New Roman" w:hAnsi="Times New Roman" w:cs="Times New Roman"/>
          <w:bCs/>
          <w:lang w:val="en-AU"/>
        </w:rPr>
        <w:t xml:space="preserve"> </w:t>
      </w:r>
      <w:r w:rsidR="001F6658" w:rsidRPr="000E79AA">
        <w:rPr>
          <w:rFonts w:ascii="Times New Roman" w:hAnsi="Times New Roman" w:cs="Times New Roman"/>
          <w:bCs/>
          <w:lang w:val="en-AU"/>
        </w:rPr>
        <w:t>impairing</w:t>
      </w:r>
      <w:r w:rsidR="006650A9" w:rsidRPr="000E79AA">
        <w:rPr>
          <w:rFonts w:ascii="Times New Roman" w:hAnsi="Times New Roman" w:cs="Times New Roman"/>
          <w:bCs/>
          <w:lang w:val="en-AU"/>
        </w:rPr>
        <w:t xml:space="preserve"> </w:t>
      </w:r>
      <w:r w:rsidR="00C601B9" w:rsidRPr="000E79AA">
        <w:rPr>
          <w:rFonts w:ascii="Times New Roman" w:hAnsi="Times New Roman" w:cs="Times New Roman"/>
          <w:bCs/>
          <w:lang w:val="en-AU"/>
        </w:rPr>
        <w:t>aspects of learning and cognitive flexibilit</w:t>
      </w:r>
      <w:r w:rsidR="00784892" w:rsidRPr="000E79AA">
        <w:rPr>
          <w:rFonts w:ascii="Times New Roman" w:hAnsi="Times New Roman" w:cs="Times New Roman"/>
          <w:bCs/>
          <w:lang w:val="en-AU"/>
        </w:rPr>
        <w:t>y</w:t>
      </w:r>
      <w:r w:rsidR="00732F60" w:rsidRPr="000E79AA">
        <w:rPr>
          <w:rFonts w:ascii="Times New Roman" w:hAnsi="Times New Roman" w:cs="Times New Roman"/>
          <w:bCs/>
          <w:lang w:val="en-AU"/>
        </w:rPr>
        <w:t>.</w:t>
      </w:r>
      <w:r w:rsidR="005A4F75"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{"citationID":"a117dq7baek","properties":{"formattedCitation":"\\super 92\\uc0\\u8211{}94\\nosupersub{}","plainCitation":"92–94","noteIndex":0},"citationItems":[{"id":12253,"uris":["http://zotero.org/users/local/xUwQuTPV/items/CRUN8TI9"],"uri":["http://zotero.org/users/local/xUwQuTPV/items/CRUN8TI9"],"itemData":{"id":12253,"type":"article-journal","container-title":"Neuropsychopharmacology","DOI":"10.1038/sj.npp.1301153","ISSN":"0893-133X, 1740-634X","issue":"1","journalAbbreviation":"Neuropsychopharmacol","language":"en","page":"180-189","source":"DOI.org (Crossref)","title":"L-DOPA Disrupts Activity in the Nucleus Accumbens during Reversal Learning in Parkinson's Disease","volume":"32","author":[{"family":"Cools","given":"Roshan"},{"family":"Lewis","given":"Simon J G"},{"family":"Clark","given":"Luke"},{"family":"Barker","given":"Roger A"},{"family":"Robbins","given":"Trevor W"}],"issued":{"date-parts":[["2007",1]]}}},{"id":12251,"uris":["http://zotero.org/users/local/xUwQuTPV/items/CZBRBL77"],"uri":["http://zotero.org/users/local/xUwQuTPV/items/CZBRBL77"],"itemData":{"id":12251,"type":"article-journal","abstract":"Dopaminergic medication in Parkinson's disease has been proposed to improve cognitive processing by modulating the severely depleted dorsal striatum, while impairing reward processing by modulating the relatively intact ventral striatum. However, there is no direct (neural) evidence for this hypothesis. Here we ﬁll this gap by scanning Parkinson's disease patients (n ¼ 15) ON and relatively OFF their dopaminergic medication using functional magnetic resonance imaging. During scanning, patients performed a task that enabled the simultaneous measurement of task-switching and reward-related processing. Brain–behavior correlations revealed that medication-related increases (ON–OFF) in switchrelated BOLD signal (switch-repeat) in the dorsomedial striatum were associated, on an individual basis, with improvements in task-switching (i.e. a decreased switch cost). Conversely, medication-related increases (ON–OFF) in reward-related BOLD signal (high–low) in the ventromedial striatum were associated, on an individual basis, with impairments in performance in anticipation of reward (i.e. an increased reward cost). Linear regression analyses demonstrated that the positive relationship between medication-related changes in BOLD and the reward cost was unique to the ventromedial striatum, whereas the negative relationship between medication-related changes in BOLD and the switch cost was not unique to the dorsomedial striatum. These ﬁndings extend the dopamine overdose hypothesis, according to which dopamine-induced changes in dorsal and ventral striatal processing lead to cognitive improvement and impairment respectively.","container-title":"Neuropsychologia","DOI":"10.1016/j.neuropsychologia.2014.05.023","ISSN":"00283932","journalAbbreviation":"Neuropsychologia","language":"en","page":"390-397","source":"DOI.org (Crossref)","title":"Greater striatal responses to medication in Parkinson׳s disease are associated with better task-switching but worse reward performance","volume":"62","author":[{"family":"Aarts","given":"Esther"},{"family":"Nusselein","given":"Abraham A.M."},{"family":"Smittenaar","given":"Peter"},{"family":"Helmich","given":"Rick C."},{"family":"Bloem","given":"Bastiaan R."},{"family":"Cools","given":"Roshan"}],"issued":{"date-parts":[["2014",9]]}}},{"id":12249,"uris":["http://zotero.org/users/local/xUwQuTPV/items/IUFYUL2I"],"uri":["http://zotero.org/users/local/xUwQuTPV/items/IUFYUL2I"],"itemData":{"id":12249,"type":"article-journal","container-title":"Brain","DOI":"10.1093/brain/awr075","ISSN":"1460-2156, 0006-8950","issue":"5","language":"en","page":"1447-1463","source":"DOI.org (Crossref)","title":"The effect of dopamine therapy on ventral and dorsal striatum-mediated cognition in Parkinson’s disease: support from functional MRI","title-short":"The effect of dopamine therapy on ventral and dorsal striatum-mediated cognition in Parkinson’s disease","volume":"134","author":[{"family":"MacDonald","given":"Penny A."},{"family":"MacDonald","given":"Alex A."},{"family":"Seergobin","given":"Ken N."},{"family":"Tamjeedi","given":"Ruzbeh"},{"family":"Ganjavi","given":"Hooman"},{"family":"Provost","given":"Jean-Sebastien"},{"family":"Monchi","given":"Oury"}],"issued":{"date-parts":[["2011",5]]}}}],"schema":"https://github.com/citation-style-language/schema/raw/master/csl-citation.json"} </w:instrText>
      </w:r>
      <w:r w:rsidR="005A4F75"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92–94</w:t>
      </w:r>
      <w:r w:rsidR="005A4F75" w:rsidRPr="000E79AA">
        <w:rPr>
          <w:rFonts w:ascii="Times New Roman" w:hAnsi="Times New Roman" w:cs="Times New Roman"/>
          <w:bCs/>
          <w:lang w:val="en-AU"/>
        </w:rPr>
        <w:fldChar w:fldCharType="end"/>
      </w:r>
      <w:r w:rsidR="00097340" w:rsidRPr="000E79AA">
        <w:rPr>
          <w:rFonts w:ascii="Times New Roman" w:hAnsi="Times New Roman" w:cs="Times New Roman"/>
          <w:bCs/>
          <w:lang w:val="en-AU"/>
        </w:rPr>
        <w:t xml:space="preserve"> </w:t>
      </w:r>
      <w:r w:rsidR="009077D5" w:rsidRPr="000E79AA">
        <w:rPr>
          <w:rFonts w:ascii="Times New Roman" w:hAnsi="Times New Roman" w:cs="Times New Roman"/>
          <w:bCs/>
          <w:lang w:val="en-AU"/>
        </w:rPr>
        <w:t>Our result suggest</w:t>
      </w:r>
      <w:r w:rsidR="008E68CE" w:rsidRPr="000E79AA">
        <w:rPr>
          <w:rFonts w:ascii="Times New Roman" w:hAnsi="Times New Roman" w:cs="Times New Roman"/>
          <w:bCs/>
          <w:lang w:val="en-AU"/>
        </w:rPr>
        <w:t>s</w:t>
      </w:r>
      <w:r w:rsidR="009077D5" w:rsidRPr="000E79AA">
        <w:rPr>
          <w:rFonts w:ascii="Times New Roman" w:hAnsi="Times New Roman" w:cs="Times New Roman"/>
          <w:bCs/>
          <w:lang w:val="en-AU"/>
        </w:rPr>
        <w:t xml:space="preserve"> a similar baseline dependency for noradrenergic therapy</w:t>
      </w:r>
      <w:r w:rsidR="00325F04" w:rsidRPr="000E79AA">
        <w:rPr>
          <w:rFonts w:ascii="Times New Roman" w:hAnsi="Times New Roman" w:cs="Times New Roman"/>
          <w:bCs/>
          <w:lang w:val="en-AU"/>
        </w:rPr>
        <w:t xml:space="preserve">, where optimal dosages needed for atomoxetine therapy may depend on the extent of degeneration in the </w:t>
      </w:r>
      <w:r w:rsidR="00600CD8" w:rsidRPr="000E79AA">
        <w:rPr>
          <w:rFonts w:ascii="Times New Roman" w:hAnsi="Times New Roman" w:cs="Times New Roman"/>
          <w:bCs/>
          <w:lang w:val="en-AU"/>
        </w:rPr>
        <w:t xml:space="preserve">locus coeruleus. </w:t>
      </w:r>
      <w:r w:rsidR="0083506E" w:rsidRPr="000E79AA">
        <w:rPr>
          <w:rFonts w:ascii="Times New Roman" w:hAnsi="Times New Roman" w:cs="Times New Roman"/>
          <w:bCs/>
          <w:lang w:val="en-AU"/>
        </w:rPr>
        <w:t xml:space="preserve">This has </w:t>
      </w:r>
      <w:r w:rsidR="002200FC" w:rsidRPr="000E79AA">
        <w:rPr>
          <w:rFonts w:ascii="Times New Roman" w:hAnsi="Times New Roman" w:cs="Times New Roman"/>
          <w:bCs/>
          <w:lang w:val="en-AU"/>
        </w:rPr>
        <w:t xml:space="preserve">important </w:t>
      </w:r>
      <w:r w:rsidR="005662E0" w:rsidRPr="000E79AA">
        <w:rPr>
          <w:rFonts w:ascii="Times New Roman" w:hAnsi="Times New Roman" w:cs="Times New Roman"/>
          <w:bCs/>
          <w:lang w:val="en-AU"/>
        </w:rPr>
        <w:t xml:space="preserve">implications </w:t>
      </w:r>
      <w:r w:rsidR="007041EA" w:rsidRPr="000E79AA">
        <w:rPr>
          <w:rFonts w:ascii="Times New Roman" w:hAnsi="Times New Roman" w:cs="Times New Roman"/>
          <w:bCs/>
          <w:lang w:val="en-AU"/>
        </w:rPr>
        <w:t xml:space="preserve">for optimising noradrenergic therapy in Parkinson’s disease, as </w:t>
      </w:r>
      <w:r w:rsidR="005574B3" w:rsidRPr="000E79AA">
        <w:rPr>
          <w:rFonts w:ascii="Times New Roman" w:hAnsi="Times New Roman" w:cs="Times New Roman"/>
          <w:bCs/>
          <w:lang w:val="en-AU"/>
        </w:rPr>
        <w:t xml:space="preserve">patients could be stratified based on locus coeruleus integrity to </w:t>
      </w:r>
      <w:r w:rsidR="004A0019" w:rsidRPr="000E79AA">
        <w:rPr>
          <w:rFonts w:ascii="Times New Roman" w:hAnsi="Times New Roman" w:cs="Times New Roman"/>
          <w:bCs/>
          <w:lang w:val="en-AU"/>
        </w:rPr>
        <w:t>inform</w:t>
      </w:r>
      <w:r w:rsidR="005574B3" w:rsidRPr="000E79AA">
        <w:rPr>
          <w:rFonts w:ascii="Times New Roman" w:hAnsi="Times New Roman" w:cs="Times New Roman"/>
          <w:bCs/>
          <w:lang w:val="en-AU"/>
        </w:rPr>
        <w:t xml:space="preserve"> </w:t>
      </w:r>
      <w:r w:rsidR="00CE477E" w:rsidRPr="000E79AA">
        <w:rPr>
          <w:rFonts w:ascii="Times New Roman" w:hAnsi="Times New Roman" w:cs="Times New Roman"/>
          <w:bCs/>
          <w:lang w:val="en-AU"/>
        </w:rPr>
        <w:t xml:space="preserve">appropriate dosages in clinical trials or </w:t>
      </w:r>
      <w:r w:rsidR="004A0019" w:rsidRPr="000E79AA">
        <w:rPr>
          <w:rFonts w:ascii="Times New Roman" w:hAnsi="Times New Roman" w:cs="Times New Roman"/>
          <w:bCs/>
          <w:lang w:val="en-AU"/>
        </w:rPr>
        <w:t>personalised treatme</w:t>
      </w:r>
      <w:r w:rsidR="00214315" w:rsidRPr="000E79AA">
        <w:rPr>
          <w:rFonts w:ascii="Times New Roman" w:hAnsi="Times New Roman" w:cs="Times New Roman"/>
          <w:bCs/>
          <w:lang w:val="en-AU"/>
        </w:rPr>
        <w:t>nt</w:t>
      </w:r>
      <w:r w:rsidR="00533853" w:rsidRPr="000E79AA">
        <w:rPr>
          <w:rFonts w:ascii="Times New Roman" w:hAnsi="Times New Roman" w:cs="Times New Roman"/>
          <w:bCs/>
          <w:lang w:val="en-AU"/>
        </w:rPr>
        <w:t>.</w:t>
      </w:r>
      <w:r w:rsidR="00406F37"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{"citationID":"a1hth73gdj4","properties":{"formattedCitation":"\\super 41\\nosupersub{}","plainCitation":"41","noteIndex":0},"citationItems":[{"id":13944,"uris":["http://zotero.org/users/local/xUwQuTPV/items/ADZPJ2AC"],"uri":["http://zotero.org/users/local/xUwQuTPV/items/ADZPJ2AC"],"itemData":{"id":13944,"type":"article-journal","container-title":"Human Brain Mapping","DOI":"10.1002/hbm.23087","ISSN":"10659471","issue":"3","journalAbbreviation":"Hum. Brain Mapp.","language":"en","page":"1026-1037","source":"DOI.org (Crossref)","title":"Predicting beneficial effects of atomoxetine and citalopram on response inhibition in Parkinson's disease with clinical and neuroimaging measures: Predicting Treatment Response in PD","title-short":"Predicting beneficial effects of atomoxetine and citalopram on response inhibition in Parkinson's disease with clinical and neuroimaging measures","volume":"37","author":[{"family":"Ye","given":"Zheng"},{"family":"Rae","given":"Charlotte L."},{"family":"Nombela","given":"Cristina"},{"family":"Ham","given":"Timothy"},{"family":"Rittman","given":"Timothy"},{"family":"Jones","given":"Peter Simon"},{"family":"Rodríguez","given":"Patricia Vázquez"},{"family":"Coyle-Gilchrist","given":"Ian"},{"family":"Regenthal","given":"Ralf"},{"family":"Altena","given":"Ellemarije"},{"family":"Housden","given":"Charlotte R."},{"family":"Maxwell","given":"Helen"},{"family":"Sahakian","given":"Barbara J."},{"family":"Barker","given":"Roger A."},{"family":"Robbins","given":"Trevor W."},{"family":"Rowe","given":"James B."}],"issued":{"date-parts":[["2016",3]]}}}],"schema":"https://github.com/citation-style-language/schema/raw/master/csl-citation.json"} </w:instrText>
      </w:r>
      <w:r w:rsidR="00406F37"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41</w:t>
      </w:r>
      <w:r w:rsidR="00406F37" w:rsidRPr="000E79AA">
        <w:rPr>
          <w:rFonts w:ascii="Times New Roman" w:hAnsi="Times New Roman" w:cs="Times New Roman"/>
          <w:bCs/>
          <w:lang w:val="en-AU"/>
        </w:rPr>
        <w:fldChar w:fldCharType="end"/>
      </w:r>
      <w:r w:rsidR="00CE477E" w:rsidRPr="000E79AA">
        <w:rPr>
          <w:rFonts w:ascii="Times New Roman" w:hAnsi="Times New Roman" w:cs="Times New Roman"/>
          <w:bCs/>
          <w:lang w:val="en-AU"/>
        </w:rPr>
        <w:t xml:space="preserve"> </w:t>
      </w:r>
    </w:p>
    <w:p w14:paraId="60A24408" w14:textId="77777777" w:rsidR="00641DB6" w:rsidRPr="000E79AA" w:rsidRDefault="00641DB6" w:rsidP="00BD6B53">
      <w:pPr>
        <w:spacing w:line="360" w:lineRule="auto"/>
        <w:jc w:val="both"/>
        <w:rPr>
          <w:rFonts w:ascii="Times New Roman" w:hAnsi="Times New Roman" w:cs="Times New Roman"/>
          <w:bCs/>
          <w:lang w:val="en-AU"/>
        </w:rPr>
      </w:pPr>
    </w:p>
    <w:p w14:paraId="4C18D846" w14:textId="118BD1FA" w:rsidR="00CA5B92" w:rsidRPr="000E79AA" w:rsidRDefault="004A0019" w:rsidP="00641DB6">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N</w:t>
      </w:r>
      <w:r w:rsidR="00641DB6" w:rsidRPr="000E79AA">
        <w:rPr>
          <w:rFonts w:ascii="Times New Roman" w:hAnsi="Times New Roman" w:cs="Times New Roman"/>
          <w:bCs/>
          <w:lang w:val="en-AU"/>
        </w:rPr>
        <w:t>euromelanin</w:t>
      </w:r>
      <w:r w:rsidR="00F40BAA" w:rsidRPr="000E79AA">
        <w:rPr>
          <w:rFonts w:ascii="Times New Roman" w:hAnsi="Times New Roman" w:cs="Times New Roman"/>
          <w:bCs/>
          <w:lang w:val="en-AU"/>
        </w:rPr>
        <w:t>-</w:t>
      </w:r>
      <w:r w:rsidR="00AF7384" w:rsidRPr="000E79AA">
        <w:rPr>
          <w:rFonts w:ascii="Times New Roman" w:hAnsi="Times New Roman" w:cs="Times New Roman"/>
          <w:bCs/>
          <w:lang w:val="en-AU"/>
        </w:rPr>
        <w:t>sensitive</w:t>
      </w:r>
      <w:r w:rsidR="00F40BAA" w:rsidRPr="000E79AA">
        <w:rPr>
          <w:rFonts w:ascii="Times New Roman" w:hAnsi="Times New Roman" w:cs="Times New Roman"/>
          <w:bCs/>
          <w:lang w:val="en-AU"/>
        </w:rPr>
        <w:t xml:space="preserve"> magnetisation transfer</w:t>
      </w:r>
      <w:r w:rsidR="00641DB6" w:rsidRPr="000E79AA">
        <w:rPr>
          <w:rFonts w:ascii="Times New Roman" w:hAnsi="Times New Roman" w:cs="Times New Roman"/>
          <w:bCs/>
          <w:lang w:val="en-AU"/>
        </w:rPr>
        <w:t xml:space="preserve"> imaging</w:t>
      </w:r>
      <w:r w:rsidRPr="000E79AA">
        <w:rPr>
          <w:rFonts w:ascii="Times New Roman" w:hAnsi="Times New Roman" w:cs="Times New Roman"/>
          <w:bCs/>
          <w:lang w:val="en-AU"/>
        </w:rPr>
        <w:t xml:space="preserve"> of </w:t>
      </w:r>
      <w:r w:rsidR="005613F1" w:rsidRPr="000E79AA">
        <w:rPr>
          <w:rFonts w:ascii="Times New Roman" w:hAnsi="Times New Roman" w:cs="Times New Roman"/>
          <w:bCs/>
          <w:lang w:val="en-AU"/>
        </w:rPr>
        <w:t xml:space="preserve">the </w:t>
      </w:r>
      <w:r w:rsidRPr="000E79AA">
        <w:rPr>
          <w:rFonts w:ascii="Times New Roman" w:hAnsi="Times New Roman" w:cs="Times New Roman"/>
          <w:bCs/>
          <w:lang w:val="en-AU"/>
        </w:rPr>
        <w:t>locus coeruleus</w:t>
      </w:r>
      <w:r w:rsidR="009B2E2F" w:rsidRPr="000E79AA">
        <w:rPr>
          <w:rFonts w:ascii="Times New Roman" w:hAnsi="Times New Roman" w:cs="Times New Roman"/>
          <w:bCs/>
          <w:lang w:val="en-AU"/>
        </w:rPr>
        <w:t xml:space="preserve"> represents a promising avenue to achieve this stratification. </w:t>
      </w:r>
      <w:r w:rsidR="00641DB6" w:rsidRPr="000E79AA">
        <w:rPr>
          <w:rFonts w:ascii="Times New Roman" w:hAnsi="Times New Roman" w:cs="Times New Roman"/>
          <w:bCs/>
          <w:lang w:val="en-AU"/>
        </w:rPr>
        <w:t xml:space="preserve">Although we have previously shown a relationship between disease severity (as measured by the UPDRS-III) and atomoxetine responsivity, </w:t>
      </w:r>
      <w:r w:rsidR="001976CC" w:rsidRPr="000E79AA">
        <w:rPr>
          <w:rFonts w:ascii="Times New Roman" w:hAnsi="Times New Roman" w:cs="Times New Roman"/>
          <w:bCs/>
          <w:lang w:val="en-AU"/>
        </w:rPr>
        <w:t xml:space="preserve">such </w:t>
      </w:r>
      <w:r w:rsidR="00641DB6" w:rsidRPr="000E79AA">
        <w:rPr>
          <w:rFonts w:ascii="Times New Roman" w:hAnsi="Times New Roman" w:cs="Times New Roman"/>
          <w:bCs/>
          <w:lang w:val="en-AU"/>
        </w:rPr>
        <w:t xml:space="preserve">measures </w:t>
      </w:r>
      <w:r w:rsidR="001976CC" w:rsidRPr="000E79AA">
        <w:rPr>
          <w:rFonts w:ascii="Times New Roman" w:hAnsi="Times New Roman" w:cs="Times New Roman"/>
          <w:bCs/>
          <w:lang w:val="en-AU"/>
        </w:rPr>
        <w:t xml:space="preserve">of </w:t>
      </w:r>
      <w:r w:rsidR="00641DB6" w:rsidRPr="000E79AA">
        <w:rPr>
          <w:rFonts w:ascii="Times New Roman" w:hAnsi="Times New Roman" w:cs="Times New Roman"/>
          <w:bCs/>
          <w:lang w:val="en-AU"/>
        </w:rPr>
        <w:t xml:space="preserve">motor function or disease duration may not be the most accurate measure of noradrenergic capacity. </w:t>
      </w:r>
      <w:r w:rsidR="00465767" w:rsidRPr="000E79AA">
        <w:rPr>
          <w:rFonts w:ascii="Times New Roman" w:hAnsi="Times New Roman" w:cs="Times New Roman"/>
          <w:bCs/>
          <w:lang w:val="en-AU"/>
        </w:rPr>
        <w:t>Whilst</w:t>
      </w:r>
      <w:r w:rsidR="00641DB6" w:rsidRPr="000E79AA">
        <w:rPr>
          <w:rFonts w:ascii="Times New Roman" w:hAnsi="Times New Roman" w:cs="Times New Roman"/>
          <w:bCs/>
          <w:lang w:val="en-AU"/>
        </w:rPr>
        <w:t xml:space="preserve"> progressive degeneration of the locus coeruleus </w:t>
      </w:r>
      <w:r w:rsidR="0053467E" w:rsidRPr="000E79AA">
        <w:rPr>
          <w:rFonts w:ascii="Times New Roman" w:hAnsi="Times New Roman" w:cs="Times New Roman"/>
          <w:bCs/>
          <w:lang w:val="en-AU"/>
        </w:rPr>
        <w:t>is</w:t>
      </w:r>
      <w:r w:rsidR="00641DB6" w:rsidRPr="000E79AA">
        <w:rPr>
          <w:rFonts w:ascii="Times New Roman" w:hAnsi="Times New Roman" w:cs="Times New Roman"/>
          <w:bCs/>
          <w:lang w:val="en-AU"/>
        </w:rPr>
        <w:t xml:space="preserve"> expected over the disease</w:t>
      </w:r>
      <w:r w:rsidR="00465767" w:rsidRPr="000E79AA">
        <w:rPr>
          <w:rFonts w:ascii="Times New Roman" w:hAnsi="Times New Roman" w:cs="Times New Roman"/>
          <w:bCs/>
          <w:lang w:val="en-AU"/>
        </w:rPr>
        <w:t xml:space="preserve"> course</w:t>
      </w:r>
      <w:r w:rsidR="00641DB6" w:rsidRPr="000E79AA">
        <w:rPr>
          <w:rFonts w:ascii="Times New Roman" w:hAnsi="Times New Roman" w:cs="Times New Roman"/>
          <w:bCs/>
          <w:lang w:val="en-AU"/>
        </w:rPr>
        <w:t xml:space="preserve">, this will vary widely across individuals and will reflect the disease phenotype. </w:t>
      </w:r>
      <w:r w:rsidR="00F40BAA" w:rsidRPr="000E79AA">
        <w:rPr>
          <w:rFonts w:ascii="Times New Roman" w:hAnsi="Times New Roman" w:cs="Times New Roman"/>
          <w:bCs/>
          <w:lang w:val="en-AU"/>
        </w:rPr>
        <w:t>N</w:t>
      </w:r>
      <w:r w:rsidR="00641DB6" w:rsidRPr="000E79AA">
        <w:rPr>
          <w:rFonts w:ascii="Times New Roman" w:hAnsi="Times New Roman" w:cs="Times New Roman"/>
          <w:bCs/>
          <w:lang w:val="en-AU"/>
        </w:rPr>
        <w:t>europathological</w:t>
      </w:r>
      <w:r w:rsidR="00193F70" w:rsidRPr="000E79AA">
        <w:rPr>
          <w:rFonts w:ascii="Times New Roman" w:hAnsi="Times New Roman" w:cs="Times New Roman"/>
          <w:bCs/>
          <w:lang w:val="en-AU"/>
        </w:rPr>
        <w:t xml:space="preserve"> studies</w:t>
      </w:r>
      <w:r w:rsidR="00641DB6" w:rsidRPr="000E79AA">
        <w:rPr>
          <w:rFonts w:ascii="Times New Roman" w:hAnsi="Times New Roman" w:cs="Times New Roman"/>
          <w:bCs/>
          <w:lang w:val="en-AU"/>
        </w:rPr>
        <w:t xml:space="preserve"> and neuromelanin imaging ha</w:t>
      </w:r>
      <w:r w:rsidR="00193F70" w:rsidRPr="000E79AA">
        <w:rPr>
          <w:rFonts w:ascii="Times New Roman" w:hAnsi="Times New Roman" w:cs="Times New Roman"/>
          <w:bCs/>
          <w:lang w:val="en-AU"/>
        </w:rPr>
        <w:t>ve</w:t>
      </w:r>
      <w:r w:rsidR="00641DB6" w:rsidRPr="000E79AA">
        <w:rPr>
          <w:rFonts w:ascii="Times New Roman" w:hAnsi="Times New Roman" w:cs="Times New Roman"/>
          <w:bCs/>
          <w:lang w:val="en-AU"/>
        </w:rPr>
        <w:t xml:space="preserve"> shown more pronounced locus coeruleus </w:t>
      </w:r>
      <w:r w:rsidR="00361DF8" w:rsidRPr="000E79AA">
        <w:rPr>
          <w:rFonts w:ascii="Times New Roman" w:hAnsi="Times New Roman" w:cs="Times New Roman"/>
          <w:bCs/>
          <w:lang w:val="en-AU"/>
        </w:rPr>
        <w:t>degeneration</w:t>
      </w:r>
      <w:r w:rsidR="00641DB6" w:rsidRPr="000E79AA">
        <w:rPr>
          <w:rFonts w:ascii="Times New Roman" w:hAnsi="Times New Roman" w:cs="Times New Roman"/>
          <w:bCs/>
          <w:lang w:val="en-AU"/>
        </w:rPr>
        <w:t xml:space="preserve"> in certain phenotypes</w:t>
      </w:r>
      <w:r w:rsidR="00395265" w:rsidRPr="000E79AA">
        <w:rPr>
          <w:rFonts w:ascii="Times New Roman" w:hAnsi="Times New Roman" w:cs="Times New Roman"/>
          <w:bCs/>
          <w:lang w:val="en-AU"/>
        </w:rPr>
        <w:t>,</w:t>
      </w:r>
      <w:r w:rsidR="00641DB6" w:rsidRPr="000E79AA">
        <w:rPr>
          <w:rFonts w:ascii="Times New Roman" w:hAnsi="Times New Roman" w:cs="Times New Roman"/>
          <w:bCs/>
          <w:lang w:val="en-AU"/>
        </w:rPr>
        <w:t xml:space="preserve"> including those with cognitive impairment or dementia</w:t>
      </w:r>
      <w:r w:rsidR="008A237A" w:rsidRPr="000E79AA">
        <w:rPr>
          <w:rFonts w:ascii="Times New Roman" w:hAnsi="Times New Roman" w:cs="Times New Roman"/>
          <w:bCs/>
          <w:lang w:val="en-AU"/>
        </w:rPr>
        <w:t>,</w:t>
      </w:r>
      <w:r w:rsidR="00641DB6"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{"citationID":"ajohefe1p0","properties":{"formattedCitation":"\\super 95\\uc0\\u8211{}97\\nosupersub{}","plainCitation":"95–97","noteIndex":0},"citationItems":[{"id":12305,"uris":["http://zotero.org/users/local/xUwQuTPV/items/LDCU4EVE"],"uri":["http://zotero.org/users/local/xUwQuTPV/items/LDCU4EVE"],"itemData":{"id":12305,"type":"article-journal","abstract":"Norepinephrine, 3-methoxy 4-hydroxyphenylethyleneglycol and homovanillic acid levels were similar in the locus ceruleus of 13 controls and 8 parkinsonian patients with no intellectual deterioration, but were decreased in 7 demented patients. The concentration of dopamine was similarly diminished in non-demented and demented parkinsonians, and binding of,4H-desmethylimipramine and :'H-rauwolscine was not abnormal in parkinsonians. These data indicate that norepinephrine metabolism in the locus ceruleus is subnormal only in demented parkinsonians.","container-title":"Neurology","DOI":"10.1212/WNL.37.1.42","ISSN":"0028-3878, 1526-632X","issue":"1","language":"en","note":"publisher: Wolters Kluwer Health, Inc. on behalf of the American Academy of Neurology\nsection: Articles\nPMID: 3796837","page":"42-42","source":"n.neurology.org","title":"Parkinson's disease and dementia: Norepinephrine and dopamine in locus ceruleus","title-short":"Parkinson's disease and dementia","volume":"37","author":[{"family":"Cash","given":"R."},{"family":"Dennis","given":"T."},{"family":"L'Heureux","given":"R."},{"family":"Raisman","given":"R."},{"family":"Javoy-Agid","given":"F."},{"family":"Scatton","given":"B."}],"issued":{"date-parts":[["1987",1,1]]}}},{"id":12308,"uris":["http://zotero.org/users/local/xUwQuTPV/items/3KN3T4FG"],"uri":["http://zotero.org/users/local/xUwQuTPV/items/3KN3T4FG"],"itemData":{"id":12308,"type":"article-journal","abstract":"We compared numbers of neuronal profiles in the locus ceruleus (LC) from sections of brainstem in 13 patients with Parkinson's disease (PD) without concurrent Alzheimer's disease (AD) with counts from age-matched controls and from patients with PD and concurrent AD. We also evaluated the relationships between presence of dementia or LC neuronal loss and additional pathologic measures related to dementia in PD. Among patients with PD without concurrent AD, the presence of dementia was associated with significantly lower LC neuronal counts (at all anatomic levels); greater neuronal loss within the ventral tegmental area, nucleus basalis of Meynert, and possibly the medial (but not the lateral) substantia nigra pars compacta; and more Lewy bodies in the anterior cingulate gyrus. Correlations between lower LC neuronal counts and these other pathologic measures were generally positive and often significant. We conclude that dementia in PD is associated with pathologic involvement of multiple extranigral neuronal populations.","container-title":"Neurology","DOI":"10.1212/wnl.43.5.986","ISSN":"0028-3878","issue":"5","journalAbbreviation":"Neurology","language":"eng","note":"PMID: 8492957","page":"986-991","source":"PubMed","title":"The locus ceruleus and dementia in Parkinson's disease","volume":"43","author":[{"family":"Zweig","given":"R. M."},{"family":"Cardillo","given":"J. E."},{"family":"Cohen","given":"M."},{"family":"Giere","given":"S."},{"family":"Hedreen","given":"J. C."}],"issued":{"date-parts":[["1993",5]]}}},{"id":12299,"uris":["http://zotero.org/users/local/xUwQuTPV/items/ZS3Q9GHT"],"uri":["http://zotero.org/users/local/xUwQuTPV/items/ZS3Q9GHT"],"itemData":{"id":12299,"type":"article-journal","abstract":"Background We aimed to investigate neuromelanin-sensitive magnetic resonance imaging (NM-MRI) features in the locus coeruleus of de novo Parkinson's disease patients with different cognitive states and to determine whether these features are associated with cognitive impairment. Methods Three groups of subjects were recruited in this study, including patients with de novo PD with mild cognitive impairment (n = 23), patients with de novo PD without cognitive impairment (n = 48), and control subjects (n = 32). All subjects underwent clinical evaluations, as well as MRI scanning. The contrast-to-noise ratio of the locus coeruleus in the neuromelanin-sensitive MRI images and cortical thickness were measured. Results The contrast-to-noise ratio of the locus coeruleus in PD patients with mild cognitive impairment was significantly lower than that of controls (P = 0.016). The contrast-to-noise ratio of the locus coeruleus for PD patients without cognitive impairment was intermediate between that of controls and PD patients with mild cognitive impairment. Furthermore, multiple linear regression analysis showed that the contrast-to-noise ratio of the locus coeruleus was negatively associated with performance on the Trail Making Test B in all PD patients, controlling for age, sex, years of education, the Unified Parkinson's Disease Rating Scale motor scores from right upper limb, Geriatric Depression Rating Scales scores, Rapid Eye Movement Sleep Behavior Disorder Screening Questionnaire scores, and cortical thickness. Conclusions Dysfunction of the locus coeruleus neurons may partly contribute to the decline in executive function in early de novo PD. In the future, the locus coeruleus-norepinephrine system might be targeted for early-intervention strategies in PD patients. © 2019 International Parkinson and Movement Disorder Society","container-title":"Movement Disorders","DOI":"10.1002/mds.27682","ISSN":"1531-8257","issue":"6","language":"en","note":"_eprint: https://onlinelibrary.wiley.com/doi/pdf/10.1002/mds.27682","page":"884-892","source":"Wiley Online Library","title":"Mild cognitive impairment in de novo Parkinson's disease: A neuromelanin MRI study in locus coeruleus","title-short":"Mild cognitive impairment in de novo Parkinson's disease","volume":"34","author":[{"family":"Li","given":"Yuanfang"},{"family":"Wang","given":"Changpeng"},{"family":"Wang","given":"Jian"},{"family":"Zhou","given":"Ying"},{"family":"Ye","given":"Fang"},{"family":"Zhang","given":"Yong"},{"family":"Cheng","given":"Xiaoqin"},{"family":"Huang","given":"Zhen"},{"family":"Liu","given":"Kai"},{"family":"Fei","given":"Guoqiang"},{"family":"Zhong","given":"Chunjiu"},{"family":"Zeng","given":"Mengsu"},{"family":"Jin","given":"Lirong"}],"issued":{"date-parts":[["2019"]]}}}],"schema":"https://github.com/citation-style-language/schema/raw/master/csl-citation.json"} </w:instrText>
      </w:r>
      <w:r w:rsidR="00641DB6"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95–97</w:t>
      </w:r>
      <w:r w:rsidR="00641DB6" w:rsidRPr="000E79AA">
        <w:rPr>
          <w:rFonts w:ascii="Times New Roman" w:hAnsi="Times New Roman" w:cs="Times New Roman"/>
          <w:bCs/>
          <w:lang w:val="en-AU"/>
        </w:rPr>
        <w:fldChar w:fldCharType="end"/>
      </w:r>
      <w:r w:rsidR="00641DB6" w:rsidRPr="000E79AA">
        <w:rPr>
          <w:rFonts w:ascii="Times New Roman" w:hAnsi="Times New Roman" w:cs="Times New Roman"/>
          <w:bCs/>
          <w:lang w:val="en-AU"/>
        </w:rPr>
        <w:t xml:space="preserve"> depression</w:t>
      </w:r>
      <w:r w:rsidR="008A237A" w:rsidRPr="000E79AA">
        <w:rPr>
          <w:rFonts w:ascii="Times New Roman" w:hAnsi="Times New Roman" w:cs="Times New Roman"/>
          <w:bCs/>
          <w:lang w:val="en-AU"/>
        </w:rPr>
        <w:t>,</w:t>
      </w:r>
      <w:r w:rsidR="00641DB6"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{"citationID":"a1pettt41u7","properties":{"formattedCitation":"\\super 98\\nosupersub{}","plainCitation":"98","noteIndex":0},"citationItems":[{"id":12310,"uris":["http://zotero.org/users/local/xUwQuTPV/items/ZC7ILQCV"],"uri":["http://zotero.org/users/local/xUwQuTPV/items/ZC7ILQCV"],"itemData":{"id":12310,"type":"article-journal","abstract":"Background and purpose Neuromelanin of the brainstem, which is considered a marker of neurodegeneration in Parkinson's disease (PD), can be detected by T1-weighted neuromelanin-sensitive magnetic resonance imaging (NM-MRI). Our aim was to investigate the NM-MRI features of de novo PD and to determine whether these features are associated with motor and non-motor symptoms in de novo PD patients. Methods Fifty-one patients with de novo PD (Hoehn and Yahr stage 1–2) and 28 healthy controls were recruited. All subjects underwent clinical and MRI examinations including an NM-MRI sequence. The width and contrast-to-noise ratio (CNR) of the substantia nigra pars compacta (SNc) and the CNR of the locus coeruleus (LC) were measured on NM-MRI images. Results Both the width and CNR values of the high intensity signals in the SNc were significantly decreased in the lateral, central and medial SNc parts in de novo PD patients compared to control subjects. The changes in the SNc on NM-MRI were not significantly different between the motor subgroups. The CNR values of the left LC were significantly lower in the PD group than in the control group. Specifically, the subtype of PD patients with depressive symptoms exhibited a significantly lower CNR in the left LC than the control group and PD patients without depressive symptoms. Conclusions Substantia nigra pars compacta neuromelanin changes occur across both motor and non-motor (with and without depressive symptoms) subtypes, whilst LC changes are more notable in PD patients with depressive symptoms. Our results may provide new evidence to understand the pathophysiology of non-motor symptoms in PD.","container-title":"European Journal of Neurology","DOI":"10.1111/ene.13628","ISSN":"1468-1331","issue":"7","language":"en","note":"_eprint: https://onlinelibrary.wiley.com/doi/pdf/10.1111/ene.13628","page":"949-e73","source":"Wiley Online Library","title":"Neuromelanin-sensitive magnetic resonance imaging features of the substantia nigra and locus coeruleus in de novo Parkinson's disease and its phenotypes","volume":"25","author":[{"family":"Wang","given":"J."},{"family":"Li","given":"Y."},{"family":"Huang","given":"Z."},{"family":"Wan","given":"W."},{"family":"Zhang","given":"Y."},{"family":"Wang","given":"C."},{"family":"Cheng","given":"X."},{"family":"Ye","given":"F."},{"family":"Liu","given":"K."},{"family":"Fei","given":"G."},{"family":"Zeng","given":"M."},{"family":"Jin","given":"L."}],"issued":{"date-parts":[["2018"]]}}}],"schema":"https://github.com/citation-style-language/schema/raw/master/csl-citation.json"} </w:instrText>
      </w:r>
      <w:r w:rsidR="00641DB6"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98</w:t>
      </w:r>
      <w:r w:rsidR="00641DB6" w:rsidRPr="000E79AA">
        <w:rPr>
          <w:rFonts w:ascii="Times New Roman" w:hAnsi="Times New Roman" w:cs="Times New Roman"/>
          <w:bCs/>
          <w:lang w:val="en-AU"/>
        </w:rPr>
        <w:fldChar w:fldCharType="end"/>
      </w:r>
      <w:r w:rsidR="008B489E" w:rsidRPr="000E79AA">
        <w:rPr>
          <w:rFonts w:ascii="Times New Roman" w:hAnsi="Times New Roman" w:cs="Times New Roman"/>
          <w:bCs/>
          <w:lang w:val="en-AU"/>
        </w:rPr>
        <w:t xml:space="preserve"> an akinetic-rigid </w:t>
      </w:r>
      <w:r w:rsidR="009B5F60" w:rsidRPr="000E79AA">
        <w:rPr>
          <w:rFonts w:ascii="Times New Roman" w:hAnsi="Times New Roman" w:cs="Times New Roman"/>
          <w:bCs/>
          <w:lang w:val="en-AU"/>
        </w:rPr>
        <w:t>syndrome</w:t>
      </w:r>
      <w:r w:rsidR="00C44D32"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{"citationID":"a2mce8e83h8","properties":{"formattedCitation":"\\super 99\\nosupersub{}","plainCitation":"99","noteIndex":0},"citationItems":[{"id":13732,"uris":["http://zotero.org/users/local/xUwQuTPV/items/NKEFMRXU"],"uri":["http://zotero.org/users/local/xUwQuTPV/items/NKEFMRXU"],"itemData":{"id":13732,"type":"article-journal","abstract":"Abstract.  Clinical and neuropathologic data in 45 patients with Parkinson's disease (PD) were compared. Twenty-seven patients suffered from marked akinesia and","container-title":"Journal of Neuropathology &amp; Experimental Neurology","DOI":"10.1097/00005072-199111000-00006","ISSN":"0022-3069","issue":"6","journalAbbreviation":"J Neuropathol Exp Neurol","language":"en","note":"publisher: Oxford Academic","page":"743-755","source":"academic.oup.com","title":"The Neuropathologic Basis of Different Clinical Subgroups of Parkinson's Disease","volume":"50","author":[{"family":"Paulus","given":"Werner"},{"family":"Jellinger","given":"Kurt"}],"issued":{"date-parts":[["1991",11,1]]}}}],"schema":"https://github.com/citation-style-language/schema/raw/master/csl-citation.json"} </w:instrText>
      </w:r>
      <w:r w:rsidR="00C44D32"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99</w:t>
      </w:r>
      <w:r w:rsidR="00C44D32" w:rsidRPr="000E79AA">
        <w:rPr>
          <w:rFonts w:ascii="Times New Roman" w:hAnsi="Times New Roman" w:cs="Times New Roman"/>
          <w:bCs/>
          <w:lang w:val="en-AU"/>
        </w:rPr>
        <w:fldChar w:fldCharType="end"/>
      </w:r>
      <w:r w:rsidR="00641DB6" w:rsidRPr="000E79AA">
        <w:rPr>
          <w:rFonts w:ascii="Times New Roman" w:hAnsi="Times New Roman" w:cs="Times New Roman"/>
          <w:bCs/>
          <w:lang w:val="en-AU"/>
        </w:rPr>
        <w:t xml:space="preserve"> and REM sleep behaviour disorder</w:t>
      </w:r>
      <w:r w:rsidR="008A237A" w:rsidRPr="000E79AA">
        <w:rPr>
          <w:rFonts w:ascii="Times New Roman" w:hAnsi="Times New Roman" w:cs="Times New Roman"/>
          <w:bCs/>
          <w:lang w:val="en-AU"/>
        </w:rPr>
        <w:t>,</w:t>
      </w:r>
      <w:r w:rsidR="007B6F88"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{"citationID":"a24o4ugmg74","properties":{"formattedCitation":"\\super 100,101\\nosupersub{}","plainCitation":"100,101","noteIndex":0},"citationItems":[{"id":12313,"uris":["http://zotero.org/users/local/xUwQuTPV/items/XCQVCYLV"],"uri":["http://zotero.org/users/local/xUwQuTPV/items/XCQVCYLV"],"itemData":{"id":12313,"type":"article-journal","abstract":"Abstract.  In Parkinson’s disease, rapid eye movement sleep behaviour disorder is an early non-dopaminergic syndrome with nocturnal violence and increased muscl","container-title":"Brain","DOI":"10.1093/brain/awt152","ISSN":"0006-8950","issue":"7","journalAbbreviation":"Brain","language":"en","note":"publisher: Oxford Academic","page":"2120-2129","source":"academic.oup.com","title":"The coeruleus/subcoeruleus complex in rapid eye movement sleep behaviour disorders in Parkinson’s disease","volume":"136","author":[{"family":"García-Lorenzo","given":"Daniel"},{"family":"Longo-Dos Santos","given":"Clarisse"},{"family":"Ewenczyk","given":"Claire"},{"family":"Leu-Semenescu","given":"Smaranda"},{"family":"Gallea","given":"Cecile"},{"family":"Quattrocchi","given":"Graziella"},{"family":"Pita Lobo","given":"Patricia"},{"family":"Poupon","given":"Cyril"},{"family":"Benali","given":"Habib"},{"family":"Arnulf","given":"Isabelle"},{"family":"Vidailhet","given":"Marie"},{"family":"Lehericy","given":"Stéphane"}],"issued":{"date-parts":[["2013",7,1]]}}},{"id":12338,"uris":["http://zotero.org/users/local/xUwQuTPV/items/3WZ5AQV6"],"uri":["http://zotero.org/users/local/xUwQuTPV/items/3WZ5AQV6"],"itemData":{"id":12338,"type":"article-journal","container-title":"Brain","DOI":"10.1093/brain/awx348","ISSN":"0006-8950, 1460-2156","issue":"2","language":"en","page":"496-504","source":"DOI.org (Crossref)","title":"Evaluation of the noradrenergic system in Parkinson’s disease: an 11C-MeNER PET and neuromelanin MRI study","title-short":"Evaluation of the noradrenergic system in Parkinson’s disease","volume":"141","author":[{"family":"Sommerauer","given":"Michael"},{"family":"Fedorova","given":"Tatyana D"},{"family":"Hansen","given":"Allan K"},{"family":"Knudsen","given":"Karoline"},{"family":"Otto","given":"Marit"},{"family":"Jeppesen","given":"Jesper"},{"family":"Frederiksen","given":"Yoon"},{"family":"Blicher","given":"Jakob U"},{"family":"Geday","given":"Jacob"},{"family":"Nahimi","given":"Adjmal"},{"family":"Damholdt","given":"Malene F"},{"family":"Brooks","given":"David J"},{"family":"Borghammer","given":"Per"}],"issued":{"date-parts":[["2018",2,1]]}}}],"schema":"https://github.com/citation-style-language/schema/raw/master/csl-citation.json"} </w:instrText>
      </w:r>
      <w:r w:rsidR="007B6F88"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100,101</w:t>
      </w:r>
      <w:r w:rsidR="007B6F88" w:rsidRPr="000E79AA">
        <w:rPr>
          <w:rFonts w:ascii="Times New Roman" w:hAnsi="Times New Roman" w:cs="Times New Roman"/>
          <w:bCs/>
          <w:lang w:val="en-AU"/>
        </w:rPr>
        <w:fldChar w:fldCharType="end"/>
      </w:r>
      <w:r w:rsidR="00641DB6" w:rsidRPr="000E79AA">
        <w:rPr>
          <w:rFonts w:ascii="Times New Roman" w:hAnsi="Times New Roman" w:cs="Times New Roman"/>
          <w:bCs/>
          <w:lang w:val="en-AU"/>
        </w:rPr>
        <w:t xml:space="preserve"> </w:t>
      </w:r>
      <w:r w:rsidR="00272D9E" w:rsidRPr="000E79AA">
        <w:rPr>
          <w:rFonts w:ascii="Times New Roman" w:hAnsi="Times New Roman" w:cs="Times New Roman"/>
          <w:bCs/>
          <w:lang w:val="en-AU"/>
        </w:rPr>
        <w:t>relative to patients at equivalent disease stages.</w:t>
      </w:r>
      <w:r w:rsidR="00E24BED" w:rsidRPr="000E79AA">
        <w:rPr>
          <w:rFonts w:ascii="Times New Roman" w:hAnsi="Times New Roman" w:cs="Times New Roman"/>
          <w:bCs/>
          <w:lang w:val="en-AU"/>
        </w:rPr>
        <w:t xml:space="preserve"> In our results we note that including the </w:t>
      </w:r>
      <w:r w:rsidR="00AE7144" w:rsidRPr="000E79AA">
        <w:rPr>
          <w:rFonts w:ascii="Times New Roman" w:hAnsi="Times New Roman" w:cs="Times New Roman"/>
          <w:bCs/>
          <w:lang w:val="en-AU"/>
        </w:rPr>
        <w:t>MDS-</w:t>
      </w:r>
      <w:r w:rsidR="00E24BED" w:rsidRPr="000E79AA">
        <w:rPr>
          <w:rFonts w:ascii="Times New Roman" w:hAnsi="Times New Roman" w:cs="Times New Roman"/>
          <w:bCs/>
          <w:lang w:val="en-AU"/>
        </w:rPr>
        <w:t>UPDRS-III as an index of disease severity</w:t>
      </w:r>
      <w:r w:rsidR="00410BFE" w:rsidRPr="000E79AA">
        <w:rPr>
          <w:rFonts w:ascii="Times New Roman" w:hAnsi="Times New Roman" w:cs="Times New Roman"/>
          <w:bCs/>
          <w:lang w:val="en-AU"/>
        </w:rPr>
        <w:t xml:space="preserve"> did not meaningfully improve the model fit</w:t>
      </w:r>
      <w:r w:rsidR="00CA5B92" w:rsidRPr="000E79AA">
        <w:rPr>
          <w:rFonts w:ascii="Times New Roman" w:hAnsi="Times New Roman" w:cs="Times New Roman"/>
          <w:bCs/>
          <w:lang w:val="en-AU"/>
        </w:rPr>
        <w:t xml:space="preserve"> for the interaction between the drug condition and locus coeruleus CNR. This </w:t>
      </w:r>
      <w:r w:rsidR="000F1BA3" w:rsidRPr="000E79AA">
        <w:rPr>
          <w:rFonts w:ascii="Times New Roman" w:hAnsi="Times New Roman" w:cs="Times New Roman"/>
          <w:bCs/>
          <w:lang w:val="en-AU"/>
        </w:rPr>
        <w:t>highlights the added value</w:t>
      </w:r>
      <w:r w:rsidR="00F40BAA" w:rsidRPr="000E79AA">
        <w:rPr>
          <w:rFonts w:ascii="Times New Roman" w:hAnsi="Times New Roman" w:cs="Times New Roman"/>
          <w:bCs/>
          <w:lang w:val="en-AU"/>
        </w:rPr>
        <w:t xml:space="preserve"> of locus coeruleus imaging</w:t>
      </w:r>
      <w:r w:rsidR="00C834BE" w:rsidRPr="000E79AA">
        <w:rPr>
          <w:rFonts w:ascii="Times New Roman" w:hAnsi="Times New Roman" w:cs="Times New Roman"/>
          <w:bCs/>
          <w:lang w:val="en-AU"/>
        </w:rPr>
        <w:t>, above and beyond disease severity metrics,</w:t>
      </w:r>
      <w:r w:rsidR="000F1BA3" w:rsidRPr="000E79AA">
        <w:rPr>
          <w:rFonts w:ascii="Times New Roman" w:hAnsi="Times New Roman" w:cs="Times New Roman"/>
          <w:bCs/>
          <w:lang w:val="en-AU"/>
        </w:rPr>
        <w:t xml:space="preserve"> </w:t>
      </w:r>
      <w:r w:rsidR="00C834BE" w:rsidRPr="000E79AA">
        <w:rPr>
          <w:rFonts w:ascii="Times New Roman" w:hAnsi="Times New Roman" w:cs="Times New Roman"/>
          <w:bCs/>
          <w:lang w:val="en-AU"/>
        </w:rPr>
        <w:t>to</w:t>
      </w:r>
      <w:r w:rsidR="00967651" w:rsidRPr="000E79AA">
        <w:rPr>
          <w:rFonts w:ascii="Times New Roman" w:hAnsi="Times New Roman" w:cs="Times New Roman"/>
          <w:bCs/>
          <w:lang w:val="en-AU"/>
        </w:rPr>
        <w:t xml:space="preserve"> explain variations in atomoxetine responsivity. </w:t>
      </w:r>
    </w:p>
    <w:p w14:paraId="702DC873" w14:textId="77777777" w:rsidR="00115E78" w:rsidRPr="000E79AA" w:rsidRDefault="00115E78" w:rsidP="00641DB6">
      <w:pPr>
        <w:spacing w:line="360" w:lineRule="auto"/>
        <w:jc w:val="both"/>
        <w:rPr>
          <w:rFonts w:ascii="Times New Roman" w:hAnsi="Times New Roman" w:cs="Times New Roman"/>
          <w:bCs/>
          <w:lang w:val="en-AU"/>
        </w:rPr>
      </w:pPr>
    </w:p>
    <w:p w14:paraId="276FC782" w14:textId="00172EC5" w:rsidR="00B81688" w:rsidRPr="000E79AA" w:rsidRDefault="00390D75" w:rsidP="00641DB6">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Our locus coeruleus imaging identified that the greatest difference between controls and patients was in the caudal portion of the locus coeruleus. This has not previously been identified in Parkinson’s disease locus coeruleus imaging with 3T MRI, which limited analysis to the whole structure</w:t>
      </w:r>
      <w:r w:rsidR="007D241D" w:rsidRPr="000E79AA">
        <w:rPr>
          <w:rFonts w:ascii="Times New Roman" w:hAnsi="Times New Roman" w:cs="Times New Roman"/>
          <w:bCs/>
          <w:lang w:val="en-AU"/>
        </w:rPr>
        <w:t xml:space="preserve">. </w:t>
      </w:r>
      <w:r w:rsidR="00CA75BF" w:rsidRPr="000E79AA">
        <w:rPr>
          <w:rFonts w:ascii="Times New Roman" w:hAnsi="Times New Roman" w:cs="Times New Roman"/>
          <w:lang w:val="en-AU"/>
        </w:rPr>
        <w:t>This is due to the inherent limitations in 3T MRI, where voxel sizes and slice thickness are larger and do not allow for the spatial resolution needed to examine locus coeruleus sub-divisions</w:t>
      </w:r>
      <w:r w:rsidR="003E34AD" w:rsidRPr="000E79AA">
        <w:rPr>
          <w:rFonts w:ascii="Times New Roman" w:hAnsi="Times New Roman" w:cs="Times New Roman"/>
          <w:bCs/>
          <w:lang w:val="en-AU"/>
        </w:rPr>
        <w:t>.</w:t>
      </w:r>
      <w:r w:rsidR="00E51D4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{"citationID":"a22rlht3php","properties":{"formattedCitation":"\\super 45\\nosupersub{}","plainCitation":"45","noteIndex":0},"citationItems":[{"id":14603,"uris":["http://zotero.org/users/local/xUwQuTPV/items/RI5M9KMS"],"uri":["http://zotero.org/users/local/xUwQuTPV/items/RI5M9KMS"],"itemData":{"id":14603,"type":"article-journal","container-title":"NeuroImage","DOI":"10.1016/j.neuroimage.2020.117487","ISSN":"10538119","journalAbbreviation":"NeuroImage","language":"en","page":"117487","source":"DOI.org (Crossref)","title":"An in vivo probabilistic atlas of the human locus coeruleus at ultra-high field","volume":"225","author":[{"family":"Ye","given":"Rong"},{"family":"Rua","given":"Catarina"},{"family":"O'Callaghan","given":"Claire"},{"family":"Jones","given":"P. Simon"},{"family":"Hezemans","given":"Frank H."},{"family":"Kaalund","given":"Sanne S."},{"family":"Tsvetanov","given":"Kamen A."},{"family":"Rodgers","given":"Christopher T."},{"family":"Williams","given":"Guy"},{"family":"Passamonti","given":"Luca"},{"family":"Rowe","given":"James B."}],"issued":{"date-parts":[["2021",1]]}}}],"schema":"https://github.com/citation-style-language/schema/raw/master/csl-citation.json"} </w:instrText>
      </w:r>
      <w:r w:rsidR="00E51D4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45</w:t>
      </w:r>
      <w:r w:rsidR="00E51D4F" w:rsidRPr="000E79AA">
        <w:rPr>
          <w:rFonts w:ascii="Times New Roman" w:hAnsi="Times New Roman" w:cs="Times New Roman"/>
          <w:bCs/>
          <w:lang w:val="en-AU"/>
        </w:rPr>
        <w:fldChar w:fldCharType="end"/>
      </w:r>
      <w:r w:rsidR="00FF7036" w:rsidRPr="000E79AA">
        <w:rPr>
          <w:rFonts w:ascii="Times New Roman" w:hAnsi="Times New Roman" w:cs="Times New Roman"/>
          <w:bCs/>
          <w:lang w:val="en-AU"/>
        </w:rPr>
        <w:t xml:space="preserve"> </w:t>
      </w:r>
      <w:r w:rsidRPr="000E79AA">
        <w:rPr>
          <w:rFonts w:ascii="Times New Roman" w:hAnsi="Times New Roman" w:cs="Times New Roman"/>
          <w:bCs/>
          <w:lang w:val="en-AU"/>
        </w:rPr>
        <w:t>While some neuropathology studies have noted comparable cell loss across the rostral-caudal extent of the locus coeruleus</w:t>
      </w:r>
      <w:r w:rsidR="00B76F1C" w:rsidRPr="000E79AA">
        <w:rPr>
          <w:rFonts w:ascii="Times New Roman" w:hAnsi="Times New Roman" w:cs="Times New Roman"/>
          <w:bCs/>
          <w:lang w:val="en-AU"/>
        </w:rPr>
        <w:t>,</w:t>
      </w:r>
      <w:r w:rsidR="00175EF6"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{"citationID":"ab6urj5n5v","properties":{"formattedCitation":"\\super 102,103\\nosupersub{}","plainCitation":"102,103","noteIndex":0},"citationItems":[{"id":13728,"uris":["http://zotero.org/users/local/xUwQuTPV/items/M7JUW3F9"],"uri":["http://zotero.org/users/local/xUwQuTPV/items/M7JUW3F9"],"itemData":{"id":13728,"type":"article-journal","abstract":"The present study provides qualitative and quantitative investigations of the norepinephrine (NE) neurons in the locus coeruleus (LC) in two neurodegenerative disorders, the senile dementia of the Alzheimer type (SDAT) and Parkinson's disease (PD). The group of PD subjects was subdivided into cases without dementia (P − D), cases with dementia, L-dopa responsive (P + D), and cases with fulminant dementia whose motor disorder symptoms were L-dopa nonresponsive (P + D/L-dopa non-responsive). NE neurons were demonstrated by immunocytochemistry against tyrosine hydroxylase (TH). Quantitations of neuronal parameters and cell numbers and three-dimensional reconstructions of the LC were carried out with a computer-assisted system. In SDAT cases, the rostrocaudal LC length (13 ± 2.2 mm) is shorter than in controls (14.9 ± 1.4 mm). The four basic LC neuron classes found in the normal human brain (large multipolar, large “bipolar,” small multipolar, and small “bipolar” neurons; Chan-Palay and Asan: J. Comp. Neurol. This issue) are recognizable, but many cell somata are swollen and misshapen with foreshortened, thick, and less branched dendrites. LC neuron numbers are reduced (between − 3.5% and −87.5%). Neuron loss is greatest in the rostral part, less in the middle, and least in the caudal part. In PD cases, the rostrocaudal length (12.4 ± 1.5 mm) is shorter than in SDAT and controls. The neuronal morphology is more severely altered than in SDAT. The basic neuron classes are hardly distinguishable. Most cell bodies are swollen; they frequently contain Lewy bodies; and the dendrites are short and thin with absent or reduced arborizations. Neuron numbers are more reduced than in SDAT (between − 26.4% and −94.4%). Alterations are as severe caudally as rostrally in P − D, and P+D/L-dopa nonresponsive cases. P+D cases are more severely affected rostrally. The presence of depression in SDAT and Parkinson's patients is accompanied by the greatest loss of LC neurons. On the basis of morphological alterations of the TH-immunoreactive neurons, and the degree and topographical distribution of neuron loss, a differentiation is possible between the LC in normal brain and that in SDAT and PD for diagnostic purposes.","container-title":"Journal of Comparative Neurology","DOI":"10.1002/cne.902870308","ISSN":"1096-9861","issue":"3","language":"en","note":"_eprint: https://onlinelibrary.wiley.com/doi/pdf/10.1002/cne.902870308","page":"373-392","source":"Wiley Online Library","title":"Alterations in catecholamine neurons of the locus coeruleus in senile dementia of the Alzheimer type and in Parkinson's disease with and without dementia and depression","volume":"287","author":[{"family":"Chan‐Palay","given":"V."},{"family":"Asan","given":"E."}],"issued":{"date-parts":[["1989"]]}}},{"id":13725,"uris":["http://zotero.org/users/local/xUwQuTPV/items/GH4234H9"],"uri":["http://zotero.org/users/local/xUwQuTPV/items/GH4234H9"],"itemData":{"id":13725,"type":"article-journal","abstract":"Computer visualization techniques were used to map and to quantitatively reconstruct the entire locus coeruleus, including the nucleus subcoeruleus, to compare the topographic patterns of cell loss in postmortem brains from patients with Parkinson's disease, Alzheimer's disease, and Down syndrome. There was comparable cell loss in all three diseases (approximately 60%) compared with aged normal subjects, and there was a significant loss of nucleus subcoeruleus cells specifically in patients with Parkinson's disease (63%). There was a significant positive correlation between the magnitude of locus coeruleus cell loss and the duration of Alzheimer's disease, but no such correlation was found for Parkinson's disease. In patients with Parkinson's disease, there was comparable cell loss throughout the rostral-caudal extent of the nucleus; however, in patients with Alzheimer's disease and Down syndrome, the greatest cell loss always occurred within the rostral portion of the nucleus, with a relative sparing of caudal cells. These data are consistent with the hypothesis that cell loss in Parkinson's disease is the result of a pathological process that attacks the catecholaminergic cells of the locus coeruleus and the subcoeruleus in general; in Alzheimer's disease and Down syndrome, however, the pathological process only affects the rostral, cortical-projecting locus coeruleus cells and spares the caudal, noncortical-projecting cells.","container-title":"Annals of Neurology","DOI":"10.1002/ana.410320510","ISSN":"1531-8249","issue":"5","language":"en","note":"_eprint: https://onlinelibrary.wiley.com/doi/pdf/10.1002/ana.410320510","page":"667-676","source":"Wiley Online Library","title":"Disease-specific patterns of locus coeruleus cell loss","volume":"32","author":[{"family":"German","given":"Dwight C."},{"family":"Manaye","given":"Kebreten F."},{"family":"White","given":"Charles L."},{"family":"Woodward","given":"Donald J."},{"family":"McIntire","given":"Donald D."},{"family":"Smith","given":"Wade K."},{"family":"Kalaria","given":"Rajesh N."},{"family":"Mann","given":"David M. A."}],"issued":{"date-parts":[["1992"]]}}}],"schema":"https://github.com/citation-style-language/schema/raw/master/csl-citation.json"} </w:instrText>
      </w:r>
      <w:r w:rsidR="00175EF6"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102,103</w:t>
      </w:r>
      <w:r w:rsidR="00175EF6" w:rsidRPr="000E79AA">
        <w:rPr>
          <w:rFonts w:ascii="Times New Roman" w:hAnsi="Times New Roman" w:cs="Times New Roman"/>
          <w:bCs/>
          <w:lang w:val="en-AU"/>
        </w:rPr>
        <w:fldChar w:fldCharType="end"/>
      </w:r>
      <w:r w:rsidR="00B81688" w:rsidRPr="000E79AA">
        <w:rPr>
          <w:rFonts w:ascii="Times New Roman" w:hAnsi="Times New Roman" w:cs="Times New Roman"/>
          <w:bCs/>
          <w:lang w:val="en-AU"/>
        </w:rPr>
        <w:t xml:space="preserve"> </w:t>
      </w:r>
      <w:r w:rsidRPr="000E79AA">
        <w:rPr>
          <w:rFonts w:ascii="Times New Roman" w:hAnsi="Times New Roman" w:cs="Times New Roman"/>
          <w:bCs/>
          <w:lang w:val="en-AU"/>
        </w:rPr>
        <w:t>others have reported more severe degenerative changes in the caudal segment</w:t>
      </w:r>
      <w:r w:rsidR="00E31EB1" w:rsidRPr="000E79AA">
        <w:rPr>
          <w:rFonts w:ascii="Times New Roman" w:hAnsi="Times New Roman" w:cs="Times New Roman"/>
          <w:bCs/>
          <w:lang w:val="en-AU"/>
        </w:rPr>
        <w:t>.</w:t>
      </w:r>
      <w:r w:rsidR="009A7285"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{"citationID":"a17liajesa0","properties":{"formattedCitation":"\\super 104\\nosupersub{}","plainCitation":"104","noteIndex":0},"citationItems":[{"id":13737,"uris":["http://zotero.org/users/local/xUwQuTPV/items/BKL2HJC8"],"uri":["http://zotero.org/users/local/xUwQuTPV/items/BKL2HJC8"],"itemData":{"id":13737,"type":"article-journal","abstract":"The analysis of qualitative changes in the locus coeruleus (LC) was performed on brains from 21 cases of Parkinson's disease. Eleven cases were selected for quantitative analysis of the loss of LC noradrenergic pigmented neurons. The qualitative studies revealed uneven dissemination of the noradrenergic cells loss of overall structure of the LC. Few preserved neurons showed degenerative changes. Extracellular neuromelanine granules, traces of dying neurons, were also observed. A weak astro- and microglia proliferation corresponded with neuronal loss. Lewy bodies were found in the LC in all cases. The quantitative analysis revealed that the average loss of adrenergic neurons in the LC accounts for about 70% in relation to the control group. The degenerative changes were observed in the whole LC, but they were most intensive in its caudal and next in the middle segment. The results suggest also that the degenerative process began in the middle segment and then it spread towards caudal segment of the LC as the stages of disease advanced.","container-title":"Folia Neuropathologica","ISSN":"1641-4640","issue":"2","journalAbbreviation":"Folia Neuropathol","language":"eng","note":"PMID: 9377080","page":"80-86","source":"PubMed","title":"Qualitative and quantitative analysis of locus coeruleus neurons in Parkinson's disease","volume":"35","author":[{"family":"Bertrand","given":"E."},{"family":"Lechowicz","given":"W."},{"family":"Szpak","given":"G. M."},{"family":"Dymecki","given":"J."}],"issued":{"date-parts":[["1997"]]}}}],"schema":"https://github.com/citation-style-language/schema/raw/master/csl-citation.json"} </w:instrText>
      </w:r>
      <w:r w:rsidR="009A7285"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104</w:t>
      </w:r>
      <w:r w:rsidR="009A7285" w:rsidRPr="000E79AA">
        <w:rPr>
          <w:rFonts w:ascii="Times New Roman" w:hAnsi="Times New Roman" w:cs="Times New Roman"/>
          <w:bCs/>
          <w:lang w:val="en-AU"/>
        </w:rPr>
        <w:fldChar w:fldCharType="end"/>
      </w:r>
      <w:r w:rsidR="009A6660" w:rsidRPr="000E79AA">
        <w:rPr>
          <w:rFonts w:ascii="Times New Roman" w:hAnsi="Times New Roman" w:cs="Times New Roman"/>
          <w:bCs/>
          <w:lang w:val="en-AU"/>
        </w:rPr>
        <w:t xml:space="preserve"> </w:t>
      </w:r>
      <w:r w:rsidRPr="000E79AA">
        <w:rPr>
          <w:rFonts w:ascii="Times New Roman" w:hAnsi="Times New Roman" w:cs="Times New Roman"/>
          <w:bCs/>
          <w:lang w:val="en-AU"/>
        </w:rPr>
        <w:t>Previous studies have validated the relationship between neuromelanin-sensitive MRI signal intensity and histological measures of the density of neuromelanin-accumulating neurons</w:t>
      </w:r>
      <w:r w:rsidR="00423B29"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{"citationID":"a1gfke597rs","properties":{"formattedCitation":"\\super 105\\uc0\\u8211{}107\\nosupersub{}","plainCitation":"105–107","noteIndex":0},"citationItems":[{"id":14613,"uris":["http://zotero.org/users/local/xUwQuTPV/items/2E6H56ZI"],"uri":["http://zotero.org/users/local/xUwQuTPV/items/2E6H56ZI"],"itemData":{"id":14613,"type":"article-journal","abstract":"Introduction Direct correlation between neuropathological findings and postmortem neuromelanin MR imaging (NmMRI) was performed in the substantia nigra pars compacta (SNc) to clarify the pathological background of the signal changes in normal, Parkinson’s disease (PD), and dementia with Lewy bodies (DLB) cases.","container-title":"Neuroradiology","DOI":"10.1007/s00234-013-1199-9","ISSN":"0028-3940, 1432-1920","issue":"8","journalAbbreviation":"Neuroradiology","language":"en","page":"947-953","source":"DOI.org (Crossref)","title":"Correlation between pathology and neuromelanin MR imaging in Parkinson’s disease and dementia with Lewy bodies","volume":"55","author":[{"family":"Kitao","given":"Shinichiro"},{"family":"Matsusue","given":"Eiji"},{"family":"Fujii","given":"Shinya"},{"family":"Miyoshi","given":"Fuminori"},{"family":"Kaminou","given":"Toshio"},{"family":"Kato","given":"Shinsuke"},{"family":"Ito","given":"Hisao"},{"family":"Ogawa","given":"Toshihide"}],"issued":{"date-parts":[["2013",8]]}}},{"id":3951,"uris":["http://zotero.org/users/local/xUwQuTPV/items/RR9GI93X"],"uri":["http://zotero.org/users/local/xUwQuTPV/items/RR9GI93X"],"itemData":{"id":3951,"type":"article-journal","container-title":"NeuroImage","DOI":"10.1016/j.neuroimage.2015.03.020","issue":"C","journalAbbreviation":"NeuroImage","page":"235-245","title":"Histologic validation of locus coeruleus MRI contrast in post-mortem tissue","volume":"113","author":[{"family":"Keren","given":"Noam I."},{"family":"Taheri","given":"Saeid"},{"family":"Vazey","given":"Elena M."},{"family":"Morgan","given":"Paul S."},{"family":"Granholm","given":"Ann-Charlotte E."},{"family":"Aston-Jones","given":"Gary S."},{"family":"Eckert","given":"Mark A."}],"issued":{"date-parts":[["2015",6,1]]}}},{"id":14619,"uris":["http://zotero.org/users/local/xUwQuTPV/items/ITP5LRCT"],"uri":["http://zotero.org/users/local/xUwQuTPV/items/ITP5LRCT"],"itemData":{"id":14619,"type":"article-journal","abstract":"Visualizing gradual changes in neuromelanin distribution within the substantia nigra is an important metric used to monitor the progression of Parkinsonism. This study aimed to identify the origin of the mismatch region between magnetic resonance transverse relaxation times (T2 and T2*) in the substantia nigra and investigate its feasibility and implications for in vivo detection of neuromelanin as a clinical biomarker. The relationships between neuromelanin distribution assessed by histological staining and the area of T2 and T2* mismatch determined by high- and low-resolution magnetic resonance relaxometry at 7T were directly compared in two normal and one depigmented substantia nigra collected at postmortem. In vivo feasibility of assessing T2 and T2* mismatch, clinically, was investigated using 3T magnetic resonance imaging. In the normal postmortem substantia nigra tissue, the T2 and T2* mismatch region exhibiting a linear pattern was strongly colocalized with neuromelanin distribution along the dorsal substantia nigra pars compacta, but a negligible amount of dorsal mismatch was observed in the depigmented brain. The regions of T2 and T2* mismatch from MRI, neuromelanin pigments from histology, and elevated iron signals from mass spectrometry were spatially overlapped for a normal postmortem brain. In preliminary in vivo studies, a similar, linear T2 and T2* mismatch region was observed in the dorsal area of the substantia nigra in eight normal subjects; this mismatch was signiﬁcantly obscured in eight Parkinson’s disease patients. The length of the dorsal linear mismatch line based on the T2*-T2 mask was signiﬁcantly shorter in the Parkinson’s disease patients compared to normal controls; this result was corroborated by reduced striatal uptake of [18F] FP-CIT dopamine transporters assessed by positron emission tomography scans. In conclusion, the measurement of T2 and T2* mismatch could serve as a complementary imaging biomarker to visualize the dorsal region of the substantia nigra pars compacta, which contains large amounts of neuromelanin.","container-title":"NeuroImage","DOI":"10.1016/j.neuroimage.2020.116625","ISSN":"10538119","journalAbbreviation":"NeuroImage","language":"en","page":"116625","source":"DOI.org (Crossref)","title":"MRI T2 and T2* relaxometry to visualize neuromelanin in the dorsal substantia nigra pars compacta","volume":"211","author":[{"family":"Lee","given":"Hansol"},{"family":"Baek","given":"Sun-Yong"},{"family":"Kim","given":"Eun-Joo"},{"family":"Huh","given":"Gi Yeong"},{"family":"Lee","given":"Jae-Hyeok"},{"family":"Cho","given":"HyungJoon"}],"issued":{"date-parts":[["2020",5]]}}}],"schema":"https://github.com/citation-style-language/schema/raw/master/csl-citation.json"} </w:instrText>
      </w:r>
      <w:r w:rsidR="00423B29"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105–107</w:t>
      </w:r>
      <w:r w:rsidR="00423B29" w:rsidRPr="000E79AA">
        <w:rPr>
          <w:rFonts w:ascii="Times New Roman" w:hAnsi="Times New Roman" w:cs="Times New Roman"/>
          <w:bCs/>
          <w:lang w:val="en-AU"/>
        </w:rPr>
        <w:fldChar w:fldCharType="end"/>
      </w:r>
      <w:r w:rsidR="00423B29" w:rsidRPr="000E79AA">
        <w:rPr>
          <w:rFonts w:ascii="Times New Roman" w:hAnsi="Times New Roman" w:cs="Times New Roman"/>
          <w:bCs/>
          <w:lang w:val="en-AU"/>
        </w:rPr>
        <w:t xml:space="preserve"> </w:t>
      </w:r>
      <w:r w:rsidR="009A6660" w:rsidRPr="000E79AA">
        <w:rPr>
          <w:rFonts w:ascii="Times New Roman" w:hAnsi="Times New Roman" w:cs="Times New Roman"/>
          <w:bCs/>
          <w:lang w:val="en-AU"/>
        </w:rPr>
        <w:t>and neuromelanin concentration</w:t>
      </w:r>
      <w:r w:rsidR="00731E71" w:rsidRPr="000E79AA">
        <w:rPr>
          <w:rFonts w:ascii="Times New Roman" w:hAnsi="Times New Roman" w:cs="Times New Roman"/>
          <w:bCs/>
          <w:lang w:val="en-AU"/>
        </w:rPr>
        <w:t>.</w:t>
      </w:r>
      <w:r w:rsidR="00423B29"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{"citationID":"a1tbg8jaaaq","properties":{"formattedCitation":"\\super 108\\nosupersub{}","plainCitation":"108","noteIndex":0},"citationItems":[{"id":3947,"uris":["http://zotero.org/users/local/xUwQuTPV/items/QRY5JRHM"],"uri":["http://zotero.org/users/local/xUwQuTPV/items/QRY5JRHM"],"itemData":{"id":3947,"type":"article-journal","abstract":"Neuromelanin-sensitive MRI (NM-MRI) purports to detect the content of neuromelanin (NM), a product of dopamine metabolism that accumulates with age in dopamine neurons of the substantia nigra (SN). Interindividual variability in dopamine function may result in varying levels of NM accumulation in the SN; however, the ability of NM-MRI to measure dopamine function in nonneurodegenerative conditions has not been established. Here, we validated that NM-MRI signal intensity in postmortem midbrain specimens correlated with regional NM concentration even in the absence of neurodegeneration, a prerequisite for its use as a proxy for dopamine function. We then validated a voxelwise NM-MRI approach with sufficient anatomical sensitivity to resolve SN subregions. Using this approach and a multimodal dataset of molecular PET and fMRI data, we further showed the NM-MRI signal was related to both dopamine release in the dorsal striatum and resting blood flow within the SN. These results suggest that NM-MRI signal in the SN is a proxy for function of dopamine neurons in the nigrostriatal pathway. As a proof of concept for its clinical utility, we show that the NM-MRI signal correlated to severity of psychosis in schizophrenia and individuals at risk for schizophrenia, consistent with the well-established dysfunction of the nigrostriatal pathway in psychosis. Our results indicate that noninvasive NM-MRI is a promising tool that could have diverse research and clinical applications to investigate in vivo the role of dopamine in neuropsychiatric illness.","container-title":"Proceedings of the National Academy of Sciences of the United States of America","DOI":"10.1073/pnas.1807983116","issue":"11","journalAbbreviation":"Proc. Natl. Acad. Sci. U.S.A.","language":"English","note":"PMCID: PMC6421437","page":"5108-5117","title":"Neuromelanin-sensitive MRI as a noninvasive proxy measure of dopamine function in the human brain.","volume":"116","author":[{"family":"Cassidy","given":"Clifford M."},{"family":"Zucca","given":"Fabio A."},{"family":"Girgis","given":"Ragy R."},{"family":"Baker","given":"Seth C."},{"family":"Weinstein","given":"Jodi J."},{"family":"Sharp","given":"Madeleine E."},{"family":"Bellei","given":"Chiara"},{"family":"Valmadre","given":"Alice"},{"family":"Vanegas","given":"Nora"},{"family":"Kegeles","given":"Lawrence S."},{"family":"Brucato","given":"Gary"},{"family":"Jung Kang","given":"Un"},{"family":"Sulzer","given":"David"},{"family":"Zecca","given":"Luigi"},{"family":"Abi-Dargham","given":"Anissa"},{"family":"Horga","given":"Guillermo"}],"issued":{"date-parts":[["2019",3,12]]}}}],"schema":"https://github.com/citation-style-language/schema/raw/master/csl-citation.json"} </w:instrText>
      </w:r>
      <w:r w:rsidR="00423B29"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108</w:t>
      </w:r>
      <w:r w:rsidR="00423B29" w:rsidRPr="000E79AA">
        <w:rPr>
          <w:rFonts w:ascii="Times New Roman" w:hAnsi="Times New Roman" w:cs="Times New Roman"/>
          <w:bCs/>
          <w:lang w:val="en-AU"/>
        </w:rPr>
        <w:fldChar w:fldCharType="end"/>
      </w:r>
      <w:r w:rsidR="009A6660" w:rsidRPr="000E79AA">
        <w:rPr>
          <w:rFonts w:ascii="Times New Roman" w:hAnsi="Times New Roman" w:cs="Times New Roman"/>
          <w:bCs/>
          <w:lang w:val="en-AU"/>
        </w:rPr>
        <w:t xml:space="preserve"> </w:t>
      </w:r>
      <w:r w:rsidRPr="000E79AA">
        <w:rPr>
          <w:rFonts w:ascii="Times New Roman" w:hAnsi="Times New Roman" w:cs="Times New Roman"/>
          <w:bCs/>
          <w:lang w:val="en-AU"/>
        </w:rPr>
        <w:t>In light of these links, neuromelanin-sensitive MRI is considered a promising biomarker of Parkinson disease-related neurodegenerative processes</w:t>
      </w:r>
      <w:r w:rsidR="007D0EF4" w:rsidRPr="000E79AA">
        <w:rPr>
          <w:rFonts w:ascii="Times New Roman" w:hAnsi="Times New Roman" w:cs="Times New Roman"/>
          <w:bCs/>
          <w:lang w:val="en-AU"/>
        </w:rPr>
        <w:t>.</w:t>
      </w:r>
      <w:r w:rsidR="00423B29"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{"citationID":"a1cn93thn7s","properties":{"formattedCitation":"\\super 109\\nosupersub{}","plainCitation":"109","noteIndex":0},"citationItems":[{"id":4042,"uris":["http://zotero.org/users/local/xUwQuTPV/items/8A786TRA"],"uri":["http://zotero.org/users/local/xUwQuTPV/items/8A786TRA"],"itemData":{"id":4042,"type":"article-journal","abstract":"npjParkinson’s Disease, doi:10.1038/s41531-018-0047-3","container-title":"npj Parkinson's Disease","DOI":"10.1038/s41531-018-0047-3","journalAbbreviation":"npj Parkinsons Disease","page":"1-13","title":"Neuromelanin detection by magnetic resonance imaging (MRI) and its promise as a biomarker for Parkinson’s disease","author":[{"family":"Sulzer","given":"David"},{"family":"Cassidy","given":"Clifford"},{"family":"Horga","given":"Guillermo"},{"family":"Kang","given":"Un Jung"},{"family":"Fahn","given":"Stanley"},{"family":"Casella","given":"Luigi"},{"family":"Pezzoli","given":"Gianni"},{"family":"Langley","given":"Jason"},{"family":"Hu","given":"Xiaoping P."},{"family":"Zucca","given":"Fabio A."},{"family":"Isaias","given":"Ioannis U."},{"family":"Zecca","given":"Luigi"}],"issued":{"date-parts":[["2018",3,28]]}}}],"schema":"https://github.com/citation-style-language/schema/raw/master/csl-citation.json"} </w:instrText>
      </w:r>
      <w:r w:rsidR="00423B29"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109</w:t>
      </w:r>
      <w:r w:rsidR="00423B29" w:rsidRPr="000E79AA">
        <w:rPr>
          <w:rFonts w:ascii="Times New Roman" w:hAnsi="Times New Roman" w:cs="Times New Roman"/>
          <w:bCs/>
          <w:lang w:val="en-AU"/>
        </w:rPr>
        <w:fldChar w:fldCharType="end"/>
      </w:r>
    </w:p>
    <w:p w14:paraId="6C8BAF14" w14:textId="2AE74B5A" w:rsidR="00315127" w:rsidRPr="000E79AA" w:rsidRDefault="00315127" w:rsidP="00641DB6">
      <w:pPr>
        <w:spacing w:line="360" w:lineRule="auto"/>
        <w:jc w:val="both"/>
        <w:rPr>
          <w:rFonts w:ascii="Times New Roman" w:hAnsi="Times New Roman" w:cs="Times New Roman"/>
          <w:bCs/>
          <w:lang w:val="en-AU"/>
        </w:rPr>
      </w:pPr>
    </w:p>
    <w:p w14:paraId="448A690B" w14:textId="5871421C" w:rsidR="00020B6E" w:rsidRPr="000E79AA" w:rsidRDefault="00020B6E" w:rsidP="00020B6E">
      <w:pPr>
        <w:spacing w:line="360" w:lineRule="auto"/>
        <w:jc w:val="both"/>
        <w:rPr>
          <w:rFonts w:ascii="Times New Roman" w:hAnsi="Times New Roman" w:cs="Times New Roman"/>
          <w:lang w:val="en-AU"/>
        </w:rPr>
      </w:pPr>
      <w:r w:rsidRPr="000E79AA">
        <w:rPr>
          <w:rFonts w:ascii="Times New Roman" w:hAnsi="Times New Roman" w:cs="Times New Roman"/>
          <w:lang w:val="en-AU"/>
        </w:rPr>
        <w:t>Our study aimed for noradrenergic modulation of the SSRT. Atomoxetine increases extracellular noradrenaline levels across the brain via its actions at the noradrenaline transporter, in particular increasing levels in the prefrontal cortex by three-fold.</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{"citationID":"araglg13dk","properties":{"formattedCitation":"\\super 32,110\\nosupersub{}","plainCitation":"32,110","noteIndex":0},"citationItems":[{"id":4327,"uris":["http://zotero.org/users/local/xUwQuTPV/items/RM3YTAXJ"],"uri":["http://zotero.org/users/local/xUwQuTPV/items/RM3YTAXJ"],"itemData":{"id":4327,"type":"article-journal","abstract":"The selective norepinephrine (NE) transporter inhibitor atomoxetine (formerly called tomoxetine or LY139603) has been shown to alleviate symptoms in Attention Deficit/Hyperactivity Disorder (ADHD). We investigated the mechanism of action of atomoxetine in ADHD by evaluating the interaction of atomoxetine with monoamine transporters, the effects on extracellular levels of monoamines, and the expression of the neuronal activity marker Fos in brain regions. Atomoxetine inhibited binding of radioligands to clonal cell lines transfected with human NE, serotonin (5-HT) and dopamine (DA) transporters with dissociation constants (K(i)) values of 5, 77 and 1451 nM, respectively, demonstrating selectivity for NE transporters. In microdialysis studies, atomoxetine increased extracellular (EX) levels of NE in prefrontal cortex (PFC) 3-fold, but did not alter 5-HT(EX) levels. Atomoxetine also increased DA(EX) concentrations in PFC 3-fold, but did not alter DA(EX) in striatum or nucleus accumbens. In contrast, the psychostimulant methylphenidate, which is used in ADHD therapy, increased NE(EX) and DA(EX) equally in PFC, but also increased DA(EX) in the striatum and nucleus accumbens to the same level. The expression of the neuronal activity marker Fos was increased 3.7-fold in PFC by atomoxetine administration, but was not increased in the striatum or nucleus accumbens, consistent with the regional distribution of increased DA(EX). We hypothesize that the atomoxetine-induced increase of catecholamines in PFC, a region involved in attention and memory, mediates the therapeutic effects of atomoxetine in ADHD. In contrast to methylphenidate, atomoxetine did not increase DA in striatum or nucleus accumbens, suggesting it would not have motoric or drug abuse liabilities.","container-title":"Neuropsychopharmacology","DOI":"10.1016/S0893-133X(02)00346-9","issue":"5","journalAbbreviation":"Neuropsychopharmacology","language":"English","page":"699-711","title":"Atomoxetine increases extracellular levels of norepinephrine and dopamine in prefrontal cortex of rat: a potential mechanism for efficacy in attention deficit/hyperactivity disorder.","volume":"27","author":[{"family":"Bymaster","given":"Frank P."},{"family":"Katner","given":"Jason S."},{"family":"Nelson","given":"David L."},{"family":"Hemrick-Luecke","given":"Susan K."},{"family":"Threlkeld","given":"Penny G."},{"family":"Heiligenstein","given":"John H."},{"family":"Morin","given":"S. Michelle"},{"family":"Gehlert","given":"Donald R."},{"family":"Perry","given":"Kenneth W."}],"issued":{"date-parts":[["2002",11]]}}},{"id":12318,"uris":["http://zotero.org/users/local/xUwQuTPV/items/I633WDBV"],"uri":["http://zotero.org/users/local/xUwQuTPV/items/I633WDBV"],"itemData":{"id":12318,"type":"article-journal","abstract":"Atomoxetine is a selective inhibitor of norepinephrine transporters and is currently being used in the pharmacotherapy of attention deficit/hyperactivity disorder (ADHD). We have previously shown that atomoxetine increased extracellular (EX) concentrations of norepinephrine and dopamine in prefrontal cortex, but unlike the psychostimulant methylphenidate, did not alter dopamineEX in nucleus accumbens or striatum. Using the in vivo microdialysis technique in rat, we investigated the effects of atomoxetine on norepinephrineEX and dopamineEX concentrations in several other brain regions and also evaluated the role of inhibitory autoreceptors on atomoxetine-induced increases of norepinephrineEX concentrations. Atomoxetine (3mg/kg i.p.) increased norepinephrineEX robustly in prefrontal cortex, occipital cortex, lateral hypothalamus, dorsal hippocampus and cerebellum, suggesting that norepinephrineEX is increased throughout the brain by atomoxetine. In lateral hypothalamus and occipital cortex where dopamineEX was quantifiable, atomoxetine did not increase dopamineEX concentrations, in contrast to parallel increases of norepinephrineEX and dopamineEX in prefrontal cortex, indicating a unique effect in prefrontal cortex. Administration of the α2-adrenergic antagonist idazoxan 1h after atomoxetine resulted in increases in prefrontal cortical norepinephrine efflux greater than either compound alone, indicating an attenuating effect of the adrenergic autoreceptors on norepinephrine efflux.","container-title":"Neuropharmacology","DOI":"10.1016/j.neuropharm.2005.11.022","ISSN":"0028-3908","issue":"6","journalAbbreviation":"Neuropharmacology","language":"en","page":"755-760","source":"ScienceDirect","title":"Effect of the attention deficit/hyperactivity disorder drug atomoxetine on extracellular concentrations of norepinephrine and dopamine in several brain regions of the rat","volume":"50","author":[{"family":"Swanson","given":"Chad J."},{"family":"Perry","given":"Kenneth W."},{"family":"Koch-Krueger","given":"Susanne"},{"family":"Katner","given":"Jason"},{"family":"Svensson","given":"Kjell A."},{"family":"Bymaster","given":"Frank P."}],"issued":{"date-parts":[["2006",5,1]]}}}],"schema":"https://github.com/citation-style-language/schema/raw/master/csl-citation.json"}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32,110</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However, atomoxetine may also increase extracellular dopamine levels, particularly in prefrontal cortex.</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{"citationID":"a17pmhg0abe","properties":{"formattedCitation":"\\super 32\\nosupersub{}","plainCitation":"32","noteIndex":0},"citationItems":[{"id":4327,"uris":["http://zotero.org/users/local/xUwQuTPV/items/RM3YTAXJ"],"uri":["http://zotero.org/users/local/xUwQuTPV/items/RM3YTAXJ"],"itemData":{"id":4327,"type":"article-journal","abstract":"The selective norepinephrine (NE) transporter inhibitor atomoxetine (formerly called tomoxetine or LY139603) has been shown to alleviate symptoms in Attention Deficit/Hyperactivity Disorder (ADHD). We investigated the mechanism of action of atomoxetine in ADHD by evaluating the interaction of atomoxetine with monoamine transporters, the effects on extracellular levels of monoamines, and the expression of the neuronal activity marker Fos in brain regions. Atomoxetine inhibited binding of radioligands to clonal cell lines transfected with human NE, serotonin (5-HT) and dopamine (DA) transporters with dissociation constants (K(i)) values of 5, 77 and 1451 nM, respectively, demonstrating selectivity for NE transporters. In microdialysis studies, atomoxetine increased extracellular (EX) levels of NE in prefrontal cortex (PFC) 3-fold, but did not alter 5-HT(EX) levels. Atomoxetine also increased DA(EX) concentrations in PFC 3-fold, but did not alter DA(EX) in striatum or nucleus accumbens. In contrast, the psychostimulant methylphenidate, which is used in ADHD therapy, increased NE(EX) and DA(EX) equally in PFC, but also increased DA(EX) in the striatum and nucleus accumbens to the same level. The expression of the neuronal activity marker Fos was increased 3.7-fold in PFC by atomoxetine administration, but was not increased in the striatum or nucleus accumbens, consistent with the regional distribution of increased DA(EX). We hypothesize that the atomoxetine-induced increase of catecholamines in PFC, a region involved in attention and memory, mediates the therapeutic effects of atomoxetine in ADHD. In contrast to methylphenidate, atomoxetine did not increase DA in striatum or nucleus accumbens, suggesting it would not have motoric or drug abuse liabilities.","container-title":"Neuropsychopharmacology","DOI":"10.1016/S0893-133X(02)00346-9","issue":"5","journalAbbreviation":"Neuropsychopharmacology","language":"English","page":"699-711","title":"Atomoxetine increases extracellular levels of norepinephrine and dopamine in prefrontal cortex of rat: a potential mechanism for efficacy in attention deficit/hyperactivity disorder.","volume":"27","author":[{"family":"Bymaster","given":"Frank P."},{"family":"Katner","given":"Jason S."},{"family":"Nelson","given":"David L."},{"family":"Hemrick-Luecke","given":"Susan K."},{"family":"Threlkeld","given":"Penny G."},{"family":"Heiligenstein","given":"John H."},{"family":"Morin","given":"S. Michelle"},{"family":"Gehlert","given":"Donald R."},{"family":"Perry","given":"Kenneth W."}],"issued":{"date-parts":[["2002",11]]}}}],"schema":"https://github.com/citation-style-language/schema/raw/master/csl-citation.json"}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32</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Due to the relative sparsity of dopamine transporters in the prefrontal cortex,</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{"citationID":"aj1l29jomj","properties":{"formattedCitation":"\\super 111\\nosupersub{}","plainCitation":"111","noteIndex":0},"citationItems":[{"id":12322,"uris":["http://zotero.org/users/local/xUwQuTPV/items/LPYC3TFE"],"uri":["http://zotero.org/users/local/xUwQuTPV/items/LPYC3TFE"],"itemData":{"id":12322,"type":"article-journal","container-title":"The Journal of Neuroscience","DOI":"10.1523/JNEUROSCI.18-07-02697.1998","ISSN":"0270-6474, 1529-2401","issue":"7","journalAbbreviation":"J. Neurosci.","language":"en","page":"2697-2708","source":"DOI.org (Crossref)","title":"Dopamine Axon Varicosities in the Prelimbic Division of the Rat Prefrontal Cortex Exhibit Sparse Immunoreactivity for the Dopamine Transporter","volume":"18","author":[{"family":"Sesack","given":"Susan R."},{"family":"Hawrylak","given":"Valerie A."},{"family":"Matus","given":"Claudia"},{"family":"Guido","given":"Margaret A."},{"family":"Levey","given":"Allan I."}],"issued":{"date-parts":[["1998",4,1]]}}}],"schema":"https://github.com/citation-style-language/schema/raw/master/csl-citation.json"}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111</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a portion of dopamine uptake is mediated by the noradrenaline transporter.</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{"citationID":"am5jar3teu","properties":{"formattedCitation":"\\super 112,113\\nosupersub{}","plainCitation":"112,113","noteIndex":0},"citationItems":[{"id":12326,"uris":["http://zotero.org/users/local/xUwQuTPV/items/TZ9GX5GZ"],"uri":["http://zotero.org/users/local/xUwQuTPV/items/TZ9GX5GZ"],"itemData":{"id":12326,"type":"article-journal","container-title":"The Journal of Neuroscience","DOI":"10.1523/JNEUROSCI.21-01-00035.2001","ISSN":"0270-6474, 1529-2401","issue":"1","journalAbbreviation":"J. Neurosci.","language":"en","page":"35-44","source":"DOI.org (Crossref)","title":"Characterization of Extracellular Dopamine Clearance in the Medial Prefrontal Cortex: Role of Monoamine Uptake and Monoamine Oxidase Inhibition","title-short":"Characterization of Extracellular Dopamine Clearance in the Medial Prefrontal Cortex","volume":"21","author":[{"family":"Wayment","given":"Hollie K."},{"family":"Schenk","given":"James O."},{"family":"Sorg","given":"Barbara A."}],"issued":{"date-parts":[["2001",1,1]]}}},{"id":12324,"uris":["http://zotero.org/users/local/xUwQuTPV/items/M5Z8ZBP8"],"uri":["http://zotero.org/users/local/xUwQuTPV/items/M5Z8ZBP8"],"itemData":{"id":12324,"type":"article-journal","abstract":"Mesocotical dopamine (DA) inputs to the prefrontal cortex (PFC) play a crtical role in normal cognitive process and neuropsychiatic pathologies. This DA input regulates aspects of working memory function, planning and attention, and its dysfunctions may underlie positive and negative symtoms and cognitive deﬁcits associated with schizophrenia. Despite intense research, there is still a lack of clear understanding of the basic principles of actions of DA in the PFC. In recent years, there has been considerable efforts by many groups to understand the cellular mechanisms of DA modulation of PFC neurons. However, the results of these efforts often lead to contradictions and controversies. One principal feature of DA that is agreed by most researchers is that DA is a neuromodulator and is clearly not an excitatory or inhibitory neurotransmitter. The present article aims to identify certain principles of DA mechanisms by drawing on published, as well as unpublished data from PFC and other CNS sites to shed light on aspects of DA neuromodulation and address some of the existing controversies. Eighteen key features about DA modulation have been identiﬁed. These points directly impact on the end result of DA neuromodulation, and in some cases explain why DA does not yield identical effects under all experimental conditions. It will become apparent that DA’s actions in PFC are subtle and depend on a variety of factors that can no longer be ignored. Some of these key factors include distinct bell-shaped dose–response proﬁles of postsynaptic DA effects, different postsynaptic responses that are contingent on the duration of DA receptor stimulation, prolonged duration effects, bidirectional effects following activation of D1 and D2 classes of receptors and membrane potential state and history dependence of subsequent DA actions. It is hoped that these factors will be borne in mind in future research and as a result a more consistent picture of DA neuromodulation in the PFC will emerge. Based on these factors, a theory is proposed for DA’s action in PFC. This theory suggests that DA acts to expand or contract the breadth of information held in working memory buffers in PFC networks.","container-title":"Progress in Neurobiology","DOI":"10.1016/j.pneurobio.2004.05.006","ISSN":"03010082","issue":"1","journalAbbreviation":"Progress in Neurobiology","language":"en","page":"1-58","source":"DOI.org (Crossref)","title":"The principal features and mechanisms of dopamine modulation in the prefrontal cortex","volume":"74","author":[{"family":"Seamans","given":"Jeremy K."},{"family":"Yang","given":"Charles R."}],"issued":{"date-parts":[["2004",9]]}}}],"schema":"https://github.com/citation-style-language/schema/raw/master/csl-citation.json"}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112,113</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In this way, improved response inhibition under atomoxetine in Parkinson’s disease might potentially also reflect elevated prefrontal dopamine levels. The respective roles of noradrenergic </w:t>
      </w:r>
      <w:r w:rsidRPr="000E79AA">
        <w:rPr>
          <w:rFonts w:ascii="Times New Roman" w:hAnsi="Times New Roman" w:cs="Times New Roman"/>
          <w:i/>
          <w:lang w:val="en-AU"/>
        </w:rPr>
        <w:t>versus</w:t>
      </w:r>
      <w:r w:rsidRPr="000E79AA">
        <w:rPr>
          <w:rFonts w:ascii="Times New Roman" w:hAnsi="Times New Roman" w:cs="Times New Roman"/>
          <w:lang w:val="en-AU"/>
        </w:rPr>
        <w:t xml:space="preserve"> dopaminergic modulation over the SSRT is not fully resolved. Some studies in rodents and humans have implicated a selective link between noradrenergic transmission and action cancellation: increasing dopamine selectively does not affect the SSRT.</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{"citationID":"UZA7pjGn","properties":{"formattedCitation":"\\super 114\\uc0\\u8211{}117\\nosupersub{}","plainCitation":"114–117","noteIndex":0},"citationItems":[{"id":12330,"uris":["http://zotero.org/users/local/xUwQuTPV/items/4QHRZASY"],"uri":["http://zotero.org/users/local/xUwQuTPV/items/4QHRZASY"],"itemData":{"id":12330,"type":"article-journal","abstract":"The objective of this study was to investigate the effects of methylphenidate (MPH) on attention and inhibition in children with Attention Deﬁcit Hyperactivity Disorder (ADHD) and to establish what the relative contributions of the noradrenergic and dopaminergic systems to this effect were. In addition to MPH, two other drugs were administered in order to affect both transmitter systems more selectively, l-dopa (dopamine (DA) agonist) and desipramine (DMI) (noradrenaline (NA) re-uptake inhibitor). Sixteen children with ADHD performed a stop-task, a laboratory task that measures the ability to inhibit an ongoing action, in a double-blind randomized within-subjects design. Each child received an acute clinical dose of MPH, DMI, l-dopa, and placebo; measures of performance and plasma were determined. The results indicated that inhibition performance was improved under DMI but not under MPH or l-dopa. The response-time to the stop-signal was marginally shortened after intake of DMI. MPH decreased omission and choice-errors and caused faster reaction times to the trials without the stop-tone. No effects of l-dopa whatsoever were noted. Prolactin levels were increased and 5-HIAA levels were lowered under DMI relative to placebo. It is suggested that the effects of MPH on attention are due to a combination of noradrenergic and dopaminergic mechanisms. The improved inhibition under DMI could be serotonergically mediated.","container-title":"Behavioural Brain Research","DOI":"10.1016/S0166-4328(03)00097-4","ISSN":"01664328","issue":"1-2","journalAbbreviation":"Behavioural Brain Research","language":"en","page":"7-15","source":"DOI.org (Crossref)","title":"Effects of methylphenidate, desipramine, and l-dopa on attention and inhibition in children with Attention Deficit Hyperactivity Disorder","volume":"145","author":[{"family":"Overtoom","given":"C.C.E"},{"family":"Verbaten","given":"M.N"},{"family":"Kemner","given":"C"},{"family":"Kenemans","given":"J.L"},{"family":"Engeland","given":"H.van"},{"family":"Buitelaar","given":"J.K"},{"family":"Molen","given":"M.W","non-dropping-particle":"van der"},{"family":"Gugten","given":"J","non-dropping-particle":"van der"},{"family":"Westenberg","given":"H"},{"family":"Maes","given":"R.A.A"},{"family":"Koelega","given":"H.S"}],"issued":{"date-parts":[["2003",10]]}}},{"id":12328,"uris":["http://zotero.org/users/local/xUwQuTPV/items/AGIWHSVY"],"uri":["http://zotero.org/users/local/xUwQuTPV/items/AGIWHSVY"],"itemData":{"id":12328,"type":"article-journal","abstract":"Rationale The stop-signal paradigm measures the ability to stop a motor response after its execution has been initiated. Impairments in inhibiting inappropriate behavior and prolonged stop-signal reaction times (SSRTs) are characteristic of several psychiatric disorders, most notably attention deficit/hyperactivity disorder. While there is relative consensus regarding the anatomical substrates of behavioral inhibition, the neurochemical imbalance responsible for the deficits in stopping displayed by impulsive individuals is still a matter of debate.","container-title":"Psychopharmacology","DOI":"10.1007/s00213-009-1537-0","ISSN":"0033-3158, 1432-2072","issue":"2","journalAbbreviation":"Psychopharmacology","language":"en","page":"273-283","source":"DOI.org (Crossref)","title":"Dissociable effects of noradrenaline, dopamine, and serotonin uptake blockade on stop task performance in rats","volume":"205","author":[{"family":"Bari","given":"Andrea"},{"family":"Eagle","given":"Dawn M."},{"family":"Mar","given":"Adam C."},{"family":"Robinson","given":"Emma S. J."},{"family":"Robbins","given":"Trevor W."}],"issued":{"date-parts":[["2009",8]]}}},{"id":12332,"uris":["http://zotero.org/users/local/xUwQuTPV/items/46STRQAI"],"uri":["http://zotero.org/users/local/xUwQuTPV/items/46STRQAI"],"itemData":{"id":12332,"type":"article-journal","container-title":"Experimental Brain Research","DOI":"10.1007/s00221-011-2793-x","ISSN":"0014-4819, 1432-1106","issue":"4","journalAbbreviation":"Exp Brain Res","language":"en","page":"435-445","source":"DOI.org (Crossref)","title":"Levodopa medication does not influence motor inhibition or conflict resolution in a conditional stop-signal task in Parkinson’s disease","volume":"213","author":[{"family":"Obeso","given":"Ignacio"},{"family":"Wilkinson","given":"Leonora"},{"family":"Jahanshahi","given":"Marjan"}],"issued":{"date-parts":[["2011",9]]}}},{"id":14967,"uris":["http://zotero.org/users/local/xUwQuTPV/items/9NBTDLJH"],"uri":["http://zotero.org/users/local/xUwQuTPV/items/9NBTDLJH"],"itemData":{"id":14967,"type":"article-journal","abstract":"Response inhibition describes the cognitive processes mediating the suppression of unwanted actions. A network involving the basal ganglia mediates two forms of response inhibition: reactive and proactive inhibition. Reactive inhibition serves to abruptly stop motor activity, whereas proactive inhibition is goal-orientated and results in slowing of motor activity in anticipation of stopping. Due to its impairment in several psychiatric disorders, the neurochemistry of response inhibition has become of recent interest. Dopamine has been posed as a candidate mediator of response inhibition due to its role in functioning of the basal ganglia and the observation that pa­ tients with Parkinson’s disease on dopamine agonists develop impulse control disorders. Although the effects of dopamine on reactive inhibition have been studied, substantial literature on the role of dopamine on proactive inhibition is lacking. To fill this gap, we devised a double-blind, placebo-controlled study of 1 mg ropinirole (a dopamine agonist) on response inhibition in healthy volunteers. We found that whilst reactive inhibition was unchanged, proactive inhibition was impaired when participants were on ropinirole relative to when on placebo. To investigate how ropinirole mediated this effect on proactive inhibition, we used hierarchical drift-diffusion modelling. We found that ropinirole impaired the ability to raise the decision threshold when proactive inhi­ bition was called upon. Our results provide novel evidence that an acute dose of ropinirole selectively reduces proactive inhibition in healthy participants. These results may help explain how ropinirole induces impulse control disorders in susceptible patients with Parkinson’s disease.","container-title":"Neuropharmacology","DOI":"10.1016/j.neuropharm.2020.108278","ISSN":"00283908","journalAbbreviation":"Neuropharmacology","language":"en","page":"108278","source":"DOI.org (Crossref)","title":"Ropinirole, a dopamine agonist with high D3 affinity, reduces proactive inhibition: A double-blind, placebo-controlled study in healthy adults","title-short":"Ropinirole, a dopamine agonist with high D3 affinity, reduces proactive inhibition","volume":"179","author":[{"family":"Rawji","given":"Vishal"},{"family":"Rocchi","given":"Lorenzo"},{"family":"Foltynie","given":"Tom"},{"family":"Rothwell","given":"John C."},{"family":"Jahanshahi","given":"Marjan"}],"issued":{"date-parts":[["2020",11]]}}}],"schema":"https://github.com/citation-style-language/schema/raw/master/csl-citation.json"}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114–117</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This work has been taken in concert with studies using agents that non-selectively change both dopamine and noradrenaline and </w:t>
      </w:r>
      <w:r w:rsidRPr="000E79AA">
        <w:rPr>
          <w:rFonts w:ascii="Times New Roman" w:hAnsi="Times New Roman" w:cs="Times New Roman"/>
          <w:i/>
          <w:iCs/>
          <w:lang w:val="en-AU"/>
        </w:rPr>
        <w:t>do</w:t>
      </w:r>
      <w:r w:rsidRPr="000E79AA">
        <w:rPr>
          <w:rFonts w:ascii="Times New Roman" w:hAnsi="Times New Roman" w:cs="Times New Roman"/>
          <w:lang w:val="en-AU"/>
        </w:rPr>
        <w:t xml:space="preserve"> affect the SSRT. For example, haloperidol and methylphenidate are shown to modulate the SSRT, having both dopaminergic and non-dopaminergic effects.</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{"citationID":"EW2rTvKv","properties":{"formattedCitation":"\\super 118\\uc0\\u8211{}121\\nosupersub{}","plainCitation":"118–121","noteIndex":0},"citationItems":[{"id":14677,"uris":["http://zotero.org/users/local/xUwQuTPV/items/WEG6E55X"],"uri":["http://zotero.org/users/local/xUwQuTPV/items/WEG6E55X"],"itemData":{"id":14677,"type":"article-journal","container-title":"Journal of abnormal child psychology","issue":"1","note":"ISBN: 0091-0627\npublisher: Springer","page":"105-120","title":"The effect of methylphenidate on three forms of response inhibition in boys with AD/HD","volume":"31","author":[{"family":"Scheres","given":"Anouk"},{"family":"Oosterlaan","given":"Jaap"},{"family":"Swanson","given":"James"},{"family":"Morein-Zamir","given":"Sharon"},{"family":"Meiran","given":"Nachson"},{"family":"Schut","given":"Harry"},{"family":"Vlasveld","given":"Laurens"},{"family":"Sergeant","given":"Joseph A."}],"issued":{"date-parts":[["2003"]]}}},{"id":14676,"uris":["http://zotero.org/users/local/xUwQuTPV/items/FCDRX5FP"],"uri":["http://zotero.org/users/local/xUwQuTPV/items/FCDRX5FP"],"itemData":{"id":14676,"type":"article-journal","container-title":"Biological psychiatry","issue":"9","note":"ISBN: 0006-3223\npublisher: Elsevier","page":"902-904","title":"Methylphenidate but not atomoxetine or citalopram modulates inhibitory control and response time variability","volume":"69","author":[{"family":"Nandam","given":"L. Sanjay"},{"family":"Hester","given":"Robert"},{"family":"Wagner","given":"Joe"},{"family":"Cummins","given":"Tarrant DR"},{"family":"Garner","given":"Kelly"},{"family":"Dean","given":"Angela J."},{"family":"Kim","given":"Bung Nyun"},{"family":"Nathan","given":"Pradeep J."},{"family":"Mattingley","given":"Jason B."},{"family":"Bellgrove","given":"Mark A."}],"issued":{"date-parts":[["2011"]]}}},{"id":14675,"uris":["http://zotero.org/users/local/xUwQuTPV/items/MD47DCZU"],"uri":["http://zotero.org/users/local/xUwQuTPV/items/MD47DCZU"],"itemData":{"id":14675,"type":"article-journal","container-title":"Cerebral Cortex","issue":"1","note":"ISBN: 1460-2199\npublisher: Oxford University Press","page":"174-185","title":"Shared and drug-specific effects of atomoxetine and methylphenidate on inhibitory brain dysfunction in medication-naive ADHD boys","volume":"24","author":[{"family":"Cubillo","given":"Ana"},{"family":"Smith","given":"Anna B."},{"family":"Barrett","given":"Nadia"},{"family":"Giampietro","given":"Vincent"},{"family":"Brammer","given":"Michael J."},{"family":"Simmons","given":"Andrew"},{"family":"Rubia","given":"Katya"}],"issued":{"date-parts":[["2014"]]}}},{"id":14652,"uris":["http://zotero.org/users/local/xUwQuTPV/items/JXKZYDSI"],"uri":["http://zotero.org/users/local/xUwQuTPV/items/JXKZYDSI"],"itemData":{"id":14652,"type":"article-journal","abstract":"Rationale The dopaminergic system has been implicated in visuospatial attention and inhibition, but the exact role has yet to be elucidated. Scarce literature suggests that attenuation of dopaminergic neurotransmission negatively affects attentional focusing and inhibition. To the best of our knowledge, this is the first study that evaluated the effect of dopaminergic antagonism on stopping performance.","container-title":"Psychopharmacology","DOI":"10.1007/s00213-016-4454-z","ISSN":"0033-3158, 1432-2072","issue":"2","journalAbbreviation":"Psychopharmacology","language":"en","page":"235-244","source":"DOI.org (Crossref)","title":"Haloperidol 2 mg impairs inhibition but not visuospatial attention","volume":"234","author":[{"family":"Logemann","given":"H.N. Alexander"},{"family":"Böcker","given":"Koen B.E."},{"family":"Deschamps","given":"Peter K.H."},{"family":"Harten","given":"Peter N.","non-dropping-particle":"van"},{"family":"Koning","given":"Jeroen"},{"family":"Kemner","given":"Chantal"},{"family":"Logemann-Molnár","given":"Zsófia"},{"family":"Kenemans","given":"J. Leon"}],"issued":{"date-parts":[["2017",1]]}}}],"schema":"https://github.com/citation-style-language/schema/raw/master/csl-citation.json"}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118–121</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One interpretation of this body of work is that the effects of the non-selective drugs are primarily driven by their noradrenergic actions, given that selective dopamine manipulations do not reliably modulate SSRT. However, some studies have found modulation of the SSRT using relatively selective dopamine drugs</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{"citationID":"pGyrP4zw","properties":{"formattedCitation":"\\super 122,123\\nosupersub{}","plainCitation":"122,123","noteIndex":0},"citationItems":[{"id":14665,"uris":["http://zotero.org/users/local/xUwQuTPV/items/K7W3Q8U2"],"uri":["http://zotero.org/users/local/xUwQuTPV/items/K7W3Q8U2"],"itemData":{"id":14665,"type":"article-journal","container-title":"Journal of Neuroscience","DOI":"10.1523/JNEUROSCI.6182-10.2011","ISSN":"0270-6474, 1529-2401","issue":"20","journalAbbreviation":"Journal of Neuroscience","language":"en","page":"7349-7356","source":"DOI.org (Crossref)","title":"Contrasting Roles for Dopamine D1 and D2 Receptor Subtypes in the Dorsomedial Striatum but Not the Nucleus Accumbens Core during Behavioral Inhibition in the Stop-Signal Task in Rats","volume":"31","author":[{"family":"Eagle","given":"D. M."},{"family":"Wong","given":"J. C. K."},{"family":"Allan","given":"M. E."},{"family":"Mar","given":"A. C."},{"family":"Theobald","given":"D. E."},{"family":"Robbins","given":"T. W."}],"issued":{"date-parts":[["2011",5,18]]}}},{"id":14969,"uris":["http://zotero.org/users/local/xUwQuTPV/items/EGTUCH7I"],"uri":["http://zotero.org/users/local/xUwQuTPV/items/EGTUCH7I"],"itemData":{"id":14969,"type":"article-journal","abstract":"Response inhibition, comprising action cancellation and action restraint, and error awareness are executive functions of considerable clinical relevance to neuropsychiatric disorders. Nevertheless, our understanding of their underlying catecholamine mechanisms, particularly regarding dopamine, is limited. Here, we used the dopamine D\n              2\n              agonist cabergoline to study its ability to improve inhibitory control and modulate awareness of performance errors. A randomized, double-blind, placebo-controlled, crossover design with a single dose of cabergoline (1.25 mg) and placebo (dextrose) was employed in 25 healthy participants. They each performed the stop-signal task, a well-validated measure of action cancellation, and the Error Awareness Task, a go/no-go measure of action restraint and error awareness, under each drug condition. Cabergoline was able to selectively reduce stop-signal RT, compared with placebo, indicative of enhanced action cancellation (p &lt; .05). This enhancement occurred without concomitant changes in overall response speed or RT variability and was not seen for errors of commission on the Error Awareness Task. Awareness of performance errors on the go/no-go task was, however, significantly improved by cabergoline compared with placebo (p &lt; .05). Our results contribute to growing evidence for the dopaminergic control of distinct aspects of human executive ability, namely, action cancellation and error awareness. The findings may aid the development of new, or the repurposing of existing, pharmacotherapy that targets the cognitive dysfunction of psychiatric and neurological disorders. They also provide further evidence that specific cognitive paradigms have correspondingly specific neurochemical bases.","container-title":"Journal of Cognitive Neuroscience","DOI":"10.1162/jocn_a_00327","ISSN":"0898-929X, 1530-8898","issue":"4","journalAbbreviation":"Journal of Cognitive Neuroscience","language":"en","page":"649-656","source":"DOI.org (Crossref)","title":"Dopamine D2 Receptor Modulation of Human Response Inhibition and Error Awareness","volume":"25","author":[{"family":"Nandam","given":"L. Sanjay"},{"family":"Hester","given":"Robert"},{"family":"Wagner","given":"Joe"},{"family":"Dean","given":"Angela J."},{"family":"Messer","given":"Cassandra"},{"family":"Honeysett","given":"Asha"},{"family":"Nathan","given":"Pradeep J."},{"family":"Bellgrove","given":"Mark A."}],"issued":{"date-parts":[["2013",4]]}}}],"schema":"https://github.com/citation-style-language/schema/raw/master/csl-citation.json"}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122,123</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and dopamine receptor availability is associated with SSRT performance.</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{"citationID":"3qwHq8wu","properties":{"formattedCitation":"\\super 124\\nosupersub{}","plainCitation":"124","noteIndex":0},"citationItems":[{"id":14654,"uris":["http://zotero.org/users/local/xUwQuTPV/items/KS4QPQKU"],"uri":["http://zotero.org/users/local/xUwQuTPV/items/KS4QPQKU"],"itemData":{"id":14654,"type":"article-journal","container-title":"Journal of Neuroscience","DOI":"10.1523/JNEUROSCI.4284-11.2012","ISSN":"0270-6474, 1529-2401","issue":"21","journalAbbreviation":"Journal of Neuroscience","language":"en","page":"7316-7324","source":"DOI.org (Crossref)","title":"Striatal Dopamine D2/D3 Receptors Mediate Response Inhibition and Related Activity in Frontostriatal Neural Circuitry in Humans","volume":"32","author":[{"family":"Ghahremani","given":"D. G."},{"family":"Lee","given":"B."},{"family":"Robertson","given":"C. L."},{"family":"Tabibnia","given":"G."},{"family":"Morgan","given":"A. T."},{"family":"De Shetler","given":"N."},{"family":"Brown","given":"A. K."},{"family":"Monterosso","given":"J. R."},{"family":"Aron","given":"A. R."},{"family":"Mandelkern","given":"M. A."},{"family":"Poldrack","given":"R. A."},{"family":"London","given":"E. D."}],"issued":{"date-parts":[["2012",5,23]]}}}],"schema":"https://github.com/citation-style-language/schema/raw/master/csl-citation.json"}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124</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The specificity of noradrenergic </w:t>
      </w:r>
      <w:r w:rsidRPr="000E79AA">
        <w:rPr>
          <w:rFonts w:ascii="Times New Roman" w:hAnsi="Times New Roman" w:cs="Times New Roman"/>
          <w:i/>
          <w:lang w:val="en-AU"/>
        </w:rPr>
        <w:t>versus</w:t>
      </w:r>
      <w:r w:rsidRPr="000E79AA">
        <w:rPr>
          <w:rFonts w:ascii="Times New Roman" w:hAnsi="Times New Roman" w:cs="Times New Roman"/>
          <w:lang w:val="en-AU"/>
        </w:rPr>
        <w:t xml:space="preserve"> dopaminergic modulation of the SSRT is not fully elucidated. These two closely related neurotransmitters </w:t>
      </w:r>
      <w:r w:rsidRPr="000E79AA">
        <w:rPr>
          <w:rFonts w:ascii="Times New Roman" w:hAnsi="Times New Roman" w:cs="Times New Roman"/>
          <w:lang w:val="en-AU"/>
        </w:rPr>
        <w:lastRenderedPageBreak/>
        <w:t>share a common biosynthetic pathway. They can be co-released from the same terminals</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{"citationID":"a16js420qri","properties":{"formattedCitation":"\\super 125\\uc0\\u8211{}127\\nosupersub{}","plainCitation":"125–127","noteIndex":0},"citationItems":[{"id":14656,"uris":["http://zotero.org/users/local/xUwQuTPV/items/JBBYD3LC"],"uri":["http://zotero.org/users/local/xUwQuTPV/items/JBBYD3LC"],"itemData":{"id":14656,"type":"article-journal","container-title":"Molecular Psychiatry","DOI":"10.1038/sj.mp.4000904","ISSN":"1359-4184, 1476-5578","issue":"6","journalAbbreviation":"Mol Psychiatry","language":"en","page":"657-664","source":"DOI.org (Crossref)","title":"Evidence for co-release of noradrenaline and dopamine from noradrenergic neurons in the cerebral cortex","volume":"6","author":[{"family":"Devoto","given":"P"},{"family":"Flore","given":"G"},{"family":"Pani","given":"L"},{"family":"Gessa","given":"G L"}],"issued":{"date-parts":[["2001",11]]}}},{"id":14659,"uris":["http://zotero.org/users/local/xUwQuTPV/items/E399A827"],"uri":["http://zotero.org/users/local/xUwQuTPV/items/E399A827"],"itemData":{"id":14659,"type":"article-journal","abstract":"Our previous studies have suggested that dopamine and noradrenaline may be coreleased from noradrenergic nerve terminals in the cerebral cortex. To further clarify this issue, the effect of electrical stimulation of the locus coeruleus on extracellular noradrenaline, dopamine and DOPAC in the medial prefrontal cortex, parietal cortex and caudate nucleus was analysed by microdialysis in freely moving rats. Stimulation of the locus coeruleus for 20 min with evenly spaced pulses at 1 Hz failed to modify cortical catecholamines and DOPAC levels. Stimulation with bursts of pulses at 12 and 24 Hz increased, in a frequency-related manner, not only noradrenaline but also dopamine and DOPAC in the two cortices. In both cortices noradrenaline returned to baseline within 20 min of stimulation, irrespective of the stimulation frequency, whereas dopamine returned to normal within 20 and 60 min in the medial prefrontal cortex and within 60 and 80 min in the parietal cortex after 12 and 24 Hz stimulation, respectively. DOPAC remained elevated throughout the experimental period. Phasic stimulation of the locus coeruleus at 12 Hz increased noradrenaline in the caudate nucleus as in the cerebral cortices but was totally ineffective on dopamine and DOPAC. Tetrodotoxin perfusion into the medial prefrontal cortex dramatically reduced noradrenaline and dopamine levels and suppressed the effect of electrical stimulation. These results indicate that electrical stimulation-induced increase of dopamine is a nerve impulse exocytotic process and suggest that cortical dopamine and noradrenaline may be coreleased from noradrenergic terminals.","container-title":"Journal of Neurochemistry","DOI":"https://doi.org/10.1111/j.1471-4159.2004.02866.x","ISSN":"1471-4159","issue":"2","language":"en","note":"_eprint: https://onlinelibrary.wiley.com/doi/pdf/10.1111/j.1471-4159.2004.02866.x","page":"368-374","source":"Wiley Online Library","title":"Stimulation of the locus coeruleus elicits noradrenaline and dopamine release in the medial prefrontal and parietal cortex","volume":"92","author":[{"family":"Devoto","given":"Paola"},{"family":"Flore","given":"Giovanna"},{"family":"Saba","given":"Pierluigi"},{"family":"Fà","given":"Mauro"},{"family":"Gessa","given":"Gian Luigi"}],"issued":{"date-parts":[["2005"]]}}},{"id":437,"uris":["http://zotero.org/users/local/xUwQuTPV/items/IYFIVCWH"],"uri":["http://zotero.org/users/local/xUwQuTPV/items/IYFIVCWH"],"itemData":{"id":437,"type":"article-journal","abstract":"Trends in Neurosciences, 42 (2019) 102-114. doi:10.1016/j.tins.2018.10.002","container-title":"Trends in Neurosciences","DOI":"10.1016/j.tins.2018.10.002","issue":"2","journalAbbreviation":"Trends in Neurosciences","page":"102-114","title":"Novelty and Dopaminergic Modulation of Memory Persistence: A Tale of Two Systems","volume":"42","author":[{"family":"Duszkiewicz","given":"Adrian J."},{"family":"McNamara","given":"Colin G."},{"family":"Takeuchi","given":"Tomonori"},{"family":"Genzel","given":"Lisa"}],"issued":{"date-parts":[["2019",2,1]]}}}],"schema":"https://github.com/citation-style-language/schema/raw/master/csl-citation.json"}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125–127</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and both modulate goal-directed behaviour</w:t>
      </w:r>
      <w:r w:rsidR="00C119CA" w:rsidRPr="000E79AA">
        <w:rPr>
          <w:rFonts w:ascii="Times New Roman" w:hAnsi="Times New Roman" w:cs="Times New Roman"/>
          <w:lang w:val="en-AU"/>
        </w:rPr>
        <w:t>.</w:t>
      </w:r>
      <w:r w:rsidRPr="000E79AA">
        <w:rPr>
          <w:rFonts w:ascii="Times New Roman" w:hAnsi="Times New Roman" w:cs="Times New Roman"/>
          <w:lang w:val="en-AU"/>
        </w:rPr>
        <w:fldChar w:fldCharType="begin"/>
      </w:r>
      <w:r w:rsidRPr="000E79AA">
        <w:rPr>
          <w:rFonts w:ascii="Times New Roman" w:hAnsi="Times New Roman" w:cs="Times New Roman"/>
          <w:lang w:val="en-AU"/>
        </w:rPr>
        <w:instrText xml:space="preserve"> ADDIN ZOTERO_ITEM CSL_CITATION {"citationID":"jWkQO29l","properties":{"formattedCitation":"\\super 128\\nosupersub{}","plainCitation":"128","noteIndex":0},"citationItems":[{"id":14534,"uris":["http://zotero.org/users/local/xUwQuTPV/items/VVEINVI8"],"uri":["http://zotero.org/users/local/xUwQuTPV/items/VVEINVI8"],"itemData":{"id":14534,"type":"article-journal","container-title":"Journal of Neuroscience","DOI":"10.1523/JNEUROSCI.0454-15.2015","ISSN":"0270-6474, 1529-2401","issue":"20","journalAbbreviation":"Journal of Neuroscience","language":"en","page":"7866-7877","source":"DOI.org (Crossref)","title":"Noradrenaline and Dopamine Neurons in the Reward/Effort Trade-Off: A Direct Electrophysiological Comparison in Behaving Monkeys","title-short":"Noradrenaline and Dopamine Neurons in the Reward/Effort Trade-Off","volume":"35","author":[{"family":"Varazzani","given":"C."},{"family":"San-Galli","given":"A."},{"family":"Gilardeau","given":"S."},{"family":"Bouret","given":"S."}],"issued":{"date-parts":[["2015",5,20]]}}}],"schema":"https://github.com/citation-style-language/schema/raw/master/csl-citation.json"} </w:instrText>
      </w:r>
      <w:r w:rsidRPr="000E79AA">
        <w:rPr>
          <w:rFonts w:ascii="Times New Roman" w:hAnsi="Times New Roman" w:cs="Times New Roman"/>
          <w:lang w:val="en-AU"/>
        </w:rPr>
        <w:fldChar w:fldCharType="separate"/>
      </w:r>
      <w:r w:rsidRPr="000E79AA">
        <w:rPr>
          <w:rFonts w:ascii="Times New Roman" w:hAnsi="Times New Roman" w:cs="Times New Roman"/>
          <w:vertAlign w:val="superscript"/>
          <w:lang w:val="en-AU"/>
        </w:rPr>
        <w:t>128</w:t>
      </w:r>
      <w:r w:rsidRPr="000E79AA">
        <w:rPr>
          <w:rFonts w:ascii="Times New Roman" w:hAnsi="Times New Roman" w:cs="Times New Roman"/>
          <w:lang w:val="en-AU"/>
        </w:rPr>
        <w:fldChar w:fldCharType="end"/>
      </w:r>
      <w:r w:rsidRPr="000E79AA">
        <w:rPr>
          <w:rFonts w:ascii="Times New Roman" w:hAnsi="Times New Roman" w:cs="Times New Roman"/>
          <w:lang w:val="en-AU"/>
        </w:rPr>
        <w:t xml:space="preserve"> Although we propose that the principal effect of atomoxetine on SSRT is mediated via noradrenergic mechanisms, dopaminergic effects may also contribute.       </w:t>
      </w:r>
    </w:p>
    <w:p w14:paraId="0CEC94E1" w14:textId="77777777" w:rsidR="00020B6E" w:rsidRPr="000E79AA" w:rsidRDefault="00020B6E" w:rsidP="00020B6E">
      <w:pPr>
        <w:spacing w:line="360" w:lineRule="auto"/>
        <w:jc w:val="both"/>
        <w:rPr>
          <w:rFonts w:ascii="Times New Roman" w:hAnsi="Times New Roman" w:cs="Times New Roman"/>
          <w:lang w:val="en-AU"/>
        </w:rPr>
      </w:pPr>
    </w:p>
    <w:p w14:paraId="1175E302" w14:textId="6B1832F5" w:rsidR="00014281" w:rsidRPr="000E79AA" w:rsidRDefault="00020B6E" w:rsidP="00020B6E">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In practical terms, a key question is whether ‘noradrenergic’ drugs offer a useful strategy to treat inhibitory control deficits. The association we have shown between locus coeruleus integrity and the change in SSRT under atomoxetine suggests a causal association between the noradrenergic system and action cancellation in Parkinson’s disease. Our </w:t>
      </w:r>
      <w:r w:rsidRPr="000E79AA">
        <w:rPr>
          <w:rFonts w:ascii="Times New Roman" w:hAnsi="Times New Roman" w:cs="Times New Roman"/>
          <w:i/>
          <w:lang w:val="en-AU"/>
        </w:rPr>
        <w:t>post hoc</w:t>
      </w:r>
      <w:r w:rsidRPr="000E79AA">
        <w:rPr>
          <w:rFonts w:ascii="Times New Roman" w:hAnsi="Times New Roman" w:cs="Times New Roman"/>
          <w:lang w:val="en-AU"/>
        </w:rPr>
        <w:t xml:space="preserve"> supplementary analyses with brain volume and substantia nigra integrity showed these covariates did not influence that association. This indicates a degree of specificity for the locus coeruleus-noradrenergic system’s role in the SSRT in Parkinson’s disease. However, future cross-over studies using specific noradrenergic </w:t>
      </w:r>
      <w:r w:rsidRPr="000E79AA">
        <w:rPr>
          <w:rFonts w:ascii="Times New Roman" w:hAnsi="Times New Roman" w:cs="Times New Roman"/>
          <w:i/>
          <w:lang w:val="en-AU"/>
        </w:rPr>
        <w:t>versus</w:t>
      </w:r>
      <w:r w:rsidRPr="000E79AA">
        <w:rPr>
          <w:rFonts w:ascii="Times New Roman" w:hAnsi="Times New Roman" w:cs="Times New Roman"/>
          <w:lang w:val="en-AU"/>
        </w:rPr>
        <w:t xml:space="preserve"> dopaminergic agents would be beneficial to resolve residual ambiguity. Our current results point towards atomoxetine as a useful strategy to treat inhibitory deficits in Parkinson’s disease, in the context of appropriate stratification using locus coeruleus integrity.</w:t>
      </w:r>
    </w:p>
    <w:p w14:paraId="70CED2EE" w14:textId="77777777" w:rsidR="00020B6E" w:rsidRPr="000E79AA" w:rsidRDefault="00020B6E" w:rsidP="00641DB6">
      <w:pPr>
        <w:spacing w:line="360" w:lineRule="auto"/>
        <w:jc w:val="both"/>
        <w:rPr>
          <w:rFonts w:ascii="Times New Roman" w:hAnsi="Times New Roman" w:cs="Times New Roman"/>
          <w:bCs/>
          <w:lang w:val="en-AU"/>
        </w:rPr>
      </w:pPr>
    </w:p>
    <w:p w14:paraId="08D40B9B" w14:textId="50EDB80D" w:rsidR="000D37DD" w:rsidRPr="000E79AA" w:rsidRDefault="00190A93" w:rsidP="00BD6B53">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Our </w:t>
      </w:r>
      <w:r w:rsidR="00933AEC" w:rsidRPr="000E79AA">
        <w:rPr>
          <w:rFonts w:ascii="Times New Roman" w:hAnsi="Times New Roman" w:cs="Times New Roman"/>
          <w:bCs/>
          <w:lang w:val="en-AU"/>
        </w:rPr>
        <w:t>results do not speak directly to atomoxetine’s mechanism of action in Parkinson’s disease. However,</w:t>
      </w:r>
      <w:r w:rsidR="0018489B" w:rsidRPr="000E79AA">
        <w:rPr>
          <w:rFonts w:ascii="Times New Roman" w:hAnsi="Times New Roman" w:cs="Times New Roman"/>
          <w:bCs/>
          <w:lang w:val="en-AU"/>
        </w:rPr>
        <w:t xml:space="preserve"> convergent evidence indicates that atomoxetine may increase efficiency in brain networks mediating </w:t>
      </w:r>
      <w:r w:rsidR="00907895" w:rsidRPr="000E79AA">
        <w:rPr>
          <w:rFonts w:ascii="Times New Roman" w:hAnsi="Times New Roman" w:cs="Times New Roman"/>
          <w:bCs/>
          <w:lang w:val="en-AU"/>
        </w:rPr>
        <w:t>response inhibition</w:t>
      </w:r>
      <w:r w:rsidR="0018489B" w:rsidRPr="000E79AA">
        <w:rPr>
          <w:rFonts w:ascii="Times New Roman" w:hAnsi="Times New Roman" w:cs="Times New Roman"/>
          <w:bCs/>
          <w:lang w:val="en-AU"/>
        </w:rPr>
        <w:t>, via actions at the prefrontal cortex and the locus coeruleus</w:t>
      </w:r>
      <w:r w:rsidR="008A3690" w:rsidRPr="000E79AA">
        <w:rPr>
          <w:rFonts w:ascii="Times New Roman" w:hAnsi="Times New Roman" w:cs="Times New Roman"/>
          <w:bCs/>
          <w:lang w:val="en-AU"/>
        </w:rPr>
        <w:t>.</w:t>
      </w:r>
      <w:r w:rsidR="00CE12FA"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{"citationID":"ak7pm57o7h","properties":{"formattedCitation":"\\super 32,40\\nosupersub{}","plainCitation":"32,40","noteIndex":0},"citationItems":[{"id":4327,"uris":["http://zotero.org/users/local/xUwQuTPV/items/RM3YTAXJ"],"uri":["http://zotero.org/users/local/xUwQuTPV/items/RM3YTAXJ"],"itemData":{"id":4327,"type":"article-journal","abstract":"The selective norepinephrine (NE) transporter inhibitor atomoxetine (formerly called tomoxetine or LY139603) has been shown to alleviate symptoms in Attention Deficit/Hyperactivity Disorder (ADHD). We investigated the mechanism of action of atomoxetine in ADHD by evaluating the interaction of atomoxetine with monoamine transporters, the effects on extracellular levels of monoamines, and the expression of the neuronal activity marker Fos in brain regions. Atomoxetine inhibited binding of radioligands to clonal cell lines transfected with human NE, serotonin (5-HT) and dopamine (DA) transporters with dissociation constants (K(i)) values of 5, 77 and 1451 nM, respectively, demonstrating selectivity for NE transporters. In microdialysis studies, atomoxetine increased extracellular (EX) levels of NE in prefrontal cortex (PFC) 3-fold, but did not alter 5-HT(EX) levels. Atomoxetine also increased DA(EX) concentrations in PFC 3-fold, but did not alter DA(EX) in striatum or nucleus accumbens. In contrast, the psychostimulant methylphenidate, which is used in ADHD therapy, increased NE(EX) and DA(EX) equally in PFC, but also increased DA(EX) in the striatum and nucleus accumbens to the same level. The expression of the neuronal activity marker Fos was increased 3.7-fold in PFC by atomoxetine administration, but was not increased in the striatum or nucleus accumbens, consistent with the regional distribution of increased DA(EX). We hypothesize that the atomoxetine-induced increase of catecholamines in PFC, a region involved in attention and memory, mediates the therapeutic effects of atomoxetine in ADHD. In contrast to methylphenidate, atomoxetine did not increase DA in striatum or nucleus accumbens, suggesting it would not have motoric or drug abuse liabilities.","container-title":"Neuropsychopharmacology","DOI":"10.1016/S0893-133X(02)00346-9","issue":"5","journalAbbreviation":"Neuropsychopharmacology","language":"English","page":"699-711","title":"Atomoxetine increases extracellular levels of norepinephrine and dopamine in prefrontal cortex of rat: a potential mechanism for efficacy in attention deficit/hyperactivity disorder.","volume":"27","author":[{"family":"Bymaster","given":"Frank P."},{"family":"Katner","given":"Jason S."},{"family":"Nelson","given":"David L."},{"family":"Hemrick-Luecke","given":"Susan K."},{"family":"Threlkeld","given":"Penny G."},{"family":"Heiligenstein","given":"John H."},{"family":"Morin","given":"S. Michelle"},{"family":"Gehlert","given":"Donald R."},{"family":"Perry","given":"Kenneth W."}],"issued":{"date-parts":[["2002",11]]}}},{"id":4331,"uris":["http://zotero.org/users/local/xUwQuTPV/items/T9Z8DCDQ"],"uri":["http://zotero.org/users/local/xUwQuTPV/items/T9Z8DCDQ"],"itemData":{"id":4331,"type":"article-journal","abstract":"Neuropharmacology, 64 (2013) 53-64. doi:10.1016/j.neuropharm.2012.07.020","container-title":"Neuropharmacology","DOI":"10.1016/j.neuropharm.2012.07.020","issue":"c","journalAbbreviation":"Neuropharmacology","page":"53-64","title":"Atomoxetine modulates spontaneous and sensory-evoked discharge of locus coeruleus noradrenergic neurons","volume":"64","author":[{"family":"Bari","given":"A."},{"family":"Aston-Jones","given":"G."}],"issued":{"date-parts":[["2013",1,1]]}}}],"schema":"https://github.com/citation-style-language/schema/raw/master/csl-citation.json"} </w:instrText>
      </w:r>
      <w:r w:rsidR="00CE12FA"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32,40</w:t>
      </w:r>
      <w:r w:rsidR="00CE12FA" w:rsidRPr="000E79AA">
        <w:rPr>
          <w:rFonts w:ascii="Times New Roman" w:hAnsi="Times New Roman" w:cs="Times New Roman"/>
          <w:bCs/>
          <w:lang w:val="en-AU"/>
        </w:rPr>
        <w:fldChar w:fldCharType="end"/>
      </w:r>
      <w:r w:rsidR="00A4432E" w:rsidRPr="000E79AA">
        <w:rPr>
          <w:rFonts w:ascii="Times New Roman" w:hAnsi="Times New Roman" w:cs="Times New Roman"/>
          <w:bCs/>
          <w:lang w:val="en-AU"/>
        </w:rPr>
        <w:t xml:space="preserve"> In Parkinson’s disease patients, atomoxetine has been shown to increase activity within and between regions of the stopping network, including the pre-supplementary motor area and inferior frontal gyrus</w:t>
      </w:r>
      <w:r w:rsidR="008A3690" w:rsidRPr="000E79AA">
        <w:rPr>
          <w:rFonts w:ascii="Times New Roman" w:hAnsi="Times New Roman" w:cs="Times New Roman"/>
          <w:bCs/>
          <w:lang w:val="en-AU"/>
        </w:rPr>
        <w:t>.</w:t>
      </w:r>
      <w:r w:rsidR="00A4432E"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{"citationID":"sKiYsgIh","properties":{"formattedCitation":"\\super 11,12\\nosupersub{}","plainCitation":"11,12","noteIndex":0},"citationItems":[{"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A4432E"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11,12</w:t>
      </w:r>
      <w:r w:rsidR="00A4432E" w:rsidRPr="000E79AA">
        <w:rPr>
          <w:rFonts w:ascii="Times New Roman" w:hAnsi="Times New Roman" w:cs="Times New Roman"/>
          <w:bCs/>
          <w:lang w:val="en-AU"/>
        </w:rPr>
        <w:fldChar w:fldCharType="end"/>
      </w:r>
      <w:r w:rsidR="00A87ECD" w:rsidRPr="000E79AA">
        <w:rPr>
          <w:rFonts w:ascii="Times New Roman" w:hAnsi="Times New Roman" w:cs="Times New Roman"/>
          <w:bCs/>
          <w:lang w:val="en-AU"/>
        </w:rPr>
        <w:t xml:space="preserve"> </w:t>
      </w:r>
      <w:r w:rsidR="00AE3B36" w:rsidRPr="000E79AA">
        <w:rPr>
          <w:rFonts w:ascii="Times New Roman" w:hAnsi="Times New Roman" w:cs="Times New Roman"/>
          <w:bCs/>
          <w:lang w:val="en-AU"/>
        </w:rPr>
        <w:t>L</w:t>
      </w:r>
      <w:r w:rsidR="006F11DB" w:rsidRPr="000E79AA">
        <w:rPr>
          <w:rFonts w:ascii="Times New Roman" w:hAnsi="Times New Roman" w:cs="Times New Roman"/>
          <w:bCs/>
          <w:lang w:val="en-AU"/>
        </w:rPr>
        <w:t xml:space="preserve">ocus coeruleus degeneration in Parkinson’s disease is accompanied by reduced </w:t>
      </w:r>
      <w:r w:rsidR="0018489B" w:rsidRPr="000E79AA">
        <w:rPr>
          <w:rFonts w:ascii="Times New Roman" w:hAnsi="Times New Roman" w:cs="Times New Roman"/>
          <w:bCs/>
          <w:lang w:val="en-AU"/>
        </w:rPr>
        <w:t>noradrenaline levels in forebrain regions</w:t>
      </w:r>
      <w:r w:rsidR="008A3690" w:rsidRPr="000E79AA">
        <w:rPr>
          <w:rFonts w:ascii="Times New Roman" w:hAnsi="Times New Roman" w:cs="Times New Roman"/>
          <w:bCs/>
          <w:lang w:val="en-AU"/>
        </w:rPr>
        <w:t>.</w:t>
      </w:r>
      <w:r w:rsidR="004018E1"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{"citationID":"av9nii2iem","properties":{"formattedCitation":"\\super 95,129,130\\nosupersub{}","plainCitation":"95,129,130","noteIndex":0},"citationItems":[{"id":12340,"uris":["http://zotero.org/users/local/xUwQuTPV/items/HTSTCDR5"],"uri":["http://zotero.org/users/local/xUwQuTPV/items/HTSTCDR5"],"itemData":{"id":12340,"type":"article-journal","abstract":"Dopamine, 3,4-dihydroxyphenylacetic acid, homovanillic acid, noradrenaline, serotonin and 5-hydroxyindoleceatic acid concentrations were measured in several cortical areas, hippocampus and, for comparison, in the caudate nucleus, from control subjects and parkinsonian patients. Substantia amounts of these compounds were detected in hippocampus, and entorhinal, cingulate and frontal cerebral cortices of control subjects. In patients who had discontinuedl-DOPA at least 4 days before death (group I), the levels of dopamine and its metabolites were reduced in these cortical areas, although to a lesser extent than in the caudate nucleus. In patients on continuousl-DOPA treatment (i.e. having received the last dose ofl-DOPA 0–24 h before death, group II), cortical dopamine levels were less reduced than in group I patients and dopamine metabolite levels were similar to those of controls. The ratio of the concentrations of homovanillic acid to dopamine was increased in the caudate nucleus and entorhinal cortex but not in the other cortical areas of group I parkinsonian patients. Cortical noradrenaline concentrations were also diminished, the decrement being similar in groups I and II. A reduction of serotonin and its metabolite in the caudate nucleus and hippocampus and a diminution of serotonin levels in the frontal cortex were observed in group I patients. In these patients, the 5-hydroxyindoleacetic acid to serotonin ratio was increased in the caudate nucleus and frontal cortex but not in the other cortical areas. The results are discussed in relation to the pathophysiology of the psychiatric and cognitive disturbances observed in some parkinsonian patients.","container-title":"Brain Research","DOI":"10.1016/0006-8993(83)90993-9","ISSN":"0006-8993","issue":"2","journalAbbreviation":"Brain Research","language":"en","page":"321-328","source":"ScienceDirect","title":"Reduction of cortical dopamine, noradrenaline, serotonin and their metabolites in Parkinson's disease","volume":"275","author":[{"family":"Scatton","given":"Bernard"},{"family":"Javoy-Agid","given":"France"},{"family":"Rouquier","given":"Liliane"},{"family":"Dubois","given":"Bruno"},{"family":"Agid","given":"Yves"}],"issued":{"date-parts":[["1983",9,26]]}}},{"id":12305,"uris":["http://zotero.org/users/local/xUwQuTPV/items/LDCU4EVE"],"uri":["http://zotero.org/users/local/xUwQuTPV/items/LDCU4EVE"],"itemData":{"id":12305,"type":"article-journal","abstract":"Norepinephrine, 3-methoxy 4-hydroxyphenylethyleneglycol and homovanillic acid levels were similar in the locus ceruleus of 13 controls and 8 parkinsonian patients with no intellectual deterioration, but were decreased in 7 demented patients. The concentration of dopamine was similarly diminished in non-demented and demented parkinsonians, and binding of,4H-desmethylimipramine and :'H-rauwolscine was not abnormal in parkinsonians. These data indicate that norepinephrine metabolism in the locus ceruleus is subnormal only in demented parkinsonians.","container-title":"Neurology","DOI":"10.1212/WNL.37.1.42","ISSN":"0028-3878, 1526-632X","issue":"1","language":"en","note":"publisher: Wolters Kluwer Health, Inc. on behalf of the American Academy of Neurology\nsection: Articles\nPMID: 3796837","page":"42-42","source":"n.neurology.org","title":"Parkinson's disease and dementia: Norepinephrine and dopamine in locus ceruleus","title-short":"Parkinson's disease and dementia","volume":"37","author":[{"family":"Cash","given":"R."},{"family":"Dennis","given":"T."},{"family":"L'Heureux","given":"R."},{"family":"Raisman","given":"R."},{"family":"Javoy-Agid","given":"F."},{"family":"Scatton","given":"B."}],"issued":{"date-parts":[["1987",1,1]]}}},{"id":12339,"uris":["http://zotero.org/users/local/xUwQuTPV/items/X6AYZALX"],"uri":["http://zotero.org/users/local/xUwQuTPV/items/X6AYZALX"],"itemData":{"id":12339,"type":"article-journal","abstract":"The thalamus occupies a pivotal position within the corticobasal ganglia-cortical circuits. In Parkinson's disease (PD), the thalamus exhibits pathological neuronal discharge patterns, foremost increased bursting and oscillatory activity, which are thought to perturb the faithful transfer of basal ganglia impulse flow to the cortex. Analogous abnormal thalamic discharge patterns develop in animals with experimentally reduced thalamic noradrenaline; conversely, added to thalamic neuronal preparations, noradrenaline exhibits marked antioscillatory and antibursting activity. Our study is based on this experimentally established link between noradrenaline and the quality of thalamic neuronal discharges. We analyzed 14 thalamic nuclei from all functionally relevant territories of 9 patients with PD and 8 controls, and measured noradrenaline with high-performance liquid chromatography with electrochemical detection. In PD, noradrenaline was profoundly reduced in all nuclei of the motor (pallidonigral and cerebellar) thalamus (ventroanterior: −86%, P = .0011; ventrolateral oral: −87%, P = .0010; ventrolateral caudal: −89%, P = .0014): Also, marked noradrenaline losses, ranging from 68% to 91% of controls, were found in other thalamic territories, including associative, limbic and intralaminar regions; the primary sensory regions were only mildly affected. The marked noradrenergic deafferentiation of the thalamus discloses a strategically located noradrenergic component in the overall pathophysiology of PD, suggesting a role in the complex mechanisms involved with the genesis of the motor and non-motor symptoms. Our study thus significantly contributes to the knowledge of the extrastriatal nondopaminergic mechanisms of PD with direct relevance to treatment of this disorder. © 2012 Movement Disorder Society","container-title":"Movement Disorders","DOI":"10.1002/mds.25109","ISSN":"1531-8257","issue":"13","language":"en","note":"_eprint: https://onlinelibrary.wiley.com/doi/pdf/10.1002/mds.25109","page":"1618-1624","source":"Wiley Online Library","title":"Thalamic noradrenaline in Parkinson's disease: Deficits suggest role in motor and non-motor symptoms","title-short":"Thalamic noradrenaline in Parkinson's disease","volume":"27","author":[{"family":"Pifl","given":"Christian"},{"family":"Kish","given":"Stephen J."},{"family":"Hornykiewicz","given":"Oleh"}],"issued":{"date-parts":[["2012"]]}}}],"schema":"https://github.com/citation-style-language/schema/raw/master/csl-citation.json"} </w:instrText>
      </w:r>
      <w:r w:rsidR="004018E1"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95,129,130</w:t>
      </w:r>
      <w:r w:rsidR="004018E1" w:rsidRPr="000E79AA">
        <w:rPr>
          <w:rFonts w:ascii="Times New Roman" w:hAnsi="Times New Roman" w:cs="Times New Roman"/>
          <w:bCs/>
          <w:lang w:val="en-AU"/>
        </w:rPr>
        <w:fldChar w:fldCharType="end"/>
      </w:r>
      <w:r w:rsidR="000E3826" w:rsidRPr="000E79AA">
        <w:rPr>
          <w:rFonts w:ascii="Times New Roman" w:hAnsi="Times New Roman" w:cs="Times New Roman"/>
          <w:bCs/>
          <w:lang w:val="en-AU"/>
        </w:rPr>
        <w:t xml:space="preserve"> </w:t>
      </w:r>
      <w:r w:rsidR="00C056DD" w:rsidRPr="000E79AA">
        <w:rPr>
          <w:rFonts w:ascii="Times New Roman" w:hAnsi="Times New Roman" w:cs="Times New Roman"/>
          <w:bCs/>
          <w:lang w:val="en-AU"/>
        </w:rPr>
        <w:t>As noradrenaline release facilitates reconfigurations of large-scale networks</w:t>
      </w:r>
      <w:r w:rsidR="008A3690" w:rsidRPr="000E79AA">
        <w:rPr>
          <w:rFonts w:ascii="Times New Roman" w:hAnsi="Times New Roman" w:cs="Times New Roman"/>
          <w:bCs/>
          <w:lang w:val="en-AU"/>
        </w:rPr>
        <w:t>,</w:t>
      </w:r>
      <w:r w:rsidR="00C056DD" w:rsidRPr="000E79AA">
        <w:rPr>
          <w:rFonts w:ascii="Times New Roman" w:hAnsi="Times New Roman" w:cs="Times New Roman"/>
          <w:bCs/>
          <w:lang w:val="en-AU"/>
        </w:rPr>
        <w:fldChar w:fldCharType="begin"/>
      </w:r>
      <w:r w:rsidR="00FE0233" w:rsidRPr="000E79AA">
        <w:rPr>
          <w:rFonts w:ascii="Times New Roman" w:hAnsi="Times New Roman" w:cs="Times New Roman"/>
          <w:bCs/>
          <w:lang w:val="en-AU"/>
        </w:rPr>
        <w:instrText xml:space="preserve"> ADDIN ZOTERO_ITEM CSL_CITATION {"citationID":"ezfeRoHh","properties":{"formattedCitation":"\\super 26,27\\nosupersub{}","plainCitation":"26,27","noteIndex":0},"citationItems":[{"id":"IttNASIo/UhX0Gf0v","uris":["http://zotero.org/users/local/xUwQuTPV/items/4WBEW8VR"],"uri":["http://zotero.org/users/local/xUwQuTPV/items/4WBEW8VR"],"itemData":{"id":4765,"type":"article-journal","abstract":"Unraveling the functional role of neuromodulatory systems has been a major challenge for cognitive neuroscience, giving rise to theories ranging from a simple role in vigilance to complex models concerning decision making, prediction errors or unexpected uncertainty. A new, simplified and overarching theory of noradrenaline function is inspired by an invertebrate model: neuromodulators in crustacea abruptly interrupt activity in neural networks and reorganize the elements into new functional networks determining the behavioral output. Analogously in mammals, phasic activation of noradrenergic neurons of the locus coeruleus in time with cognitive shifts could provoke or facilitate dynamic reorganization of target neural networks, permitting rapid behavioral adaptation to changing environmental imperatives. Detailed analysis and discussion of extensive electrophysiological data from the locus coeruleus of rats and monkeys in controlled behavioral situations is provided here to support this view. This simplified &amp;apos;new look&amp;apos; at locus coeruleus noradrenaline function redirects the challenge of understanding neuromodulatory systems towards their target networks, particularly to the dynamics of their interactions and how they organize adaptive behavior.","container-title":"Trends in Neurosciences","DOI":"10.1016/j.tins.2005.09.002","issue":"11","journalAbbreviation":"Trends in Neurosciences","language":"English","page":"574-582","title":"Network reset: a simplified overarching theory of locus coeruleus noradrenaline function.","volume":"28","author":[{"family":"Bouret","given":"Sebastien"},{"family":"Sara","given":"Susan J."}],"issued":{"date-parts":[["2005",11]]}}},{"id":4142,"uris":["http://zotero.org/users/local/xUwQuTPV/items/W65ST74Z"],"uri":["http://zotero.org/users/local/xUwQuTPV/items/W65ST74Z"],"itemData":{"id":4142,"type":"article-journal","abstract":"Neuron, 103 (2019) 702-723. doi:10.1016/j.neuron.2019.05.034","container-title":"Neuron","DOI":"10.1016/j.neuron.2019.05.034","issue":"4","journalAbbreviation":"Neuron","language":"English","page":"702-718.e5","title":"Rapid Reconfiguration of the Functional Connectome after Chemogenetic Locus Coeruleus Activation","volume":"103","author":[{"family":"Zerbi","given":"Valerio"},{"family":"Floriou-Servou","given":"Amalia"},{"family":"Markicevic","given":"Marija"},{"family":"Vermeiren","given":"Yannick"},{"family":"Sturman","given":"Oliver"},{"family":"Privitera","given":"Mattia"},{"family":"Ziegler","given":"Lukas","non-dropping-particle":"von"},{"family":"Ferrari","given":"Kim David"},{"family":"Weber","given":"Bruno"},{"family":"De Deyn","given":"Peter Paul"},{"family":"Wenderoth","given":"Nicole"},{"family":"Bohacek","given":"Johannes"}],"issued":{"date-parts":[["2019",8]]}}}],"schema":"https://github.com/citation-style-language/schema/raw/master/csl-citation.json"} </w:instrText>
      </w:r>
      <w:r w:rsidR="00C056DD"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26,27</w:t>
      </w:r>
      <w:r w:rsidR="00C056DD" w:rsidRPr="000E79AA">
        <w:rPr>
          <w:rFonts w:ascii="Times New Roman" w:hAnsi="Times New Roman" w:cs="Times New Roman"/>
          <w:bCs/>
          <w:lang w:val="en-AU"/>
        </w:rPr>
        <w:fldChar w:fldCharType="end"/>
      </w:r>
      <w:r w:rsidR="00C056DD" w:rsidRPr="000E79AA">
        <w:rPr>
          <w:rFonts w:ascii="Times New Roman" w:hAnsi="Times New Roman" w:cs="Times New Roman"/>
          <w:bCs/>
          <w:lang w:val="en-AU"/>
        </w:rPr>
        <w:t xml:space="preserve"> depletion of forebrain noradrenaline is likely to impact the rapid engagement of brain network activity that is necessary for successful action cancellation</w:t>
      </w:r>
      <w:r w:rsidR="008A3690" w:rsidRPr="000E79AA">
        <w:rPr>
          <w:rFonts w:ascii="Times New Roman" w:hAnsi="Times New Roman" w:cs="Times New Roman"/>
          <w:bCs/>
          <w:lang w:val="en-AU"/>
        </w:rPr>
        <w:t>.</w:t>
      </w:r>
      <w:r w:rsidR="000E3826"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{"citationID":"acgjosp1eb","properties":{"formattedCitation":"\\super 131\\nosupersub{}","plainCitation":"131","noteIndex":0},"citationItems":[{"id":12211,"uris":["http://zotero.org/users/local/xUwQuTPV/items/GH4X55TZ"],"uri":["http://zotero.org/users/local/xUwQuTPV/items/GH4X55TZ"],"itemData":{"id":12211,"type":"article-journal","container-title":"The Journal of Neuroscience","DOI":"10.1523/JNEUROSCI.2919-17.2018","ISSN":"0270-6474, 1529-2401","issue":"36","journalAbbreviation":"J. Neurosci.","language":"en","page":"7887-7900","source":"DOI.org (Crossref)","title":"Activity and Connectivity Differences Underlying Inhibitory Control Across the Adult Life Span","volume":"38","author":[{"family":"Tsvetanov","given":"Kamen A."},{"family":"Ye","given":"Zheng"},{"family":"Hughes","given":"Laura"},{"family":"Samu","given":"David"},{"family":"Treder","given":"Matthias S."},{"family":"Wolpe","given":"Noham"},{"family":"Tyler","given":"Lorraine K."},{"family":"Rowe","given":"James B."},{"literal":"for the Cambridge Centre for Ageing and Neuroscience"}],"issued":{"date-parts":[["2018",9,5]]}}}],"schema":"https://github.com/citation-style-language/schema/raw/master/csl-citation.json"} </w:instrText>
      </w:r>
      <w:r w:rsidR="000E3826"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131</w:t>
      </w:r>
      <w:r w:rsidR="000E3826" w:rsidRPr="000E79AA">
        <w:rPr>
          <w:rFonts w:ascii="Times New Roman" w:hAnsi="Times New Roman" w:cs="Times New Roman"/>
          <w:bCs/>
          <w:lang w:val="en-AU"/>
        </w:rPr>
        <w:fldChar w:fldCharType="end"/>
      </w:r>
      <w:r w:rsidR="000D37DD" w:rsidRPr="000E79AA">
        <w:rPr>
          <w:rFonts w:ascii="Times New Roman" w:hAnsi="Times New Roman" w:cs="Times New Roman"/>
          <w:bCs/>
          <w:lang w:val="en-AU"/>
        </w:rPr>
        <w:t xml:space="preserve"> In </w:t>
      </w:r>
      <w:r w:rsidR="00A2166D" w:rsidRPr="000E79AA">
        <w:rPr>
          <w:rFonts w:ascii="Times New Roman" w:hAnsi="Times New Roman" w:cs="Times New Roman"/>
          <w:bCs/>
          <w:lang w:val="en-AU"/>
        </w:rPr>
        <w:t>patients with greater locus coeruleus degeneration, which may be accompanied by decreased or dysfunctional modulation of prefrontal noradrenergic targets, effic</w:t>
      </w:r>
      <w:r w:rsidR="00C00437" w:rsidRPr="000E79AA">
        <w:rPr>
          <w:rFonts w:ascii="Times New Roman" w:hAnsi="Times New Roman" w:cs="Times New Roman"/>
          <w:bCs/>
          <w:lang w:val="en-AU"/>
        </w:rPr>
        <w:t>iency</w:t>
      </w:r>
      <w:r w:rsidR="00A2166D" w:rsidRPr="000E79AA">
        <w:rPr>
          <w:rFonts w:ascii="Times New Roman" w:hAnsi="Times New Roman" w:cs="Times New Roman"/>
          <w:bCs/>
          <w:lang w:val="en-AU"/>
        </w:rPr>
        <w:t xml:space="preserve"> of the stopping network may be </w:t>
      </w:r>
      <w:r w:rsidR="00335D9D" w:rsidRPr="000E79AA">
        <w:rPr>
          <w:rFonts w:ascii="Times New Roman" w:hAnsi="Times New Roman" w:cs="Times New Roman"/>
          <w:bCs/>
          <w:lang w:val="en-AU"/>
        </w:rPr>
        <w:t xml:space="preserve">reduced. Consequently, these patients show the greatest benefit from a drug that can increase levels of prefrontal noradrenaline and upregulate locus coeruleus function. </w:t>
      </w:r>
    </w:p>
    <w:p w14:paraId="1BA593D3" w14:textId="3A24B4C8" w:rsidR="00CD2FA3" w:rsidRPr="000E79AA" w:rsidRDefault="00CD2FA3" w:rsidP="00BD6B53">
      <w:pPr>
        <w:spacing w:line="360" w:lineRule="auto"/>
        <w:jc w:val="both"/>
        <w:rPr>
          <w:rFonts w:ascii="Times New Roman" w:hAnsi="Times New Roman" w:cs="Times New Roman"/>
          <w:bCs/>
          <w:lang w:val="en-AU"/>
        </w:rPr>
      </w:pPr>
    </w:p>
    <w:p w14:paraId="2D38402A" w14:textId="66C5B0FF" w:rsidR="00CD2FA3" w:rsidRPr="000E79AA" w:rsidRDefault="00CD2FA3" w:rsidP="00BD6B53">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We would support the use of 40 mg atomoxetine in subsequent single-dose studies in Parkinson’s disease. Based on the current results, as well as previous clinical trials</w:t>
      </w:r>
      <w:r w:rsidR="004A492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{"citationID":"adfc5igvuq","properties":{"formattedCitation":"\\super 53,54\\nosupersub{}","plainCitation":"53,54","noteIndex":0},"citationItems":[{"id":1358,"uris":["http://zotero.org/users/local/xUwQuTPV/items/PEVYYMGR"],"uri":["http://zotero.org/users/local/xUwQuTPV/items/PEVYYMGR"],"itemData":{"id":1358,"type":"article-journal","abstract":"OBJECTIVES:Depression and antidepressant use, especially selective serotonin reuptake inhibitors (SSRIs), are common in Parkinson disease (PD). The objective of this clinical trial was to assess the efficacy of atomoxetine, a selective norepinephrine reuptake inhibitor (SNRI), for the treatment of clinically significant depressive symptoms and common comorbid neuropsychiatric symptoms in PD.METHODS:A total of 55 subjects with PD and an Inventory of Depressive Symptomatology-Clinician (IDS-C) score &amp;gt; or = 22 were randomized to 8 weeks of atomoxetine or placebo treatment (target dosage = 80 mg/day). Depression response (&amp;gt; 50% decrease in IDS-C score or Clinical Global Impression-Improvement [CGI-I] score of 1 or 2) was assessed using intention-to-treat modeling procedures. Secondary outcomes included global cognition, daytime sleepiness, anxiety, apathy, and motor function.RESULTS:There were no between-groups differences in a priori-defined response rates. Using a more liberal response criterion of &amp;gt; 40% decrease in IDS score from baseline, there was a trend (p = 0.08) favoring atomoxetine. Patients receiving atomoxetine experienced significantly greater improvement in global cognition (p = 0.003) and daytime sleepiness (p = 0.001), and atomoxetine was well-tolerated.CONCLUSIONS:Atomoxetine treatment was not efficacious for the treatment of clinically significant depressive symptoms in PD, but was associated with improvement in global cognitive performance and daytime sleepiness. Larger studies of SNRIs in PD for disorders of mood, cognition, and wakefulness are appropriate.CLASSIFICATION OF EVIDENCE:This interventional study provides Class II evidence that atomoxetine (target dosage = 80 mg/day) is not efficacious in improving clinically significant depression in PD.","container-title":"Neurology","DOI":"10.1212/WNL.0b013e3181ebdd79","issue":"5","journalAbbreviation":"Neurology","language":"English","note":"PMCID: PMC2918470","page":"448-455","title":"Atomoxetine for depression and other neuropsychiatric symptoms in Parkinson disease.","volume":"75","author":[{"family":"Weintraub","given":"D."},{"family":"Mavandadi","given":"S."},{"family":"Mamikonyan","given":"E."},{"family":"Siderowf","given":"A. D."},{"family":"Duda","given":"J. E."},{"family":"Hurtig","given":"H. I."},{"family":"Colcher","given":"A."},{"family":"Horn","given":"S. S."},{"family":"Nazem","given":"S."},{"family":"Ten Have","given":"T. R."},{"family":"Stern","given":"M. B."}],"issued":{"date-parts":[["2010",8,3]]}}},{"id":1374,"uris":["http://zotero.org/users/local/xUwQuTPV/items/Q9L36Y23"],"uri":["http://zotero.org/users/local/xUwQuTPV/items/Q9L36Y23"],"itemData":{"id":1374,"type":"article-journal","abstract":"Background:Mild cognitive impairment in Parkinson&amp;apos;s disease (PD-MCI) is associated with diminished norepinephrine from the locus coeruleus to the prefrontal cortex. Atomoxetine is a specific norepinephrine reuptake inhibitor that has been approved by the US Food and Drug Administration to treat attention deficit hyperactivity disorder in adults. The authors hypothesized that atomoxetine would improve attention and executive functioning in patients with PD-MCI.Methods:Thirty participants who met Movement Disorder Society Task Force Level I criteria for PD-MCI were enrolled in a randomized controlled trial of atomoxetine. Cognitive evaluations were performed at baseline and after 10 weeks of treatment or placebo. A safety visit was performed at Week 12. A global statistical test was used to examine treatment effects on standardized tests of attention, working memory, processing speed, and set shifting (primary outcome measure). Secondary outcomes included cognitive measures hypothesized to be insensitive to atomoxetine, the Conners Adult Attention Deficit Hyperactivity Disorder Rating Scale, and safety measures.Results:Fifteen participants were randomized to each arm. Groups were similar on medical and demographic variables and baseline cognition. Three serious adverse events occurred; 2 on atomoxetine (syncope, isolated episode of atrial fibrillation) and 1 on placebo (atrial fibrillation). The global statistical test of primary outcome measures did not reveal a significant difference between groups. However, significant improvements were observed for atomoxetine but not placebo on subjective measures of attention and impulsivity (Conners Adult Attention Deficit Hyperactivity Disorder Rating Scale).Conclusions:Atomoxetine treatment produced subjective, but not objective, improvements in PD-MCI. Failure to detect objective differences may be due to insensitivity of cognitive tests or severity of cognitive deficits in the study participants.","container-title":"Movement Disorders Clinical Practice","DOI":"10.1002/mdc3.12455","issue":"3","journalAbbreviation":"Mov Disord Clin Pract","language":"English","note":"PMCID: PMC6174374","page":"416-423","title":"A Randomized Clinical Trial of Atomoxetine for Mild Cognitive Impairment in Parkinson's Disease.","volume":"4","author":[{"family":"Hinson","given":"Vanessa K."},{"family":"Delambo","given":"Amy"},{"family":"Elm","given":"Jordan"},{"family":"Turner","given":"Travis"}],"issued":{"date-parts":[["2017",5]]}}}],"schema":"https://github.com/citation-style-language/schema/raw/master/csl-citation.json"} </w:instrText>
      </w:r>
      <w:r w:rsidR="004A492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53,54</w:t>
      </w:r>
      <w:r w:rsidR="004A492F" w:rsidRPr="000E79AA">
        <w:rPr>
          <w:rFonts w:ascii="Times New Roman" w:hAnsi="Times New Roman" w:cs="Times New Roman"/>
          <w:bCs/>
          <w:lang w:val="en-AU"/>
        </w:rPr>
        <w:fldChar w:fldCharType="end"/>
      </w:r>
      <w:r w:rsidR="004A492F" w:rsidRPr="000E79AA">
        <w:rPr>
          <w:rFonts w:ascii="Times New Roman" w:hAnsi="Times New Roman" w:cs="Times New Roman"/>
          <w:bCs/>
          <w:lang w:val="en-AU"/>
        </w:rPr>
        <w:t xml:space="preserve"> </w:t>
      </w:r>
      <w:r w:rsidRPr="000E79AA">
        <w:rPr>
          <w:rFonts w:ascii="Times New Roman" w:hAnsi="Times New Roman" w:cs="Times New Roman"/>
          <w:bCs/>
          <w:lang w:val="en-AU"/>
        </w:rPr>
        <w:t xml:space="preserve">and </w:t>
      </w:r>
      <w:r w:rsidRPr="000E79AA">
        <w:rPr>
          <w:rFonts w:ascii="Times New Roman" w:hAnsi="Times New Roman" w:cs="Times New Roman"/>
          <w:bCs/>
          <w:lang w:val="en-AU"/>
        </w:rPr>
        <w:lastRenderedPageBreak/>
        <w:t>mechanistic studies</w:t>
      </w:r>
      <w:r w:rsidR="00865140" w:rsidRPr="000E79AA">
        <w:rPr>
          <w:rFonts w:ascii="Times New Roman" w:hAnsi="Times New Roman" w:cs="Times New Roman"/>
          <w:bCs/>
          <w:lang w:val="en-AU"/>
        </w:rPr>
        <w:t>,</w:t>
      </w:r>
      <w:r w:rsidR="004A492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{"citationID":"a1hh89qcs8l","properties":{"formattedCitation":"\\super 10\\uc0\\u8211{}12\\nosupersub{}","plainCitation":"10–12","noteIndex":0},"citationItems":[{"id":4575,"uris":["http://zotero.org/users/local/xUwQuTPV/items/ESDCSZQE"],"uri":["http://zotero.org/users/local/xUwQuTPV/items/ESDCSZQE"],"itemData":{"id":4575,"type":"article-journal","container-title":"Brain","DOI":"10.1093/brain/awu117","issue":"7","journalAbbreviation":"Brain","language":"English","page":"1986-1997","title":"Targeting impulsivity in Parkinson's disease using atomoxetine","volume":"137","author":[{"family":"Kehagia","given":"A. A."},{"family":"Housden","given":"C. R."},{"family":"Regenthal","given":"R."},{"family":"Barker","given":"R. A."},{"family":"Muller","given":"U."},{"family":"Rowe","given":"J."},{"family":"Sahakian","given":"B. J."},{"family":"Robbins","given":"T. W."}],"issued":{"date-parts":[["2014",6,20]]}}},{"id":4579,"uris":["http://zotero.org/users/local/xUwQuTPV/items/EQ2KR99N"],"uri":["http://zotero.org/users/local/xUwQuTPV/items/EQ2KR99N"],"itemData":{"id":4579,"type":"article-journal","abstract":"Biological Psychiatry, 77 + (2015) 740-748. doi:10.1016/j.biopsych.2014.01.024","container-title":"BPS","DOI":"10.1016/j.biopsych.2014.01.024","issue":"8","journalAbbreviation":"BPS","page":"740-748","title":"Improving Response Inhibition in Parkinson’s Disease with Atomoxetine","volume":"77","author":[{"family":"Ye","given":"Zheng"},{"family":"Altena","given":"Ellemarije"},{"family":"Nombela","given":"Cristina"},{"family":"Housden","given":"Charlotte R."},{"family":"Maxwell","given":"Helen"},{"family":"Rittman","given":"Timothy"},{"family":"Huddleston","given":"Chelan"},{"family":"Rae","given":"Charlotte L."},{"family":"Regenthal","given":"Ralf"},{"family":"Sahakian","given":"Barbara J."},{"family":"Barker","given":"Roger A."},{"family":"Robbins","given":"Trevor W."},{"family":"Rowe","given":"James B."}],"issued":{"date-parts":[["2015",4,15]]}}},{"id":1386,"uris":["http://zotero.org/users/local/xUwQuTPV/items/Y275WW4Y"],"uri":["http://zotero.org/users/local/xUwQuTPV/items/Y275WW4Y"],"itemData":{"id":1386,"type":"article-journal","abstract":"Parkinson&amp;apos;s disease impairs the inhibition of responses, and whilst impulsivity is mild for some patients, severe impulse control disorders affect </w:instrText>
      </w:r>
      <w:r w:rsidR="00C868EB" w:rsidRPr="000E79AA">
        <w:rPr>
          <w:rFonts w:ascii="Cambria Math" w:hAnsi="Cambria Math" w:cs="Cambria Math"/>
          <w:bCs/>
          <w:lang w:val="en-AU"/>
        </w:rPr>
        <w:instrText>∼</w:instrText>
      </w:r>
      <w:r w:rsidR="00C868EB" w:rsidRPr="000E79AA">
        <w:rPr>
          <w:rFonts w:ascii="Times New Roman" w:hAnsi="Times New Roman" w:cs="Times New Roman"/>
          <w:bCs/>
          <w:lang w:val="en-AU"/>
        </w:rPr>
        <w:instrText xml:space="preserve">10% of cases. Based on preclinical models we proposed that noradrenergic denervation contributes to the impairment of response inhibition, via changes in the prefrontal cortex and its subcortical connections. Previous work in Parkinson&amp;apos;s disease found that the selective noradrenaline reuptake inhibitor atomoxetine could improve response inhibition, gambling decisions and reflection impulsivity. Here we tested the hypotheses that atomoxetine can restore functional brain networks for response inhibition in Parkinson&amp;apos;s disease, and that both structural and functional connectivity determine the behavioural effect. In a randomized, double-blind placebo-controlled crossover study, 19 patients with mild-to-moderate idiopathic Parkinson&amp;apos;s disease underwent functional magnetic resonance imaging during a stop-signal task, while on their usual dopaminergic therapy. Patients received 40 mg atomoxetine or placebo, orally. This regimen anticipates that noradrenergic therapies for behavioural symptoms would be adjunctive to, not a replacement for, dopaminergic therapy. Twenty matched control participants provided normative data. Arterial spin labelling identified no significant changes in regional perfusion. We assessed functional interactions between key frontal and subcortical brain areas for response inhibition, by comparing 20 dynamic causal models of the response inhibition network, inverted to the functional magnetic resonance imaging data and compared using random effects model selection. We found that the normal interaction between pre-supplementary motor cortex and the inferior frontal gyrus was absent in Parkinson&amp;apos;s disease patients on placebo (despite dopaminergic therapy), but this connection was restored by atomoxetine. The behavioural change in response inhibition (improvement indicated by reduced stop-signal reaction time) following atomoxetine correlated with structural connectivity as measured by the fractional anisotropy in the white matter underlying the inferior frontal gyrus. Using multiple regression models, we examined the factors that influenced the individual differences in the response to atomoxetine: the reduction in stop-signal reaction time correlated with structural connectivity and baseline performance, while disease severity and drug plasma level predicted the change in fronto-striatal effective connectivity following atomoxetine. These results suggest that (i) atomoxetine increases sensitivity of the inferior frontal gyrus to afferent inputs from the pre-supplementary motor cortex; (ii) atomoxetine can enhance downstream modulation of frontal-subcortical connections for response inhibition; and (iii) the behavioural consequences of treatment are dependent on fronto-striatal structural connections. The individual differences in behavioural responses to atomoxetine highlight the need for patient stratification in future clinical trials of noradrenergic therapies for Parkinson&amp;apos;s disease.","container-title":"Brain","DOI":"10.1093/brain/aww138","issue":"Pt 8","journalAbbreviation":"Brain","language":"English","note":"PMCID: PMC4958901","page":"2235-2248","title":"Atomoxetine restores the response inhibition network in Parkinson's disease.","volume":"139","author":[{"family":"Rae","given":"Charlotte L."},{"family":"Nombela","given":"Cristina"},{"family":"Rodríguez","given":"Patricia Vázquez"},{"family":"Ye","given":"Zheng"},{"family":"Hughes","given":"Laura E."},{"family":"Jones","given":"P. Simon"},{"family":"Ham","given":"Timothy"},{"family":"Rittman","given":"Timothy"},{"family":"Coyle-Gilchrist","given":"Ian"},{"family":"Regenthal","given":"Ralf"},{"family":"Sahakian","given":"Barbara J."},{"family":"Barker","given":"Roger A."},{"family":"Robbins","given":"Trevor W."},{"family":"Rowe","given":"James B."}],"issued":{"date-parts":[["2016",8]]}}}],"schema":"https://github.com/citation-style-language/schema/raw/master/csl-citation.json"} </w:instrText>
      </w:r>
      <w:r w:rsidR="004A492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10–12</w:t>
      </w:r>
      <w:r w:rsidR="004A492F" w:rsidRPr="000E79AA">
        <w:rPr>
          <w:rFonts w:ascii="Times New Roman" w:hAnsi="Times New Roman" w:cs="Times New Roman"/>
          <w:bCs/>
          <w:lang w:val="en-AU"/>
        </w:rPr>
        <w:fldChar w:fldCharType="end"/>
      </w:r>
      <w:r w:rsidRPr="000E79AA">
        <w:rPr>
          <w:rFonts w:ascii="Times New Roman" w:hAnsi="Times New Roman" w:cs="Times New Roman"/>
          <w:bCs/>
          <w:lang w:val="en-AU"/>
        </w:rPr>
        <w:t xml:space="preserve"> this dose is very well tolerated and capable of modulating neural systems and behaviour. Future clinical trials may consider a dose-ranging algorithm based on tolerability, plasma levels or behaviour</w:t>
      </w:r>
      <w:r w:rsidR="00C11CD5" w:rsidRPr="000E79AA">
        <w:rPr>
          <w:rFonts w:ascii="Times New Roman" w:hAnsi="Times New Roman" w:cs="Times New Roman"/>
          <w:bCs/>
          <w:lang w:val="en-AU"/>
        </w:rPr>
        <w:t>,</w:t>
      </w:r>
      <w:r w:rsidRPr="000E79AA">
        <w:rPr>
          <w:rFonts w:ascii="Times New Roman" w:hAnsi="Times New Roman" w:cs="Times New Roman"/>
          <w:bCs/>
          <w:lang w:val="en-AU"/>
        </w:rPr>
        <w:t xml:space="preserve"> with the potential to increase beyond a 40 mg starter dose</w:t>
      </w:r>
      <w:r w:rsidR="00865140" w:rsidRPr="000E79AA">
        <w:rPr>
          <w:rFonts w:ascii="Times New Roman" w:hAnsi="Times New Roman" w:cs="Times New Roman"/>
          <w:bCs/>
          <w:lang w:val="en-AU"/>
        </w:rPr>
        <w:t>.</w:t>
      </w:r>
      <w:r w:rsidR="004A492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{"citationID":"a1evv3mu0a5","properties":{"formattedCitation":"\\super 22,53,54\\nosupersub{}","plainCitation":"22,53,54","noteIndex":0},"citationItems":[{"id":13751,"uris":["http://zotero.org/users/local/xUwQuTPV/items/D9DVKNTI"],"uri":["http://zotero.org/users/local/xUwQuTPV/items/D9DVKNTI"],"itemData":{"id":13751,"type":"article-journal","abstract":"Executive dysfunction (ED) is a prominent and often disabling feature of cognitive impairment in Parkinson's disease (PD). Few studies have examined treatments. Given the role of noradrenergic pathology in ED, atomoxetine, a norepinephrine reuptake inhibitor indicated for attention deficit hyperactivity disorder (ADHD), may be a potential treatment for PD-related ED. Twelve patients with PD and disabling ED completed an 8-week pilot open-label, flexible dose (25–100 mg/day) trial of atomoxetine. On primary outcome measures, atomoxetine was associated with improved ED based on the Clinical Global Impression-Change Scale (75% positive response rate; 95% CI: 43–95%, P &lt; 05) and behavioral measures of ED [Frontal Systems Behavior Scale (FrSBE) Executive Dysfunction and Connors Adult ADHD Rating Scale (CAARS) inattention/memory subscales]. Adverse effects included sleep and gastrointestinal disturbances and hypomania. Atomoxetine is tolerable in PD and may benefit clinical manifestations of ED, warranting further study in controlled trials. © 2008 Movement Disorder Society","container-title":"Movement Disorders","DOI":"10.1002/mds.22307","ISSN":"1531-8257","issue":"2","language":"en","note":"_eprint: https://onlinelibrary.wiley.com/doi/pdf/10.1002/mds.22307","page":"277-282","source":"Wiley Online Library","title":"Atomoxetine for the treatment of executive dysfunction in Parkinson's disease: A pilot open-label study","title-short":"Atomoxetine for the treatment of executive dysfunction in Parkinson's disease","volume":"24","author":[{"family":"Marsh","given":"Laura"},{"family":"Biglan","given":"Kevin"},{"family":"Gerstenhaber","given":"Melissa"},{"family":"Williams","given":"James R."}],"issued":{"date-parts":[["2009"]]}}},{"id":1358,"uris":["http://zotero.org/users/local/xUwQuTPV/items/PEVYYMGR"],"uri":["http://zotero.org/users/local/xUwQuTPV/items/PEVYYMGR"],"itemData":{"id":1358,"type":"article-journal","abstract":"OBJECTIVES:Depression and antidepressant use, especially selective serotonin reuptake inhibitors (SSRIs), are common in Parkinson disease (PD). The objective of this clinical trial was to assess the efficacy of atomoxetine, a selective norepinephrine reuptake inhibitor (SNRI), for the treatment of clinically significant depressive symptoms and common comorbid neuropsychiatric symptoms in PD.METHODS:A total of 55 subjects with PD and an Inventory of Depressive Symptomatology-Clinician (IDS-C) score &amp;gt; or = 22 were randomized to 8 weeks of atomoxetine or placebo treatment (target dosage = 80 mg/day). Depression response (&amp;gt; 50% decrease in IDS-C score or Clinical Global Impression-Improvement [CGI-I] score of 1 or 2) was assessed using intention-to-treat modeling procedures. Secondary outcomes included global cognition, daytime sleepiness, anxiety, apathy, and motor function.RESULTS:There were no between-groups differences in a priori-defined response rates. Using a more liberal response criterion of &amp;gt; 40% decrease in IDS score from baseline, there was a trend (p = 0.08) favoring atomoxetine. Patients receiving atomoxetine experienced significantly greater improvement in global cognition (p = 0.003) and daytime sleepiness (p = 0.001), and atomoxetine was well-tolerated.CONCLUSIONS:Atomoxetine treatment was not efficacious for the treatment of clinically significant depressive symptoms in PD, but was associated with improvement in global cognitive performance and daytime sleepiness. Larger studies of SNRIs in PD for disorders of mood, cognition, and wakefulness are appropriate.CLASSIFICATION OF EVIDENCE:This interventional study provides Class II evidence that atomoxetine (target dosage = 80 mg/day) is not efficacious in improving clinically significant depression in PD.","container-title":"Neurology","DOI":"10.1212/WNL.0b013e3181ebdd79","issue":"5","journalAbbreviation":"Neurology","language":"English","note":"PMCID: PMC2918470","page":"448-455","title":"Atomoxetine for depression and other neuropsychiatric symptoms in Parkinson disease.","volume":"75","author":[{"family":"Weintraub","given":"D."},{"family":"Mavandadi","given":"S."},{"family":"Mamikonyan","given":"E."},{"family":"Siderowf","given":"A. D."},{"family":"Duda","given":"J. E."},{"family":"Hurtig","given":"H. I."},{"family":"Colcher","given":"A."},{"family":"Horn","given":"S. S."},{"family":"Nazem","given":"S."},{"family":"Ten Have","given":"T. R."},{"family":"Stern","given":"M. B."}],"issued":{"date-parts":[["2010",8,3]]}}},{"id":1374,"uris":["http://zotero.org/users/local/xUwQuTPV/items/Q9L36Y23"],"uri":["http://zotero.org/users/local/xUwQuTPV/items/Q9L36Y23"],"itemData":{"id":1374,"type":"article-journal","abstract":"Background:Mild cognitive impairment in Parkinson&amp;apos;s disease (PD-MCI) is associated with diminished norepinephrine from the locus coeruleus to the prefrontal cortex. Atomoxetine is a specific norepinephrine reuptake inhibitor that has been approved by the US Food and Drug Administration to treat attention deficit hyperactivity disorder in adults. The authors hypothesized that atomoxetine would improve attention and executive functioning in patients with PD-MCI.Methods:Thirty participants who met Movement Disorder Society Task Force Level I criteria for PD-MCI were enrolled in a randomized controlled trial of atomoxetine. Cognitive evaluations were performed at baseline and after 10 weeks of treatment or placebo. A safety visit was performed at Week 12. A global statistical test was used to examine treatment effects on standardized tests of attention, working memory, processing speed, and set shifting (primary outcome measure). Secondary outcomes included cognitive measures hypothesized to be insensitive to atomoxetine, the Conners Adult Attention Deficit Hyperactivity Disorder Rating Scale, and safety measures.Results:Fifteen participants were randomized to each arm. Groups were similar on medical and demographic variables and baseline cognition. Three serious adverse events occurred; 2 on atomoxetine (syncope, isolated episode of atrial fibrillation) and 1 on placebo (atrial fibrillation). The global statistical test of primary outcome measures did not reveal a significant difference between groups. However, significant improvements were observed for atomoxetine but not placebo on subjective measures of attention and impulsivity (Conners Adult Attention Deficit Hyperactivity Disorder Rating Scale).Conclusions:Atomoxetine treatment produced subjective, but not objective, improvements in PD-MCI. Failure to detect objective differences may be due to insensitivity of cognitive tests or severity of cognitive deficits in the study participants.","container-title":"Movement Disorders Clinical Practice","DOI":"10.1002/mdc3.12455","issue":"3","journalAbbreviation":"Mov Disord Clin Pract","language":"English","note":"PMCID: PMC6174374","page":"416-423","title":"A Randomized Clinical Trial of Atomoxetine for Mild Cognitive Impairment in Parkinson's Disease.","volume":"4","author":[{"family":"Hinson","given":"Vanessa K."},{"family":"Delambo","given":"Amy"},{"family":"Elm","given":"Jordan"},{"family":"Turner","given":"Travis"}],"issued":{"date-parts":[["2017",5]]}}}],"schema":"https://github.com/citation-style-language/schema/raw/master/csl-citation.json"} </w:instrText>
      </w:r>
      <w:r w:rsidR="004A492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22,53,54</w:t>
      </w:r>
      <w:r w:rsidR="004A492F" w:rsidRPr="000E79AA">
        <w:rPr>
          <w:rFonts w:ascii="Times New Roman" w:hAnsi="Times New Roman" w:cs="Times New Roman"/>
          <w:bCs/>
          <w:lang w:val="en-AU"/>
        </w:rPr>
        <w:fldChar w:fldCharType="end"/>
      </w:r>
      <w:r w:rsidRPr="000E79AA">
        <w:rPr>
          <w:rFonts w:ascii="Times New Roman" w:hAnsi="Times New Roman" w:cs="Times New Roman"/>
          <w:bCs/>
          <w:lang w:val="en-AU"/>
        </w:rPr>
        <w:t xml:space="preserve"> Gradually increasing the dose over the course of treatment is consistent with animal models of atomoxetine, which confirm that increased levels of prefrontal extracellular noradrenaline following an acute dose are sustained over chronic administration, but not to the same extent</w:t>
      </w:r>
      <w:r w:rsidR="00865140" w:rsidRPr="000E79AA">
        <w:rPr>
          <w:rFonts w:ascii="Times New Roman" w:hAnsi="Times New Roman" w:cs="Times New Roman"/>
          <w:bCs/>
          <w:lang w:val="en-AU"/>
        </w:rPr>
        <w:t>.</w:t>
      </w:r>
      <w:r w:rsidR="004A492F"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{"citationID":"a13iku1o6ec","properties":{"formattedCitation":"\\super 132\\nosupersub{}","plainCitation":"132","noteIndex":0},"citationItems":[{"id":14626,"uris":["http://zotero.org/users/local/xUwQuTPV/items/B2RRQ8VC"],"uri":["http://zotero.org/users/local/xUwQuTPV/items/B2RRQ8VC"],"itemData":{"id":14626,"type":"article-journal","abstract":"J. Neurochem. (2010) 114, 259–270. Abstract Acute administration of atomoxetine and methylphenidate, attention-deficit/hyperactivity disorder (ADHD) drugs, activates catecholaminergic systems in rat brain, but the effects of their chronic administration are not known. This study examined the effects of acute and chronic administration of ADHD drugs on the extracellular levels of noradrenaline (NA), dopamine (DA) and serotonin (5-HT), and the expression of the neuronal activity marker c-Fos in the prefrontal cortex and striatum of mice. Acute ADHD drugs increased NA and DA, but not 5-HT, levels in the prefrontal cortex of mice. Maximal effects of atomoxetine and methylphenidate were observed at 1 mg/kg and 3 mg/kg, respectively. At these doses, both drugs did not affect the spontaneous locomotor activity of mice. Chronic administration of atomoxetine 1 mg/kg and methylphenidate 3 mg/kg for 21 days also increased NA and DA, but not 5-HT, levels in the prefrontal cortex. The increases in NA levels induced by atomoxetine, but not methylphenidate, were reduced by chronic treatment. In contrast, acute and chronic administration of atomoxetine 1 mg/kg and methylphenidate 3 mg/kg did not affect the monoamine levels in the striatum. Acute and chronic atomoxetine 1 mg/kg and methylphenidate 3 mg/kg increased the expression of c-Fos in the prefrontal cortex, but not in the striatum, to a similar extent. These results suggest that acute and chronic administration of the ADHD drugs selectively activate the prefrontal catecholamine systems in mice.","container-title":"Journal of Neurochemistry","DOI":"https://doi.org/10.1111/j.1471-4159.2010.06750.x","ISSN":"1471-4159","issue":"1","language":"en","note":"_eprint: https://onlinelibrary.wiley.com/doi/pdf/10.1111/j.1471-4159.2010.06750.x","page":"259-270","source":"Wiley Online Library","title":"Effects of acute and chronic administration of atomoxetine and methylphenidate on extracellular levels of noradrenaline, dopamine and serotonin in the prefrontal cortex and striatum of mice","volume":"114","author":[{"family":"Koda","given":"Ken"},{"family":"Ago","given":"Yukio"},{"family":"Cong","given":"Yana"},{"family":"Kita","given":"Yuki"},{"family":"Takuma","given":"Kazuhiro"},{"family":"Matsuda","given":"Toshio"}],"issued":{"date-parts":[["2010"]]}}}],"schema":"https://github.com/citation-style-language/schema/raw/master/csl-citation.json"} </w:instrText>
      </w:r>
      <w:r w:rsidR="004A492F"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132</w:t>
      </w:r>
      <w:r w:rsidR="004A492F" w:rsidRPr="000E79AA">
        <w:rPr>
          <w:rFonts w:ascii="Times New Roman" w:hAnsi="Times New Roman" w:cs="Times New Roman"/>
          <w:bCs/>
          <w:lang w:val="en-AU"/>
        </w:rPr>
        <w:fldChar w:fldCharType="end"/>
      </w:r>
      <w:r w:rsidRPr="000E79AA">
        <w:rPr>
          <w:rFonts w:ascii="Times New Roman" w:hAnsi="Times New Roman" w:cs="Times New Roman"/>
          <w:bCs/>
          <w:lang w:val="en-AU"/>
        </w:rPr>
        <w:t xml:space="preserve"> Increasing the dose over the course of treatment may be necessary to maintain equivalent behavioural benefits. Future clinical studies may also consider doses based on genetic stratification of patients, specifically, allelic variation in the noradrenaline transporter gene (SLC6A2) and the CYP2D6 enzyme gene. These are known to modulate clinical response to atomoxetine</w:t>
      </w:r>
      <w:r w:rsidR="004A492F"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{"citationID":"a2q2f71c87p","properties":{"formattedCitation":"\\super 133\\uc0\\u8211{}135\\nosupersub{}","plainCitation":"133–135","noteIndex":0},"citationItems":[{"id":4359,"uris":["http://zotero.org/users/local/xUwQuTPV/items/5HQ378R5"],"uri":["http://zotero.org/users/local/xUwQuTPV/items/5HQ378R5"],"itemData":{"id":4359,"type":"article-journal","container-title":"Neuropsychopharmacology","DOI":"10.1038/npp.2009.39","issue":"9","journalAbbreviation":"Neuropsychopharmacology","page":"2135-2142","title":"A Haplotype of the Norepinephrine Transporter (Net) Gene Slc6a2 is Associated with Clinical Response to Atomoxetine in Attention-Deficit Hyperactivity Disorder (ADHD)","volume":"34","author":[{"family":"Ramoz","given":"Nicolas"},{"family":"Boni","given":"Claudette"},{"family":"Downing","given":"AnnCatherine M."},{"family":"Close","given":"Sandra L."},{"family":"Peters","given":"Sandra L."},{"family":"Prokop","given":"Angela M."},{"family":"Allen","given":"Albert J."},{"family":"Hamon","given":"Michel"},{"family":"Purper-Ouakil","given":"Diane"},{"family":"Gorwood","given":"Philip"}],"issued":{"date-parts":[["2009",4,22]]}}},{"id":2727,"uris":["http://zotero.org/users/local/xUwQuTPV/items/JJDYDU7X"],"uri":["http://zotero.org/users/local/xUwQuTPV/items/JJDYDU7X"],"itemData":{"id":2727,"type":"article-journal","container-title":"Nature Neuroscience","DOI":"10.1038/nn.3092","issue":"6","journalAbbreviation":"Nature Neuroscience","page":"920-925","title":"Adolescent impulsivity phenotypes characterized by distinct brain networks","volume":"15","author":[{"family":"Whelan","given":"Robert"},{"family":"Conrod","given":"Patricia J."},{"family":"Poline","given":"Jean-Baptiste"},{"family":"Lourdusamy","given":"Anbarasu"},{"family":"Banaschewski","given":"Tobias"},{"family":"Barker","given":"Gareth J."},{"family":"Bellgrove","given":"Mark A."},{"family":"Büchel","given":"Christian"},{"family":"Byrne","given":"Mark"},{"family":"Cummins","given":"Tarrant D. R."},{"family":"Fauth-Bühler","given":"Mira"},{"family":"Flor","given":"Herta"},{"family":"Gallinat","given":"Jürgen"},{"family":"Heinz","given":"Andreas"},{"family":"Ittermann","given":"Bernd"},{"family":"Mann","given":"Karl"},{"family":"Martinot","given":"Jean-Luc"},{"family":"Lalor","given":"Edmund C."},{"family":"Lathrop","given":"Mark"},{"family":"Loth","given":"Eva"},{"family":"Nees","given":"Frauke"},{"family":"Paus","given":"Tomás"},{"family":"Rietschel","given":"Marcella"},{"family":"Smolka","given":"Michael N."},{"family":"Spanagel","given":"Rainer"},{"family":"Stephens","given":"David N."},{"family":"Struve","given":"Maren"},{"family":"Thyreau","given":"Benjamin"},{"family":"Vollstaedt-Klein","given":"Sabine"},{"family":"Robbins","given":"Trevor W."},{"family":"Schumann","given":"Gunter"},{"family":"Garavan","given":"Hugh"}],"issued":{"date-parts":[["2012",4,29]]}}},{"id":14666,"uris":["http://zotero.org/users/local/xUwQuTPV/items/7ZH9TK9B"],"uri":["http://zotero.org/users/local/xUwQuTPV/items/7ZH9TK9B"],"itemData":{"id":14666,"type":"article-journal","container-title":"Abstracts of the 30th ECNP Congress","DOI":"10.1016/S0924-977X(17)31865-5","ISSN":"0924-977X","journalAbbreviation":"European Neuropsychopharmacology","page":"S1070-S1071","title":"SLC6A2 genotype variation and the modulatory effects of atomoxetine on inhibitory control in individuals with and without cocaine use disorder","volume":"27","author":[{"family":"Le","given":"A.N."},{"family":"Ziauddeen","given":"H."},{"family":"Fernandez-Egea","given":"E."},{"family":"Regenthal","given":"R."},{"family":"Sahakian","given":"B.J."},{"family":"Bullmore","given":"E.T."},{"family":"Robbins","given":"T.W."},{"family":"Ersche","given":"K.D."}],"issued":{"date-parts":[["2017",10,1]]}}}],"schema":"https://github.com/citation-style-language/schema/raw/master/csl-citation.json"} </w:instrText>
      </w:r>
      <w:r w:rsidR="004A492F"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133–135</w:t>
      </w:r>
      <w:r w:rsidR="004A492F" w:rsidRPr="000E79AA">
        <w:rPr>
          <w:rFonts w:ascii="Times New Roman" w:hAnsi="Times New Roman" w:cs="Times New Roman"/>
          <w:bCs/>
          <w:lang w:val="en-AU"/>
        </w:rPr>
        <w:fldChar w:fldCharType="end"/>
      </w:r>
      <w:r w:rsidR="004A492F" w:rsidRPr="000E79AA">
        <w:rPr>
          <w:rFonts w:ascii="Times New Roman" w:hAnsi="Times New Roman" w:cs="Times New Roman"/>
          <w:bCs/>
          <w:lang w:val="en-AU"/>
        </w:rPr>
        <w:t xml:space="preserve"> </w:t>
      </w:r>
      <w:r w:rsidRPr="000E79AA">
        <w:rPr>
          <w:rFonts w:ascii="Times New Roman" w:hAnsi="Times New Roman" w:cs="Times New Roman"/>
          <w:bCs/>
          <w:lang w:val="en-AU"/>
        </w:rPr>
        <w:t>and absorption, bioavailability and half-life</w:t>
      </w:r>
      <w:r w:rsidR="00865140" w:rsidRPr="000E79AA">
        <w:rPr>
          <w:rFonts w:ascii="Times New Roman" w:hAnsi="Times New Roman" w:cs="Times New Roman"/>
          <w:bCs/>
          <w:lang w:val="en-AU"/>
        </w:rPr>
        <w:t>.</w:t>
      </w:r>
      <w:r w:rsidR="004A492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{"citationID":"a2dih58q6m1","properties":{"formattedCitation":"\\super 55\\nosupersub{}","plainCitation":"55","noteIndex":0},"citationItems":[{"id":1395,"uris":["http://zotero.org/users/local/xUwQuTPV/items/D8C2IY5T"],"uri":["http://zotero.org/users/local/xUwQuTPV/items/D8C2IY5T"],"itemData":{"id":1395,"type":"article-journal","abstract":"Atomoxetine (Strattera, a potent and selective inhibitor of the presynaptic norepinephrine transporter, is used clinically for the treatment of attention-deficit hyperactivity disorder (ADHD) in children, adolescents and adults. Atomoxetine has high aqueous solubility and biological membrane permeability that facilitates its rapid and complete absorption after oral administration. Absolute oral bioavailability ranges from 63 to 94%, which is governed by the extent of its first-pass metabolism. Three oxidative metabolic pathways are involved in the systemic clearance of atomoxetine: aromatic ring-hydroxylation, benzylic hydroxylation and N-demethylation. Aromatic ring-hydroxylation results in the formation of the primary oxidative metabolite of atomoxetine, 4-hydroxyatomoxetine, which is subsequently glucuronidated and excreted in urine. The formation of 4-hydroxyatomoxetine is primarily mediated by the polymorphically expressed enzyme cytochrome P450 (CYP) 2D6. This results in two distinct populations of individuals: those exhibiting active metabolic capabilities (CYP2D6 extensive metabolisers) and those exhibiting poor metabolic capabilities (CYP2D6 poor metabolisers) for atomoxetine. The oral bioavailability and clearance of atomoxetine are influenced by the activity of CYP2D6; nonetheless, plasma pharmacokinetic parameters are predictable in extensive and poor metaboliser patients. After single oral dose, atomoxetine reaches maximum plasma concentration within about 1-2 hours of administration. In extensive metabolisers, atomoxetine has a plasma half-life of 5.2 hours, while in poor metabolisers, atomoxetine has a plasma half-life of 21.6 hours. The systemic plasma clearance of atomoxetine is 0.35 and 0.03 L/h/kg in extensive and poor metabolisers, respectively. Correspondingly, the average steady-state plasma concentrations are approximately 10-fold higher in poor metabolisers compared with extensive metabolisers. Upon multiple dosing there is plasma accumulation of atomoxetine in poor metabolisers, but very little accumulation in extensive metabolisers. The volume of distribution is 0.85 L/kg, indicating that atomoxetine is distributed in total body water in both extensive and poor metabolisers. Atomoxetine is highly bound to plasma albumin (approximately 99% bound in plasma). Although steady-state concentrations of atomoxetine in poor metabolisers are higher than those in extensive metabolisers following administration of the same mg/kg/day dosage, the frequency and severity of adverse events are similar regardless of CYP2D6 phenotype.Atomoxetine administration does not inhibit or induce the clearance of other drugs metabolised by CYP enzymes. In extensive metabolisers, potent and selective CYP2D6 inhibitors reduce atomoxetine clearance; however, administration of CYP inhibitors to poor metabolisers has no effect on the steady-state plasma concentrations of atomoxetine.","container-title":"Clinical pharmacokinetics","DOI":"10.2165/00003088-200544060-00002","issue":"6","journalAbbreviation":"Clin Pharmacokinet","language":"English","page":"571-590","title":"Clinical pharmacokinetics of atomoxetine.","volume":"44","author":[{"family":"Sauer","given":"John-Michael"},{"family":"Ring","given":"Barbara J."},{"family":"Witcher","given":"Jennifer W."}],"issued":{"date-parts":[["2005"]]}}}],"schema":"https://github.com/citation-style-language/schema/raw/master/csl-citation.json"} </w:instrText>
      </w:r>
      <w:r w:rsidR="004A492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55</w:t>
      </w:r>
      <w:r w:rsidR="004A492F" w:rsidRPr="000E79AA">
        <w:rPr>
          <w:rFonts w:ascii="Times New Roman" w:hAnsi="Times New Roman" w:cs="Times New Roman"/>
          <w:bCs/>
          <w:lang w:val="en-AU"/>
        </w:rPr>
        <w:fldChar w:fldCharType="end"/>
      </w:r>
      <w:r w:rsidR="00C03452" w:rsidRPr="000E79AA">
        <w:rPr>
          <w:rFonts w:ascii="Times New Roman" w:hAnsi="Times New Roman" w:cs="Times New Roman"/>
          <w:bCs/>
          <w:lang w:val="en-AU"/>
        </w:rPr>
        <w:t xml:space="preserve"> </w:t>
      </w:r>
      <w:r w:rsidRPr="000E79AA">
        <w:rPr>
          <w:rFonts w:ascii="Times New Roman" w:hAnsi="Times New Roman" w:cs="Times New Roman"/>
          <w:bCs/>
          <w:lang w:val="en-AU"/>
        </w:rPr>
        <w:t>Our results suggest that locus coeruleus imaging may also serve as a cost-effective means of stratifying patients’ atomoxetine dose in future clinical settings, mitigating the need for ongoing visits to titrate doses.</w:t>
      </w:r>
    </w:p>
    <w:p w14:paraId="030E82DB" w14:textId="5EBEC613" w:rsidR="00921F9C" w:rsidRPr="000E79AA" w:rsidRDefault="00921F9C" w:rsidP="00BD6B53">
      <w:pPr>
        <w:spacing w:line="360" w:lineRule="auto"/>
        <w:jc w:val="both"/>
        <w:rPr>
          <w:rFonts w:ascii="Times New Roman" w:hAnsi="Times New Roman" w:cs="Times New Roman"/>
          <w:bCs/>
          <w:lang w:val="en-AU"/>
        </w:rPr>
      </w:pPr>
    </w:p>
    <w:p w14:paraId="57C1C1C9" w14:textId="5AE82507" w:rsidR="00921F9C" w:rsidRPr="000E79AA" w:rsidRDefault="00921F9C" w:rsidP="00BD6B53">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Our study was designed to test a mechanistic hypothesis around locus coeruleus integrity and atomoxetine responsivity, therefore we did not focus on clinically relevant outcomes. Future longer-term clinical trials are needed to determine if atomoxetine improves cognition and behaviour in a way that benefits daily function, including carer and patient ratings. The link between response inhibition and atomoxetine suggests that an important phenotype to focus on will be those patients with impulsivity, even where this</w:t>
      </w:r>
      <w:r w:rsidR="00ED3C9E" w:rsidRPr="000E79AA">
        <w:rPr>
          <w:rFonts w:ascii="Times New Roman" w:hAnsi="Times New Roman" w:cs="Times New Roman"/>
          <w:bCs/>
          <w:lang w:val="en-AU"/>
        </w:rPr>
        <w:t xml:space="preserve"> </w:t>
      </w:r>
      <w:r w:rsidRPr="000E79AA">
        <w:rPr>
          <w:rFonts w:ascii="Times New Roman" w:hAnsi="Times New Roman" w:cs="Times New Roman"/>
          <w:bCs/>
          <w:lang w:val="en-AU"/>
        </w:rPr>
        <w:t>falls short of an impulse control disorder. We also note that locus coeruleus degeneration has been strongly linked with REM sleep behaviour</w:t>
      </w:r>
      <w:r w:rsidR="0020418B" w:rsidRPr="000E79AA">
        <w:rPr>
          <w:rFonts w:ascii="Times New Roman" w:hAnsi="Times New Roman" w:cs="Times New Roman"/>
          <w:bCs/>
          <w:lang w:val="en-AU"/>
        </w:rPr>
        <w:t xml:space="preserve"> disorder</w:t>
      </w:r>
      <w:r w:rsidR="00EA7D79" w:rsidRPr="000E79AA">
        <w:rPr>
          <w:rFonts w:ascii="Times New Roman" w:hAnsi="Times New Roman" w:cs="Times New Roman"/>
          <w:bCs/>
          <w:lang w:val="en-AU"/>
        </w:rPr>
        <w:t>.</w:t>
      </w:r>
      <w:r w:rsidR="004A492F" w:rsidRPr="000E79AA">
        <w:rPr>
          <w:rFonts w:ascii="Times New Roman" w:hAnsi="Times New Roman" w:cs="Times New Roman"/>
          <w:bCs/>
          <w:lang w:val="en-AU"/>
        </w:rPr>
        <w:fldChar w:fldCharType="begin"/>
      </w:r>
      <w:r w:rsidR="00C868EB" w:rsidRPr="000E79AA">
        <w:rPr>
          <w:rFonts w:ascii="Times New Roman" w:hAnsi="Times New Roman" w:cs="Times New Roman"/>
          <w:bCs/>
          <w:lang w:val="en-AU"/>
        </w:rPr>
        <w:instrText xml:space="preserve"> ADDIN ZOTERO_ITEM CSL_CITATION {"citationID":"a113rc5shpj","properties":{"formattedCitation":"\\super 100,101\\nosupersub{}","plainCitation":"100,101","noteIndex":0},"citationItems":[{"id":12313,"uris":["http://zotero.org/users/local/xUwQuTPV/items/XCQVCYLV"],"uri":["http://zotero.org/users/local/xUwQuTPV/items/XCQVCYLV"],"itemData":{"id":12313,"type":"article-journal","abstract":"Abstract.  In Parkinson’s disease, rapid eye movement sleep behaviour disorder is an early non-dopaminergic syndrome with nocturnal violence and increased muscl","container-title":"Brain","DOI":"10.1093/brain/awt152","ISSN":"0006-8950","issue":"7","journalAbbreviation":"Brain","language":"en","note":"publisher: Oxford Academic","page":"2120-2129","source":"academic.oup.com","title":"The coeruleus/subcoeruleus complex in rapid eye movement sleep behaviour disorders in Parkinson’s disease","volume":"136","author":[{"family":"García-Lorenzo","given":"Daniel"},{"family":"Longo-Dos Santos","given":"Clarisse"},{"family":"Ewenczyk","given":"Claire"},{"family":"Leu-Semenescu","given":"Smaranda"},{"family":"Gallea","given":"Cecile"},{"family":"Quattrocchi","given":"Graziella"},{"family":"Pita Lobo","given":"Patricia"},{"family":"Poupon","given":"Cyril"},{"family":"Benali","given":"Habib"},{"family":"Arnulf","given":"Isabelle"},{"family":"Vidailhet","given":"Marie"},{"family":"Lehericy","given":"Stéphane"}],"issued":{"date-parts":[["2013",7,1]]}}},{"id":12338,"uris":["http://zotero.org/users/local/xUwQuTPV/items/3WZ5AQV6"],"uri":["http://zotero.org/users/local/xUwQuTPV/items/3WZ5AQV6"],"itemData":{"id":12338,"type":"article-journal","container-title":"Brain","DOI":"10.1093/brain/awx348","ISSN":"0006-8950, 1460-2156","issue":"2","language":"en","page":"496-504","source":"DOI.org (Crossref)","title":"Evaluation of the noradrenergic system in Parkinson’s disease: an 11C-MeNER PET and neuromelanin MRI study","title-short":"Evaluation of the noradrenergic system in Parkinson’s disease","volume":"141","author":[{"family":"Sommerauer","given":"Michael"},{"family":"Fedorova","given":"Tatyana D"},{"family":"Hansen","given":"Allan K"},{"family":"Knudsen","given":"Karoline"},{"family":"Otto","given":"Marit"},{"family":"Jeppesen","given":"Jesper"},{"family":"Frederiksen","given":"Yoon"},{"family":"Blicher","given":"Jakob U"},{"family":"Geday","given":"Jacob"},{"family":"Nahimi","given":"Adjmal"},{"family":"Damholdt","given":"Malene F"},{"family":"Brooks","given":"David J"},{"family":"Borghammer","given":"Per"}],"issued":{"date-parts":[["2018",2,1]]}}}],"schema":"https://github.com/citation-style-language/schema/raw/master/csl-citation.json"} </w:instrText>
      </w:r>
      <w:r w:rsidR="004A492F" w:rsidRPr="000E79AA">
        <w:rPr>
          <w:rFonts w:ascii="Times New Roman" w:hAnsi="Times New Roman" w:cs="Times New Roman"/>
          <w:bCs/>
          <w:lang w:val="en-AU"/>
        </w:rPr>
        <w:fldChar w:fldCharType="separate"/>
      </w:r>
      <w:r w:rsidR="00C868EB" w:rsidRPr="000E79AA">
        <w:rPr>
          <w:rFonts w:ascii="Times New Roman" w:hAnsi="Times New Roman" w:cs="Times New Roman"/>
          <w:vertAlign w:val="superscript"/>
        </w:rPr>
        <w:t>100,101</w:t>
      </w:r>
      <w:r w:rsidR="004A492F" w:rsidRPr="000E79AA">
        <w:rPr>
          <w:rFonts w:ascii="Times New Roman" w:hAnsi="Times New Roman" w:cs="Times New Roman"/>
          <w:bCs/>
          <w:lang w:val="en-AU"/>
        </w:rPr>
        <w:fldChar w:fldCharType="end"/>
      </w:r>
      <w:r w:rsidRPr="000E79AA">
        <w:rPr>
          <w:rFonts w:ascii="Times New Roman" w:hAnsi="Times New Roman" w:cs="Times New Roman"/>
          <w:bCs/>
          <w:lang w:val="en-AU"/>
        </w:rPr>
        <w:t xml:space="preserve"> Future studies could selectively recruit those patients with impulse control disorders and/or polysomnography-confirmed REM sleep behaviour disorder, in order to establish the clinical benefits of atomoxetine in these stratified phenotypes.</w:t>
      </w:r>
    </w:p>
    <w:p w14:paraId="49CDDF4C" w14:textId="77777777" w:rsidR="006F11DB" w:rsidRPr="000E79AA" w:rsidRDefault="006F11DB" w:rsidP="00BD6B53">
      <w:pPr>
        <w:spacing w:line="360" w:lineRule="auto"/>
        <w:jc w:val="both"/>
        <w:rPr>
          <w:rFonts w:ascii="Times New Roman" w:hAnsi="Times New Roman" w:cs="Times New Roman"/>
          <w:bCs/>
          <w:lang w:val="en-AU"/>
        </w:rPr>
      </w:pPr>
    </w:p>
    <w:p w14:paraId="7E72C060" w14:textId="18FB48B7" w:rsidR="00AD2E51" w:rsidRPr="000E79AA" w:rsidRDefault="00F971A7" w:rsidP="00AD2E51">
      <w:pPr>
        <w:spacing w:line="360" w:lineRule="auto"/>
        <w:jc w:val="both"/>
        <w:rPr>
          <w:rFonts w:ascii="Times New Roman" w:hAnsi="Times New Roman" w:cs="Times New Roman"/>
          <w:bCs/>
          <w:lang w:val="en-AU"/>
        </w:rPr>
      </w:pPr>
      <w:r w:rsidRPr="000E79AA">
        <w:rPr>
          <w:rFonts w:ascii="Times New Roman" w:hAnsi="Times New Roman" w:cs="Times New Roman"/>
          <w:bCs/>
          <w:lang w:val="en-AU"/>
        </w:rPr>
        <w:t xml:space="preserve">Given </w:t>
      </w:r>
      <w:r w:rsidR="007F54D3" w:rsidRPr="000E79AA">
        <w:rPr>
          <w:rFonts w:ascii="Times New Roman" w:hAnsi="Times New Roman" w:cs="Times New Roman"/>
          <w:bCs/>
          <w:lang w:val="en-AU"/>
        </w:rPr>
        <w:t>the role of noradrenaline in cognition and behaviour</w:t>
      </w:r>
      <w:r w:rsidR="003C4774" w:rsidRPr="000E79AA">
        <w:rPr>
          <w:rFonts w:ascii="Times New Roman" w:hAnsi="Times New Roman" w:cs="Times New Roman"/>
          <w:bCs/>
          <w:lang w:val="en-AU"/>
        </w:rPr>
        <w:t>,</w:t>
      </w:r>
      <w:r w:rsidR="00BB70EC"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{"citationID":"a1mkcmkpn61","properties":{"formattedCitation":"\\super 136\\nosupersub{}","plainCitation":"136","noteIndex":0},"citationItems":[{"id":4270,"uris":["http://zotero.org/users/local/xUwQuTPV/items/Q5SW42KV"],"uri":["http://zotero.org/users/local/xUwQuTPV/items/Q5SW42KV"],"itemData":{"id":4270,"type":"article-journal","abstract":"Mood, attention and motivation co-vary with activity in the neuromodulatory systems of the brain to influence behaviour. These psychological states, mediated by neuromodulators, have a profound influence on the cognitive processes of attention, perception and, particularly, our ability to retrieve memories from the past and make new ones. Moreover, many psychiatric and neurodegenerative disorders are related to dysfunction of these neuromodulatory systems. Neurons of the brainstem nucleus locus coeruleus are the sole source of noradrenaline, a neuromodulator that has a key role in all of these forebrain activities. Elucidating the factors that control the activity of these neurons and the effect of noradrenaline in target regions is key to understanding how the brain allocates attention and apprehends the environment to select, store and retrieve information for generating adaptive behaviour.","container-title":"Nature reviews. Neuroscience","DOI":"10.1038/nrn2573","issue":"3","journalAbbreviation":"Nat. Rev. Neurosci.","language":"English","page":"211-223","title":"The locus coeruleus and noradrenergic modulation of cognition.","volume":"10","author":[{"family":"Sara","given":"Susan J."}],"issued":{"date-parts":[["2009",3]]}}}],"schema":"https://github.com/citation-style-language/schema/raw/master/csl-citation.json"} </w:instrText>
      </w:r>
      <w:r w:rsidR="00BB70EC"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136</w:t>
      </w:r>
      <w:r w:rsidR="00BB70EC" w:rsidRPr="000E79AA">
        <w:rPr>
          <w:rFonts w:ascii="Times New Roman" w:hAnsi="Times New Roman" w:cs="Times New Roman"/>
          <w:bCs/>
          <w:lang w:val="en-AU"/>
        </w:rPr>
        <w:fldChar w:fldCharType="end"/>
      </w:r>
      <w:r w:rsidR="00BB70EC" w:rsidRPr="000E79AA">
        <w:rPr>
          <w:rFonts w:ascii="Times New Roman" w:hAnsi="Times New Roman" w:cs="Times New Roman"/>
          <w:bCs/>
          <w:lang w:val="en-AU"/>
        </w:rPr>
        <w:t xml:space="preserve"> noradrenergic dysfunction </w:t>
      </w:r>
      <w:r w:rsidR="00D63DE4" w:rsidRPr="000E79AA">
        <w:rPr>
          <w:rFonts w:ascii="Times New Roman" w:hAnsi="Times New Roman" w:cs="Times New Roman"/>
          <w:bCs/>
          <w:lang w:val="en-AU"/>
        </w:rPr>
        <w:t>contributes to cognitive deficits beyond action cancellation in Parkinson’s disease.</w:t>
      </w:r>
      <w:r w:rsidR="00D671A6" w:rsidRPr="000E79AA">
        <w:rPr>
          <w:rFonts w:ascii="Times New Roman" w:hAnsi="Times New Roman" w:cs="Times New Roman"/>
          <w:bCs/>
          <w:lang w:val="en-AU"/>
        </w:rPr>
        <w:t xml:space="preserve"> </w:t>
      </w:r>
      <w:r w:rsidR="008B496F" w:rsidRPr="000E79AA">
        <w:rPr>
          <w:rFonts w:ascii="Times New Roman" w:hAnsi="Times New Roman" w:cs="Times New Roman"/>
          <w:bCs/>
          <w:lang w:val="en-AU"/>
        </w:rPr>
        <w:t>O</w:t>
      </w:r>
      <w:r w:rsidR="0074763C" w:rsidRPr="000E79AA">
        <w:rPr>
          <w:rFonts w:ascii="Times New Roman" w:hAnsi="Times New Roman" w:cs="Times New Roman"/>
          <w:bCs/>
          <w:lang w:val="en-AU"/>
        </w:rPr>
        <w:t>ptimis</w:t>
      </w:r>
      <w:r w:rsidR="008B496F" w:rsidRPr="000E79AA">
        <w:rPr>
          <w:rFonts w:ascii="Times New Roman" w:hAnsi="Times New Roman" w:cs="Times New Roman"/>
          <w:bCs/>
          <w:lang w:val="en-AU"/>
        </w:rPr>
        <w:t>ing</w:t>
      </w:r>
      <w:r w:rsidR="0074763C" w:rsidRPr="000E79AA">
        <w:rPr>
          <w:rFonts w:ascii="Times New Roman" w:hAnsi="Times New Roman" w:cs="Times New Roman"/>
          <w:bCs/>
          <w:lang w:val="en-AU"/>
        </w:rPr>
        <w:t xml:space="preserve"> noradrenergic therapy therefore has potential to provide</w:t>
      </w:r>
      <w:r w:rsidR="002F5378" w:rsidRPr="000E79AA">
        <w:rPr>
          <w:rFonts w:ascii="Times New Roman" w:hAnsi="Times New Roman" w:cs="Times New Roman"/>
          <w:bCs/>
          <w:lang w:val="en-AU"/>
        </w:rPr>
        <w:t xml:space="preserve"> </w:t>
      </w:r>
      <w:r w:rsidR="00F95478" w:rsidRPr="000E79AA">
        <w:rPr>
          <w:rFonts w:ascii="Times New Roman" w:hAnsi="Times New Roman" w:cs="Times New Roman"/>
          <w:bCs/>
          <w:lang w:val="en-AU"/>
        </w:rPr>
        <w:t>relief across a variety of non-motor</w:t>
      </w:r>
      <w:r w:rsidR="002F5378" w:rsidRPr="000E79AA">
        <w:rPr>
          <w:rFonts w:ascii="Times New Roman" w:hAnsi="Times New Roman" w:cs="Times New Roman"/>
          <w:bCs/>
          <w:lang w:val="en-AU"/>
        </w:rPr>
        <w:t xml:space="preserve"> symptoms</w:t>
      </w:r>
      <w:r w:rsidR="003C4774" w:rsidRPr="000E79AA">
        <w:rPr>
          <w:rFonts w:ascii="Times New Roman" w:hAnsi="Times New Roman" w:cs="Times New Roman"/>
          <w:bCs/>
          <w:lang w:val="en-AU"/>
        </w:rPr>
        <w:t>.</w:t>
      </w:r>
      <w:r w:rsidR="00F95478" w:rsidRPr="000E79AA">
        <w:rPr>
          <w:rFonts w:ascii="Times New Roman" w:hAnsi="Times New Roman" w:cs="Times New Roman"/>
          <w:bCs/>
          <w:lang w:val="en-AU"/>
        </w:rPr>
        <w:fldChar w:fldCharType="begin"/>
      </w:r>
      <w:r w:rsidR="001907D0" w:rsidRPr="000E79AA">
        <w:rPr>
          <w:rFonts w:ascii="Times New Roman" w:hAnsi="Times New Roman" w:cs="Times New Roman"/>
          <w:bCs/>
          <w:lang w:val="en-AU"/>
        </w:rPr>
        <w:instrText xml:space="preserve"> ADDIN ZOTERO_ITEM CSL_CITATION {"citationID":"a1l5ontn2ir","properties":{"formattedCitation":"\\super 137\\nosupersub{}","plainCitation":"137","noteIndex":0},"citationItems":[{"id":12235,"uris":["http://zotero.org/users/local/xUwQuTPV/items/3I6BVQ99"],"uri":["http://zotero.org/users/local/xUwQuTPV/items/3I6BVQ99"],"itemData":{"id":12235,"type":"article-journal","container-title":"Movement Disorders","DOI":"10.1002/mds.27785","ISSN":"1531-8257","issue":"10","language":"en","note":"_eprint: https://onlinelibrary.wiley.com/doi/pdf/10.1002/mds.27785","page":"1423-1429","source":"Wiley Online Library","title":"The locus coeruleus: Another vulnerability target in Parkinson's disease","title-short":"The locus coeruleus","volume":"34","author":[{"family":"Oertel","given":"Wolfgang H."},{"family":"Henrich","given":"Martin T."},{"family":"Janzen","given":"Annette"},{"family":"Geibl","given":"Fanni F."}],"issued":{"date-parts":[["2019"]]}}}],"schema":"https://github.com/citation-style-language/schema/raw/master/csl-citation.json"} </w:instrText>
      </w:r>
      <w:r w:rsidR="00F95478" w:rsidRPr="000E79AA">
        <w:rPr>
          <w:rFonts w:ascii="Times New Roman" w:hAnsi="Times New Roman" w:cs="Times New Roman"/>
          <w:bCs/>
          <w:lang w:val="en-AU"/>
        </w:rPr>
        <w:fldChar w:fldCharType="separate"/>
      </w:r>
      <w:r w:rsidR="001907D0" w:rsidRPr="000E79AA">
        <w:rPr>
          <w:rFonts w:ascii="Times New Roman" w:hAnsi="Times New Roman" w:cs="Times New Roman"/>
          <w:vertAlign w:val="superscript"/>
        </w:rPr>
        <w:t>137</w:t>
      </w:r>
      <w:r w:rsidR="00F95478" w:rsidRPr="000E79AA">
        <w:rPr>
          <w:rFonts w:ascii="Times New Roman" w:hAnsi="Times New Roman" w:cs="Times New Roman"/>
          <w:bCs/>
          <w:lang w:val="en-AU"/>
        </w:rPr>
        <w:fldChar w:fldCharType="end"/>
      </w:r>
      <w:r w:rsidR="00F3534D" w:rsidRPr="000E79AA">
        <w:rPr>
          <w:rFonts w:ascii="Times New Roman" w:hAnsi="Times New Roman" w:cs="Times New Roman"/>
          <w:bCs/>
          <w:lang w:val="en-AU"/>
        </w:rPr>
        <w:t xml:space="preserve"> </w:t>
      </w:r>
      <w:r w:rsidR="00DC30F1" w:rsidRPr="000E79AA">
        <w:rPr>
          <w:rFonts w:ascii="Times New Roman" w:hAnsi="Times New Roman" w:cs="Times New Roman"/>
          <w:bCs/>
          <w:lang w:val="en-AU"/>
        </w:rPr>
        <w:t xml:space="preserve">Our results confirm the </w:t>
      </w:r>
      <w:r w:rsidR="00F40BAA" w:rsidRPr="000E79AA">
        <w:rPr>
          <w:rFonts w:ascii="Times New Roman" w:hAnsi="Times New Roman" w:cs="Times New Roman"/>
          <w:bCs/>
          <w:lang w:val="en-AU"/>
        </w:rPr>
        <w:t>potential for stratified</w:t>
      </w:r>
      <w:r w:rsidR="00DC30F1" w:rsidRPr="000E79AA">
        <w:rPr>
          <w:rFonts w:ascii="Times New Roman" w:hAnsi="Times New Roman" w:cs="Times New Roman"/>
          <w:bCs/>
          <w:lang w:val="en-AU"/>
        </w:rPr>
        <w:t xml:space="preserve"> noradrenergic therapy in Parkinson’s disease, whereby</w:t>
      </w:r>
      <w:r w:rsidR="00B06DB4" w:rsidRPr="000E79AA">
        <w:rPr>
          <w:rFonts w:ascii="Times New Roman" w:hAnsi="Times New Roman" w:cs="Times New Roman"/>
          <w:bCs/>
          <w:lang w:val="en-AU"/>
        </w:rPr>
        <w:t xml:space="preserve"> the</w:t>
      </w:r>
      <w:r w:rsidR="00291F7F" w:rsidRPr="000E79AA">
        <w:rPr>
          <w:rFonts w:ascii="Times New Roman" w:hAnsi="Times New Roman" w:cs="Times New Roman"/>
          <w:bCs/>
          <w:lang w:val="en-AU"/>
        </w:rPr>
        <w:t xml:space="preserve"> efficacy of these drugs var</w:t>
      </w:r>
      <w:r w:rsidR="00F40BAA" w:rsidRPr="000E79AA">
        <w:rPr>
          <w:rFonts w:ascii="Times New Roman" w:hAnsi="Times New Roman" w:cs="Times New Roman"/>
          <w:bCs/>
          <w:lang w:val="en-AU"/>
        </w:rPr>
        <w:t>ies</w:t>
      </w:r>
      <w:r w:rsidR="00126538" w:rsidRPr="000E79AA">
        <w:rPr>
          <w:rFonts w:ascii="Times New Roman" w:hAnsi="Times New Roman" w:cs="Times New Roman"/>
          <w:bCs/>
          <w:lang w:val="en-AU"/>
        </w:rPr>
        <w:t xml:space="preserve"> </w:t>
      </w:r>
      <w:r w:rsidR="00291F7F" w:rsidRPr="000E79AA">
        <w:rPr>
          <w:rFonts w:ascii="Times New Roman" w:hAnsi="Times New Roman" w:cs="Times New Roman"/>
          <w:bCs/>
          <w:lang w:val="en-AU"/>
        </w:rPr>
        <w:t xml:space="preserve">across individuals depending on </w:t>
      </w:r>
      <w:r w:rsidR="002362F3" w:rsidRPr="000E79AA">
        <w:rPr>
          <w:rFonts w:ascii="Times New Roman" w:hAnsi="Times New Roman" w:cs="Times New Roman"/>
          <w:bCs/>
          <w:lang w:val="en-AU"/>
        </w:rPr>
        <w:t xml:space="preserve">their baseline noradrenergic </w:t>
      </w:r>
      <w:r w:rsidR="00D35641" w:rsidRPr="000E79AA">
        <w:rPr>
          <w:rFonts w:ascii="Times New Roman" w:hAnsi="Times New Roman" w:cs="Times New Roman"/>
          <w:bCs/>
          <w:lang w:val="en-AU"/>
        </w:rPr>
        <w:t>state</w:t>
      </w:r>
      <w:r w:rsidR="002362F3" w:rsidRPr="000E79AA">
        <w:rPr>
          <w:rFonts w:ascii="Times New Roman" w:hAnsi="Times New Roman" w:cs="Times New Roman"/>
          <w:bCs/>
          <w:lang w:val="en-AU"/>
        </w:rPr>
        <w:t xml:space="preserve">. </w:t>
      </w:r>
      <w:r w:rsidR="00F40BAA" w:rsidRPr="000E79AA">
        <w:rPr>
          <w:rFonts w:ascii="Times New Roman" w:hAnsi="Times New Roman" w:cs="Times New Roman"/>
          <w:bCs/>
          <w:lang w:val="en-AU"/>
        </w:rPr>
        <w:t>L</w:t>
      </w:r>
      <w:r w:rsidR="00D14E3B" w:rsidRPr="000E79AA">
        <w:rPr>
          <w:rFonts w:ascii="Times New Roman" w:hAnsi="Times New Roman" w:cs="Times New Roman"/>
          <w:bCs/>
          <w:lang w:val="en-AU"/>
        </w:rPr>
        <w:t xml:space="preserve">ocus coeruleus neuromelanin imaging may offer a marker of noradrenergic </w:t>
      </w:r>
      <w:r w:rsidR="00462416" w:rsidRPr="000E79AA">
        <w:rPr>
          <w:rFonts w:ascii="Times New Roman" w:hAnsi="Times New Roman" w:cs="Times New Roman"/>
          <w:bCs/>
          <w:lang w:val="en-AU"/>
        </w:rPr>
        <w:t>capacity</w:t>
      </w:r>
      <w:r w:rsidR="00D14E3B" w:rsidRPr="000E79AA">
        <w:rPr>
          <w:rFonts w:ascii="Times New Roman" w:hAnsi="Times New Roman" w:cs="Times New Roman"/>
          <w:bCs/>
          <w:lang w:val="en-AU"/>
        </w:rPr>
        <w:t xml:space="preserve"> that can be used </w:t>
      </w:r>
      <w:r w:rsidR="004A0019" w:rsidRPr="000E79AA">
        <w:rPr>
          <w:rFonts w:ascii="Times New Roman" w:hAnsi="Times New Roman" w:cs="Times New Roman"/>
          <w:bCs/>
          <w:lang w:val="en-AU"/>
        </w:rPr>
        <w:t xml:space="preserve">to stratify patients to optimise successful </w:t>
      </w:r>
      <w:r w:rsidR="004A0019" w:rsidRPr="000E79AA">
        <w:rPr>
          <w:rFonts w:ascii="Times New Roman" w:hAnsi="Times New Roman" w:cs="Times New Roman"/>
          <w:bCs/>
          <w:lang w:val="en-AU"/>
        </w:rPr>
        <w:lastRenderedPageBreak/>
        <w:t>outcomes in trials of noradrenergic therapy, and ultimately inform a more personalised treatment approach.</w:t>
      </w:r>
    </w:p>
    <w:p w14:paraId="78051DD4" w14:textId="77777777" w:rsidR="00673914" w:rsidRPr="000E79AA" w:rsidRDefault="00673914" w:rsidP="00AD2E51">
      <w:pPr>
        <w:spacing w:line="360" w:lineRule="auto"/>
        <w:jc w:val="both"/>
        <w:rPr>
          <w:rFonts w:ascii="Times New Roman" w:hAnsi="Times New Roman" w:cs="Times New Roman"/>
          <w:b/>
          <w:lang w:val="en-AU"/>
        </w:rPr>
      </w:pPr>
    </w:p>
    <w:p w14:paraId="437C9DAE" w14:textId="77777777" w:rsidR="00673914" w:rsidRPr="000E79AA" w:rsidRDefault="00673914" w:rsidP="00AD2E51">
      <w:pPr>
        <w:spacing w:line="360" w:lineRule="auto"/>
        <w:jc w:val="both"/>
        <w:rPr>
          <w:rFonts w:ascii="Times New Roman" w:hAnsi="Times New Roman" w:cs="Times New Roman"/>
          <w:b/>
          <w:lang w:val="en-AU"/>
        </w:rPr>
      </w:pPr>
    </w:p>
    <w:p w14:paraId="5DDF30E1" w14:textId="77777777" w:rsidR="00673914" w:rsidRPr="000E79AA" w:rsidRDefault="00673914" w:rsidP="00AD2E51">
      <w:pPr>
        <w:spacing w:line="360" w:lineRule="auto"/>
        <w:jc w:val="both"/>
        <w:rPr>
          <w:rFonts w:ascii="Times New Roman" w:hAnsi="Times New Roman" w:cs="Times New Roman"/>
          <w:b/>
          <w:lang w:val="en-AU"/>
        </w:rPr>
      </w:pPr>
    </w:p>
    <w:p w14:paraId="2F5D1B25" w14:textId="77777777" w:rsidR="00673914" w:rsidRPr="000E79AA" w:rsidRDefault="00673914" w:rsidP="00AD2E51">
      <w:pPr>
        <w:spacing w:line="360" w:lineRule="auto"/>
        <w:jc w:val="both"/>
        <w:rPr>
          <w:rFonts w:ascii="Times New Roman" w:hAnsi="Times New Roman" w:cs="Times New Roman"/>
          <w:b/>
          <w:lang w:val="en-AU"/>
        </w:rPr>
      </w:pPr>
    </w:p>
    <w:p w14:paraId="3D4F0585" w14:textId="77777777" w:rsidR="00673914" w:rsidRPr="000E79AA" w:rsidRDefault="00673914" w:rsidP="00AD2E51">
      <w:pPr>
        <w:spacing w:line="360" w:lineRule="auto"/>
        <w:jc w:val="both"/>
        <w:rPr>
          <w:rFonts w:ascii="Times New Roman" w:hAnsi="Times New Roman" w:cs="Times New Roman"/>
          <w:b/>
          <w:lang w:val="en-AU"/>
        </w:rPr>
      </w:pPr>
    </w:p>
    <w:p w14:paraId="06C3B817" w14:textId="77777777" w:rsidR="00673914" w:rsidRPr="000E79AA" w:rsidRDefault="00673914" w:rsidP="00AD2E51">
      <w:pPr>
        <w:spacing w:line="360" w:lineRule="auto"/>
        <w:jc w:val="both"/>
        <w:rPr>
          <w:rFonts w:ascii="Times New Roman" w:hAnsi="Times New Roman" w:cs="Times New Roman"/>
          <w:b/>
          <w:lang w:val="en-AU"/>
        </w:rPr>
      </w:pPr>
    </w:p>
    <w:p w14:paraId="6A28BBC6" w14:textId="77777777" w:rsidR="00673914" w:rsidRPr="000E79AA" w:rsidRDefault="00673914" w:rsidP="00AD2E51">
      <w:pPr>
        <w:spacing w:line="360" w:lineRule="auto"/>
        <w:jc w:val="both"/>
        <w:rPr>
          <w:rFonts w:ascii="Times New Roman" w:hAnsi="Times New Roman" w:cs="Times New Roman"/>
          <w:b/>
          <w:lang w:val="en-AU"/>
        </w:rPr>
      </w:pPr>
    </w:p>
    <w:p w14:paraId="4057F6B2" w14:textId="77777777" w:rsidR="00673914" w:rsidRPr="000E79AA" w:rsidRDefault="00673914" w:rsidP="00AD2E51">
      <w:pPr>
        <w:spacing w:line="360" w:lineRule="auto"/>
        <w:jc w:val="both"/>
        <w:rPr>
          <w:rFonts w:ascii="Times New Roman" w:hAnsi="Times New Roman" w:cs="Times New Roman"/>
          <w:b/>
          <w:lang w:val="en-AU"/>
        </w:rPr>
      </w:pPr>
    </w:p>
    <w:p w14:paraId="565E76EA" w14:textId="77777777" w:rsidR="00673914" w:rsidRPr="000E79AA" w:rsidRDefault="00673914" w:rsidP="00AD2E51">
      <w:pPr>
        <w:spacing w:line="360" w:lineRule="auto"/>
        <w:jc w:val="both"/>
        <w:rPr>
          <w:rFonts w:ascii="Times New Roman" w:hAnsi="Times New Roman" w:cs="Times New Roman"/>
          <w:b/>
          <w:lang w:val="en-AU"/>
        </w:rPr>
      </w:pPr>
    </w:p>
    <w:p w14:paraId="2F7D3FCC" w14:textId="77777777" w:rsidR="00673914" w:rsidRPr="000E79AA" w:rsidRDefault="00673914" w:rsidP="00AD2E51">
      <w:pPr>
        <w:spacing w:line="360" w:lineRule="auto"/>
        <w:jc w:val="both"/>
        <w:rPr>
          <w:rFonts w:ascii="Times New Roman" w:hAnsi="Times New Roman" w:cs="Times New Roman"/>
          <w:b/>
          <w:lang w:val="en-AU"/>
        </w:rPr>
      </w:pPr>
    </w:p>
    <w:p w14:paraId="2E0E9950" w14:textId="77777777" w:rsidR="00673914" w:rsidRPr="000E79AA" w:rsidRDefault="00673914" w:rsidP="00AD2E51">
      <w:pPr>
        <w:spacing w:line="360" w:lineRule="auto"/>
        <w:jc w:val="both"/>
        <w:rPr>
          <w:rFonts w:ascii="Times New Roman" w:hAnsi="Times New Roman" w:cs="Times New Roman"/>
          <w:b/>
          <w:lang w:val="en-AU"/>
        </w:rPr>
      </w:pPr>
    </w:p>
    <w:p w14:paraId="3A0292FD" w14:textId="77777777" w:rsidR="00673914" w:rsidRPr="000E79AA" w:rsidRDefault="00673914" w:rsidP="00AD2E51">
      <w:pPr>
        <w:spacing w:line="360" w:lineRule="auto"/>
        <w:jc w:val="both"/>
        <w:rPr>
          <w:rFonts w:ascii="Times New Roman" w:hAnsi="Times New Roman" w:cs="Times New Roman"/>
          <w:b/>
          <w:lang w:val="en-AU"/>
        </w:rPr>
      </w:pPr>
    </w:p>
    <w:p w14:paraId="634A33AE" w14:textId="7D92C3D1" w:rsidR="00673914" w:rsidRPr="000E79AA" w:rsidRDefault="00673914" w:rsidP="00AD2E51">
      <w:pPr>
        <w:spacing w:line="360" w:lineRule="auto"/>
        <w:jc w:val="both"/>
        <w:rPr>
          <w:rFonts w:ascii="Times New Roman" w:hAnsi="Times New Roman" w:cs="Times New Roman"/>
          <w:b/>
          <w:lang w:val="en-AU"/>
        </w:rPr>
      </w:pPr>
    </w:p>
    <w:p w14:paraId="026F25FC" w14:textId="7D10EE2A" w:rsidR="00141FBB" w:rsidRPr="000E79AA" w:rsidRDefault="00141FBB" w:rsidP="00AD2E51">
      <w:pPr>
        <w:spacing w:line="360" w:lineRule="auto"/>
        <w:jc w:val="both"/>
        <w:rPr>
          <w:rFonts w:ascii="Times New Roman" w:hAnsi="Times New Roman" w:cs="Times New Roman"/>
          <w:b/>
          <w:lang w:val="en-AU"/>
        </w:rPr>
      </w:pPr>
    </w:p>
    <w:p w14:paraId="0D8DB541" w14:textId="2D886C29" w:rsidR="00141FBB" w:rsidRPr="000E79AA" w:rsidRDefault="00141FBB" w:rsidP="00AD2E51">
      <w:pPr>
        <w:spacing w:line="360" w:lineRule="auto"/>
        <w:jc w:val="both"/>
        <w:rPr>
          <w:rFonts w:ascii="Times New Roman" w:hAnsi="Times New Roman" w:cs="Times New Roman"/>
          <w:b/>
          <w:lang w:val="en-AU"/>
        </w:rPr>
      </w:pPr>
    </w:p>
    <w:p w14:paraId="65AA2587" w14:textId="4B6E9491" w:rsidR="00D02D07" w:rsidRPr="000E79AA" w:rsidRDefault="00D02D07" w:rsidP="00AD2E51">
      <w:pPr>
        <w:spacing w:line="360" w:lineRule="auto"/>
        <w:jc w:val="both"/>
        <w:rPr>
          <w:rFonts w:ascii="Times New Roman" w:hAnsi="Times New Roman" w:cs="Times New Roman"/>
          <w:b/>
          <w:lang w:val="en-AU"/>
        </w:rPr>
      </w:pPr>
    </w:p>
    <w:p w14:paraId="6C46676C" w14:textId="63FA97E3" w:rsidR="00D02D07" w:rsidRPr="000E79AA" w:rsidRDefault="00D02D07" w:rsidP="00AD2E51">
      <w:pPr>
        <w:spacing w:line="360" w:lineRule="auto"/>
        <w:jc w:val="both"/>
        <w:rPr>
          <w:rFonts w:ascii="Times New Roman" w:hAnsi="Times New Roman" w:cs="Times New Roman"/>
          <w:b/>
          <w:lang w:val="en-AU"/>
        </w:rPr>
      </w:pPr>
    </w:p>
    <w:p w14:paraId="1FA1D0D5" w14:textId="1DD54E67" w:rsidR="00D02D07" w:rsidRPr="000E79AA" w:rsidRDefault="00D02D07" w:rsidP="00AD2E51">
      <w:pPr>
        <w:spacing w:line="360" w:lineRule="auto"/>
        <w:jc w:val="both"/>
        <w:rPr>
          <w:rFonts w:ascii="Times New Roman" w:hAnsi="Times New Roman" w:cs="Times New Roman"/>
          <w:b/>
          <w:lang w:val="en-AU"/>
        </w:rPr>
      </w:pPr>
    </w:p>
    <w:p w14:paraId="1B2D82C9" w14:textId="3BFF29CB" w:rsidR="00D02D07" w:rsidRPr="000E79AA" w:rsidRDefault="00D02D07" w:rsidP="00AD2E51">
      <w:pPr>
        <w:spacing w:line="360" w:lineRule="auto"/>
        <w:jc w:val="both"/>
        <w:rPr>
          <w:rFonts w:ascii="Times New Roman" w:hAnsi="Times New Roman" w:cs="Times New Roman"/>
          <w:b/>
          <w:lang w:val="en-AU"/>
        </w:rPr>
      </w:pPr>
    </w:p>
    <w:p w14:paraId="46F3233E" w14:textId="789BDAD6" w:rsidR="00D02D07" w:rsidRPr="000E79AA" w:rsidRDefault="00D02D07" w:rsidP="00AD2E51">
      <w:pPr>
        <w:spacing w:line="360" w:lineRule="auto"/>
        <w:jc w:val="both"/>
        <w:rPr>
          <w:rFonts w:ascii="Times New Roman" w:hAnsi="Times New Roman" w:cs="Times New Roman"/>
          <w:b/>
          <w:lang w:val="en-AU"/>
        </w:rPr>
      </w:pPr>
    </w:p>
    <w:p w14:paraId="0E27315E" w14:textId="109D8CBD" w:rsidR="00D02D07" w:rsidRPr="000E79AA" w:rsidRDefault="00D02D07" w:rsidP="00AD2E51">
      <w:pPr>
        <w:spacing w:line="360" w:lineRule="auto"/>
        <w:jc w:val="both"/>
        <w:rPr>
          <w:rFonts w:ascii="Times New Roman" w:hAnsi="Times New Roman" w:cs="Times New Roman"/>
          <w:b/>
          <w:lang w:val="en-AU"/>
        </w:rPr>
      </w:pPr>
    </w:p>
    <w:p w14:paraId="072CDADF" w14:textId="5ED556EE" w:rsidR="00D02D07" w:rsidRPr="000E79AA" w:rsidRDefault="00D02D07" w:rsidP="00AD2E51">
      <w:pPr>
        <w:spacing w:line="360" w:lineRule="auto"/>
        <w:jc w:val="both"/>
        <w:rPr>
          <w:rFonts w:ascii="Times New Roman" w:hAnsi="Times New Roman" w:cs="Times New Roman"/>
          <w:b/>
          <w:lang w:val="en-AU"/>
        </w:rPr>
      </w:pPr>
    </w:p>
    <w:p w14:paraId="3974D1F6" w14:textId="51A79A9D" w:rsidR="00D02D07" w:rsidRPr="000E79AA" w:rsidRDefault="00D02D07" w:rsidP="00AD2E51">
      <w:pPr>
        <w:spacing w:line="360" w:lineRule="auto"/>
        <w:jc w:val="both"/>
        <w:rPr>
          <w:rFonts w:ascii="Times New Roman" w:hAnsi="Times New Roman" w:cs="Times New Roman"/>
          <w:b/>
          <w:lang w:val="en-AU"/>
        </w:rPr>
      </w:pPr>
    </w:p>
    <w:p w14:paraId="25E3677B" w14:textId="2005A97C" w:rsidR="00D02D07" w:rsidRPr="000E79AA" w:rsidRDefault="00D02D07" w:rsidP="00AD2E51">
      <w:pPr>
        <w:spacing w:line="360" w:lineRule="auto"/>
        <w:jc w:val="both"/>
        <w:rPr>
          <w:rFonts w:ascii="Times New Roman" w:hAnsi="Times New Roman" w:cs="Times New Roman"/>
          <w:b/>
          <w:lang w:val="en-AU"/>
        </w:rPr>
      </w:pPr>
    </w:p>
    <w:p w14:paraId="1443BEAF" w14:textId="05F701BD" w:rsidR="00D02D07" w:rsidRPr="000E79AA" w:rsidRDefault="00D02D07" w:rsidP="00AD2E51">
      <w:pPr>
        <w:spacing w:line="360" w:lineRule="auto"/>
        <w:jc w:val="both"/>
        <w:rPr>
          <w:rFonts w:ascii="Times New Roman" w:hAnsi="Times New Roman" w:cs="Times New Roman"/>
          <w:b/>
          <w:lang w:val="en-AU"/>
        </w:rPr>
      </w:pPr>
    </w:p>
    <w:p w14:paraId="700A720B" w14:textId="5BC60DA6" w:rsidR="00D02D07" w:rsidRPr="000E79AA" w:rsidRDefault="00D02D07" w:rsidP="00AD2E51">
      <w:pPr>
        <w:spacing w:line="360" w:lineRule="auto"/>
        <w:jc w:val="both"/>
        <w:rPr>
          <w:rFonts w:ascii="Times New Roman" w:hAnsi="Times New Roman" w:cs="Times New Roman"/>
          <w:b/>
          <w:lang w:val="en-AU"/>
        </w:rPr>
      </w:pPr>
    </w:p>
    <w:p w14:paraId="58068AAC" w14:textId="0E02BB82" w:rsidR="00D02D07" w:rsidRPr="000E79AA" w:rsidRDefault="00D02D07" w:rsidP="00AD2E51">
      <w:pPr>
        <w:spacing w:line="360" w:lineRule="auto"/>
        <w:jc w:val="both"/>
        <w:rPr>
          <w:rFonts w:ascii="Times New Roman" w:hAnsi="Times New Roman" w:cs="Times New Roman"/>
          <w:b/>
          <w:lang w:val="en-AU"/>
        </w:rPr>
      </w:pPr>
    </w:p>
    <w:p w14:paraId="19E02798" w14:textId="475BC2FE" w:rsidR="00D02D07" w:rsidRPr="000E79AA" w:rsidRDefault="00D02D07" w:rsidP="00AD2E51">
      <w:pPr>
        <w:spacing w:line="360" w:lineRule="auto"/>
        <w:jc w:val="both"/>
        <w:rPr>
          <w:rFonts w:ascii="Times New Roman" w:hAnsi="Times New Roman" w:cs="Times New Roman"/>
          <w:b/>
          <w:lang w:val="en-AU"/>
        </w:rPr>
      </w:pPr>
    </w:p>
    <w:p w14:paraId="26545CC5" w14:textId="0D77CAE2" w:rsidR="00D02D07" w:rsidRPr="000E79AA" w:rsidRDefault="00D02D07" w:rsidP="00AD2E51">
      <w:pPr>
        <w:spacing w:line="360" w:lineRule="auto"/>
        <w:jc w:val="both"/>
        <w:rPr>
          <w:rFonts w:ascii="Times New Roman" w:hAnsi="Times New Roman" w:cs="Times New Roman"/>
          <w:b/>
          <w:lang w:val="en-AU"/>
        </w:rPr>
      </w:pPr>
    </w:p>
    <w:p w14:paraId="47AF075C" w14:textId="20BA244C" w:rsidR="00D02D07" w:rsidRPr="000E79AA" w:rsidRDefault="00D02D07" w:rsidP="00AD2E51">
      <w:pPr>
        <w:spacing w:line="360" w:lineRule="auto"/>
        <w:jc w:val="both"/>
        <w:rPr>
          <w:rFonts w:ascii="Times New Roman" w:hAnsi="Times New Roman" w:cs="Times New Roman"/>
          <w:b/>
          <w:lang w:val="en-AU"/>
        </w:rPr>
      </w:pPr>
    </w:p>
    <w:p w14:paraId="200F4337" w14:textId="77777777" w:rsidR="00D02D07" w:rsidRPr="000E79AA" w:rsidRDefault="00D02D07" w:rsidP="00AD2E51">
      <w:pPr>
        <w:spacing w:line="360" w:lineRule="auto"/>
        <w:jc w:val="both"/>
        <w:rPr>
          <w:rFonts w:ascii="Times New Roman" w:hAnsi="Times New Roman" w:cs="Times New Roman"/>
          <w:b/>
          <w:lang w:val="en-AU"/>
        </w:rPr>
      </w:pPr>
    </w:p>
    <w:p w14:paraId="139F7C84" w14:textId="77777777" w:rsidR="00141FBB" w:rsidRPr="000E79AA" w:rsidRDefault="00141FBB" w:rsidP="00AD2E51">
      <w:pPr>
        <w:spacing w:line="360" w:lineRule="auto"/>
        <w:jc w:val="both"/>
        <w:rPr>
          <w:rFonts w:ascii="Times New Roman" w:hAnsi="Times New Roman" w:cs="Times New Roman"/>
          <w:b/>
          <w:lang w:val="en-AU"/>
        </w:rPr>
      </w:pPr>
    </w:p>
    <w:p w14:paraId="21BB192F" w14:textId="30AD88F5" w:rsidR="00E75D89" w:rsidRPr="000E79AA" w:rsidRDefault="008C3235" w:rsidP="00AD2E51">
      <w:pPr>
        <w:spacing w:line="360" w:lineRule="auto"/>
        <w:jc w:val="both"/>
        <w:rPr>
          <w:rFonts w:ascii="Times New Roman" w:hAnsi="Times New Roman" w:cs="Times New Roman"/>
          <w:bCs/>
          <w:lang w:val="en-AU"/>
        </w:rPr>
      </w:pPr>
      <w:r w:rsidRPr="000E79AA">
        <w:rPr>
          <w:rFonts w:ascii="Times New Roman" w:hAnsi="Times New Roman" w:cs="Times New Roman"/>
          <w:b/>
          <w:lang w:val="en-AU"/>
        </w:rPr>
        <w:lastRenderedPageBreak/>
        <w:t>Acknowledgments</w:t>
      </w:r>
    </w:p>
    <w:p w14:paraId="21C1EC81" w14:textId="77777777" w:rsidR="007F544D" w:rsidRPr="000E79AA" w:rsidRDefault="007F544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 xml:space="preserve">We thank all volunteers and their families for their participation, all staff at the Wolfson Brain Imaging Centre and NIHR Cambridge Clinical Research Facility for their help with data collection, and </w:t>
      </w:r>
      <w:r w:rsidR="0011118E" w:rsidRPr="000E79AA">
        <w:rPr>
          <w:rFonts w:ascii="Times New Roman" w:hAnsi="Times New Roman" w:cs="Times New Roman"/>
          <w:lang w:val="en-AU"/>
        </w:rPr>
        <w:t>members of</w:t>
      </w:r>
      <w:r w:rsidRPr="000E79AA">
        <w:rPr>
          <w:rFonts w:ascii="Times New Roman" w:hAnsi="Times New Roman" w:cs="Times New Roman"/>
          <w:lang w:val="en-AU"/>
        </w:rPr>
        <w:t xml:space="preserve"> the Cambridge Centre for Frontotemporal Dementia and Related Disorders for valuable suggestions and discussions.</w:t>
      </w:r>
    </w:p>
    <w:p w14:paraId="279ACED5" w14:textId="77777777" w:rsidR="007F544D" w:rsidRPr="000E79AA" w:rsidRDefault="007F544D" w:rsidP="004E671C">
      <w:pPr>
        <w:spacing w:line="360" w:lineRule="auto"/>
        <w:jc w:val="both"/>
        <w:rPr>
          <w:rFonts w:ascii="Times New Roman" w:hAnsi="Times New Roman" w:cs="Times New Roman"/>
          <w:lang w:val="en-AU"/>
        </w:rPr>
      </w:pPr>
    </w:p>
    <w:p w14:paraId="78FD7D2B" w14:textId="77777777" w:rsidR="007F544D" w:rsidRPr="000E79AA" w:rsidRDefault="008C3235" w:rsidP="004E671C">
      <w:pPr>
        <w:spacing w:line="360" w:lineRule="auto"/>
        <w:jc w:val="both"/>
        <w:rPr>
          <w:rFonts w:ascii="Times New Roman" w:hAnsi="Times New Roman" w:cs="Times New Roman"/>
          <w:b/>
          <w:lang w:val="en-AU"/>
        </w:rPr>
      </w:pPr>
      <w:r w:rsidRPr="000E79AA">
        <w:rPr>
          <w:rFonts w:ascii="Times New Roman" w:hAnsi="Times New Roman" w:cs="Times New Roman"/>
          <w:b/>
          <w:lang w:val="en-AU"/>
        </w:rPr>
        <w:t>Funding</w:t>
      </w:r>
      <w:r w:rsidR="00092BC7" w:rsidRPr="000E79AA">
        <w:rPr>
          <w:rFonts w:ascii="Times New Roman" w:hAnsi="Times New Roman" w:cs="Times New Roman"/>
          <w:b/>
          <w:lang w:val="en-AU"/>
        </w:rPr>
        <w:t xml:space="preserve"> </w:t>
      </w:r>
    </w:p>
    <w:p w14:paraId="2FB7D8E0" w14:textId="2222AB94" w:rsidR="00875DE0" w:rsidRPr="000E79AA" w:rsidRDefault="007F544D"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This study was supported by Parkinson’s UK (grant number K-1702)</w:t>
      </w:r>
      <w:r w:rsidR="00F40BAA" w:rsidRPr="000E79AA">
        <w:rPr>
          <w:rFonts w:ascii="Times New Roman" w:hAnsi="Times New Roman" w:cs="Times New Roman"/>
          <w:lang w:val="en-AU"/>
        </w:rPr>
        <w:t xml:space="preserve"> and the Cambridge Centre for Parkinson-</w:t>
      </w:r>
      <w:r w:rsidR="0001154F" w:rsidRPr="000E79AA">
        <w:rPr>
          <w:rFonts w:ascii="Times New Roman" w:hAnsi="Times New Roman" w:cs="Times New Roman"/>
          <w:lang w:val="en-AU"/>
        </w:rPr>
        <w:t>plus</w:t>
      </w:r>
      <w:r w:rsidRPr="000E79AA">
        <w:rPr>
          <w:rFonts w:ascii="Times New Roman" w:hAnsi="Times New Roman" w:cs="Times New Roman"/>
          <w:lang w:val="en-AU"/>
        </w:rPr>
        <w:t xml:space="preserve">. </w:t>
      </w:r>
      <w:r w:rsidR="00D47DFB" w:rsidRPr="000E79AA">
        <w:rPr>
          <w:rFonts w:ascii="Times New Roman" w:hAnsi="Times New Roman" w:cs="Times New Roman"/>
          <w:lang w:val="en-AU"/>
        </w:rPr>
        <w:t xml:space="preserve">CO was supported by a Neil Hamilton Fairley Fellowship from the </w:t>
      </w:r>
      <w:r w:rsidR="00D54BDB" w:rsidRPr="000E79AA">
        <w:rPr>
          <w:rFonts w:ascii="Times New Roman" w:hAnsi="Times New Roman" w:cs="Times New Roman"/>
          <w:lang w:val="en-AU"/>
        </w:rPr>
        <w:t xml:space="preserve">Australian </w:t>
      </w:r>
      <w:r w:rsidR="00D47DFB" w:rsidRPr="000E79AA">
        <w:rPr>
          <w:rFonts w:ascii="Times New Roman" w:hAnsi="Times New Roman" w:cs="Times New Roman"/>
          <w:lang w:val="en-AU"/>
        </w:rPr>
        <w:t>National Health and Medical Research Council (</w:t>
      </w:r>
      <w:r w:rsidR="00D54BDB" w:rsidRPr="000E79AA">
        <w:rPr>
          <w:rFonts w:ascii="Times New Roman" w:hAnsi="Times New Roman" w:cs="Times New Roman"/>
          <w:lang w:val="en-AU"/>
        </w:rPr>
        <w:t>GNT</w:t>
      </w:r>
      <w:r w:rsidR="00D47DFB" w:rsidRPr="000E79AA">
        <w:rPr>
          <w:rFonts w:ascii="Times New Roman" w:hAnsi="Times New Roman" w:cs="Times New Roman"/>
          <w:lang w:val="en-AU"/>
        </w:rPr>
        <w:t>1091310)</w:t>
      </w:r>
      <w:r w:rsidR="008B4926" w:rsidRPr="000E79AA">
        <w:rPr>
          <w:rFonts w:ascii="Times New Roman" w:hAnsi="Times New Roman" w:cs="Times New Roman"/>
          <w:lang w:val="en-AU"/>
        </w:rPr>
        <w:t>.</w:t>
      </w:r>
      <w:r w:rsidR="00D47DFB" w:rsidRPr="000E79AA">
        <w:rPr>
          <w:rFonts w:ascii="Times New Roman" w:hAnsi="Times New Roman" w:cs="Times New Roman"/>
          <w:lang w:val="en-AU"/>
        </w:rPr>
        <w:t xml:space="preserve"> </w:t>
      </w:r>
      <w:r w:rsidRPr="000E79AA">
        <w:rPr>
          <w:rFonts w:ascii="Times New Roman" w:hAnsi="Times New Roman" w:cs="Times New Roman"/>
          <w:lang w:val="en-AU"/>
        </w:rPr>
        <w:t>FHH was supported by a Cambridge Trust Vice-Chancellor’s Award and Fitzwilliam College Scholarship</w:t>
      </w:r>
      <w:r w:rsidR="008B4926" w:rsidRPr="000E79AA">
        <w:rPr>
          <w:rFonts w:ascii="Times New Roman" w:hAnsi="Times New Roman" w:cs="Times New Roman"/>
          <w:lang w:val="en-AU"/>
        </w:rPr>
        <w:t>.</w:t>
      </w:r>
      <w:r w:rsidRPr="000E79AA">
        <w:rPr>
          <w:rFonts w:ascii="Times New Roman" w:hAnsi="Times New Roman" w:cs="Times New Roman"/>
          <w:lang w:val="en-AU"/>
        </w:rPr>
        <w:t xml:space="preserve"> </w:t>
      </w:r>
      <w:r w:rsidR="008B4926" w:rsidRPr="000E79AA">
        <w:rPr>
          <w:rFonts w:ascii="Times New Roman" w:hAnsi="Times New Roman" w:cs="Times New Roman"/>
          <w:lang w:val="en-AU"/>
        </w:rPr>
        <w:t>NH was supported by the Association of British Neurologists – Patrick Berthoud Charitable Trust (RG99368).</w:t>
      </w:r>
      <w:r w:rsidR="00C62D90" w:rsidRPr="000E79AA">
        <w:rPr>
          <w:rFonts w:ascii="Times New Roman" w:hAnsi="Times New Roman" w:cs="Times New Roman"/>
          <w:lang w:val="en-AU"/>
        </w:rPr>
        <w:t xml:space="preserve"> KAT was supported by supported by the British Academy (PF160048) and the Guarantors of Brain (101149).</w:t>
      </w:r>
      <w:r w:rsidRPr="000E79AA">
        <w:rPr>
          <w:rFonts w:ascii="Times New Roman" w:hAnsi="Times New Roman" w:cs="Times New Roman"/>
          <w:lang w:val="en-AU"/>
        </w:rPr>
        <w:t xml:space="preserve"> </w:t>
      </w:r>
      <w:r w:rsidR="009062BF" w:rsidRPr="000E79AA">
        <w:rPr>
          <w:rFonts w:ascii="Times New Roman" w:hAnsi="Times New Roman" w:cs="Times New Roman"/>
          <w:lang w:val="en-AU"/>
        </w:rPr>
        <w:t>CHWG is supported by a RCUK/UKRI Research Innovation Fellowship awarded by the Medical Research Council (MR/R007446/1).</w:t>
      </w:r>
      <w:r w:rsidR="008B4926" w:rsidRPr="000E79AA">
        <w:rPr>
          <w:rFonts w:ascii="Times New Roman" w:hAnsi="Times New Roman" w:cs="Times New Roman"/>
          <w:lang w:val="en-AU"/>
        </w:rPr>
        <w:t xml:space="preserve"> JBR was supported by a UK Medical Research Council Intramural Programme Grant (SUAG/051 G101400) and Research Grant (MR/P01271X/1), a James S. McDonnell Foundation 21st Century Science Initiative Scholar Award in Understanding Human Cognition, and the Wellcome Trust (103838).</w:t>
      </w:r>
      <w:r w:rsidR="009062BF" w:rsidRPr="000E79AA">
        <w:rPr>
          <w:rFonts w:ascii="Times New Roman" w:hAnsi="Times New Roman" w:cs="Times New Roman"/>
          <w:lang w:val="en-AU"/>
        </w:rPr>
        <w:t xml:space="preserve"> </w:t>
      </w:r>
      <w:r w:rsidRPr="000E79AA">
        <w:rPr>
          <w:rFonts w:ascii="Times New Roman" w:hAnsi="Times New Roman" w:cs="Times New Roman"/>
          <w:lang w:val="en-AU"/>
        </w:rPr>
        <w:t>This study was carried out at/supported by the NIHR Cambridge Clinical Research Facility</w:t>
      </w:r>
      <w:r w:rsidR="00F40BAA" w:rsidRPr="000E79AA">
        <w:rPr>
          <w:rFonts w:ascii="Times New Roman" w:hAnsi="Times New Roman" w:cs="Times New Roman"/>
          <w:lang w:val="en-AU"/>
        </w:rPr>
        <w:t xml:space="preserve"> and the NIHR Cambridge Biomedical Research Centre</w:t>
      </w:r>
      <w:r w:rsidR="009062BF" w:rsidRPr="000E79AA">
        <w:rPr>
          <w:rFonts w:ascii="Times New Roman" w:hAnsi="Times New Roman" w:cs="Times New Roman"/>
          <w:lang w:val="en-AU"/>
        </w:rPr>
        <w:t xml:space="preserve"> Dementia and Neurodegeneration Theme (ref. 146281)</w:t>
      </w:r>
      <w:r w:rsidRPr="000E79AA">
        <w:rPr>
          <w:rFonts w:ascii="Times New Roman" w:hAnsi="Times New Roman" w:cs="Times New Roman"/>
          <w:lang w:val="en-AU"/>
        </w:rPr>
        <w:t>. The views expressed are those of the author(s) and not necessarily those of the NHS, the NIHR or the Department of Health and Social Care.</w:t>
      </w:r>
    </w:p>
    <w:p w14:paraId="271D106D" w14:textId="210C0043" w:rsidR="00673914" w:rsidRPr="000E79AA" w:rsidRDefault="00673914" w:rsidP="004E671C">
      <w:pPr>
        <w:spacing w:line="360" w:lineRule="auto"/>
        <w:jc w:val="both"/>
        <w:rPr>
          <w:rFonts w:ascii="Times New Roman" w:hAnsi="Times New Roman" w:cs="Times New Roman"/>
          <w:lang w:val="en-AU"/>
        </w:rPr>
      </w:pPr>
    </w:p>
    <w:p w14:paraId="012B4C02" w14:textId="77777777" w:rsidR="00673914" w:rsidRPr="000E79AA" w:rsidRDefault="00673914" w:rsidP="004E671C">
      <w:pPr>
        <w:spacing w:line="360" w:lineRule="auto"/>
        <w:jc w:val="both"/>
        <w:rPr>
          <w:rFonts w:ascii="Times New Roman" w:hAnsi="Times New Roman" w:cs="Times New Roman"/>
          <w:b/>
          <w:bCs/>
          <w:lang w:val="en-AU"/>
        </w:rPr>
      </w:pPr>
      <w:r w:rsidRPr="000E79AA">
        <w:rPr>
          <w:rFonts w:ascii="Times New Roman" w:hAnsi="Times New Roman" w:cs="Times New Roman"/>
          <w:b/>
          <w:bCs/>
          <w:lang w:val="en-AU"/>
        </w:rPr>
        <w:t>Competing interests</w:t>
      </w:r>
    </w:p>
    <w:p w14:paraId="6472DBEF" w14:textId="05747E57" w:rsidR="00673914" w:rsidRPr="000E79AA" w:rsidRDefault="00673914" w:rsidP="004E671C">
      <w:pPr>
        <w:spacing w:line="360" w:lineRule="auto"/>
        <w:jc w:val="both"/>
        <w:rPr>
          <w:rFonts w:ascii="Times New Roman" w:hAnsi="Times New Roman" w:cs="Times New Roman"/>
          <w:lang w:val="en-AU"/>
        </w:rPr>
      </w:pPr>
      <w:r w:rsidRPr="000E79AA">
        <w:rPr>
          <w:rFonts w:ascii="Times New Roman" w:hAnsi="Times New Roman" w:cs="Times New Roman"/>
          <w:lang w:val="en-AU"/>
        </w:rPr>
        <w:t>The authors report no competing interests.</w:t>
      </w:r>
    </w:p>
    <w:p w14:paraId="3B07E5C3" w14:textId="77777777" w:rsidR="002B6E91" w:rsidRPr="000E79AA" w:rsidRDefault="002B6E91" w:rsidP="004E671C">
      <w:pPr>
        <w:spacing w:line="360" w:lineRule="auto"/>
        <w:jc w:val="both"/>
        <w:rPr>
          <w:rFonts w:ascii="Times New Roman" w:hAnsi="Times New Roman" w:cs="Times New Roman"/>
          <w:lang w:val="en-AU"/>
        </w:rPr>
      </w:pPr>
    </w:p>
    <w:p w14:paraId="39064242" w14:textId="3831DA44" w:rsidR="001C1C3C" w:rsidRPr="000E79AA" w:rsidRDefault="001C1C3C" w:rsidP="004E671C">
      <w:pPr>
        <w:spacing w:line="360" w:lineRule="auto"/>
        <w:jc w:val="both"/>
        <w:rPr>
          <w:rFonts w:ascii="Times New Roman" w:hAnsi="Times New Roman" w:cs="Times New Roman"/>
          <w:lang w:val="en-AU"/>
        </w:rPr>
      </w:pPr>
    </w:p>
    <w:p w14:paraId="6B8F3D84" w14:textId="7137D07C" w:rsidR="00C34E90" w:rsidRPr="000E79AA" w:rsidRDefault="00C34E90" w:rsidP="004E671C">
      <w:pPr>
        <w:spacing w:line="360" w:lineRule="auto"/>
        <w:jc w:val="both"/>
        <w:rPr>
          <w:rFonts w:ascii="Times New Roman" w:hAnsi="Times New Roman" w:cs="Times New Roman"/>
          <w:lang w:val="en-AU"/>
        </w:rPr>
      </w:pPr>
    </w:p>
    <w:p w14:paraId="054615AB" w14:textId="6CB9F4E5" w:rsidR="00C34E90" w:rsidRPr="000E79AA" w:rsidRDefault="00C34E90" w:rsidP="004E671C">
      <w:pPr>
        <w:spacing w:line="360" w:lineRule="auto"/>
        <w:jc w:val="both"/>
        <w:rPr>
          <w:rFonts w:ascii="Times New Roman" w:hAnsi="Times New Roman" w:cs="Times New Roman"/>
          <w:lang w:val="en-AU"/>
        </w:rPr>
      </w:pPr>
    </w:p>
    <w:p w14:paraId="34F4E2BD" w14:textId="31AB35B7" w:rsidR="00C34E90" w:rsidRPr="000E79AA" w:rsidRDefault="00C34E90" w:rsidP="004E671C">
      <w:pPr>
        <w:spacing w:line="360" w:lineRule="auto"/>
        <w:jc w:val="both"/>
        <w:rPr>
          <w:rFonts w:ascii="Times New Roman" w:hAnsi="Times New Roman" w:cs="Times New Roman"/>
          <w:lang w:val="en-AU"/>
        </w:rPr>
      </w:pPr>
    </w:p>
    <w:p w14:paraId="10388B25" w14:textId="643EBFDD" w:rsidR="00C34E90" w:rsidRPr="000E79AA" w:rsidRDefault="00C34E90" w:rsidP="004E671C">
      <w:pPr>
        <w:spacing w:line="360" w:lineRule="auto"/>
        <w:jc w:val="both"/>
        <w:rPr>
          <w:rFonts w:ascii="Times New Roman" w:hAnsi="Times New Roman" w:cs="Times New Roman"/>
          <w:lang w:val="en-AU"/>
        </w:rPr>
      </w:pPr>
    </w:p>
    <w:p w14:paraId="56536EAE" w14:textId="59C9EA8B" w:rsidR="00C34E90" w:rsidRPr="000E79AA" w:rsidRDefault="00C34E90" w:rsidP="004E671C">
      <w:pPr>
        <w:spacing w:line="360" w:lineRule="auto"/>
        <w:jc w:val="both"/>
        <w:rPr>
          <w:rFonts w:ascii="Times New Roman" w:hAnsi="Times New Roman" w:cs="Times New Roman"/>
          <w:lang w:val="en-AU"/>
        </w:rPr>
      </w:pPr>
    </w:p>
    <w:p w14:paraId="72305CC8" w14:textId="77777777" w:rsidR="00C34E90" w:rsidRPr="000E79AA" w:rsidRDefault="00C34E90" w:rsidP="004E671C">
      <w:pPr>
        <w:spacing w:line="360" w:lineRule="auto"/>
        <w:jc w:val="both"/>
        <w:rPr>
          <w:rFonts w:ascii="Times New Roman" w:hAnsi="Times New Roman" w:cs="Times New Roman"/>
          <w:lang w:val="en-AU"/>
        </w:rPr>
      </w:pPr>
    </w:p>
    <w:p w14:paraId="714F4A91" w14:textId="6815B1B2" w:rsidR="00315BA9" w:rsidRPr="000E79AA" w:rsidRDefault="00315BA9" w:rsidP="0074658B">
      <w:pPr>
        <w:rPr>
          <w:rFonts w:ascii="Times New Roman" w:hAnsi="Times New Roman" w:cs="Times New Roman"/>
          <w:b/>
          <w:bCs/>
          <w:lang w:val="en-AU"/>
        </w:rPr>
      </w:pPr>
      <w:r w:rsidRPr="000E79AA">
        <w:rPr>
          <w:rFonts w:ascii="Times New Roman" w:hAnsi="Times New Roman" w:cs="Times New Roman"/>
          <w:b/>
          <w:bCs/>
          <w:lang w:val="en-AU"/>
        </w:rPr>
        <w:lastRenderedPageBreak/>
        <w:t>References</w:t>
      </w:r>
    </w:p>
    <w:p w14:paraId="234EF6CC" w14:textId="275EB0A0" w:rsidR="00A74D7F" w:rsidRPr="000E79AA" w:rsidRDefault="00A74D7F" w:rsidP="0074658B">
      <w:pPr>
        <w:rPr>
          <w:rFonts w:ascii="Times New Roman" w:hAnsi="Times New Roman" w:cs="Times New Roman"/>
          <w:b/>
          <w:bCs/>
          <w:lang w:val="en-AU"/>
        </w:rPr>
      </w:pPr>
    </w:p>
    <w:p w14:paraId="5652214D" w14:textId="77777777" w:rsidR="00FE0233" w:rsidRPr="000E79AA" w:rsidRDefault="00D728F1" w:rsidP="00FE0233">
      <w:pPr>
        <w:pStyle w:val="Bibliography"/>
        <w:rPr>
          <w:rFonts w:ascii="Times New Roman" w:hAnsi="Times New Roman" w:cs="Times New Roman"/>
        </w:rPr>
      </w:pPr>
      <w:r w:rsidRPr="000E79AA">
        <w:rPr>
          <w:rFonts w:ascii="Times New Roman" w:hAnsi="Times New Roman" w:cs="Times New Roman"/>
          <w:b/>
          <w:bCs/>
          <w:lang w:val="en-AU"/>
        </w:rPr>
        <w:fldChar w:fldCharType="begin"/>
      </w:r>
      <w:r w:rsidR="00FE0233" w:rsidRPr="000E79AA">
        <w:rPr>
          <w:rFonts w:ascii="Times New Roman" w:hAnsi="Times New Roman" w:cs="Times New Roman"/>
          <w:b/>
          <w:bCs/>
          <w:lang w:val="en-AU"/>
        </w:rPr>
        <w:instrText xml:space="preserve"> ADDIN ZOTERO_BIBL {"uncited":[],"omitted":[],"custom":[]} CSL_BIBLIOGRAPHY </w:instrText>
      </w:r>
      <w:r w:rsidRPr="000E79AA">
        <w:rPr>
          <w:rFonts w:ascii="Times New Roman" w:hAnsi="Times New Roman" w:cs="Times New Roman"/>
          <w:b/>
          <w:bCs/>
          <w:lang w:val="en-AU"/>
        </w:rPr>
        <w:fldChar w:fldCharType="separate"/>
      </w:r>
      <w:r w:rsidR="00FE0233" w:rsidRPr="000E79AA">
        <w:rPr>
          <w:rFonts w:ascii="Times New Roman" w:hAnsi="Times New Roman" w:cs="Times New Roman"/>
        </w:rPr>
        <w:t xml:space="preserve">1. </w:t>
      </w:r>
      <w:r w:rsidR="00FE0233" w:rsidRPr="000E79AA">
        <w:rPr>
          <w:rFonts w:ascii="Times New Roman" w:hAnsi="Times New Roman" w:cs="Times New Roman"/>
        </w:rPr>
        <w:tab/>
        <w:t xml:space="preserve">Cools R, Barker RA, Sahakian BJ, Robbins TW. l-Dopa medication remediates cognitive inflexibility, but increases impulsivity in patients with Parkinson’s disease. </w:t>
      </w:r>
      <w:r w:rsidR="00FE0233" w:rsidRPr="000E79AA">
        <w:rPr>
          <w:rFonts w:ascii="Times New Roman" w:hAnsi="Times New Roman" w:cs="Times New Roman"/>
          <w:i/>
          <w:iCs/>
        </w:rPr>
        <w:t>Neuropsychologia</w:t>
      </w:r>
      <w:r w:rsidR="00FE0233" w:rsidRPr="000E79AA">
        <w:rPr>
          <w:rFonts w:ascii="Times New Roman" w:hAnsi="Times New Roman" w:cs="Times New Roman"/>
        </w:rPr>
        <w:t>. 2003;41(11):1431-1441. doi:10.1016/S0028-3932(03)00117-9</w:t>
      </w:r>
    </w:p>
    <w:p w14:paraId="27D47246"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 </w:t>
      </w:r>
      <w:r w:rsidRPr="000E79AA">
        <w:rPr>
          <w:rFonts w:ascii="Times New Roman" w:hAnsi="Times New Roman" w:cs="Times New Roman"/>
        </w:rPr>
        <w:tab/>
        <w:t xml:space="preserve">Lewis SJG, Slabosz A, Robbins TW, Barker RA, Owen AM. Dopaminergic basis for deficits in working memory but not attentional set-shifting in Parkinson’s disease. </w:t>
      </w:r>
      <w:r w:rsidRPr="000E79AA">
        <w:rPr>
          <w:rFonts w:ascii="Times New Roman" w:hAnsi="Times New Roman" w:cs="Times New Roman"/>
          <w:i/>
          <w:iCs/>
        </w:rPr>
        <w:t>Neuropsychologia</w:t>
      </w:r>
      <w:r w:rsidRPr="000E79AA">
        <w:rPr>
          <w:rFonts w:ascii="Times New Roman" w:hAnsi="Times New Roman" w:cs="Times New Roman"/>
        </w:rPr>
        <w:t>. 2005;43(6):823-832. doi:10.1016/j.neuropsychologia.2004.10.001</w:t>
      </w:r>
    </w:p>
    <w:p w14:paraId="1C309F1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 </w:t>
      </w:r>
      <w:r w:rsidRPr="000E79AA">
        <w:rPr>
          <w:rFonts w:ascii="Times New Roman" w:hAnsi="Times New Roman" w:cs="Times New Roman"/>
        </w:rPr>
        <w:tab/>
        <w:t xml:space="preserve">Kehagia AA, Barker RA, Robbins TW. Neuropsychological and clinical heterogeneity of cognitive impairment and dementia in patients with Parkinson’s disease. </w:t>
      </w:r>
      <w:r w:rsidRPr="000E79AA">
        <w:rPr>
          <w:rFonts w:ascii="Times New Roman" w:hAnsi="Times New Roman" w:cs="Times New Roman"/>
          <w:i/>
          <w:iCs/>
        </w:rPr>
        <w:t>Lancet Neurol</w:t>
      </w:r>
      <w:r w:rsidRPr="000E79AA">
        <w:rPr>
          <w:rFonts w:ascii="Times New Roman" w:hAnsi="Times New Roman" w:cs="Times New Roman"/>
        </w:rPr>
        <w:t>. 2010;9(12):1200-1213. doi:10.1016/S1474-4422(10)70212-X</w:t>
      </w:r>
    </w:p>
    <w:p w14:paraId="105480B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 </w:t>
      </w:r>
      <w:r w:rsidRPr="000E79AA">
        <w:rPr>
          <w:rFonts w:ascii="Times New Roman" w:hAnsi="Times New Roman" w:cs="Times New Roman"/>
        </w:rPr>
        <w:tab/>
        <w:t xml:space="preserve">Halliday GM, Leverenz JB, Schneider JS, Adler CH. The neurobiological basis of cognitive impairment in Parkinson’s disease. Burn D, Weintraub D, Robbins T, eds. </w:t>
      </w:r>
      <w:r w:rsidRPr="000E79AA">
        <w:rPr>
          <w:rFonts w:ascii="Times New Roman" w:hAnsi="Times New Roman" w:cs="Times New Roman"/>
          <w:i/>
          <w:iCs/>
        </w:rPr>
        <w:t>Mov Disord</w:t>
      </w:r>
      <w:r w:rsidRPr="000E79AA">
        <w:rPr>
          <w:rFonts w:ascii="Times New Roman" w:hAnsi="Times New Roman" w:cs="Times New Roman"/>
        </w:rPr>
        <w:t>. 2014;29(5):634-650. doi:10.1002/mds.25857</w:t>
      </w:r>
    </w:p>
    <w:p w14:paraId="14DA9EE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 </w:t>
      </w:r>
      <w:r w:rsidRPr="000E79AA">
        <w:rPr>
          <w:rFonts w:ascii="Times New Roman" w:hAnsi="Times New Roman" w:cs="Times New Roman"/>
        </w:rPr>
        <w:tab/>
        <w:t xml:space="preserve">Braak H, Tredici KD, Rüb U, de Vos RAI, Jansen Steur ENH, Braak E. Staging of brain pathology related to sporadic Parkinson’s disease. </w:t>
      </w:r>
      <w:r w:rsidRPr="000E79AA">
        <w:rPr>
          <w:rFonts w:ascii="Times New Roman" w:hAnsi="Times New Roman" w:cs="Times New Roman"/>
          <w:i/>
          <w:iCs/>
        </w:rPr>
        <w:t>Neurobiol Aging</w:t>
      </w:r>
      <w:r w:rsidRPr="000E79AA">
        <w:rPr>
          <w:rFonts w:ascii="Times New Roman" w:hAnsi="Times New Roman" w:cs="Times New Roman"/>
        </w:rPr>
        <w:t>. 2003;24(2):197-211. doi:10.1016/S0197-4580(02)00065-9</w:t>
      </w:r>
    </w:p>
    <w:p w14:paraId="220F0D7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 </w:t>
      </w:r>
      <w:r w:rsidRPr="000E79AA">
        <w:rPr>
          <w:rFonts w:ascii="Times New Roman" w:hAnsi="Times New Roman" w:cs="Times New Roman"/>
        </w:rPr>
        <w:tab/>
        <w:t xml:space="preserve">Surmeier DJ, Obeso JA, Halliday GM. Selective neuronal vulnerability in Parkinson disease. </w:t>
      </w:r>
      <w:r w:rsidRPr="000E79AA">
        <w:rPr>
          <w:rFonts w:ascii="Times New Roman" w:hAnsi="Times New Roman" w:cs="Times New Roman"/>
          <w:i/>
          <w:iCs/>
        </w:rPr>
        <w:t>Nat Rev Neurosci</w:t>
      </w:r>
      <w:r w:rsidRPr="000E79AA">
        <w:rPr>
          <w:rFonts w:ascii="Times New Roman" w:hAnsi="Times New Roman" w:cs="Times New Roman"/>
        </w:rPr>
        <w:t>. 2017;18(2):101-113. doi:10.1038/nrn.2016.178</w:t>
      </w:r>
    </w:p>
    <w:p w14:paraId="36853AC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 </w:t>
      </w:r>
      <w:r w:rsidRPr="000E79AA">
        <w:rPr>
          <w:rFonts w:ascii="Times New Roman" w:hAnsi="Times New Roman" w:cs="Times New Roman"/>
        </w:rPr>
        <w:tab/>
        <w:t xml:space="preserve">Weinshenker D. Long Road to Ruin: Noradrenergic Dysfunction in Neurodegenerative Disease. </w:t>
      </w:r>
      <w:r w:rsidRPr="000E79AA">
        <w:rPr>
          <w:rFonts w:ascii="Times New Roman" w:hAnsi="Times New Roman" w:cs="Times New Roman"/>
          <w:i/>
          <w:iCs/>
        </w:rPr>
        <w:t>Trends Neurosci</w:t>
      </w:r>
      <w:r w:rsidRPr="000E79AA">
        <w:rPr>
          <w:rFonts w:ascii="Times New Roman" w:hAnsi="Times New Roman" w:cs="Times New Roman"/>
        </w:rPr>
        <w:t>. 2018;41(4):211-223. doi:10.1016/j.tins.2018.01.010</w:t>
      </w:r>
    </w:p>
    <w:p w14:paraId="302C608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 </w:t>
      </w:r>
      <w:r w:rsidRPr="000E79AA">
        <w:rPr>
          <w:rFonts w:ascii="Times New Roman" w:hAnsi="Times New Roman" w:cs="Times New Roman"/>
        </w:rPr>
        <w:tab/>
        <w:t xml:space="preserve">Eagle DM, Bari A, Robbins TW. The neuropsychopharmacology of action inhibition: cross-species translation of the stop-signal and go/no-go tasks. </w:t>
      </w:r>
      <w:r w:rsidRPr="000E79AA">
        <w:rPr>
          <w:rFonts w:ascii="Times New Roman" w:hAnsi="Times New Roman" w:cs="Times New Roman"/>
          <w:i/>
          <w:iCs/>
        </w:rPr>
        <w:t>Psychopharmacology (Berl)</w:t>
      </w:r>
      <w:r w:rsidRPr="000E79AA">
        <w:rPr>
          <w:rFonts w:ascii="Times New Roman" w:hAnsi="Times New Roman" w:cs="Times New Roman"/>
        </w:rPr>
        <w:t>. 2008;199(3):439-456. doi:10.1007/s00213-008-1127-6</w:t>
      </w:r>
    </w:p>
    <w:p w14:paraId="3180B18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 </w:t>
      </w:r>
      <w:r w:rsidRPr="000E79AA">
        <w:rPr>
          <w:rFonts w:ascii="Times New Roman" w:hAnsi="Times New Roman" w:cs="Times New Roman"/>
        </w:rPr>
        <w:tab/>
        <w:t xml:space="preserve">Vazey EM, Aston-Jones G. The emerging role of norepinephrine in cognitive dysfunctions of Parkinson’s disease. </w:t>
      </w:r>
      <w:r w:rsidRPr="000E79AA">
        <w:rPr>
          <w:rFonts w:ascii="Times New Roman" w:hAnsi="Times New Roman" w:cs="Times New Roman"/>
          <w:i/>
          <w:iCs/>
        </w:rPr>
        <w:t>Front Behav Neurosci</w:t>
      </w:r>
      <w:r w:rsidRPr="000E79AA">
        <w:rPr>
          <w:rFonts w:ascii="Times New Roman" w:hAnsi="Times New Roman" w:cs="Times New Roman"/>
        </w:rPr>
        <w:t>. 2012;6. doi:10.3389/fnbeh.2012.00048</w:t>
      </w:r>
    </w:p>
    <w:p w14:paraId="31284E2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 </w:t>
      </w:r>
      <w:r w:rsidRPr="000E79AA">
        <w:rPr>
          <w:rFonts w:ascii="Times New Roman" w:hAnsi="Times New Roman" w:cs="Times New Roman"/>
        </w:rPr>
        <w:tab/>
        <w:t xml:space="preserve">Kehagia AA, Housden CR, Regenthal R, et al. Targeting impulsivity in Parkinson’s disease using atomoxetine. </w:t>
      </w:r>
      <w:r w:rsidRPr="000E79AA">
        <w:rPr>
          <w:rFonts w:ascii="Times New Roman" w:hAnsi="Times New Roman" w:cs="Times New Roman"/>
          <w:i/>
          <w:iCs/>
        </w:rPr>
        <w:t>Brain</w:t>
      </w:r>
      <w:r w:rsidRPr="000E79AA">
        <w:rPr>
          <w:rFonts w:ascii="Times New Roman" w:hAnsi="Times New Roman" w:cs="Times New Roman"/>
        </w:rPr>
        <w:t>. 2014;137(7):1986-1997. doi:10.1093/brain/awu117</w:t>
      </w:r>
    </w:p>
    <w:p w14:paraId="724A350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 </w:t>
      </w:r>
      <w:r w:rsidRPr="000E79AA">
        <w:rPr>
          <w:rFonts w:ascii="Times New Roman" w:hAnsi="Times New Roman" w:cs="Times New Roman"/>
        </w:rPr>
        <w:tab/>
        <w:t xml:space="preserve">Ye Z, Altena E, Nombela C, et al. Improving Response Inhibition in Parkinson’s Disease with Atomoxetine. </w:t>
      </w:r>
      <w:r w:rsidRPr="000E79AA">
        <w:rPr>
          <w:rFonts w:ascii="Times New Roman" w:hAnsi="Times New Roman" w:cs="Times New Roman"/>
          <w:i/>
          <w:iCs/>
        </w:rPr>
        <w:t>BPS</w:t>
      </w:r>
      <w:r w:rsidRPr="000E79AA">
        <w:rPr>
          <w:rFonts w:ascii="Times New Roman" w:hAnsi="Times New Roman" w:cs="Times New Roman"/>
        </w:rPr>
        <w:t>. 2015;77(8):740-748. doi:10.1016/j.biopsych.2014.01.024</w:t>
      </w:r>
    </w:p>
    <w:p w14:paraId="23E0729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 </w:t>
      </w:r>
      <w:r w:rsidRPr="000E79AA">
        <w:rPr>
          <w:rFonts w:ascii="Times New Roman" w:hAnsi="Times New Roman" w:cs="Times New Roman"/>
        </w:rPr>
        <w:tab/>
        <w:t xml:space="preserve">Rae CL, Nombela C, Rodríguez PV, et al. Atomoxetine restores the response inhibition network in Parkinson’s disease. </w:t>
      </w:r>
      <w:r w:rsidRPr="000E79AA">
        <w:rPr>
          <w:rFonts w:ascii="Times New Roman" w:hAnsi="Times New Roman" w:cs="Times New Roman"/>
          <w:i/>
          <w:iCs/>
        </w:rPr>
        <w:t>Brain</w:t>
      </w:r>
      <w:r w:rsidRPr="000E79AA">
        <w:rPr>
          <w:rFonts w:ascii="Times New Roman" w:hAnsi="Times New Roman" w:cs="Times New Roman"/>
        </w:rPr>
        <w:t>. 2016;139(Pt 8):2235-2248. doi:10.1093/brain/aww138</w:t>
      </w:r>
    </w:p>
    <w:p w14:paraId="7498847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 </w:t>
      </w:r>
      <w:r w:rsidRPr="000E79AA">
        <w:rPr>
          <w:rFonts w:ascii="Times New Roman" w:hAnsi="Times New Roman" w:cs="Times New Roman"/>
        </w:rPr>
        <w:tab/>
        <w:t xml:space="preserve">Gauggel S, Rieger M, Feghoff T-A. Inhibition of ongoing responses in patients with Parkinson’s disease. </w:t>
      </w:r>
      <w:r w:rsidRPr="000E79AA">
        <w:rPr>
          <w:rFonts w:ascii="Times New Roman" w:hAnsi="Times New Roman" w:cs="Times New Roman"/>
          <w:i/>
          <w:iCs/>
        </w:rPr>
        <w:t>J Neurol Neurosurg Psychiatry</w:t>
      </w:r>
      <w:r w:rsidRPr="000E79AA">
        <w:rPr>
          <w:rFonts w:ascii="Times New Roman" w:hAnsi="Times New Roman" w:cs="Times New Roman"/>
        </w:rPr>
        <w:t>. 2004;75(4):539-544. doi:10.1136/jnnp.2003.016469</w:t>
      </w:r>
    </w:p>
    <w:p w14:paraId="1A1F786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14. </w:t>
      </w:r>
      <w:r w:rsidRPr="000E79AA">
        <w:rPr>
          <w:rFonts w:ascii="Times New Roman" w:hAnsi="Times New Roman" w:cs="Times New Roman"/>
        </w:rPr>
        <w:tab/>
        <w:t xml:space="preserve">Obeso I, Wilkinson L, Casabona E, et al. Deficits in inhibitory control and conflict resolution on cognitive and motor tasks in Parkinson’s disease. </w:t>
      </w:r>
      <w:r w:rsidRPr="000E79AA">
        <w:rPr>
          <w:rFonts w:ascii="Times New Roman" w:hAnsi="Times New Roman" w:cs="Times New Roman"/>
          <w:i/>
          <w:iCs/>
        </w:rPr>
        <w:t>Exp Brain Res</w:t>
      </w:r>
      <w:r w:rsidRPr="000E79AA">
        <w:rPr>
          <w:rFonts w:ascii="Times New Roman" w:hAnsi="Times New Roman" w:cs="Times New Roman"/>
        </w:rPr>
        <w:t>. 2011;212(3):371-384. doi:10.1007/s00221-011-2736-6</w:t>
      </w:r>
    </w:p>
    <w:p w14:paraId="445A6B2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15. </w:t>
      </w:r>
      <w:r w:rsidRPr="000E79AA">
        <w:rPr>
          <w:rFonts w:ascii="Times New Roman" w:hAnsi="Times New Roman" w:cs="Times New Roman"/>
        </w:rPr>
        <w:tab/>
        <w:t xml:space="preserve">O’Callaghan C, Naismith SL, Hodges JR, Lewis SJG, Hornberger M. Fronto-striatal atrophy correlates of inhibitory dysfunction in Parkinson’s disease versus behavioural variant frontotemporal dementia. </w:t>
      </w:r>
      <w:r w:rsidRPr="000E79AA">
        <w:rPr>
          <w:rFonts w:ascii="Times New Roman" w:hAnsi="Times New Roman" w:cs="Times New Roman"/>
          <w:i/>
          <w:iCs/>
        </w:rPr>
        <w:t>Cortex</w:t>
      </w:r>
      <w:r w:rsidRPr="000E79AA">
        <w:rPr>
          <w:rFonts w:ascii="Times New Roman" w:hAnsi="Times New Roman" w:cs="Times New Roman"/>
        </w:rPr>
        <w:t>. 2013;49(7):1833-1843. doi:10.1016/j.cortex.2012.12.003</w:t>
      </w:r>
    </w:p>
    <w:p w14:paraId="5BCE3E7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16. </w:t>
      </w:r>
      <w:r w:rsidRPr="000E79AA">
        <w:rPr>
          <w:rFonts w:ascii="Times New Roman" w:hAnsi="Times New Roman" w:cs="Times New Roman"/>
        </w:rPr>
        <w:tab/>
        <w:t xml:space="preserve">Nombela C, Rittman T, Robbins TW, Rowe JB. Multiple Modes of Impulsivity in Parkinson’s Disease. Arias-Carrion O, ed. </w:t>
      </w:r>
      <w:r w:rsidRPr="000E79AA">
        <w:rPr>
          <w:rFonts w:ascii="Times New Roman" w:hAnsi="Times New Roman" w:cs="Times New Roman"/>
          <w:i/>
          <w:iCs/>
        </w:rPr>
        <w:t>PLoS ONE</w:t>
      </w:r>
      <w:r w:rsidRPr="000E79AA">
        <w:rPr>
          <w:rFonts w:ascii="Times New Roman" w:hAnsi="Times New Roman" w:cs="Times New Roman"/>
        </w:rPr>
        <w:t>. 2014;9(1):e85747. doi:10.1371/journal.pone.0085747</w:t>
      </w:r>
    </w:p>
    <w:p w14:paraId="123F400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17. </w:t>
      </w:r>
      <w:r w:rsidRPr="000E79AA">
        <w:rPr>
          <w:rFonts w:ascii="Times New Roman" w:hAnsi="Times New Roman" w:cs="Times New Roman"/>
        </w:rPr>
        <w:tab/>
        <w:t xml:space="preserve">Napier TC, Corvol J-C, Grace AA, et al. Linking neuroscience with modern concepts of impulse control disorders in Parkinson’s disease. </w:t>
      </w:r>
      <w:r w:rsidRPr="000E79AA">
        <w:rPr>
          <w:rFonts w:ascii="Times New Roman" w:hAnsi="Times New Roman" w:cs="Times New Roman"/>
          <w:i/>
          <w:iCs/>
        </w:rPr>
        <w:t>Mov Disord</w:t>
      </w:r>
      <w:r w:rsidRPr="000E79AA">
        <w:rPr>
          <w:rFonts w:ascii="Times New Roman" w:hAnsi="Times New Roman" w:cs="Times New Roman"/>
        </w:rPr>
        <w:t>. 2015;30(2):141-149. doi:10.1002/mds.26068</w:t>
      </w:r>
    </w:p>
    <w:p w14:paraId="1F87725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18. </w:t>
      </w:r>
      <w:r w:rsidRPr="000E79AA">
        <w:rPr>
          <w:rFonts w:ascii="Times New Roman" w:hAnsi="Times New Roman" w:cs="Times New Roman"/>
        </w:rPr>
        <w:tab/>
        <w:t xml:space="preserve">Weintraub D, Koester J, Potenza MN, et al. Impulse control disorders in Parkinson disease: a cross-sectional study of 3090 patients. </w:t>
      </w:r>
      <w:r w:rsidRPr="000E79AA">
        <w:rPr>
          <w:rFonts w:ascii="Times New Roman" w:hAnsi="Times New Roman" w:cs="Times New Roman"/>
          <w:i/>
          <w:iCs/>
        </w:rPr>
        <w:t>Arch Neurol</w:t>
      </w:r>
      <w:r w:rsidRPr="000E79AA">
        <w:rPr>
          <w:rFonts w:ascii="Times New Roman" w:hAnsi="Times New Roman" w:cs="Times New Roman"/>
        </w:rPr>
        <w:t>. 2010;67(5):589-595. doi:10.1001/archneurol.2010.65</w:t>
      </w:r>
    </w:p>
    <w:p w14:paraId="2A39E60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19. </w:t>
      </w:r>
      <w:r w:rsidRPr="000E79AA">
        <w:rPr>
          <w:rFonts w:ascii="Times New Roman" w:hAnsi="Times New Roman" w:cs="Times New Roman"/>
        </w:rPr>
        <w:tab/>
        <w:t xml:space="preserve">O’Callaghan C, Bertoux M, Hornberger M. Beyond and below the cortex: the contribution of striatal dysfunction to cognition and behaviour in neurodegeneration. </w:t>
      </w:r>
      <w:r w:rsidRPr="000E79AA">
        <w:rPr>
          <w:rFonts w:ascii="Times New Roman" w:hAnsi="Times New Roman" w:cs="Times New Roman"/>
          <w:i/>
          <w:iCs/>
        </w:rPr>
        <w:t>J Neurol Neurosurg Psychiatry</w:t>
      </w:r>
      <w:r w:rsidRPr="000E79AA">
        <w:rPr>
          <w:rFonts w:ascii="Times New Roman" w:hAnsi="Times New Roman" w:cs="Times New Roman"/>
        </w:rPr>
        <w:t>. 2014;85(4):371-378. doi:10.1136/jnnp-2012-304558</w:t>
      </w:r>
    </w:p>
    <w:p w14:paraId="0A3B128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20. </w:t>
      </w:r>
      <w:r w:rsidRPr="000E79AA">
        <w:rPr>
          <w:rFonts w:ascii="Times New Roman" w:hAnsi="Times New Roman" w:cs="Times New Roman"/>
        </w:rPr>
        <w:tab/>
        <w:t xml:space="preserve">Jahanshahi M, Obeso I, Baunez C, Alegre M, Krack P. Parkinson’s Disease, the Subthalamic Nucleus, Inhibition, and Impulsivity. Obeso MD PhD JA, Stacy Chair M-S edited by M, Lang A, et al., eds. </w:t>
      </w:r>
      <w:r w:rsidRPr="000E79AA">
        <w:rPr>
          <w:rFonts w:ascii="Times New Roman" w:hAnsi="Times New Roman" w:cs="Times New Roman"/>
          <w:i/>
          <w:iCs/>
        </w:rPr>
        <w:t>Mov Disord</w:t>
      </w:r>
      <w:r w:rsidRPr="000E79AA">
        <w:rPr>
          <w:rFonts w:ascii="Times New Roman" w:hAnsi="Times New Roman" w:cs="Times New Roman"/>
        </w:rPr>
        <w:t>. 2014;30(2):128-140. doi:10.1002/mds.26049</w:t>
      </w:r>
    </w:p>
    <w:p w14:paraId="1743B44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21. </w:t>
      </w:r>
      <w:r w:rsidRPr="000E79AA">
        <w:rPr>
          <w:rFonts w:ascii="Times New Roman" w:hAnsi="Times New Roman" w:cs="Times New Roman"/>
        </w:rPr>
        <w:tab/>
        <w:t xml:space="preserve">Mosley PE, Paliwal S, Robinson K, et al. The structural connectivity of discrete networks underlies impulsivity and gambling in Parkinson’s disease. </w:t>
      </w:r>
      <w:r w:rsidRPr="000E79AA">
        <w:rPr>
          <w:rFonts w:ascii="Times New Roman" w:hAnsi="Times New Roman" w:cs="Times New Roman"/>
          <w:i/>
          <w:iCs/>
        </w:rPr>
        <w:t>Brain</w:t>
      </w:r>
      <w:r w:rsidRPr="000E79AA">
        <w:rPr>
          <w:rFonts w:ascii="Times New Roman" w:hAnsi="Times New Roman" w:cs="Times New Roman"/>
        </w:rPr>
        <w:t>. 2019;142(12):3917-3935. doi:10.1093/brain/awz327</w:t>
      </w:r>
    </w:p>
    <w:p w14:paraId="1B67770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22. </w:t>
      </w:r>
      <w:r w:rsidRPr="000E79AA">
        <w:rPr>
          <w:rFonts w:ascii="Times New Roman" w:hAnsi="Times New Roman" w:cs="Times New Roman"/>
        </w:rPr>
        <w:tab/>
        <w:t xml:space="preserve">Marsh L, Biglan K, Gerstenhaber M, Williams JR. Atomoxetine for the treatment of executive dysfunction in Parkinson’s disease: A pilot open-label study. </w:t>
      </w:r>
      <w:r w:rsidRPr="000E79AA">
        <w:rPr>
          <w:rFonts w:ascii="Times New Roman" w:hAnsi="Times New Roman" w:cs="Times New Roman"/>
          <w:i/>
          <w:iCs/>
        </w:rPr>
        <w:t>Mov Disord</w:t>
      </w:r>
      <w:r w:rsidRPr="000E79AA">
        <w:rPr>
          <w:rFonts w:ascii="Times New Roman" w:hAnsi="Times New Roman" w:cs="Times New Roman"/>
        </w:rPr>
        <w:t>. 2009;24(2):277-282. doi:10.1002/mds.22307</w:t>
      </w:r>
    </w:p>
    <w:p w14:paraId="6B4D6D8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23. </w:t>
      </w:r>
      <w:r w:rsidRPr="000E79AA">
        <w:rPr>
          <w:rFonts w:ascii="Times New Roman" w:hAnsi="Times New Roman" w:cs="Times New Roman"/>
        </w:rPr>
        <w:tab/>
        <w:t xml:space="preserve">Robbins TW, Arnsten AFT. The Neuropsychopharmacology of Fronto-Executive Function: Monoaminergic Modulation. </w:t>
      </w:r>
      <w:r w:rsidRPr="000E79AA">
        <w:rPr>
          <w:rFonts w:ascii="Times New Roman" w:hAnsi="Times New Roman" w:cs="Times New Roman"/>
          <w:i/>
          <w:iCs/>
        </w:rPr>
        <w:t>Annu Rev Neurosci</w:t>
      </w:r>
      <w:r w:rsidRPr="000E79AA">
        <w:rPr>
          <w:rFonts w:ascii="Times New Roman" w:hAnsi="Times New Roman" w:cs="Times New Roman"/>
        </w:rPr>
        <w:t>. 2009;32(1):267-287. doi:10.1146/annurev.neuro.051508.135535</w:t>
      </w:r>
    </w:p>
    <w:p w14:paraId="1470B4A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24. </w:t>
      </w:r>
      <w:r w:rsidRPr="000E79AA">
        <w:rPr>
          <w:rFonts w:ascii="Times New Roman" w:hAnsi="Times New Roman" w:cs="Times New Roman"/>
        </w:rPr>
        <w:tab/>
        <w:t xml:space="preserve">Bari A, Robbins TW. Inhibition and impulsivity: behavioral and neural basis of response control. </w:t>
      </w:r>
      <w:r w:rsidRPr="000E79AA">
        <w:rPr>
          <w:rFonts w:ascii="Times New Roman" w:hAnsi="Times New Roman" w:cs="Times New Roman"/>
          <w:i/>
          <w:iCs/>
        </w:rPr>
        <w:t>Prog Neurobiol</w:t>
      </w:r>
      <w:r w:rsidRPr="000E79AA">
        <w:rPr>
          <w:rFonts w:ascii="Times New Roman" w:hAnsi="Times New Roman" w:cs="Times New Roman"/>
        </w:rPr>
        <w:t>. 2013;108:44-79. doi:10.1016/j.pneurobio.2013.06.005</w:t>
      </w:r>
    </w:p>
    <w:p w14:paraId="42CF6361"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25. </w:t>
      </w:r>
      <w:r w:rsidRPr="000E79AA">
        <w:rPr>
          <w:rFonts w:ascii="Times New Roman" w:hAnsi="Times New Roman" w:cs="Times New Roman"/>
        </w:rPr>
        <w:tab/>
        <w:t xml:space="preserve">Aston-Jones G, Cohen JD. An integrative theory of locus coeruleus-norepinephrine function: adaptive gain and optimal performance. </w:t>
      </w:r>
      <w:r w:rsidRPr="000E79AA">
        <w:rPr>
          <w:rFonts w:ascii="Times New Roman" w:hAnsi="Times New Roman" w:cs="Times New Roman"/>
          <w:i/>
          <w:iCs/>
        </w:rPr>
        <w:t>Annu Rev Neurosci</w:t>
      </w:r>
      <w:r w:rsidRPr="000E79AA">
        <w:rPr>
          <w:rFonts w:ascii="Times New Roman" w:hAnsi="Times New Roman" w:cs="Times New Roman"/>
        </w:rPr>
        <w:t>. 2005;28(1):403-450. doi:10.1146/annurev.neuro.28.061604.135709</w:t>
      </w:r>
    </w:p>
    <w:p w14:paraId="29244B9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26. </w:t>
      </w:r>
      <w:r w:rsidRPr="000E79AA">
        <w:rPr>
          <w:rFonts w:ascii="Times New Roman" w:hAnsi="Times New Roman" w:cs="Times New Roman"/>
        </w:rPr>
        <w:tab/>
        <w:t xml:space="preserve">Bouret S, Sara SJ. Network reset: a simplified overarching theory of locus coeruleus noradrenaline function. </w:t>
      </w:r>
      <w:r w:rsidRPr="000E79AA">
        <w:rPr>
          <w:rFonts w:ascii="Times New Roman" w:hAnsi="Times New Roman" w:cs="Times New Roman"/>
          <w:i/>
          <w:iCs/>
        </w:rPr>
        <w:t>Trends Neurosci</w:t>
      </w:r>
      <w:r w:rsidRPr="000E79AA">
        <w:rPr>
          <w:rFonts w:ascii="Times New Roman" w:hAnsi="Times New Roman" w:cs="Times New Roman"/>
        </w:rPr>
        <w:t>. 2005;28(11):574-582. doi:10.1016/j.tins.2005.09.002</w:t>
      </w:r>
    </w:p>
    <w:p w14:paraId="7075BBE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27. </w:t>
      </w:r>
      <w:r w:rsidRPr="000E79AA">
        <w:rPr>
          <w:rFonts w:ascii="Times New Roman" w:hAnsi="Times New Roman" w:cs="Times New Roman"/>
        </w:rPr>
        <w:tab/>
        <w:t xml:space="preserve">Zerbi V, Floriou-Servou A, Markicevic M, et al. Rapid Reconfiguration of the Functional Connectome after Chemogenetic Locus Coeruleus Activation. </w:t>
      </w:r>
      <w:r w:rsidRPr="000E79AA">
        <w:rPr>
          <w:rFonts w:ascii="Times New Roman" w:hAnsi="Times New Roman" w:cs="Times New Roman"/>
          <w:i/>
          <w:iCs/>
        </w:rPr>
        <w:t>Neuron</w:t>
      </w:r>
      <w:r w:rsidRPr="000E79AA">
        <w:rPr>
          <w:rFonts w:ascii="Times New Roman" w:hAnsi="Times New Roman" w:cs="Times New Roman"/>
        </w:rPr>
        <w:t>. 2019;103(4):702-718.e5. doi:10.1016/j.neuron.2019.05.034</w:t>
      </w:r>
    </w:p>
    <w:p w14:paraId="6FB635A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28. </w:t>
      </w:r>
      <w:r w:rsidRPr="000E79AA">
        <w:rPr>
          <w:rFonts w:ascii="Times New Roman" w:hAnsi="Times New Roman" w:cs="Times New Roman"/>
        </w:rPr>
        <w:tab/>
        <w:t xml:space="preserve">Chamberlain SR. Neurochemical Modulation of Response Inhibition and Probabilistic Learning in Humans. </w:t>
      </w:r>
      <w:r w:rsidRPr="000E79AA">
        <w:rPr>
          <w:rFonts w:ascii="Times New Roman" w:hAnsi="Times New Roman" w:cs="Times New Roman"/>
          <w:i/>
          <w:iCs/>
        </w:rPr>
        <w:t>Science</w:t>
      </w:r>
      <w:r w:rsidRPr="000E79AA">
        <w:rPr>
          <w:rFonts w:ascii="Times New Roman" w:hAnsi="Times New Roman" w:cs="Times New Roman"/>
        </w:rPr>
        <w:t>. 2006;311(5762):861-863. doi:10.1126/science.1121218</w:t>
      </w:r>
    </w:p>
    <w:p w14:paraId="3C3626D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29. </w:t>
      </w:r>
      <w:r w:rsidRPr="000E79AA">
        <w:rPr>
          <w:rFonts w:ascii="Times New Roman" w:hAnsi="Times New Roman" w:cs="Times New Roman"/>
        </w:rPr>
        <w:tab/>
        <w:t xml:space="preserve">Robinson ESJ, Eagle DM, Mar AC, et al. Similar Effects of the Selective Noradrenaline Reuptake Inhibitor Atomoxetine on Three Distinct Forms of Impulsivity in the Rat. </w:t>
      </w:r>
      <w:r w:rsidRPr="000E79AA">
        <w:rPr>
          <w:rFonts w:ascii="Times New Roman" w:hAnsi="Times New Roman" w:cs="Times New Roman"/>
          <w:i/>
          <w:iCs/>
        </w:rPr>
        <w:t>Neuropsychopharmacology</w:t>
      </w:r>
      <w:r w:rsidRPr="000E79AA">
        <w:rPr>
          <w:rFonts w:ascii="Times New Roman" w:hAnsi="Times New Roman" w:cs="Times New Roman"/>
        </w:rPr>
        <w:t>. 2008;33(5):1028-1037. doi:10.1038/sj.npp.1301487</w:t>
      </w:r>
    </w:p>
    <w:p w14:paraId="047D86E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30. </w:t>
      </w:r>
      <w:r w:rsidRPr="000E79AA">
        <w:rPr>
          <w:rFonts w:ascii="Times New Roman" w:hAnsi="Times New Roman" w:cs="Times New Roman"/>
        </w:rPr>
        <w:tab/>
        <w:t xml:space="preserve">Chamberlain SR, Hampshire A, Müller U, et al. Atomoxetine modulates right inferior frontal activation during inhibitory control: a pharmacological functional magnetic resonance imaging study. </w:t>
      </w:r>
      <w:r w:rsidRPr="000E79AA">
        <w:rPr>
          <w:rFonts w:ascii="Times New Roman" w:hAnsi="Times New Roman" w:cs="Times New Roman"/>
          <w:i/>
          <w:iCs/>
        </w:rPr>
        <w:t>Biol Psychiatry</w:t>
      </w:r>
      <w:r w:rsidRPr="000E79AA">
        <w:rPr>
          <w:rFonts w:ascii="Times New Roman" w:hAnsi="Times New Roman" w:cs="Times New Roman"/>
        </w:rPr>
        <w:t>. 2009;65(7):550-555. doi:10.1016/j.biopsych.2008.10.014</w:t>
      </w:r>
    </w:p>
    <w:p w14:paraId="5EAC787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31. </w:t>
      </w:r>
      <w:r w:rsidRPr="000E79AA">
        <w:rPr>
          <w:rFonts w:ascii="Times New Roman" w:hAnsi="Times New Roman" w:cs="Times New Roman"/>
        </w:rPr>
        <w:tab/>
        <w:t xml:space="preserve">Bari A, Mar AC, Theobald DE, et al. Prefrontal and Monoaminergic Contributions to Stop-Signal Task Performance in Rats. </w:t>
      </w:r>
      <w:r w:rsidRPr="000E79AA">
        <w:rPr>
          <w:rFonts w:ascii="Times New Roman" w:hAnsi="Times New Roman" w:cs="Times New Roman"/>
          <w:i/>
          <w:iCs/>
        </w:rPr>
        <w:t>J Neurosci</w:t>
      </w:r>
      <w:r w:rsidRPr="000E79AA">
        <w:rPr>
          <w:rFonts w:ascii="Times New Roman" w:hAnsi="Times New Roman" w:cs="Times New Roman"/>
        </w:rPr>
        <w:t>. 2011;31(25):9254-9263. doi:10.1523/JNEUROSCI.1543-11.2011</w:t>
      </w:r>
    </w:p>
    <w:p w14:paraId="1995A04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32. </w:t>
      </w:r>
      <w:r w:rsidRPr="000E79AA">
        <w:rPr>
          <w:rFonts w:ascii="Times New Roman" w:hAnsi="Times New Roman" w:cs="Times New Roman"/>
        </w:rPr>
        <w:tab/>
        <w:t xml:space="preserve">Bymaster FP, Katner JS, Nelson DL, et al. Atomoxetine increases extracellular levels of norepinephrine and dopamine in prefrontal cortex of rat: a potential mechanism for efficacy in attention deficit/hyperactivity disorder. </w:t>
      </w:r>
      <w:r w:rsidRPr="000E79AA">
        <w:rPr>
          <w:rFonts w:ascii="Times New Roman" w:hAnsi="Times New Roman" w:cs="Times New Roman"/>
          <w:i/>
          <w:iCs/>
        </w:rPr>
        <w:t>Neuropsychopharmacology</w:t>
      </w:r>
      <w:r w:rsidRPr="000E79AA">
        <w:rPr>
          <w:rFonts w:ascii="Times New Roman" w:hAnsi="Times New Roman" w:cs="Times New Roman"/>
        </w:rPr>
        <w:t>. 2002;27(5):699-711. doi:10.1016/S0893-133X(02)00346-9</w:t>
      </w:r>
    </w:p>
    <w:p w14:paraId="1C32AF1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33. </w:t>
      </w:r>
      <w:r w:rsidRPr="000E79AA">
        <w:rPr>
          <w:rFonts w:ascii="Times New Roman" w:hAnsi="Times New Roman" w:cs="Times New Roman"/>
        </w:rPr>
        <w:tab/>
        <w:t xml:space="preserve">Aron AR. From reactive to proactive and selective control: developing a richer model for stopping inappropriate responses. </w:t>
      </w:r>
      <w:r w:rsidRPr="000E79AA">
        <w:rPr>
          <w:rFonts w:ascii="Times New Roman" w:hAnsi="Times New Roman" w:cs="Times New Roman"/>
          <w:i/>
          <w:iCs/>
        </w:rPr>
        <w:t>Biol Psychiatry</w:t>
      </w:r>
      <w:r w:rsidRPr="000E79AA">
        <w:rPr>
          <w:rFonts w:ascii="Times New Roman" w:hAnsi="Times New Roman" w:cs="Times New Roman"/>
        </w:rPr>
        <w:t>. 2011;69(12):e55-68. doi:10.1016/j.biopsych.2010.07.024</w:t>
      </w:r>
    </w:p>
    <w:p w14:paraId="5F73E36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34. </w:t>
      </w:r>
      <w:r w:rsidRPr="000E79AA">
        <w:rPr>
          <w:rFonts w:ascii="Times New Roman" w:hAnsi="Times New Roman" w:cs="Times New Roman"/>
        </w:rPr>
        <w:tab/>
        <w:t xml:space="preserve">Rae CL, Hughes LE, Weaver C, Anderson MC, Rowe JB. Selection and stopping in voluntary action: A meta-analysis and combined fMRI study. </w:t>
      </w:r>
      <w:r w:rsidRPr="000E79AA">
        <w:rPr>
          <w:rFonts w:ascii="Times New Roman" w:hAnsi="Times New Roman" w:cs="Times New Roman"/>
          <w:i/>
          <w:iCs/>
        </w:rPr>
        <w:t>NeuroImage</w:t>
      </w:r>
      <w:r w:rsidRPr="000E79AA">
        <w:rPr>
          <w:rFonts w:ascii="Times New Roman" w:hAnsi="Times New Roman" w:cs="Times New Roman"/>
        </w:rPr>
        <w:t>. 2014;86:381-391. doi:10.1016/j.neuroimage.2013.10.012</w:t>
      </w:r>
    </w:p>
    <w:p w14:paraId="7BE74B9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35. </w:t>
      </w:r>
      <w:r w:rsidRPr="000E79AA">
        <w:rPr>
          <w:rFonts w:ascii="Times New Roman" w:hAnsi="Times New Roman" w:cs="Times New Roman"/>
        </w:rPr>
        <w:tab/>
        <w:t xml:space="preserve">McGinley MJ, David SV, McCormick DA. Cortical Membrane Potential Signature of Optimal States for Sensory Signal Detection. </w:t>
      </w:r>
      <w:r w:rsidRPr="000E79AA">
        <w:rPr>
          <w:rFonts w:ascii="Times New Roman" w:hAnsi="Times New Roman" w:cs="Times New Roman"/>
          <w:i/>
          <w:iCs/>
        </w:rPr>
        <w:t>Neuron</w:t>
      </w:r>
      <w:r w:rsidRPr="000E79AA">
        <w:rPr>
          <w:rFonts w:ascii="Times New Roman" w:hAnsi="Times New Roman" w:cs="Times New Roman"/>
        </w:rPr>
        <w:t>. 2015;87(1):179-192. doi:10.1016/j.neuron.2015.05.038</w:t>
      </w:r>
    </w:p>
    <w:p w14:paraId="734BDF0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36. </w:t>
      </w:r>
      <w:r w:rsidRPr="000E79AA">
        <w:rPr>
          <w:rFonts w:ascii="Times New Roman" w:hAnsi="Times New Roman" w:cs="Times New Roman"/>
        </w:rPr>
        <w:tab/>
        <w:t xml:space="preserve">Eldar E, Cohen JD, Niv Y. The effects of neural gain on attention and learning. </w:t>
      </w:r>
      <w:r w:rsidRPr="000E79AA">
        <w:rPr>
          <w:rFonts w:ascii="Times New Roman" w:hAnsi="Times New Roman" w:cs="Times New Roman"/>
          <w:i/>
          <w:iCs/>
        </w:rPr>
        <w:t>Nat Publ Group</w:t>
      </w:r>
      <w:r w:rsidRPr="000E79AA">
        <w:rPr>
          <w:rFonts w:ascii="Times New Roman" w:hAnsi="Times New Roman" w:cs="Times New Roman"/>
        </w:rPr>
        <w:t>. 2013;16(8):1146-1153. doi:10.1038/nn.3428</w:t>
      </w:r>
    </w:p>
    <w:p w14:paraId="40B7330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37. </w:t>
      </w:r>
      <w:r w:rsidRPr="000E79AA">
        <w:rPr>
          <w:rFonts w:ascii="Times New Roman" w:hAnsi="Times New Roman" w:cs="Times New Roman"/>
        </w:rPr>
        <w:tab/>
        <w:t xml:space="preserve">Shine JM, van den Brink RL, Hernaus D, Nieuwenhuis S, Poldrack RA. Catecholaminergic manipulation alters dynamic network topology across cognitive states. </w:t>
      </w:r>
      <w:r w:rsidRPr="000E79AA">
        <w:rPr>
          <w:rFonts w:ascii="Times New Roman" w:hAnsi="Times New Roman" w:cs="Times New Roman"/>
          <w:i/>
          <w:iCs/>
        </w:rPr>
        <w:t>Netw Neurosci</w:t>
      </w:r>
      <w:r w:rsidRPr="000E79AA">
        <w:rPr>
          <w:rFonts w:ascii="Times New Roman" w:hAnsi="Times New Roman" w:cs="Times New Roman"/>
        </w:rPr>
        <w:t>. 2018;2(3):381-396. doi:10.1162/netn_a_00042</w:t>
      </w:r>
    </w:p>
    <w:p w14:paraId="4F2CA12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38. </w:t>
      </w:r>
      <w:r w:rsidRPr="000E79AA">
        <w:rPr>
          <w:rFonts w:ascii="Times New Roman" w:hAnsi="Times New Roman" w:cs="Times New Roman"/>
        </w:rPr>
        <w:tab/>
        <w:t xml:space="preserve">Arnsten AFT, Goldman-Rakic PS. Selective prefrontal cortical projections to the region of the locus coeruleus and raphe nuclei in the rhesus monkey. </w:t>
      </w:r>
      <w:r w:rsidRPr="000E79AA">
        <w:rPr>
          <w:rFonts w:ascii="Times New Roman" w:hAnsi="Times New Roman" w:cs="Times New Roman"/>
          <w:i/>
          <w:iCs/>
        </w:rPr>
        <w:t>Brain Res</w:t>
      </w:r>
      <w:r w:rsidRPr="000E79AA">
        <w:rPr>
          <w:rFonts w:ascii="Times New Roman" w:hAnsi="Times New Roman" w:cs="Times New Roman"/>
        </w:rPr>
        <w:t>. 1984;306(1-2):9-18. doi:10.1016/0006-8993(84)90351-2</w:t>
      </w:r>
    </w:p>
    <w:p w14:paraId="7E2E3AD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39. </w:t>
      </w:r>
      <w:r w:rsidRPr="000E79AA">
        <w:rPr>
          <w:rFonts w:ascii="Times New Roman" w:hAnsi="Times New Roman" w:cs="Times New Roman"/>
        </w:rPr>
        <w:tab/>
        <w:t xml:space="preserve">Jodo E, Chiang C, Aston-Jones G. Potent excitatory influence of prefrontal cortex activity on noradrenergic locus coeruleus neurons. </w:t>
      </w:r>
      <w:r w:rsidRPr="000E79AA">
        <w:rPr>
          <w:rFonts w:ascii="Times New Roman" w:hAnsi="Times New Roman" w:cs="Times New Roman"/>
          <w:i/>
          <w:iCs/>
        </w:rPr>
        <w:t>Neuroscience</w:t>
      </w:r>
      <w:r w:rsidRPr="000E79AA">
        <w:rPr>
          <w:rFonts w:ascii="Times New Roman" w:hAnsi="Times New Roman" w:cs="Times New Roman"/>
        </w:rPr>
        <w:t>. 1998;83(1):63-79. doi:10.1016/S0306-4522(97)00372-2</w:t>
      </w:r>
    </w:p>
    <w:p w14:paraId="4E9336D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40. </w:t>
      </w:r>
      <w:r w:rsidRPr="000E79AA">
        <w:rPr>
          <w:rFonts w:ascii="Times New Roman" w:hAnsi="Times New Roman" w:cs="Times New Roman"/>
        </w:rPr>
        <w:tab/>
        <w:t xml:space="preserve">Bari A, Aston-Jones G. Atomoxetine modulates spontaneous and sensory-evoked discharge of locus coeruleus noradrenergic neurons. </w:t>
      </w:r>
      <w:r w:rsidRPr="000E79AA">
        <w:rPr>
          <w:rFonts w:ascii="Times New Roman" w:hAnsi="Times New Roman" w:cs="Times New Roman"/>
          <w:i/>
          <w:iCs/>
        </w:rPr>
        <w:t>Neuropharmacology</w:t>
      </w:r>
      <w:r w:rsidRPr="000E79AA">
        <w:rPr>
          <w:rFonts w:ascii="Times New Roman" w:hAnsi="Times New Roman" w:cs="Times New Roman"/>
        </w:rPr>
        <w:t>. 2013;64(c):53-64. doi:10.1016/j.neuropharm.2012.07.020</w:t>
      </w:r>
    </w:p>
    <w:p w14:paraId="00ACE5D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41. </w:t>
      </w:r>
      <w:r w:rsidRPr="000E79AA">
        <w:rPr>
          <w:rFonts w:ascii="Times New Roman" w:hAnsi="Times New Roman" w:cs="Times New Roman"/>
        </w:rPr>
        <w:tab/>
        <w:t xml:space="preserve">Ye Z, Rae CL, Nombela C, et al. Predicting beneficial effects of atomoxetine and citalopram on response inhibition in Parkinson’s disease with clinical and neuroimaging measures: Predicting Treatment Response in PD. </w:t>
      </w:r>
      <w:r w:rsidRPr="000E79AA">
        <w:rPr>
          <w:rFonts w:ascii="Times New Roman" w:hAnsi="Times New Roman" w:cs="Times New Roman"/>
          <w:i/>
          <w:iCs/>
        </w:rPr>
        <w:t>Hum Brain Mapp</w:t>
      </w:r>
      <w:r w:rsidRPr="000E79AA">
        <w:rPr>
          <w:rFonts w:ascii="Times New Roman" w:hAnsi="Times New Roman" w:cs="Times New Roman"/>
        </w:rPr>
        <w:t>. 2016;37(3):1026-1037. doi:10.1002/hbm.23087</w:t>
      </w:r>
    </w:p>
    <w:p w14:paraId="03FA91B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42. </w:t>
      </w:r>
      <w:r w:rsidRPr="000E79AA">
        <w:rPr>
          <w:rFonts w:ascii="Times New Roman" w:hAnsi="Times New Roman" w:cs="Times New Roman"/>
        </w:rPr>
        <w:tab/>
        <w:t xml:space="preserve">Matthews PM, Edison P, Geraghty OC, Johnson MR. The emerging agenda of stratified medicine in neurology. </w:t>
      </w:r>
      <w:r w:rsidRPr="000E79AA">
        <w:rPr>
          <w:rFonts w:ascii="Times New Roman" w:hAnsi="Times New Roman" w:cs="Times New Roman"/>
          <w:i/>
          <w:iCs/>
        </w:rPr>
        <w:t>Nat Rev Neurol</w:t>
      </w:r>
      <w:r w:rsidRPr="000E79AA">
        <w:rPr>
          <w:rFonts w:ascii="Times New Roman" w:hAnsi="Times New Roman" w:cs="Times New Roman"/>
        </w:rPr>
        <w:t>. 2014;10(1):15-26. doi:10.1038/nrneurol.2013.245</w:t>
      </w:r>
    </w:p>
    <w:p w14:paraId="3EB427A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43. </w:t>
      </w:r>
      <w:r w:rsidRPr="000E79AA">
        <w:rPr>
          <w:rFonts w:ascii="Times New Roman" w:hAnsi="Times New Roman" w:cs="Times New Roman"/>
        </w:rPr>
        <w:tab/>
        <w:t xml:space="preserve">Priovoulos N, Jacobs HIL, Ivanov D, Uludag K, Verhey FRJ, Poser BA. High-resolution in vivo imaging of human locus coeruleus by magnetization transfer MRI at 3T and 7T. </w:t>
      </w:r>
      <w:r w:rsidRPr="000E79AA">
        <w:rPr>
          <w:rFonts w:ascii="Times New Roman" w:hAnsi="Times New Roman" w:cs="Times New Roman"/>
          <w:i/>
          <w:iCs/>
        </w:rPr>
        <w:t>NeuroImage</w:t>
      </w:r>
      <w:r w:rsidRPr="000E79AA">
        <w:rPr>
          <w:rFonts w:ascii="Times New Roman" w:hAnsi="Times New Roman" w:cs="Times New Roman"/>
        </w:rPr>
        <w:t>. 2018;168:427-436. doi:10.1016/j.neuroimage.2017.07.045</w:t>
      </w:r>
    </w:p>
    <w:p w14:paraId="20628D7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44. </w:t>
      </w:r>
      <w:r w:rsidRPr="000E79AA">
        <w:rPr>
          <w:rFonts w:ascii="Times New Roman" w:hAnsi="Times New Roman" w:cs="Times New Roman"/>
        </w:rPr>
        <w:tab/>
        <w:t xml:space="preserve">Betts MJ, Kirilina E, Otaduy MCG, et al. Locus coeruleus imaging as a biomarker for noradrenergic dysfunction in neurodegenerative diseases. </w:t>
      </w:r>
      <w:r w:rsidRPr="000E79AA">
        <w:rPr>
          <w:rFonts w:ascii="Times New Roman" w:hAnsi="Times New Roman" w:cs="Times New Roman"/>
          <w:i/>
          <w:iCs/>
        </w:rPr>
        <w:t>Brain</w:t>
      </w:r>
      <w:r w:rsidRPr="000E79AA">
        <w:rPr>
          <w:rFonts w:ascii="Times New Roman" w:hAnsi="Times New Roman" w:cs="Times New Roman"/>
        </w:rPr>
        <w:t>. 2019;36:364-14. doi:10.1093/brain/awz193</w:t>
      </w:r>
    </w:p>
    <w:p w14:paraId="7FD9ED9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45. </w:t>
      </w:r>
      <w:r w:rsidRPr="000E79AA">
        <w:rPr>
          <w:rFonts w:ascii="Times New Roman" w:hAnsi="Times New Roman" w:cs="Times New Roman"/>
        </w:rPr>
        <w:tab/>
        <w:t xml:space="preserve">Ye R, Rua C, O’Callaghan C, et al. An in vivo probabilistic atlas of the human locus coeruleus at ultra-high field. </w:t>
      </w:r>
      <w:r w:rsidRPr="000E79AA">
        <w:rPr>
          <w:rFonts w:ascii="Times New Roman" w:hAnsi="Times New Roman" w:cs="Times New Roman"/>
          <w:i/>
          <w:iCs/>
        </w:rPr>
        <w:t>NeuroImage</w:t>
      </w:r>
      <w:r w:rsidRPr="000E79AA">
        <w:rPr>
          <w:rFonts w:ascii="Times New Roman" w:hAnsi="Times New Roman" w:cs="Times New Roman"/>
        </w:rPr>
        <w:t>. 2021;225:117487. doi:10.1016/j.neuroimage.2020.117487</w:t>
      </w:r>
    </w:p>
    <w:p w14:paraId="667D82A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46. </w:t>
      </w:r>
      <w:r w:rsidRPr="000E79AA">
        <w:rPr>
          <w:rFonts w:ascii="Times New Roman" w:hAnsi="Times New Roman" w:cs="Times New Roman"/>
        </w:rPr>
        <w:tab/>
        <w:t xml:space="preserve">Emre M, Aarsland D, Brown R, et al. Clinical diagnostic criteria for dementia associated with Parkinson’s disease. </w:t>
      </w:r>
      <w:r w:rsidRPr="000E79AA">
        <w:rPr>
          <w:rFonts w:ascii="Times New Roman" w:hAnsi="Times New Roman" w:cs="Times New Roman"/>
          <w:i/>
          <w:iCs/>
        </w:rPr>
        <w:t>Mov Disord</w:t>
      </w:r>
      <w:r w:rsidRPr="000E79AA">
        <w:rPr>
          <w:rFonts w:ascii="Times New Roman" w:hAnsi="Times New Roman" w:cs="Times New Roman"/>
        </w:rPr>
        <w:t>. 2007;22(12):1689-1707. doi:10.1002/mds.21507</w:t>
      </w:r>
    </w:p>
    <w:p w14:paraId="7809A8E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47. </w:t>
      </w:r>
      <w:r w:rsidRPr="000E79AA">
        <w:rPr>
          <w:rFonts w:ascii="Times New Roman" w:hAnsi="Times New Roman" w:cs="Times New Roman"/>
        </w:rPr>
        <w:tab/>
        <w:t xml:space="preserve">Martinez-Martin P, Falup-Pecurariu C, Rodriguez-Blazquez C, et al. Dementia associated with Parkinson’s disease: Applying the Movement Disorder Society Task Force criteria. </w:t>
      </w:r>
      <w:r w:rsidRPr="000E79AA">
        <w:rPr>
          <w:rFonts w:ascii="Times New Roman" w:hAnsi="Times New Roman" w:cs="Times New Roman"/>
          <w:i/>
          <w:iCs/>
        </w:rPr>
        <w:t>Parkinsonism Relat Disord</w:t>
      </w:r>
      <w:r w:rsidRPr="000E79AA">
        <w:rPr>
          <w:rFonts w:ascii="Times New Roman" w:hAnsi="Times New Roman" w:cs="Times New Roman"/>
        </w:rPr>
        <w:t>. 2011;17(8):621-624. doi:10.1016/j.parkreldis.2011.05.017</w:t>
      </w:r>
    </w:p>
    <w:p w14:paraId="25A202F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48. </w:t>
      </w:r>
      <w:r w:rsidRPr="000E79AA">
        <w:rPr>
          <w:rFonts w:ascii="Times New Roman" w:hAnsi="Times New Roman" w:cs="Times New Roman"/>
        </w:rPr>
        <w:tab/>
        <w:t xml:space="preserve">Weintraub D, Hoops S, Shea JA, et al. Validation of the questionnaire for impulsive-compulsive disorders in Parkinson’s disease. </w:t>
      </w:r>
      <w:r w:rsidRPr="000E79AA">
        <w:rPr>
          <w:rFonts w:ascii="Times New Roman" w:hAnsi="Times New Roman" w:cs="Times New Roman"/>
          <w:i/>
          <w:iCs/>
        </w:rPr>
        <w:t>Mov Disord</w:t>
      </w:r>
      <w:r w:rsidRPr="000E79AA">
        <w:rPr>
          <w:rFonts w:ascii="Times New Roman" w:hAnsi="Times New Roman" w:cs="Times New Roman"/>
        </w:rPr>
        <w:t>. 2009;24(10):1461-1467. doi:10.1002/mds.22571</w:t>
      </w:r>
    </w:p>
    <w:p w14:paraId="535844D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49. </w:t>
      </w:r>
      <w:r w:rsidRPr="000E79AA">
        <w:rPr>
          <w:rFonts w:ascii="Times New Roman" w:hAnsi="Times New Roman" w:cs="Times New Roman"/>
        </w:rPr>
        <w:tab/>
        <w:t xml:space="preserve">Tomlinson CL, Stowe R, Patel S, Rick C, Gray R, Clarke CE. Systematic review of levodopa dose equivalency reporting in Parkinson’s disease. </w:t>
      </w:r>
      <w:r w:rsidRPr="000E79AA">
        <w:rPr>
          <w:rFonts w:ascii="Times New Roman" w:hAnsi="Times New Roman" w:cs="Times New Roman"/>
          <w:i/>
          <w:iCs/>
        </w:rPr>
        <w:t>Mov Disord</w:t>
      </w:r>
      <w:r w:rsidRPr="000E79AA">
        <w:rPr>
          <w:rFonts w:ascii="Times New Roman" w:hAnsi="Times New Roman" w:cs="Times New Roman"/>
        </w:rPr>
        <w:t>. 2010;25(15):2649-2653. doi:10.1002/mds.23429</w:t>
      </w:r>
    </w:p>
    <w:p w14:paraId="7C561C7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50. </w:t>
      </w:r>
      <w:r w:rsidRPr="000E79AA">
        <w:rPr>
          <w:rFonts w:ascii="Times New Roman" w:hAnsi="Times New Roman" w:cs="Times New Roman"/>
        </w:rPr>
        <w:tab/>
        <w:t xml:space="preserve">Goetz CG, Tilley BC, Shaftman SR, et al. Movement Disorder Society-sponsored revision of the Unified Parkinson’s Disease Rating Scale (MDS-UPDRS): Scale presentation and clinimetric testing results. </w:t>
      </w:r>
      <w:r w:rsidRPr="000E79AA">
        <w:rPr>
          <w:rFonts w:ascii="Times New Roman" w:hAnsi="Times New Roman" w:cs="Times New Roman"/>
          <w:i/>
          <w:iCs/>
        </w:rPr>
        <w:t>Mov Disord</w:t>
      </w:r>
      <w:r w:rsidRPr="000E79AA">
        <w:rPr>
          <w:rFonts w:ascii="Times New Roman" w:hAnsi="Times New Roman" w:cs="Times New Roman"/>
        </w:rPr>
        <w:t>. 2008;23(15):2129-2170. doi:10.1002/mds.22340</w:t>
      </w:r>
    </w:p>
    <w:p w14:paraId="0E8FB13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51. </w:t>
      </w:r>
      <w:r w:rsidRPr="000E79AA">
        <w:rPr>
          <w:rFonts w:ascii="Times New Roman" w:hAnsi="Times New Roman" w:cs="Times New Roman"/>
        </w:rPr>
        <w:tab/>
        <w:t xml:space="preserve">Nasreddine ZS, Phillips NA, Bédirian V, et al. The Montreal Cognitive Assessment, MoCA: A Brief Screening Tool For Mild Cognitive Impairment. </w:t>
      </w:r>
      <w:r w:rsidRPr="000E79AA">
        <w:rPr>
          <w:rFonts w:ascii="Times New Roman" w:hAnsi="Times New Roman" w:cs="Times New Roman"/>
          <w:i/>
          <w:iCs/>
        </w:rPr>
        <w:t>J Am Geriatr Soc</w:t>
      </w:r>
      <w:r w:rsidRPr="000E79AA">
        <w:rPr>
          <w:rFonts w:ascii="Times New Roman" w:hAnsi="Times New Roman" w:cs="Times New Roman"/>
        </w:rPr>
        <w:t>. 2005;53(4):695-699. doi:10.1111/j.1532-5415.2005.53221.x</w:t>
      </w:r>
    </w:p>
    <w:p w14:paraId="398E61A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52. </w:t>
      </w:r>
      <w:r w:rsidRPr="000E79AA">
        <w:rPr>
          <w:rFonts w:ascii="Times New Roman" w:hAnsi="Times New Roman" w:cs="Times New Roman"/>
        </w:rPr>
        <w:tab/>
        <w:t xml:space="preserve">Mioshi E, Dawson K, Mitchell J, Arnold R, Hodges JR. The Addenbrooke’s Cognitive Examination Revised (ACE-R): a brief cognitive test battery for dementia screening. </w:t>
      </w:r>
      <w:r w:rsidRPr="000E79AA">
        <w:rPr>
          <w:rFonts w:ascii="Times New Roman" w:hAnsi="Times New Roman" w:cs="Times New Roman"/>
          <w:i/>
          <w:iCs/>
        </w:rPr>
        <w:t>Int J Geriatr Psychiatry</w:t>
      </w:r>
      <w:r w:rsidRPr="000E79AA">
        <w:rPr>
          <w:rFonts w:ascii="Times New Roman" w:hAnsi="Times New Roman" w:cs="Times New Roman"/>
        </w:rPr>
        <w:t>. 2006;21(11):1078-1085. doi:10.1002/gps.1610</w:t>
      </w:r>
    </w:p>
    <w:p w14:paraId="2645E36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53. </w:t>
      </w:r>
      <w:r w:rsidRPr="000E79AA">
        <w:rPr>
          <w:rFonts w:ascii="Times New Roman" w:hAnsi="Times New Roman" w:cs="Times New Roman"/>
        </w:rPr>
        <w:tab/>
        <w:t xml:space="preserve">Weintraub D, Mavandadi S, Mamikonyan E, et al. Atomoxetine for depression and other neuropsychiatric symptoms in Parkinson disease. </w:t>
      </w:r>
      <w:r w:rsidRPr="000E79AA">
        <w:rPr>
          <w:rFonts w:ascii="Times New Roman" w:hAnsi="Times New Roman" w:cs="Times New Roman"/>
          <w:i/>
          <w:iCs/>
        </w:rPr>
        <w:t>Neurology</w:t>
      </w:r>
      <w:r w:rsidRPr="000E79AA">
        <w:rPr>
          <w:rFonts w:ascii="Times New Roman" w:hAnsi="Times New Roman" w:cs="Times New Roman"/>
        </w:rPr>
        <w:t>. 2010;75(5):448-455. doi:10.1212/WNL.0b013e3181ebdd79</w:t>
      </w:r>
    </w:p>
    <w:p w14:paraId="6231605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54. </w:t>
      </w:r>
      <w:r w:rsidRPr="000E79AA">
        <w:rPr>
          <w:rFonts w:ascii="Times New Roman" w:hAnsi="Times New Roman" w:cs="Times New Roman"/>
        </w:rPr>
        <w:tab/>
        <w:t xml:space="preserve">Hinson VK, Delambo A, Elm J, Turner T. A Randomized Clinical Trial of Atomoxetine for Mild Cognitive Impairment in Parkinson’s Disease. </w:t>
      </w:r>
      <w:r w:rsidRPr="000E79AA">
        <w:rPr>
          <w:rFonts w:ascii="Times New Roman" w:hAnsi="Times New Roman" w:cs="Times New Roman"/>
          <w:i/>
          <w:iCs/>
        </w:rPr>
        <w:t>Mov Disord Clin Pract</w:t>
      </w:r>
      <w:r w:rsidRPr="000E79AA">
        <w:rPr>
          <w:rFonts w:ascii="Times New Roman" w:hAnsi="Times New Roman" w:cs="Times New Roman"/>
        </w:rPr>
        <w:t>. 2017;4(3):416-423. doi:10.1002/mdc3.12455</w:t>
      </w:r>
    </w:p>
    <w:p w14:paraId="1B4A1B3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55. </w:t>
      </w:r>
      <w:r w:rsidRPr="000E79AA">
        <w:rPr>
          <w:rFonts w:ascii="Times New Roman" w:hAnsi="Times New Roman" w:cs="Times New Roman"/>
        </w:rPr>
        <w:tab/>
        <w:t xml:space="preserve">Sauer J-M, Ring BJ, Witcher JW. Clinical pharmacokinetics of atomoxetine. </w:t>
      </w:r>
      <w:r w:rsidRPr="000E79AA">
        <w:rPr>
          <w:rFonts w:ascii="Times New Roman" w:hAnsi="Times New Roman" w:cs="Times New Roman"/>
          <w:i/>
          <w:iCs/>
        </w:rPr>
        <w:t>Clin Pharmacokinet</w:t>
      </w:r>
      <w:r w:rsidRPr="000E79AA">
        <w:rPr>
          <w:rFonts w:ascii="Times New Roman" w:hAnsi="Times New Roman" w:cs="Times New Roman"/>
        </w:rPr>
        <w:t>. 2005;44(6):571-590. doi:10.2165/00003088-200544060-00002</w:t>
      </w:r>
    </w:p>
    <w:p w14:paraId="0501C6A6"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56. </w:t>
      </w:r>
      <w:r w:rsidRPr="000E79AA">
        <w:rPr>
          <w:rFonts w:ascii="Times New Roman" w:hAnsi="Times New Roman" w:cs="Times New Roman"/>
        </w:rPr>
        <w:tab/>
        <w:t xml:space="preserve">Teichert J, Rowe JB, Ersche KD, et al. Determination of atomoxetine or escitalopram in human plasma by HPLC: Applications in neuroscience research studies. </w:t>
      </w:r>
      <w:r w:rsidRPr="000E79AA">
        <w:rPr>
          <w:rFonts w:ascii="Times New Roman" w:hAnsi="Times New Roman" w:cs="Times New Roman"/>
          <w:i/>
          <w:iCs/>
        </w:rPr>
        <w:t>Int J Clin Pharmacol Ther</w:t>
      </w:r>
      <w:r w:rsidRPr="000E79AA">
        <w:rPr>
          <w:rFonts w:ascii="Times New Roman" w:hAnsi="Times New Roman" w:cs="Times New Roman"/>
        </w:rPr>
        <w:t>. 2020;58(8):426-438. doi:10.5414/cp203705</w:t>
      </w:r>
    </w:p>
    <w:p w14:paraId="302E895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57. </w:t>
      </w:r>
      <w:r w:rsidRPr="000E79AA">
        <w:rPr>
          <w:rFonts w:ascii="Times New Roman" w:hAnsi="Times New Roman" w:cs="Times New Roman"/>
        </w:rPr>
        <w:tab/>
        <w:t xml:space="preserve">Verbruggen F, Aron AR, Band GP, et al. A consensus guide to capturing the ability to inhibit actions and impulsive behaviors in the stop-signal task. </w:t>
      </w:r>
      <w:r w:rsidRPr="000E79AA">
        <w:rPr>
          <w:rFonts w:ascii="Times New Roman" w:hAnsi="Times New Roman" w:cs="Times New Roman"/>
          <w:i/>
          <w:iCs/>
        </w:rPr>
        <w:t>eLife</w:t>
      </w:r>
      <w:r w:rsidRPr="000E79AA">
        <w:rPr>
          <w:rFonts w:ascii="Times New Roman" w:hAnsi="Times New Roman" w:cs="Times New Roman"/>
        </w:rPr>
        <w:t>. 2019;8:e55-26. doi:10.7554/eLife.46323</w:t>
      </w:r>
    </w:p>
    <w:p w14:paraId="0457FA4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58. </w:t>
      </w:r>
      <w:r w:rsidRPr="000E79AA">
        <w:rPr>
          <w:rFonts w:ascii="Times New Roman" w:hAnsi="Times New Roman" w:cs="Times New Roman"/>
        </w:rPr>
        <w:tab/>
        <w:t xml:space="preserve">Heathcote A, Lin Y-S, Reynolds A, Strickland L, Gretton M, Matzke D. Dynamic models of choice. </w:t>
      </w:r>
      <w:r w:rsidRPr="000E79AA">
        <w:rPr>
          <w:rFonts w:ascii="Times New Roman" w:hAnsi="Times New Roman" w:cs="Times New Roman"/>
          <w:i/>
          <w:iCs/>
        </w:rPr>
        <w:t>Behav Res Methods</w:t>
      </w:r>
      <w:r w:rsidRPr="000E79AA">
        <w:rPr>
          <w:rFonts w:ascii="Times New Roman" w:hAnsi="Times New Roman" w:cs="Times New Roman"/>
        </w:rPr>
        <w:t>. 2019;51(2):961-985. doi:10.3758/s13428-018-1067-y</w:t>
      </w:r>
    </w:p>
    <w:p w14:paraId="3E28E1D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59. </w:t>
      </w:r>
      <w:r w:rsidRPr="000E79AA">
        <w:rPr>
          <w:rFonts w:ascii="Times New Roman" w:hAnsi="Times New Roman" w:cs="Times New Roman"/>
        </w:rPr>
        <w:tab/>
        <w:t xml:space="preserve">Matzke D, Dolan CV, Logan GD, Brown SD, Wagenmakers E-J. Bayesian parametric estimation of stop-signal reaction time distributions. </w:t>
      </w:r>
      <w:r w:rsidRPr="000E79AA">
        <w:rPr>
          <w:rFonts w:ascii="Times New Roman" w:hAnsi="Times New Roman" w:cs="Times New Roman"/>
          <w:i/>
          <w:iCs/>
        </w:rPr>
        <w:t>J Exp Psychol Gen</w:t>
      </w:r>
      <w:r w:rsidRPr="000E79AA">
        <w:rPr>
          <w:rFonts w:ascii="Times New Roman" w:hAnsi="Times New Roman" w:cs="Times New Roman"/>
        </w:rPr>
        <w:t>. 2013;142(4):1047-1073. doi:10.1037/a0030543</w:t>
      </w:r>
    </w:p>
    <w:p w14:paraId="416DA8F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60. </w:t>
      </w:r>
      <w:r w:rsidRPr="000E79AA">
        <w:rPr>
          <w:rFonts w:ascii="Times New Roman" w:hAnsi="Times New Roman" w:cs="Times New Roman"/>
        </w:rPr>
        <w:tab/>
        <w:t xml:space="preserve">Ratcliff R. Group reaction time distributions and an analysis of distribution statistics. </w:t>
      </w:r>
      <w:r w:rsidRPr="000E79AA">
        <w:rPr>
          <w:rFonts w:ascii="Times New Roman" w:hAnsi="Times New Roman" w:cs="Times New Roman"/>
          <w:i/>
          <w:iCs/>
        </w:rPr>
        <w:t>Psychol Bull</w:t>
      </w:r>
      <w:r w:rsidRPr="000E79AA">
        <w:rPr>
          <w:rFonts w:ascii="Times New Roman" w:hAnsi="Times New Roman" w:cs="Times New Roman"/>
        </w:rPr>
        <w:t>. 1979;86(3):446-461. doi:10.1037/0033-2909.86.3.446</w:t>
      </w:r>
    </w:p>
    <w:p w14:paraId="26F8B34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61. </w:t>
      </w:r>
      <w:r w:rsidRPr="000E79AA">
        <w:rPr>
          <w:rFonts w:ascii="Times New Roman" w:hAnsi="Times New Roman" w:cs="Times New Roman"/>
        </w:rPr>
        <w:tab/>
        <w:t xml:space="preserve">Heathcote A, Popiel SJ, Mewhort DJ. Analysis of response time distributions: An example using the Stroop task. </w:t>
      </w:r>
      <w:r w:rsidRPr="000E79AA">
        <w:rPr>
          <w:rFonts w:ascii="Times New Roman" w:hAnsi="Times New Roman" w:cs="Times New Roman"/>
          <w:i/>
          <w:iCs/>
        </w:rPr>
        <w:t>Psychol Bull</w:t>
      </w:r>
      <w:r w:rsidRPr="000E79AA">
        <w:rPr>
          <w:rFonts w:ascii="Times New Roman" w:hAnsi="Times New Roman" w:cs="Times New Roman"/>
        </w:rPr>
        <w:t>. 1991;109(2):340-347. doi:10.1037/0033-2909.109.2.340</w:t>
      </w:r>
    </w:p>
    <w:p w14:paraId="2E0160B6"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62. </w:t>
      </w:r>
      <w:r w:rsidRPr="000E79AA">
        <w:rPr>
          <w:rFonts w:ascii="Times New Roman" w:hAnsi="Times New Roman" w:cs="Times New Roman"/>
        </w:rPr>
        <w:tab/>
        <w:t xml:space="preserve">Matzke D, Curley S, Gong CQ, Heathcote A. Inhibiting responses to difficult choices. </w:t>
      </w:r>
      <w:r w:rsidRPr="000E79AA">
        <w:rPr>
          <w:rFonts w:ascii="Times New Roman" w:hAnsi="Times New Roman" w:cs="Times New Roman"/>
          <w:i/>
          <w:iCs/>
        </w:rPr>
        <w:t>J Exp Psychol Gen</w:t>
      </w:r>
      <w:r w:rsidRPr="000E79AA">
        <w:rPr>
          <w:rFonts w:ascii="Times New Roman" w:hAnsi="Times New Roman" w:cs="Times New Roman"/>
        </w:rPr>
        <w:t>. 2019;148(1):124-142. doi:10.1037/xge0000525</w:t>
      </w:r>
    </w:p>
    <w:p w14:paraId="05E80461"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63. </w:t>
      </w:r>
      <w:r w:rsidRPr="000E79AA">
        <w:rPr>
          <w:rFonts w:ascii="Times New Roman" w:hAnsi="Times New Roman" w:cs="Times New Roman"/>
        </w:rPr>
        <w:tab/>
        <w:t>Matzke D, Love J, Heathcote A. A Bayesian approach for estimating the probability of trigger failures in the stop-signal paradigm. Published online February 20, 2017:1-15. doi:10.3758/s13428-015-0695-8</w:t>
      </w:r>
    </w:p>
    <w:p w14:paraId="30FCC40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64. </w:t>
      </w:r>
      <w:r w:rsidRPr="000E79AA">
        <w:rPr>
          <w:rFonts w:ascii="Times New Roman" w:hAnsi="Times New Roman" w:cs="Times New Roman"/>
        </w:rPr>
        <w:tab/>
        <w:t xml:space="preserve">Skippen P, Matzke D, Heathcote A, Fulham WR, Michie P, Karayanidis F. Reliability of triggering inhibitory process is a better predictor of impulsivity than SSRT. </w:t>
      </w:r>
      <w:r w:rsidRPr="000E79AA">
        <w:rPr>
          <w:rFonts w:ascii="Times New Roman" w:hAnsi="Times New Roman" w:cs="Times New Roman"/>
          <w:i/>
          <w:iCs/>
        </w:rPr>
        <w:t>ACTPSY</w:t>
      </w:r>
      <w:r w:rsidRPr="000E79AA">
        <w:rPr>
          <w:rFonts w:ascii="Times New Roman" w:hAnsi="Times New Roman" w:cs="Times New Roman"/>
        </w:rPr>
        <w:t>. 2019;192:104-117. doi:10.1016/j.actpsy.2018.10.016</w:t>
      </w:r>
    </w:p>
    <w:p w14:paraId="6BF9CCC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65. </w:t>
      </w:r>
      <w:r w:rsidRPr="000E79AA">
        <w:rPr>
          <w:rFonts w:ascii="Times New Roman" w:hAnsi="Times New Roman" w:cs="Times New Roman"/>
        </w:rPr>
        <w:tab/>
        <w:t xml:space="preserve">Matzke D, Hughes M, Badcock JC, Michie P, Heathcote A. Failures of cognitive control or attention? The case of stop-signal deficits in schizophrenia. </w:t>
      </w:r>
      <w:r w:rsidRPr="000E79AA">
        <w:rPr>
          <w:rFonts w:ascii="Times New Roman" w:hAnsi="Times New Roman" w:cs="Times New Roman"/>
          <w:i/>
          <w:iCs/>
        </w:rPr>
        <w:t>Atten Percept Psychophys</w:t>
      </w:r>
      <w:r w:rsidRPr="000E79AA">
        <w:rPr>
          <w:rFonts w:ascii="Times New Roman" w:hAnsi="Times New Roman" w:cs="Times New Roman"/>
        </w:rPr>
        <w:t>. 2017;79(4):1078-1086. doi:10.3758/s13414-017-1287-8</w:t>
      </w:r>
    </w:p>
    <w:p w14:paraId="69321F5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66. </w:t>
      </w:r>
      <w:r w:rsidRPr="000E79AA">
        <w:rPr>
          <w:rFonts w:ascii="Times New Roman" w:hAnsi="Times New Roman" w:cs="Times New Roman"/>
        </w:rPr>
        <w:tab/>
        <w:t xml:space="preserve">Weigard A, Heathcote A, Matzke D, Huang-Pollock C. Cognitive Modeling Suggests That Attentional Failures Drive Longer Stop-Signal Reaction Time Estimates in Attention Deficit/Hyperactivity Disorder. </w:t>
      </w:r>
      <w:r w:rsidRPr="000E79AA">
        <w:rPr>
          <w:rFonts w:ascii="Times New Roman" w:hAnsi="Times New Roman" w:cs="Times New Roman"/>
          <w:i/>
          <w:iCs/>
        </w:rPr>
        <w:t>Clin Psychol Sci</w:t>
      </w:r>
      <w:r w:rsidRPr="000E79AA">
        <w:rPr>
          <w:rFonts w:ascii="Times New Roman" w:hAnsi="Times New Roman" w:cs="Times New Roman"/>
        </w:rPr>
        <w:t>. 2019;7(4):856-872. doi:10.1177/2167702619838466</w:t>
      </w:r>
    </w:p>
    <w:p w14:paraId="42E97B9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67. </w:t>
      </w:r>
      <w:r w:rsidRPr="000E79AA">
        <w:rPr>
          <w:rFonts w:ascii="Times New Roman" w:hAnsi="Times New Roman" w:cs="Times New Roman"/>
        </w:rPr>
        <w:tab/>
        <w:t xml:space="preserve">Band GPH, van der Molen MW, Logan GD. Horse-race model simulations of the stop-signal procedure. </w:t>
      </w:r>
      <w:r w:rsidRPr="000E79AA">
        <w:rPr>
          <w:rFonts w:ascii="Times New Roman" w:hAnsi="Times New Roman" w:cs="Times New Roman"/>
          <w:i/>
          <w:iCs/>
        </w:rPr>
        <w:t>Acta Psychol (Amst)</w:t>
      </w:r>
      <w:r w:rsidRPr="000E79AA">
        <w:rPr>
          <w:rFonts w:ascii="Times New Roman" w:hAnsi="Times New Roman" w:cs="Times New Roman"/>
        </w:rPr>
        <w:t>. 2003;112(2):105-142. doi:10.1016/S0001-6918(02)00079-3</w:t>
      </w:r>
    </w:p>
    <w:p w14:paraId="1236222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68. </w:t>
      </w:r>
      <w:r w:rsidRPr="000E79AA">
        <w:rPr>
          <w:rFonts w:ascii="Times New Roman" w:hAnsi="Times New Roman" w:cs="Times New Roman"/>
        </w:rPr>
        <w:tab/>
        <w:t xml:space="preserve">Kruschke JK. Bayesian estimation supersedes the t test. </w:t>
      </w:r>
      <w:r w:rsidRPr="000E79AA">
        <w:rPr>
          <w:rFonts w:ascii="Times New Roman" w:hAnsi="Times New Roman" w:cs="Times New Roman"/>
          <w:i/>
          <w:iCs/>
        </w:rPr>
        <w:t>J Exp Psychol Gen</w:t>
      </w:r>
      <w:r w:rsidRPr="000E79AA">
        <w:rPr>
          <w:rFonts w:ascii="Times New Roman" w:hAnsi="Times New Roman" w:cs="Times New Roman"/>
        </w:rPr>
        <w:t>. 2013;142(2):573-603. doi:10.1037/a0029146</w:t>
      </w:r>
    </w:p>
    <w:p w14:paraId="41C9CA2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69. </w:t>
      </w:r>
      <w:r w:rsidRPr="000E79AA">
        <w:rPr>
          <w:rFonts w:ascii="Times New Roman" w:hAnsi="Times New Roman" w:cs="Times New Roman"/>
        </w:rPr>
        <w:tab/>
        <w:t xml:space="preserve">Kass RE, Raftery AE. Bayes Factors. </w:t>
      </w:r>
      <w:r w:rsidRPr="000E79AA">
        <w:rPr>
          <w:rFonts w:ascii="Times New Roman" w:hAnsi="Times New Roman" w:cs="Times New Roman"/>
          <w:i/>
          <w:iCs/>
        </w:rPr>
        <w:t>J Am Stat Assoc</w:t>
      </w:r>
      <w:r w:rsidRPr="000E79AA">
        <w:rPr>
          <w:rFonts w:ascii="Times New Roman" w:hAnsi="Times New Roman" w:cs="Times New Roman"/>
        </w:rPr>
        <w:t>. 1995;90(430):773-795. doi:10.1080/01621459.1995.10476572</w:t>
      </w:r>
    </w:p>
    <w:p w14:paraId="755DF22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70. </w:t>
      </w:r>
      <w:r w:rsidRPr="000E79AA">
        <w:rPr>
          <w:rFonts w:ascii="Times New Roman" w:hAnsi="Times New Roman" w:cs="Times New Roman"/>
        </w:rPr>
        <w:tab/>
        <w:t xml:space="preserve">Rouder JN, Speckman PL, Sun D, Morey RD, Iverson G. Bayesian t tests for accepting and rejecting the null hypothesis. </w:t>
      </w:r>
      <w:r w:rsidRPr="000E79AA">
        <w:rPr>
          <w:rFonts w:ascii="Times New Roman" w:hAnsi="Times New Roman" w:cs="Times New Roman"/>
          <w:i/>
          <w:iCs/>
        </w:rPr>
        <w:t>Psychon Bull Rev</w:t>
      </w:r>
      <w:r w:rsidRPr="000E79AA">
        <w:rPr>
          <w:rFonts w:ascii="Times New Roman" w:hAnsi="Times New Roman" w:cs="Times New Roman"/>
        </w:rPr>
        <w:t>. 2009;16(2):225-237. doi:10.3758/PBR.16.2.225</w:t>
      </w:r>
    </w:p>
    <w:p w14:paraId="302042F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71. </w:t>
      </w:r>
      <w:r w:rsidRPr="000E79AA">
        <w:rPr>
          <w:rFonts w:ascii="Times New Roman" w:hAnsi="Times New Roman" w:cs="Times New Roman"/>
        </w:rPr>
        <w:tab/>
        <w:t xml:space="preserve">Rouder JN, Morey RD, Speckman PL, Province JM. Default Bayes factors for ANOVA designs. </w:t>
      </w:r>
      <w:r w:rsidRPr="000E79AA">
        <w:rPr>
          <w:rFonts w:ascii="Times New Roman" w:hAnsi="Times New Roman" w:cs="Times New Roman"/>
          <w:i/>
          <w:iCs/>
        </w:rPr>
        <w:t>J Math Psychol</w:t>
      </w:r>
      <w:r w:rsidRPr="000E79AA">
        <w:rPr>
          <w:rFonts w:ascii="Times New Roman" w:hAnsi="Times New Roman" w:cs="Times New Roman"/>
        </w:rPr>
        <w:t>. 2012;56(5):356-374. doi:10.1016/j.jmp.2012.08.001</w:t>
      </w:r>
    </w:p>
    <w:p w14:paraId="60B52A55"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72. </w:t>
      </w:r>
      <w:r w:rsidRPr="000E79AA">
        <w:rPr>
          <w:rFonts w:ascii="Times New Roman" w:hAnsi="Times New Roman" w:cs="Times New Roman"/>
        </w:rPr>
        <w:tab/>
        <w:t xml:space="preserve">Hinne M, Gronau QF, van den Bergh D, Wagenmakers E-J. A Conceptual Introduction to Bayesian Model Averaging. </w:t>
      </w:r>
      <w:r w:rsidRPr="000E79AA">
        <w:rPr>
          <w:rFonts w:ascii="Times New Roman" w:hAnsi="Times New Roman" w:cs="Times New Roman"/>
          <w:i/>
          <w:iCs/>
        </w:rPr>
        <w:t>Adv Methods Pract Psychol Sci</w:t>
      </w:r>
      <w:r w:rsidRPr="000E79AA">
        <w:rPr>
          <w:rFonts w:ascii="Times New Roman" w:hAnsi="Times New Roman" w:cs="Times New Roman"/>
        </w:rPr>
        <w:t>. Published online June 2, 2020:2515245919898657. doi:10.1177/2515245919898657</w:t>
      </w:r>
    </w:p>
    <w:p w14:paraId="2125F8B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73. </w:t>
      </w:r>
      <w:r w:rsidRPr="000E79AA">
        <w:rPr>
          <w:rFonts w:ascii="Times New Roman" w:hAnsi="Times New Roman" w:cs="Times New Roman"/>
        </w:rPr>
        <w:tab/>
        <w:t>Kleiner M, Brainard D, Pelli D. What’s new in Psychtoolbox-3? Published online 2007.</w:t>
      </w:r>
    </w:p>
    <w:p w14:paraId="48C3454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74. </w:t>
      </w:r>
      <w:r w:rsidRPr="000E79AA">
        <w:rPr>
          <w:rFonts w:ascii="Times New Roman" w:hAnsi="Times New Roman" w:cs="Times New Roman"/>
        </w:rPr>
        <w:tab/>
        <w:t xml:space="preserve">Wickham H, Averick M, Bryan J, et al. Welcome to the Tidyverse. </w:t>
      </w:r>
      <w:r w:rsidRPr="000E79AA">
        <w:rPr>
          <w:rFonts w:ascii="Times New Roman" w:hAnsi="Times New Roman" w:cs="Times New Roman"/>
          <w:i/>
          <w:iCs/>
        </w:rPr>
        <w:t>J Open Source Softw</w:t>
      </w:r>
      <w:r w:rsidRPr="000E79AA">
        <w:rPr>
          <w:rFonts w:ascii="Times New Roman" w:hAnsi="Times New Roman" w:cs="Times New Roman"/>
        </w:rPr>
        <w:t>. 2019;4(43):1686. doi:10.21105/joss.01686</w:t>
      </w:r>
    </w:p>
    <w:p w14:paraId="06462CA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75. </w:t>
      </w:r>
      <w:r w:rsidRPr="000E79AA">
        <w:rPr>
          <w:rFonts w:ascii="Times New Roman" w:hAnsi="Times New Roman" w:cs="Times New Roman"/>
        </w:rPr>
        <w:tab/>
        <w:t xml:space="preserve">Kay M. </w:t>
      </w:r>
      <w:r w:rsidRPr="000E79AA">
        <w:rPr>
          <w:rFonts w:ascii="Times New Roman" w:hAnsi="Times New Roman" w:cs="Times New Roman"/>
          <w:i/>
          <w:iCs/>
        </w:rPr>
        <w:t>Tidybayes: Tidy Data and Geoms for Bayesian Models</w:t>
      </w:r>
      <w:r w:rsidRPr="000E79AA">
        <w:rPr>
          <w:rFonts w:ascii="Times New Roman" w:hAnsi="Times New Roman" w:cs="Times New Roman"/>
        </w:rPr>
        <w:t>. Zenodo; 2020. doi:10.5281/zenodo.3740308</w:t>
      </w:r>
    </w:p>
    <w:p w14:paraId="4D2BFDC6"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76. </w:t>
      </w:r>
      <w:r w:rsidRPr="000E79AA">
        <w:rPr>
          <w:rFonts w:ascii="Times New Roman" w:hAnsi="Times New Roman" w:cs="Times New Roman"/>
        </w:rPr>
        <w:tab/>
        <w:t xml:space="preserve">Singmann H, Bolker B, Westfall J, et al. </w:t>
      </w:r>
      <w:r w:rsidRPr="000E79AA">
        <w:rPr>
          <w:rFonts w:ascii="Times New Roman" w:hAnsi="Times New Roman" w:cs="Times New Roman"/>
          <w:i/>
          <w:iCs/>
        </w:rPr>
        <w:t>Afex: Analysis of Factorial Experiments</w:t>
      </w:r>
      <w:r w:rsidRPr="000E79AA">
        <w:rPr>
          <w:rFonts w:ascii="Times New Roman" w:hAnsi="Times New Roman" w:cs="Times New Roman"/>
        </w:rPr>
        <w:t>.; 2020. Accessed June 18, 2020. https://CRAN.R-project.org/package=afex</w:t>
      </w:r>
    </w:p>
    <w:p w14:paraId="2BB37F7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77. </w:t>
      </w:r>
      <w:r w:rsidRPr="000E79AA">
        <w:rPr>
          <w:rFonts w:ascii="Times New Roman" w:hAnsi="Times New Roman" w:cs="Times New Roman"/>
        </w:rPr>
        <w:tab/>
        <w:t xml:space="preserve">Lenth R, Singmann H, Love J, Buerkner P, Herve M. </w:t>
      </w:r>
      <w:r w:rsidRPr="000E79AA">
        <w:rPr>
          <w:rFonts w:ascii="Times New Roman" w:hAnsi="Times New Roman" w:cs="Times New Roman"/>
          <w:i/>
          <w:iCs/>
        </w:rPr>
        <w:t>Emmeans: Estimated Marginal Means, Aka Least-Squares Means</w:t>
      </w:r>
      <w:r w:rsidRPr="000E79AA">
        <w:rPr>
          <w:rFonts w:ascii="Times New Roman" w:hAnsi="Times New Roman" w:cs="Times New Roman"/>
        </w:rPr>
        <w:t>.; 2020. Accessed July 10, 2020. https://CRAN.R-project.org/package=emmeans</w:t>
      </w:r>
    </w:p>
    <w:p w14:paraId="202E506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78. </w:t>
      </w:r>
      <w:r w:rsidRPr="000E79AA">
        <w:rPr>
          <w:rFonts w:ascii="Times New Roman" w:hAnsi="Times New Roman" w:cs="Times New Roman"/>
        </w:rPr>
        <w:tab/>
        <w:t xml:space="preserve">Morey RD, Rouder JN, Jamil T, Urbanek S, Forner K, Ly A. </w:t>
      </w:r>
      <w:r w:rsidRPr="000E79AA">
        <w:rPr>
          <w:rFonts w:ascii="Times New Roman" w:hAnsi="Times New Roman" w:cs="Times New Roman"/>
          <w:i/>
          <w:iCs/>
        </w:rPr>
        <w:t>BayesFactor: Computation of Bayes Factors for Common Designs</w:t>
      </w:r>
      <w:r w:rsidRPr="000E79AA">
        <w:rPr>
          <w:rFonts w:ascii="Times New Roman" w:hAnsi="Times New Roman" w:cs="Times New Roman"/>
        </w:rPr>
        <w:t>.; 2018. Accessed June 18, 2020. https://CRAN.R-project.org/package=BayesFactor</w:t>
      </w:r>
    </w:p>
    <w:p w14:paraId="2BCF342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79. </w:t>
      </w:r>
      <w:r w:rsidRPr="000E79AA">
        <w:rPr>
          <w:rFonts w:ascii="Times New Roman" w:hAnsi="Times New Roman" w:cs="Times New Roman"/>
        </w:rPr>
        <w:tab/>
        <w:t xml:space="preserve">Makowski D, Ben-Shachar MS, Lüdecke D. bayestestR: Describing Effects and their Uncertainty, Existence and Significance within the Bayesian Framework. </w:t>
      </w:r>
      <w:r w:rsidRPr="000E79AA">
        <w:rPr>
          <w:rFonts w:ascii="Times New Roman" w:hAnsi="Times New Roman" w:cs="Times New Roman"/>
          <w:i/>
          <w:iCs/>
        </w:rPr>
        <w:t>J Open Source Softw</w:t>
      </w:r>
      <w:r w:rsidRPr="000E79AA">
        <w:rPr>
          <w:rFonts w:ascii="Times New Roman" w:hAnsi="Times New Roman" w:cs="Times New Roman"/>
        </w:rPr>
        <w:t>. 2019;4(40):1541. doi:10.21105/joss.01541</w:t>
      </w:r>
    </w:p>
    <w:p w14:paraId="47112AA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80. </w:t>
      </w:r>
      <w:r w:rsidRPr="000E79AA">
        <w:rPr>
          <w:rFonts w:ascii="Times New Roman" w:hAnsi="Times New Roman" w:cs="Times New Roman"/>
        </w:rPr>
        <w:tab/>
        <w:t xml:space="preserve">Clarke WT, Mougin O, Driver ID, et al. Multi-site harmonization of 7 tesla MRI neuroimaging protocols. </w:t>
      </w:r>
      <w:r w:rsidRPr="000E79AA">
        <w:rPr>
          <w:rFonts w:ascii="Times New Roman" w:hAnsi="Times New Roman" w:cs="Times New Roman"/>
          <w:i/>
          <w:iCs/>
        </w:rPr>
        <w:t>NeuroImage</w:t>
      </w:r>
      <w:r w:rsidRPr="000E79AA">
        <w:rPr>
          <w:rFonts w:ascii="Times New Roman" w:hAnsi="Times New Roman" w:cs="Times New Roman"/>
        </w:rPr>
        <w:t>. 2020;206:116335. doi:10.1016/j.neuroimage.2019.116335</w:t>
      </w:r>
    </w:p>
    <w:p w14:paraId="789E9BD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81. </w:t>
      </w:r>
      <w:r w:rsidRPr="000E79AA">
        <w:rPr>
          <w:rFonts w:ascii="Times New Roman" w:hAnsi="Times New Roman" w:cs="Times New Roman"/>
        </w:rPr>
        <w:tab/>
        <w:t xml:space="preserve">Tustison NJ, Avants BB, Cook PA, et al. N4ITK: Improved N3 Bias Correction. </w:t>
      </w:r>
      <w:r w:rsidRPr="000E79AA">
        <w:rPr>
          <w:rFonts w:ascii="Times New Roman" w:hAnsi="Times New Roman" w:cs="Times New Roman"/>
          <w:i/>
          <w:iCs/>
        </w:rPr>
        <w:t>IEEE Trans Med Imaging</w:t>
      </w:r>
      <w:r w:rsidRPr="000E79AA">
        <w:rPr>
          <w:rFonts w:ascii="Times New Roman" w:hAnsi="Times New Roman" w:cs="Times New Roman"/>
        </w:rPr>
        <w:t>. 2010;29(6):1310-1320. doi:10.1109/TMI.2010.2046908</w:t>
      </w:r>
    </w:p>
    <w:p w14:paraId="77CC758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82. </w:t>
      </w:r>
      <w:r w:rsidRPr="000E79AA">
        <w:rPr>
          <w:rFonts w:ascii="Times New Roman" w:hAnsi="Times New Roman" w:cs="Times New Roman"/>
        </w:rPr>
        <w:tab/>
        <w:t xml:space="preserve">Fonov V, Evans AC, Botteron K, Almli CR, McKinstry RC, Collins DL. Unbiased average age-appropriate atlases for pediatric studies. </w:t>
      </w:r>
      <w:r w:rsidRPr="000E79AA">
        <w:rPr>
          <w:rFonts w:ascii="Times New Roman" w:hAnsi="Times New Roman" w:cs="Times New Roman"/>
          <w:i/>
          <w:iCs/>
        </w:rPr>
        <w:t>NeuroImage</w:t>
      </w:r>
      <w:r w:rsidRPr="000E79AA">
        <w:rPr>
          <w:rFonts w:ascii="Times New Roman" w:hAnsi="Times New Roman" w:cs="Times New Roman"/>
        </w:rPr>
        <w:t>. 2011;54(1):313-327. doi:10.1016/j.neuroimage.2010.07.033</w:t>
      </w:r>
    </w:p>
    <w:p w14:paraId="79C54C0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83. </w:t>
      </w:r>
      <w:r w:rsidRPr="000E79AA">
        <w:rPr>
          <w:rFonts w:ascii="Times New Roman" w:hAnsi="Times New Roman" w:cs="Times New Roman"/>
        </w:rPr>
        <w:tab/>
        <w:t xml:space="preserve">Avants BB, Epstein CL, Grossman M, Gee JC. Symmetric diffeomorphic image registration with cross-correlation: Evaluating automated labeling of elderly and neurodegenerative brain. </w:t>
      </w:r>
      <w:r w:rsidRPr="000E79AA">
        <w:rPr>
          <w:rFonts w:ascii="Times New Roman" w:hAnsi="Times New Roman" w:cs="Times New Roman"/>
          <w:i/>
          <w:iCs/>
        </w:rPr>
        <w:t>Med Image Anal</w:t>
      </w:r>
      <w:r w:rsidRPr="000E79AA">
        <w:rPr>
          <w:rFonts w:ascii="Times New Roman" w:hAnsi="Times New Roman" w:cs="Times New Roman"/>
        </w:rPr>
        <w:t>. 2008;12(1):26-41. doi:10.1016/j.media.2007.06.004</w:t>
      </w:r>
    </w:p>
    <w:p w14:paraId="2101905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84. </w:t>
      </w:r>
      <w:r w:rsidRPr="000E79AA">
        <w:rPr>
          <w:rFonts w:ascii="Times New Roman" w:hAnsi="Times New Roman" w:cs="Times New Roman"/>
        </w:rPr>
        <w:tab/>
        <w:t xml:space="preserve">Warton DI, Hui FKC. The arcsine is asinine: the analysis of proportions in ecology. </w:t>
      </w:r>
      <w:r w:rsidRPr="000E79AA">
        <w:rPr>
          <w:rFonts w:ascii="Times New Roman" w:hAnsi="Times New Roman" w:cs="Times New Roman"/>
          <w:i/>
          <w:iCs/>
        </w:rPr>
        <w:t>Ecology</w:t>
      </w:r>
      <w:r w:rsidRPr="000E79AA">
        <w:rPr>
          <w:rFonts w:ascii="Times New Roman" w:hAnsi="Times New Roman" w:cs="Times New Roman"/>
        </w:rPr>
        <w:t>. 2011;92(1):3-10. doi:10.1890/10-0340.1</w:t>
      </w:r>
    </w:p>
    <w:p w14:paraId="540C1D1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85. </w:t>
      </w:r>
      <w:r w:rsidRPr="000E79AA">
        <w:rPr>
          <w:rFonts w:ascii="Times New Roman" w:hAnsi="Times New Roman" w:cs="Times New Roman"/>
        </w:rPr>
        <w:tab/>
        <w:t xml:space="preserve">Cook RD. Detection of influential observation in linear regression. </w:t>
      </w:r>
      <w:r w:rsidRPr="000E79AA">
        <w:rPr>
          <w:rFonts w:ascii="Times New Roman" w:hAnsi="Times New Roman" w:cs="Times New Roman"/>
          <w:i/>
          <w:iCs/>
        </w:rPr>
        <w:t>Technometrics</w:t>
      </w:r>
      <w:r w:rsidRPr="000E79AA">
        <w:rPr>
          <w:rFonts w:ascii="Times New Roman" w:hAnsi="Times New Roman" w:cs="Times New Roman"/>
        </w:rPr>
        <w:t>. 1977;19(1):15-18.</w:t>
      </w:r>
    </w:p>
    <w:p w14:paraId="6FC41AD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86. </w:t>
      </w:r>
      <w:r w:rsidRPr="000E79AA">
        <w:rPr>
          <w:rFonts w:ascii="Times New Roman" w:hAnsi="Times New Roman" w:cs="Times New Roman"/>
        </w:rPr>
        <w:tab/>
        <w:t xml:space="preserve">Snijders TAB, Berkhof J. Diagnostic checks for multilevel models. In: </w:t>
      </w:r>
      <w:r w:rsidRPr="000E79AA">
        <w:rPr>
          <w:rFonts w:ascii="Times New Roman" w:hAnsi="Times New Roman" w:cs="Times New Roman"/>
          <w:i/>
          <w:iCs/>
        </w:rPr>
        <w:t>Handbook of Multilevel Analysis.</w:t>
      </w:r>
      <w:r w:rsidRPr="000E79AA">
        <w:rPr>
          <w:rFonts w:ascii="Times New Roman" w:hAnsi="Times New Roman" w:cs="Times New Roman"/>
        </w:rPr>
        <w:t xml:space="preserve"> Springer Science + Business Media; 2008:141-175. doi:10.1007/978-0-387-73186-5_3</w:t>
      </w:r>
    </w:p>
    <w:p w14:paraId="5146D27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87. </w:t>
      </w:r>
      <w:r w:rsidRPr="000E79AA">
        <w:rPr>
          <w:rFonts w:ascii="Times New Roman" w:hAnsi="Times New Roman" w:cs="Times New Roman"/>
        </w:rPr>
        <w:tab/>
        <w:t xml:space="preserve">Fox J, Monette G. </w:t>
      </w:r>
      <w:r w:rsidRPr="000E79AA">
        <w:rPr>
          <w:rFonts w:ascii="Times New Roman" w:hAnsi="Times New Roman" w:cs="Times New Roman"/>
          <w:i/>
          <w:iCs/>
        </w:rPr>
        <w:t>An R and S-Plus Companion to Applied Regression</w:t>
      </w:r>
      <w:r w:rsidRPr="000E79AA">
        <w:rPr>
          <w:rFonts w:ascii="Times New Roman" w:hAnsi="Times New Roman" w:cs="Times New Roman"/>
        </w:rPr>
        <w:t>. Sage; 2002.</w:t>
      </w:r>
    </w:p>
    <w:p w14:paraId="25052521"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88. </w:t>
      </w:r>
      <w:r w:rsidRPr="000E79AA">
        <w:rPr>
          <w:rFonts w:ascii="Times New Roman" w:hAnsi="Times New Roman" w:cs="Times New Roman"/>
        </w:rPr>
        <w:tab/>
        <w:t xml:space="preserve">Robbins TW. Chemical neuromodulation of frontal-executive functions in humans and other animals. </w:t>
      </w:r>
      <w:r w:rsidRPr="000E79AA">
        <w:rPr>
          <w:rFonts w:ascii="Times New Roman" w:hAnsi="Times New Roman" w:cs="Times New Roman"/>
          <w:i/>
          <w:iCs/>
        </w:rPr>
        <w:t>Exp Brain Res</w:t>
      </w:r>
      <w:r w:rsidRPr="000E79AA">
        <w:rPr>
          <w:rFonts w:ascii="Times New Roman" w:hAnsi="Times New Roman" w:cs="Times New Roman"/>
        </w:rPr>
        <w:t>. 2000;133(1):130-138. doi:10.1007/s002210000407</w:t>
      </w:r>
    </w:p>
    <w:p w14:paraId="516E2D2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89. </w:t>
      </w:r>
      <w:r w:rsidRPr="000E79AA">
        <w:rPr>
          <w:rFonts w:ascii="Times New Roman" w:hAnsi="Times New Roman" w:cs="Times New Roman"/>
        </w:rPr>
        <w:tab/>
        <w:t xml:space="preserve">Rowe JB, Hughes L, Ghosh BCP, et al. Parkinson’s disease and dopaminergic therapy—differential effects on movement, reward and cognition. </w:t>
      </w:r>
      <w:r w:rsidRPr="000E79AA">
        <w:rPr>
          <w:rFonts w:ascii="Times New Roman" w:hAnsi="Times New Roman" w:cs="Times New Roman"/>
          <w:i/>
          <w:iCs/>
        </w:rPr>
        <w:t>Brain</w:t>
      </w:r>
      <w:r w:rsidRPr="000E79AA">
        <w:rPr>
          <w:rFonts w:ascii="Times New Roman" w:hAnsi="Times New Roman" w:cs="Times New Roman"/>
        </w:rPr>
        <w:t>. 2008;131(8):2094-2105. doi:10.1093/brain/awn112</w:t>
      </w:r>
    </w:p>
    <w:p w14:paraId="0AC79DB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90. </w:t>
      </w:r>
      <w:r w:rsidRPr="000E79AA">
        <w:rPr>
          <w:rFonts w:ascii="Times New Roman" w:hAnsi="Times New Roman" w:cs="Times New Roman"/>
        </w:rPr>
        <w:tab/>
        <w:t xml:space="preserve">Cools R, D’Esposito M. Inverted-U–Shaped Dopamine Actions on Human Working Memory and Cognitive Control. </w:t>
      </w:r>
      <w:r w:rsidRPr="000E79AA">
        <w:rPr>
          <w:rFonts w:ascii="Times New Roman" w:hAnsi="Times New Roman" w:cs="Times New Roman"/>
          <w:i/>
          <w:iCs/>
        </w:rPr>
        <w:t>Biol Psychiatry</w:t>
      </w:r>
      <w:r w:rsidRPr="000E79AA">
        <w:rPr>
          <w:rFonts w:ascii="Times New Roman" w:hAnsi="Times New Roman" w:cs="Times New Roman"/>
        </w:rPr>
        <w:t>. 2011;69(12):e113-e125. doi:10.1016/j.biopsych.2011.03.028</w:t>
      </w:r>
    </w:p>
    <w:p w14:paraId="26FA602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91. </w:t>
      </w:r>
      <w:r w:rsidRPr="000E79AA">
        <w:rPr>
          <w:rFonts w:ascii="Times New Roman" w:hAnsi="Times New Roman" w:cs="Times New Roman"/>
        </w:rPr>
        <w:tab/>
        <w:t>Cools R, Barker RA, Sahakian BJ, Robbins TW. Enhanced or Impaired Cognitive Function in Parkinson’s Disease as a Function of Dopaminergic Medication and Task Demands. 2001;11(12):1136-1143. doi:10.1093/cercor/11.12.1136</w:t>
      </w:r>
    </w:p>
    <w:p w14:paraId="6E48915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92. </w:t>
      </w:r>
      <w:r w:rsidRPr="000E79AA">
        <w:rPr>
          <w:rFonts w:ascii="Times New Roman" w:hAnsi="Times New Roman" w:cs="Times New Roman"/>
        </w:rPr>
        <w:tab/>
        <w:t xml:space="preserve">Cools R, Lewis SJG, Clark L, Barker RA, Robbins TW. L-DOPA Disrupts Activity in the Nucleus Accumbens during Reversal Learning in Parkinson’s Disease. </w:t>
      </w:r>
      <w:r w:rsidRPr="000E79AA">
        <w:rPr>
          <w:rFonts w:ascii="Times New Roman" w:hAnsi="Times New Roman" w:cs="Times New Roman"/>
          <w:i/>
          <w:iCs/>
        </w:rPr>
        <w:t>Neuropsychopharmacology</w:t>
      </w:r>
      <w:r w:rsidRPr="000E79AA">
        <w:rPr>
          <w:rFonts w:ascii="Times New Roman" w:hAnsi="Times New Roman" w:cs="Times New Roman"/>
        </w:rPr>
        <w:t>. 2007;32(1):180-189. doi:10.1038/sj.npp.1301153</w:t>
      </w:r>
    </w:p>
    <w:p w14:paraId="70FD6FA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93. </w:t>
      </w:r>
      <w:r w:rsidRPr="000E79AA">
        <w:rPr>
          <w:rFonts w:ascii="Times New Roman" w:hAnsi="Times New Roman" w:cs="Times New Roman"/>
        </w:rPr>
        <w:tab/>
        <w:t xml:space="preserve">Aarts E, Nusselein AAM, Smittenaar P, Helmich RC, Bloem BR, Cools R. Greater striatal responses to medication in Parkinson׳s disease are associated with better task-switching but worse reward performance. </w:t>
      </w:r>
      <w:r w:rsidRPr="000E79AA">
        <w:rPr>
          <w:rFonts w:ascii="Times New Roman" w:hAnsi="Times New Roman" w:cs="Times New Roman"/>
          <w:i/>
          <w:iCs/>
        </w:rPr>
        <w:t>Neuropsychologia</w:t>
      </w:r>
      <w:r w:rsidRPr="000E79AA">
        <w:rPr>
          <w:rFonts w:ascii="Times New Roman" w:hAnsi="Times New Roman" w:cs="Times New Roman"/>
        </w:rPr>
        <w:t>. 2014;62:390-397. doi:10.1016/j.neuropsychologia.2014.05.023</w:t>
      </w:r>
    </w:p>
    <w:p w14:paraId="45B155F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94. </w:t>
      </w:r>
      <w:r w:rsidRPr="000E79AA">
        <w:rPr>
          <w:rFonts w:ascii="Times New Roman" w:hAnsi="Times New Roman" w:cs="Times New Roman"/>
        </w:rPr>
        <w:tab/>
        <w:t xml:space="preserve">MacDonald PA, MacDonald AA, Seergobin KN, et al. The effect of dopamine therapy on ventral and dorsal striatum-mediated cognition in Parkinson’s disease: support from functional MRI. </w:t>
      </w:r>
      <w:r w:rsidRPr="000E79AA">
        <w:rPr>
          <w:rFonts w:ascii="Times New Roman" w:hAnsi="Times New Roman" w:cs="Times New Roman"/>
          <w:i/>
          <w:iCs/>
        </w:rPr>
        <w:t>Brain</w:t>
      </w:r>
      <w:r w:rsidRPr="000E79AA">
        <w:rPr>
          <w:rFonts w:ascii="Times New Roman" w:hAnsi="Times New Roman" w:cs="Times New Roman"/>
        </w:rPr>
        <w:t>. 2011;134(5):1447-1463. doi:10.1093/brain/awr075</w:t>
      </w:r>
    </w:p>
    <w:p w14:paraId="3F3C187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95. </w:t>
      </w:r>
      <w:r w:rsidRPr="000E79AA">
        <w:rPr>
          <w:rFonts w:ascii="Times New Roman" w:hAnsi="Times New Roman" w:cs="Times New Roman"/>
        </w:rPr>
        <w:tab/>
        <w:t xml:space="preserve">Cash R, Dennis T, L’Heureux R, Raisman R, Javoy-Agid F, Scatton B. Parkinson’s disease and dementia: Norepinephrine and dopamine in locus ceruleus. </w:t>
      </w:r>
      <w:r w:rsidRPr="000E79AA">
        <w:rPr>
          <w:rFonts w:ascii="Times New Roman" w:hAnsi="Times New Roman" w:cs="Times New Roman"/>
          <w:i/>
          <w:iCs/>
        </w:rPr>
        <w:t>Neurology</w:t>
      </w:r>
      <w:r w:rsidRPr="000E79AA">
        <w:rPr>
          <w:rFonts w:ascii="Times New Roman" w:hAnsi="Times New Roman" w:cs="Times New Roman"/>
        </w:rPr>
        <w:t>. 1987;37(1):42-42. doi:10.1212/WNL.37.1.42</w:t>
      </w:r>
    </w:p>
    <w:p w14:paraId="7F841D8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96. </w:t>
      </w:r>
      <w:r w:rsidRPr="000E79AA">
        <w:rPr>
          <w:rFonts w:ascii="Times New Roman" w:hAnsi="Times New Roman" w:cs="Times New Roman"/>
        </w:rPr>
        <w:tab/>
        <w:t xml:space="preserve">Zweig RM, Cardillo JE, Cohen M, Giere S, Hedreen JC. The locus ceruleus and dementia in Parkinson’s disease. </w:t>
      </w:r>
      <w:r w:rsidRPr="000E79AA">
        <w:rPr>
          <w:rFonts w:ascii="Times New Roman" w:hAnsi="Times New Roman" w:cs="Times New Roman"/>
          <w:i/>
          <w:iCs/>
        </w:rPr>
        <w:t>Neurology</w:t>
      </w:r>
      <w:r w:rsidRPr="000E79AA">
        <w:rPr>
          <w:rFonts w:ascii="Times New Roman" w:hAnsi="Times New Roman" w:cs="Times New Roman"/>
        </w:rPr>
        <w:t>. 1993;43(5):986-991. doi:10.1212/wnl.43.5.986</w:t>
      </w:r>
    </w:p>
    <w:p w14:paraId="0A6D544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97. </w:t>
      </w:r>
      <w:r w:rsidRPr="000E79AA">
        <w:rPr>
          <w:rFonts w:ascii="Times New Roman" w:hAnsi="Times New Roman" w:cs="Times New Roman"/>
        </w:rPr>
        <w:tab/>
        <w:t xml:space="preserve">Li Y, Wang C, Wang J, et al. Mild cognitive impairment in de novo Parkinson’s disease: A neuromelanin MRI study in locus coeruleus. </w:t>
      </w:r>
      <w:r w:rsidRPr="000E79AA">
        <w:rPr>
          <w:rFonts w:ascii="Times New Roman" w:hAnsi="Times New Roman" w:cs="Times New Roman"/>
          <w:i/>
          <w:iCs/>
        </w:rPr>
        <w:t>Mov Disord</w:t>
      </w:r>
      <w:r w:rsidRPr="000E79AA">
        <w:rPr>
          <w:rFonts w:ascii="Times New Roman" w:hAnsi="Times New Roman" w:cs="Times New Roman"/>
        </w:rPr>
        <w:t>. 2019;34(6):884-892. doi:10.1002/mds.27682</w:t>
      </w:r>
    </w:p>
    <w:p w14:paraId="1F47F7D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98. </w:t>
      </w:r>
      <w:r w:rsidRPr="000E79AA">
        <w:rPr>
          <w:rFonts w:ascii="Times New Roman" w:hAnsi="Times New Roman" w:cs="Times New Roman"/>
        </w:rPr>
        <w:tab/>
        <w:t xml:space="preserve">Wang J, Li Y, Huang Z, et al. Neuromelanin-sensitive magnetic resonance imaging features of the substantia nigra and locus coeruleus in de novo Parkinson’s disease and its phenotypes. </w:t>
      </w:r>
      <w:r w:rsidRPr="000E79AA">
        <w:rPr>
          <w:rFonts w:ascii="Times New Roman" w:hAnsi="Times New Roman" w:cs="Times New Roman"/>
          <w:i/>
          <w:iCs/>
        </w:rPr>
        <w:t>Eur J Neurol</w:t>
      </w:r>
      <w:r w:rsidRPr="000E79AA">
        <w:rPr>
          <w:rFonts w:ascii="Times New Roman" w:hAnsi="Times New Roman" w:cs="Times New Roman"/>
        </w:rPr>
        <w:t>. 2018;25(7):949-e73. doi:10.1111/ene.13628</w:t>
      </w:r>
    </w:p>
    <w:p w14:paraId="26FC0C8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99. </w:t>
      </w:r>
      <w:r w:rsidRPr="000E79AA">
        <w:rPr>
          <w:rFonts w:ascii="Times New Roman" w:hAnsi="Times New Roman" w:cs="Times New Roman"/>
        </w:rPr>
        <w:tab/>
        <w:t xml:space="preserve">Paulus W, Jellinger K. The Neuropathologic Basis of Different Clinical Subgroups of Parkinson’s Disease. </w:t>
      </w:r>
      <w:r w:rsidRPr="000E79AA">
        <w:rPr>
          <w:rFonts w:ascii="Times New Roman" w:hAnsi="Times New Roman" w:cs="Times New Roman"/>
          <w:i/>
          <w:iCs/>
        </w:rPr>
        <w:t>J Neuropathol Exp Neurol</w:t>
      </w:r>
      <w:r w:rsidRPr="000E79AA">
        <w:rPr>
          <w:rFonts w:ascii="Times New Roman" w:hAnsi="Times New Roman" w:cs="Times New Roman"/>
        </w:rPr>
        <w:t>. 1991;50(6):743-755. doi:10.1097/00005072-199111000-00006</w:t>
      </w:r>
    </w:p>
    <w:p w14:paraId="2E7AA3C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100. </w:t>
      </w:r>
      <w:r w:rsidRPr="000E79AA">
        <w:rPr>
          <w:rFonts w:ascii="Times New Roman" w:hAnsi="Times New Roman" w:cs="Times New Roman"/>
        </w:rPr>
        <w:tab/>
        <w:t xml:space="preserve">García-Lorenzo D, Longo-Dos Santos C, Ewenczyk C, et al. The coeruleus/subcoeruleus complex in rapid eye movement sleep behaviour disorders in Parkinson’s disease. </w:t>
      </w:r>
      <w:r w:rsidRPr="000E79AA">
        <w:rPr>
          <w:rFonts w:ascii="Times New Roman" w:hAnsi="Times New Roman" w:cs="Times New Roman"/>
          <w:i/>
          <w:iCs/>
        </w:rPr>
        <w:t>Brain</w:t>
      </w:r>
      <w:r w:rsidRPr="000E79AA">
        <w:rPr>
          <w:rFonts w:ascii="Times New Roman" w:hAnsi="Times New Roman" w:cs="Times New Roman"/>
        </w:rPr>
        <w:t>. 2013;136(7):2120-2129. doi:10.1093/brain/awt152</w:t>
      </w:r>
    </w:p>
    <w:p w14:paraId="31EA4E0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101. </w:t>
      </w:r>
      <w:r w:rsidRPr="000E79AA">
        <w:rPr>
          <w:rFonts w:ascii="Times New Roman" w:hAnsi="Times New Roman" w:cs="Times New Roman"/>
        </w:rPr>
        <w:tab/>
        <w:t xml:space="preserve">Sommerauer M, Fedorova TD, Hansen AK, et al. Evaluation of the noradrenergic system in Parkinson’s disease: an 11C-MeNER PET and neuromelanin MRI study. </w:t>
      </w:r>
      <w:r w:rsidRPr="000E79AA">
        <w:rPr>
          <w:rFonts w:ascii="Times New Roman" w:hAnsi="Times New Roman" w:cs="Times New Roman"/>
          <w:i/>
          <w:iCs/>
        </w:rPr>
        <w:t>Brain</w:t>
      </w:r>
      <w:r w:rsidRPr="000E79AA">
        <w:rPr>
          <w:rFonts w:ascii="Times New Roman" w:hAnsi="Times New Roman" w:cs="Times New Roman"/>
        </w:rPr>
        <w:t>. 2018;141(2):496-504. doi:10.1093/brain/awx348</w:t>
      </w:r>
    </w:p>
    <w:p w14:paraId="04C1487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102. </w:t>
      </w:r>
      <w:r w:rsidRPr="000E79AA">
        <w:rPr>
          <w:rFonts w:ascii="Times New Roman" w:hAnsi="Times New Roman" w:cs="Times New Roman"/>
        </w:rPr>
        <w:tab/>
        <w:t xml:space="preserve">Chan‐Palay V, Asan E. Alterations in catecholamine neurons of the locus coeruleus in senile dementia of the Alzheimer type and in Parkinson’s disease with and without dementia and depression. </w:t>
      </w:r>
      <w:r w:rsidRPr="000E79AA">
        <w:rPr>
          <w:rFonts w:ascii="Times New Roman" w:hAnsi="Times New Roman" w:cs="Times New Roman"/>
          <w:i/>
          <w:iCs/>
        </w:rPr>
        <w:t>J Comp Neurol</w:t>
      </w:r>
      <w:r w:rsidRPr="000E79AA">
        <w:rPr>
          <w:rFonts w:ascii="Times New Roman" w:hAnsi="Times New Roman" w:cs="Times New Roman"/>
        </w:rPr>
        <w:t>. 1989;287(3):373-392. doi:10.1002/cne.902870308</w:t>
      </w:r>
    </w:p>
    <w:p w14:paraId="06063E8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103. </w:t>
      </w:r>
      <w:r w:rsidRPr="000E79AA">
        <w:rPr>
          <w:rFonts w:ascii="Times New Roman" w:hAnsi="Times New Roman" w:cs="Times New Roman"/>
        </w:rPr>
        <w:tab/>
        <w:t xml:space="preserve">German DC, Manaye KF, White CL, et al. Disease-specific patterns of locus coeruleus cell loss. </w:t>
      </w:r>
      <w:r w:rsidRPr="000E79AA">
        <w:rPr>
          <w:rFonts w:ascii="Times New Roman" w:hAnsi="Times New Roman" w:cs="Times New Roman"/>
          <w:i/>
          <w:iCs/>
        </w:rPr>
        <w:t>Ann Neurol</w:t>
      </w:r>
      <w:r w:rsidRPr="000E79AA">
        <w:rPr>
          <w:rFonts w:ascii="Times New Roman" w:hAnsi="Times New Roman" w:cs="Times New Roman"/>
        </w:rPr>
        <w:t>. 1992;32(5):667-676. doi:10.1002/ana.410320510</w:t>
      </w:r>
    </w:p>
    <w:p w14:paraId="389A4C9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104. </w:t>
      </w:r>
      <w:r w:rsidRPr="000E79AA">
        <w:rPr>
          <w:rFonts w:ascii="Times New Roman" w:hAnsi="Times New Roman" w:cs="Times New Roman"/>
        </w:rPr>
        <w:tab/>
        <w:t xml:space="preserve">Bertrand E, Lechowicz W, Szpak GM, Dymecki J. Qualitative and quantitative analysis of locus coeruleus neurons in Parkinson’s disease. </w:t>
      </w:r>
      <w:r w:rsidRPr="000E79AA">
        <w:rPr>
          <w:rFonts w:ascii="Times New Roman" w:hAnsi="Times New Roman" w:cs="Times New Roman"/>
          <w:i/>
          <w:iCs/>
        </w:rPr>
        <w:t>Folia Neuropathol</w:t>
      </w:r>
      <w:r w:rsidRPr="000E79AA">
        <w:rPr>
          <w:rFonts w:ascii="Times New Roman" w:hAnsi="Times New Roman" w:cs="Times New Roman"/>
        </w:rPr>
        <w:t>. 1997;35(2):80-86.</w:t>
      </w:r>
    </w:p>
    <w:p w14:paraId="1279EF0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105. </w:t>
      </w:r>
      <w:r w:rsidRPr="000E79AA">
        <w:rPr>
          <w:rFonts w:ascii="Times New Roman" w:hAnsi="Times New Roman" w:cs="Times New Roman"/>
        </w:rPr>
        <w:tab/>
        <w:t xml:space="preserve">Kitao S, Matsusue E, Fujii S, et al. Correlation between pathology and neuromelanin MR imaging in Parkinson’s disease and dementia with Lewy bodies. </w:t>
      </w:r>
      <w:r w:rsidRPr="000E79AA">
        <w:rPr>
          <w:rFonts w:ascii="Times New Roman" w:hAnsi="Times New Roman" w:cs="Times New Roman"/>
          <w:i/>
          <w:iCs/>
        </w:rPr>
        <w:t>Neuroradiology</w:t>
      </w:r>
      <w:r w:rsidRPr="000E79AA">
        <w:rPr>
          <w:rFonts w:ascii="Times New Roman" w:hAnsi="Times New Roman" w:cs="Times New Roman"/>
        </w:rPr>
        <w:t>. 2013;55(8):947-953. doi:10.1007/s00234-013-1199-9</w:t>
      </w:r>
    </w:p>
    <w:p w14:paraId="6AD326F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106. </w:t>
      </w:r>
      <w:r w:rsidRPr="000E79AA">
        <w:rPr>
          <w:rFonts w:ascii="Times New Roman" w:hAnsi="Times New Roman" w:cs="Times New Roman"/>
        </w:rPr>
        <w:tab/>
        <w:t xml:space="preserve">Keren NI, Taheri S, Vazey EM, et al. Histologic validation of locus coeruleus MRI contrast in post-mortem tissue. </w:t>
      </w:r>
      <w:r w:rsidRPr="000E79AA">
        <w:rPr>
          <w:rFonts w:ascii="Times New Roman" w:hAnsi="Times New Roman" w:cs="Times New Roman"/>
          <w:i/>
          <w:iCs/>
        </w:rPr>
        <w:t>NeuroImage</w:t>
      </w:r>
      <w:r w:rsidRPr="000E79AA">
        <w:rPr>
          <w:rFonts w:ascii="Times New Roman" w:hAnsi="Times New Roman" w:cs="Times New Roman"/>
        </w:rPr>
        <w:t>. 2015;113(C):235-245. doi:10.1016/j.neuroimage.2015.03.020</w:t>
      </w:r>
    </w:p>
    <w:p w14:paraId="418AF2F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107. </w:t>
      </w:r>
      <w:r w:rsidRPr="000E79AA">
        <w:rPr>
          <w:rFonts w:ascii="Times New Roman" w:hAnsi="Times New Roman" w:cs="Times New Roman"/>
        </w:rPr>
        <w:tab/>
        <w:t xml:space="preserve">Lee H, Baek S-Y, Kim E-J, Huh GY, Lee J-H, Cho H. MRI T2 and T2* relaxometry to visualize neuromelanin in the dorsal substantia nigra pars compacta. </w:t>
      </w:r>
      <w:r w:rsidRPr="000E79AA">
        <w:rPr>
          <w:rFonts w:ascii="Times New Roman" w:hAnsi="Times New Roman" w:cs="Times New Roman"/>
          <w:i/>
          <w:iCs/>
        </w:rPr>
        <w:t>NeuroImage</w:t>
      </w:r>
      <w:r w:rsidRPr="000E79AA">
        <w:rPr>
          <w:rFonts w:ascii="Times New Roman" w:hAnsi="Times New Roman" w:cs="Times New Roman"/>
        </w:rPr>
        <w:t>. 2020;211:116625. doi:10.1016/j.neuroimage.2020.116625</w:t>
      </w:r>
    </w:p>
    <w:p w14:paraId="0A98367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108. </w:t>
      </w:r>
      <w:r w:rsidRPr="000E79AA">
        <w:rPr>
          <w:rFonts w:ascii="Times New Roman" w:hAnsi="Times New Roman" w:cs="Times New Roman"/>
        </w:rPr>
        <w:tab/>
        <w:t xml:space="preserve">Cassidy CM, Zucca FA, Girgis RR, et al. Neuromelanin-sensitive MRI as a noninvasive proxy measure of dopamine function in the human brain. </w:t>
      </w:r>
      <w:r w:rsidRPr="000E79AA">
        <w:rPr>
          <w:rFonts w:ascii="Times New Roman" w:hAnsi="Times New Roman" w:cs="Times New Roman"/>
          <w:i/>
          <w:iCs/>
        </w:rPr>
        <w:t>Proc Natl Acad Sci U S A</w:t>
      </w:r>
      <w:r w:rsidRPr="000E79AA">
        <w:rPr>
          <w:rFonts w:ascii="Times New Roman" w:hAnsi="Times New Roman" w:cs="Times New Roman"/>
        </w:rPr>
        <w:t>. 2019;116(11):5108-5117. doi:10.1073/pnas.1807983116</w:t>
      </w:r>
    </w:p>
    <w:p w14:paraId="0C6E3E5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109. </w:t>
      </w:r>
      <w:r w:rsidRPr="000E79AA">
        <w:rPr>
          <w:rFonts w:ascii="Times New Roman" w:hAnsi="Times New Roman" w:cs="Times New Roman"/>
        </w:rPr>
        <w:tab/>
        <w:t xml:space="preserve">Sulzer D, Cassidy C, Horga G, et al. Neuromelanin detection by magnetic resonance imaging (MRI) and its promise as a biomarker for Parkinson’s disease. </w:t>
      </w:r>
      <w:r w:rsidRPr="000E79AA">
        <w:rPr>
          <w:rFonts w:ascii="Times New Roman" w:hAnsi="Times New Roman" w:cs="Times New Roman"/>
          <w:i/>
          <w:iCs/>
        </w:rPr>
        <w:t>Npj Park Dis</w:t>
      </w:r>
      <w:r w:rsidRPr="000E79AA">
        <w:rPr>
          <w:rFonts w:ascii="Times New Roman" w:hAnsi="Times New Roman" w:cs="Times New Roman"/>
        </w:rPr>
        <w:t>. Published online March 28, 2018:1-13. doi:10.1038/s41531-018-0047-3</w:t>
      </w:r>
    </w:p>
    <w:p w14:paraId="7C5936A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110. </w:t>
      </w:r>
      <w:r w:rsidRPr="000E79AA">
        <w:rPr>
          <w:rFonts w:ascii="Times New Roman" w:hAnsi="Times New Roman" w:cs="Times New Roman"/>
        </w:rPr>
        <w:tab/>
        <w:t xml:space="preserve">Swanson CJ, Perry KW, Koch-Krueger S, Katner J, Svensson KA, Bymaster FP. Effect of the attention deficit/hyperactivity disorder drug atomoxetine on extracellular concentrations of norepinephrine and dopamine in several brain regions of the rat. </w:t>
      </w:r>
      <w:r w:rsidRPr="000E79AA">
        <w:rPr>
          <w:rFonts w:ascii="Times New Roman" w:hAnsi="Times New Roman" w:cs="Times New Roman"/>
          <w:i/>
          <w:iCs/>
        </w:rPr>
        <w:t>Neuropharmacology</w:t>
      </w:r>
      <w:r w:rsidRPr="000E79AA">
        <w:rPr>
          <w:rFonts w:ascii="Times New Roman" w:hAnsi="Times New Roman" w:cs="Times New Roman"/>
        </w:rPr>
        <w:t>. 2006;50(6):755-760. doi:10.1016/j.neuropharm.2005.11.022</w:t>
      </w:r>
    </w:p>
    <w:p w14:paraId="0593DD8D"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111. </w:t>
      </w:r>
      <w:r w:rsidRPr="000E79AA">
        <w:rPr>
          <w:rFonts w:ascii="Times New Roman" w:hAnsi="Times New Roman" w:cs="Times New Roman"/>
        </w:rPr>
        <w:tab/>
        <w:t xml:space="preserve">Sesack SR, Hawrylak VA, Matus C, Guido MA, Levey AI. Dopamine Axon Varicosities in the Prelimbic Division of the Rat Prefrontal Cortex Exhibit Sparse Immunoreactivity for the Dopamine Transporter. </w:t>
      </w:r>
      <w:r w:rsidRPr="000E79AA">
        <w:rPr>
          <w:rFonts w:ascii="Times New Roman" w:hAnsi="Times New Roman" w:cs="Times New Roman"/>
          <w:i/>
          <w:iCs/>
        </w:rPr>
        <w:t>J Neurosci</w:t>
      </w:r>
      <w:r w:rsidRPr="000E79AA">
        <w:rPr>
          <w:rFonts w:ascii="Times New Roman" w:hAnsi="Times New Roman" w:cs="Times New Roman"/>
        </w:rPr>
        <w:t>. 1998;18(7):2697-2708. doi:10.1523/JNEUROSCI.18-07-02697.1998</w:t>
      </w:r>
    </w:p>
    <w:p w14:paraId="14A7150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112. </w:t>
      </w:r>
      <w:r w:rsidRPr="000E79AA">
        <w:rPr>
          <w:rFonts w:ascii="Times New Roman" w:hAnsi="Times New Roman" w:cs="Times New Roman"/>
        </w:rPr>
        <w:tab/>
        <w:t xml:space="preserve">Wayment HK, Schenk JO, Sorg BA. Characterization of Extracellular Dopamine Clearance in the Medial Prefrontal Cortex: Role of Monoamine Uptake and Monoamine Oxidase Inhibition. </w:t>
      </w:r>
      <w:r w:rsidRPr="000E79AA">
        <w:rPr>
          <w:rFonts w:ascii="Times New Roman" w:hAnsi="Times New Roman" w:cs="Times New Roman"/>
          <w:i/>
          <w:iCs/>
        </w:rPr>
        <w:t>J Neurosci</w:t>
      </w:r>
      <w:r w:rsidRPr="000E79AA">
        <w:rPr>
          <w:rFonts w:ascii="Times New Roman" w:hAnsi="Times New Roman" w:cs="Times New Roman"/>
        </w:rPr>
        <w:t>. 2001;21(1):35-44. doi:10.1523/JNEUROSCI.21-01-00035.2001</w:t>
      </w:r>
    </w:p>
    <w:p w14:paraId="68DDBCB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113. </w:t>
      </w:r>
      <w:r w:rsidRPr="000E79AA">
        <w:rPr>
          <w:rFonts w:ascii="Times New Roman" w:hAnsi="Times New Roman" w:cs="Times New Roman"/>
        </w:rPr>
        <w:tab/>
        <w:t xml:space="preserve">Seamans JK, Yang CR. The principal features and mechanisms of dopamine modulation in the prefrontal cortex. </w:t>
      </w:r>
      <w:r w:rsidRPr="000E79AA">
        <w:rPr>
          <w:rFonts w:ascii="Times New Roman" w:hAnsi="Times New Roman" w:cs="Times New Roman"/>
          <w:i/>
          <w:iCs/>
        </w:rPr>
        <w:t>Prog Neurobiol</w:t>
      </w:r>
      <w:r w:rsidRPr="000E79AA">
        <w:rPr>
          <w:rFonts w:ascii="Times New Roman" w:hAnsi="Times New Roman" w:cs="Times New Roman"/>
        </w:rPr>
        <w:t>. 2004;74(1):1-58. doi:10.1016/j.pneurobio.2004.05.006</w:t>
      </w:r>
    </w:p>
    <w:p w14:paraId="1D9D0A1A"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114. </w:t>
      </w:r>
      <w:r w:rsidRPr="000E79AA">
        <w:rPr>
          <w:rFonts w:ascii="Times New Roman" w:hAnsi="Times New Roman" w:cs="Times New Roman"/>
        </w:rPr>
        <w:tab/>
        <w:t xml:space="preserve">Overtoom CCE, Verbaten MN, Kemner C, et al. Effects of methylphenidate, desipramine, and l-dopa on attention and inhibition in children with Attention Deficit Hyperactivity Disorder. </w:t>
      </w:r>
      <w:r w:rsidRPr="000E79AA">
        <w:rPr>
          <w:rFonts w:ascii="Times New Roman" w:hAnsi="Times New Roman" w:cs="Times New Roman"/>
          <w:i/>
          <w:iCs/>
        </w:rPr>
        <w:t>Behav Brain Res</w:t>
      </w:r>
      <w:r w:rsidRPr="000E79AA">
        <w:rPr>
          <w:rFonts w:ascii="Times New Roman" w:hAnsi="Times New Roman" w:cs="Times New Roman"/>
        </w:rPr>
        <w:t>. 2003;145(1-2):7-15. doi:10.1016/S0166-4328(03)00097-4</w:t>
      </w:r>
    </w:p>
    <w:p w14:paraId="2C99509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115. </w:t>
      </w:r>
      <w:r w:rsidRPr="000E79AA">
        <w:rPr>
          <w:rFonts w:ascii="Times New Roman" w:hAnsi="Times New Roman" w:cs="Times New Roman"/>
        </w:rPr>
        <w:tab/>
        <w:t xml:space="preserve">Bari A, Eagle DM, Mar AC, Robinson ESJ, Robbins TW. Dissociable effects of noradrenaline, dopamine, and serotonin uptake blockade on stop task performance in rats. </w:t>
      </w:r>
      <w:r w:rsidRPr="000E79AA">
        <w:rPr>
          <w:rFonts w:ascii="Times New Roman" w:hAnsi="Times New Roman" w:cs="Times New Roman"/>
          <w:i/>
          <w:iCs/>
        </w:rPr>
        <w:t>Psychopharmacology (Berl)</w:t>
      </w:r>
      <w:r w:rsidRPr="000E79AA">
        <w:rPr>
          <w:rFonts w:ascii="Times New Roman" w:hAnsi="Times New Roman" w:cs="Times New Roman"/>
        </w:rPr>
        <w:t>. 2009;205(2):273-283. doi:10.1007/s00213-009-1537-0</w:t>
      </w:r>
    </w:p>
    <w:p w14:paraId="10B4FC0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116. </w:t>
      </w:r>
      <w:r w:rsidRPr="000E79AA">
        <w:rPr>
          <w:rFonts w:ascii="Times New Roman" w:hAnsi="Times New Roman" w:cs="Times New Roman"/>
        </w:rPr>
        <w:tab/>
        <w:t xml:space="preserve">Obeso I, Wilkinson L, Jahanshahi M. Levodopa medication does not influence motor inhibition or conflict resolution in a conditional stop-signal task in Parkinson’s disease. </w:t>
      </w:r>
      <w:r w:rsidRPr="000E79AA">
        <w:rPr>
          <w:rFonts w:ascii="Times New Roman" w:hAnsi="Times New Roman" w:cs="Times New Roman"/>
          <w:i/>
          <w:iCs/>
        </w:rPr>
        <w:t>Exp Brain Res</w:t>
      </w:r>
      <w:r w:rsidRPr="000E79AA">
        <w:rPr>
          <w:rFonts w:ascii="Times New Roman" w:hAnsi="Times New Roman" w:cs="Times New Roman"/>
        </w:rPr>
        <w:t>. 2011;213(4):435-445. doi:10.1007/s00221-011-2793-x</w:t>
      </w:r>
    </w:p>
    <w:p w14:paraId="0A35969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117. </w:t>
      </w:r>
      <w:r w:rsidRPr="000E79AA">
        <w:rPr>
          <w:rFonts w:ascii="Times New Roman" w:hAnsi="Times New Roman" w:cs="Times New Roman"/>
        </w:rPr>
        <w:tab/>
        <w:t>Rawji V, Rocchi L, Foltynie T, Rothwell JC, Jahanshahi M. Ropinirole, a dopamine agonist with high D3 affinity, reduces proactive inhibition: A double-blind, placebo-</w:t>
      </w:r>
      <w:r w:rsidRPr="000E79AA">
        <w:rPr>
          <w:rFonts w:ascii="Times New Roman" w:hAnsi="Times New Roman" w:cs="Times New Roman"/>
        </w:rPr>
        <w:lastRenderedPageBreak/>
        <w:t xml:space="preserve">controlled study in healthy adults. </w:t>
      </w:r>
      <w:r w:rsidRPr="000E79AA">
        <w:rPr>
          <w:rFonts w:ascii="Times New Roman" w:hAnsi="Times New Roman" w:cs="Times New Roman"/>
          <w:i/>
          <w:iCs/>
        </w:rPr>
        <w:t>Neuropharmacology</w:t>
      </w:r>
      <w:r w:rsidRPr="000E79AA">
        <w:rPr>
          <w:rFonts w:ascii="Times New Roman" w:hAnsi="Times New Roman" w:cs="Times New Roman"/>
        </w:rPr>
        <w:t>. 2020;179:108278. doi:10.1016/j.neuropharm.2020.108278</w:t>
      </w:r>
    </w:p>
    <w:p w14:paraId="44DE4CC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118. </w:t>
      </w:r>
      <w:r w:rsidRPr="000E79AA">
        <w:rPr>
          <w:rFonts w:ascii="Times New Roman" w:hAnsi="Times New Roman" w:cs="Times New Roman"/>
        </w:rPr>
        <w:tab/>
        <w:t xml:space="preserve">Scheres A, Oosterlaan J, Swanson J, et al. The effect of methylphenidate on three forms of response inhibition in boys with AD/HD. </w:t>
      </w:r>
      <w:r w:rsidRPr="000E79AA">
        <w:rPr>
          <w:rFonts w:ascii="Times New Roman" w:hAnsi="Times New Roman" w:cs="Times New Roman"/>
          <w:i/>
          <w:iCs/>
        </w:rPr>
        <w:t>J Abnorm Child Psychol</w:t>
      </w:r>
      <w:r w:rsidRPr="000E79AA">
        <w:rPr>
          <w:rFonts w:ascii="Times New Roman" w:hAnsi="Times New Roman" w:cs="Times New Roman"/>
        </w:rPr>
        <w:t>. 2003;31(1):105-120.</w:t>
      </w:r>
    </w:p>
    <w:p w14:paraId="1F357F0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119. </w:t>
      </w:r>
      <w:r w:rsidRPr="000E79AA">
        <w:rPr>
          <w:rFonts w:ascii="Times New Roman" w:hAnsi="Times New Roman" w:cs="Times New Roman"/>
        </w:rPr>
        <w:tab/>
        <w:t xml:space="preserve">Nandam LS, Hester R, Wagner J, et al. Methylphenidate but not atomoxetine or citalopram modulates inhibitory control and response time variability. </w:t>
      </w:r>
      <w:r w:rsidRPr="000E79AA">
        <w:rPr>
          <w:rFonts w:ascii="Times New Roman" w:hAnsi="Times New Roman" w:cs="Times New Roman"/>
          <w:i/>
          <w:iCs/>
        </w:rPr>
        <w:t>Biol Psychiatry</w:t>
      </w:r>
      <w:r w:rsidRPr="000E79AA">
        <w:rPr>
          <w:rFonts w:ascii="Times New Roman" w:hAnsi="Times New Roman" w:cs="Times New Roman"/>
        </w:rPr>
        <w:t>. 2011;69(9):902-904.</w:t>
      </w:r>
    </w:p>
    <w:p w14:paraId="6256597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120. </w:t>
      </w:r>
      <w:r w:rsidRPr="000E79AA">
        <w:rPr>
          <w:rFonts w:ascii="Times New Roman" w:hAnsi="Times New Roman" w:cs="Times New Roman"/>
        </w:rPr>
        <w:tab/>
        <w:t xml:space="preserve">Cubillo A, Smith AB, Barrett N, et al. Shared and drug-specific effects of atomoxetine and methylphenidate on inhibitory brain dysfunction in medication-naive ADHD boys. </w:t>
      </w:r>
      <w:r w:rsidRPr="000E79AA">
        <w:rPr>
          <w:rFonts w:ascii="Times New Roman" w:hAnsi="Times New Roman" w:cs="Times New Roman"/>
          <w:i/>
          <w:iCs/>
        </w:rPr>
        <w:t>Cereb Cortex</w:t>
      </w:r>
      <w:r w:rsidRPr="000E79AA">
        <w:rPr>
          <w:rFonts w:ascii="Times New Roman" w:hAnsi="Times New Roman" w:cs="Times New Roman"/>
        </w:rPr>
        <w:t>. 2014;24(1):174-185.</w:t>
      </w:r>
    </w:p>
    <w:p w14:paraId="25B275EF"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121. </w:t>
      </w:r>
      <w:r w:rsidRPr="000E79AA">
        <w:rPr>
          <w:rFonts w:ascii="Times New Roman" w:hAnsi="Times New Roman" w:cs="Times New Roman"/>
        </w:rPr>
        <w:tab/>
        <w:t xml:space="preserve">Logemann HNA, Böcker KBE, Deschamps PKH, et al. Haloperidol 2 mg impairs inhibition but not visuospatial attention. </w:t>
      </w:r>
      <w:r w:rsidRPr="000E79AA">
        <w:rPr>
          <w:rFonts w:ascii="Times New Roman" w:hAnsi="Times New Roman" w:cs="Times New Roman"/>
          <w:i/>
          <w:iCs/>
        </w:rPr>
        <w:t>Psychopharmacology (Berl)</w:t>
      </w:r>
      <w:r w:rsidRPr="000E79AA">
        <w:rPr>
          <w:rFonts w:ascii="Times New Roman" w:hAnsi="Times New Roman" w:cs="Times New Roman"/>
        </w:rPr>
        <w:t>. 2017;234(2):235-244. doi:10.1007/s00213-016-4454-z</w:t>
      </w:r>
    </w:p>
    <w:p w14:paraId="4A630D8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122. </w:t>
      </w:r>
      <w:r w:rsidRPr="000E79AA">
        <w:rPr>
          <w:rFonts w:ascii="Times New Roman" w:hAnsi="Times New Roman" w:cs="Times New Roman"/>
        </w:rPr>
        <w:tab/>
        <w:t xml:space="preserve">Eagle DM, Wong JCK, Allan ME, Mar AC, Theobald DE, Robbins TW. Contrasting Roles for Dopamine D1 and D2 Receptor Subtypes in the Dorsomedial Striatum but Not the Nucleus Accumbens Core during Behavioral Inhibition in the Stop-Signal Task in Rats. </w:t>
      </w:r>
      <w:r w:rsidRPr="000E79AA">
        <w:rPr>
          <w:rFonts w:ascii="Times New Roman" w:hAnsi="Times New Roman" w:cs="Times New Roman"/>
          <w:i/>
          <w:iCs/>
        </w:rPr>
        <w:t>J Neurosci</w:t>
      </w:r>
      <w:r w:rsidRPr="000E79AA">
        <w:rPr>
          <w:rFonts w:ascii="Times New Roman" w:hAnsi="Times New Roman" w:cs="Times New Roman"/>
        </w:rPr>
        <w:t>. 2011;31(20):7349-7356. doi:10.1523/JNEUROSCI.6182-10.2011</w:t>
      </w:r>
    </w:p>
    <w:p w14:paraId="550B5E6B"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123. </w:t>
      </w:r>
      <w:r w:rsidRPr="000E79AA">
        <w:rPr>
          <w:rFonts w:ascii="Times New Roman" w:hAnsi="Times New Roman" w:cs="Times New Roman"/>
        </w:rPr>
        <w:tab/>
        <w:t xml:space="preserve">Nandam LS, Hester R, Wagner J, et al. Dopamine D2 Receptor Modulation of Human Response Inhibition and Error Awareness. </w:t>
      </w:r>
      <w:r w:rsidRPr="000E79AA">
        <w:rPr>
          <w:rFonts w:ascii="Times New Roman" w:hAnsi="Times New Roman" w:cs="Times New Roman"/>
          <w:i/>
          <w:iCs/>
        </w:rPr>
        <w:t>J Cogn Neurosci</w:t>
      </w:r>
      <w:r w:rsidRPr="000E79AA">
        <w:rPr>
          <w:rFonts w:ascii="Times New Roman" w:hAnsi="Times New Roman" w:cs="Times New Roman"/>
        </w:rPr>
        <w:t>. 2013;25(4):649-656. doi:10.1162/jocn_a_00327</w:t>
      </w:r>
    </w:p>
    <w:p w14:paraId="30320F4E"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124. </w:t>
      </w:r>
      <w:r w:rsidRPr="000E79AA">
        <w:rPr>
          <w:rFonts w:ascii="Times New Roman" w:hAnsi="Times New Roman" w:cs="Times New Roman"/>
        </w:rPr>
        <w:tab/>
        <w:t xml:space="preserve">Ghahremani DG, Lee B, Robertson CL, et al. Striatal Dopamine D2/D3 Receptors Mediate Response Inhibition and Related Activity in Frontostriatal Neural Circuitry in Humans. </w:t>
      </w:r>
      <w:r w:rsidRPr="000E79AA">
        <w:rPr>
          <w:rFonts w:ascii="Times New Roman" w:hAnsi="Times New Roman" w:cs="Times New Roman"/>
          <w:i/>
          <w:iCs/>
        </w:rPr>
        <w:t>J Neurosci</w:t>
      </w:r>
      <w:r w:rsidRPr="000E79AA">
        <w:rPr>
          <w:rFonts w:ascii="Times New Roman" w:hAnsi="Times New Roman" w:cs="Times New Roman"/>
        </w:rPr>
        <w:t>. 2012;32(21):7316-7324. doi:10.1523/JNEUROSCI.4284-11.2012</w:t>
      </w:r>
    </w:p>
    <w:p w14:paraId="0B81F469"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125. </w:t>
      </w:r>
      <w:r w:rsidRPr="000E79AA">
        <w:rPr>
          <w:rFonts w:ascii="Times New Roman" w:hAnsi="Times New Roman" w:cs="Times New Roman"/>
        </w:rPr>
        <w:tab/>
        <w:t xml:space="preserve">Devoto P, Flore G, Pani L, Gessa GL. Evidence for co-release of noradrenaline and dopamine from noradrenergic neurons in the cerebral cortex. </w:t>
      </w:r>
      <w:r w:rsidRPr="000E79AA">
        <w:rPr>
          <w:rFonts w:ascii="Times New Roman" w:hAnsi="Times New Roman" w:cs="Times New Roman"/>
          <w:i/>
          <w:iCs/>
        </w:rPr>
        <w:t>Mol Psychiatry</w:t>
      </w:r>
      <w:r w:rsidRPr="000E79AA">
        <w:rPr>
          <w:rFonts w:ascii="Times New Roman" w:hAnsi="Times New Roman" w:cs="Times New Roman"/>
        </w:rPr>
        <w:t>. 2001;6(6):657-664. doi:10.1038/sj.mp.4000904</w:t>
      </w:r>
    </w:p>
    <w:p w14:paraId="138A2827"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126. </w:t>
      </w:r>
      <w:r w:rsidRPr="000E79AA">
        <w:rPr>
          <w:rFonts w:ascii="Times New Roman" w:hAnsi="Times New Roman" w:cs="Times New Roman"/>
        </w:rPr>
        <w:tab/>
        <w:t xml:space="preserve">Devoto P, Flore G, Saba P, Fà M, Gessa GL. Stimulation of the locus coeruleus elicits noradrenaline and dopamine release in the medial prefrontal and parietal cortex. </w:t>
      </w:r>
      <w:r w:rsidRPr="000E79AA">
        <w:rPr>
          <w:rFonts w:ascii="Times New Roman" w:hAnsi="Times New Roman" w:cs="Times New Roman"/>
          <w:i/>
          <w:iCs/>
        </w:rPr>
        <w:t>J Neurochem</w:t>
      </w:r>
      <w:r w:rsidRPr="000E79AA">
        <w:rPr>
          <w:rFonts w:ascii="Times New Roman" w:hAnsi="Times New Roman" w:cs="Times New Roman"/>
        </w:rPr>
        <w:t>. 2005;92(2):368-374. doi:https://doi.org/10.1111/j.1471-4159.2004.02866.x</w:t>
      </w:r>
    </w:p>
    <w:p w14:paraId="36332900"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127. </w:t>
      </w:r>
      <w:r w:rsidRPr="000E79AA">
        <w:rPr>
          <w:rFonts w:ascii="Times New Roman" w:hAnsi="Times New Roman" w:cs="Times New Roman"/>
        </w:rPr>
        <w:tab/>
        <w:t xml:space="preserve">Duszkiewicz AJ, McNamara CG, Takeuchi T, Genzel L. Novelty and Dopaminergic Modulation of Memory Persistence: A Tale of Two Systems. </w:t>
      </w:r>
      <w:r w:rsidRPr="000E79AA">
        <w:rPr>
          <w:rFonts w:ascii="Times New Roman" w:hAnsi="Times New Roman" w:cs="Times New Roman"/>
          <w:i/>
          <w:iCs/>
        </w:rPr>
        <w:t>Trends Neurosci</w:t>
      </w:r>
      <w:r w:rsidRPr="000E79AA">
        <w:rPr>
          <w:rFonts w:ascii="Times New Roman" w:hAnsi="Times New Roman" w:cs="Times New Roman"/>
        </w:rPr>
        <w:t>. 2019;42(2):102-114. doi:10.1016/j.tins.2018.10.002</w:t>
      </w:r>
    </w:p>
    <w:p w14:paraId="63B8ADC1"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128. </w:t>
      </w:r>
      <w:r w:rsidRPr="000E79AA">
        <w:rPr>
          <w:rFonts w:ascii="Times New Roman" w:hAnsi="Times New Roman" w:cs="Times New Roman"/>
        </w:rPr>
        <w:tab/>
        <w:t xml:space="preserve">Varazzani C, San-Galli A, Gilardeau S, Bouret S. Noradrenaline and Dopamine Neurons in the Reward/Effort Trade-Off: A Direct Electrophysiological Comparison in Behaving Monkeys. </w:t>
      </w:r>
      <w:r w:rsidRPr="000E79AA">
        <w:rPr>
          <w:rFonts w:ascii="Times New Roman" w:hAnsi="Times New Roman" w:cs="Times New Roman"/>
          <w:i/>
          <w:iCs/>
        </w:rPr>
        <w:t>J Neurosci</w:t>
      </w:r>
      <w:r w:rsidRPr="000E79AA">
        <w:rPr>
          <w:rFonts w:ascii="Times New Roman" w:hAnsi="Times New Roman" w:cs="Times New Roman"/>
        </w:rPr>
        <w:t>. 2015;35(20):7866-7877. doi:10.1523/JNEUROSCI.0454-15.2015</w:t>
      </w:r>
    </w:p>
    <w:p w14:paraId="3EEEAD4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lastRenderedPageBreak/>
        <w:t xml:space="preserve">129. </w:t>
      </w:r>
      <w:r w:rsidRPr="000E79AA">
        <w:rPr>
          <w:rFonts w:ascii="Times New Roman" w:hAnsi="Times New Roman" w:cs="Times New Roman"/>
        </w:rPr>
        <w:tab/>
        <w:t xml:space="preserve">Scatton B, Javoy-Agid F, Rouquier L, Dubois B, Agid Y. Reduction of cortical dopamine, noradrenaline, serotonin and their metabolites in Parkinson’s disease. </w:t>
      </w:r>
      <w:r w:rsidRPr="000E79AA">
        <w:rPr>
          <w:rFonts w:ascii="Times New Roman" w:hAnsi="Times New Roman" w:cs="Times New Roman"/>
          <w:i/>
          <w:iCs/>
        </w:rPr>
        <w:t>Brain Res</w:t>
      </w:r>
      <w:r w:rsidRPr="000E79AA">
        <w:rPr>
          <w:rFonts w:ascii="Times New Roman" w:hAnsi="Times New Roman" w:cs="Times New Roman"/>
        </w:rPr>
        <w:t>. 1983;275(2):321-328. doi:10.1016/0006-8993(83)90993-9</w:t>
      </w:r>
    </w:p>
    <w:p w14:paraId="6579CF9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130. </w:t>
      </w:r>
      <w:r w:rsidRPr="000E79AA">
        <w:rPr>
          <w:rFonts w:ascii="Times New Roman" w:hAnsi="Times New Roman" w:cs="Times New Roman"/>
        </w:rPr>
        <w:tab/>
        <w:t xml:space="preserve">Pifl C, Kish SJ, Hornykiewicz O. Thalamic noradrenaline in Parkinson’s disease: Deficits suggest role in motor and non-motor symptoms. </w:t>
      </w:r>
      <w:r w:rsidRPr="000E79AA">
        <w:rPr>
          <w:rFonts w:ascii="Times New Roman" w:hAnsi="Times New Roman" w:cs="Times New Roman"/>
          <w:i/>
          <w:iCs/>
        </w:rPr>
        <w:t>Mov Disord</w:t>
      </w:r>
      <w:r w:rsidRPr="000E79AA">
        <w:rPr>
          <w:rFonts w:ascii="Times New Roman" w:hAnsi="Times New Roman" w:cs="Times New Roman"/>
        </w:rPr>
        <w:t>. 2012;27(13):1618-1624. doi:10.1002/mds.25109</w:t>
      </w:r>
    </w:p>
    <w:p w14:paraId="0D1E7F92"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131. </w:t>
      </w:r>
      <w:r w:rsidRPr="000E79AA">
        <w:rPr>
          <w:rFonts w:ascii="Times New Roman" w:hAnsi="Times New Roman" w:cs="Times New Roman"/>
        </w:rPr>
        <w:tab/>
        <w:t xml:space="preserve">Tsvetanov KA, Ye Z, Hughes L, et al. Activity and Connectivity Differences Underlying Inhibitory Control Across the Adult Life Span. </w:t>
      </w:r>
      <w:r w:rsidRPr="000E79AA">
        <w:rPr>
          <w:rFonts w:ascii="Times New Roman" w:hAnsi="Times New Roman" w:cs="Times New Roman"/>
          <w:i/>
          <w:iCs/>
        </w:rPr>
        <w:t>J Neurosci</w:t>
      </w:r>
      <w:r w:rsidRPr="000E79AA">
        <w:rPr>
          <w:rFonts w:ascii="Times New Roman" w:hAnsi="Times New Roman" w:cs="Times New Roman"/>
        </w:rPr>
        <w:t>. 2018;38(36):7887-7900. doi:10.1523/JNEUROSCI.2919-17.2018</w:t>
      </w:r>
    </w:p>
    <w:p w14:paraId="6610CD18"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132. </w:t>
      </w:r>
      <w:r w:rsidRPr="000E79AA">
        <w:rPr>
          <w:rFonts w:ascii="Times New Roman" w:hAnsi="Times New Roman" w:cs="Times New Roman"/>
        </w:rPr>
        <w:tab/>
        <w:t xml:space="preserve">Koda K, Ago Y, Cong Y, Kita Y, Takuma K, Matsuda T. Effects of acute and chronic administration of atomoxetine and methylphenidate on extracellular levels of noradrenaline, dopamine and serotonin in the prefrontal cortex and striatum of mice. </w:t>
      </w:r>
      <w:r w:rsidRPr="000E79AA">
        <w:rPr>
          <w:rFonts w:ascii="Times New Roman" w:hAnsi="Times New Roman" w:cs="Times New Roman"/>
          <w:i/>
          <w:iCs/>
        </w:rPr>
        <w:t>J Neurochem</w:t>
      </w:r>
      <w:r w:rsidRPr="000E79AA">
        <w:rPr>
          <w:rFonts w:ascii="Times New Roman" w:hAnsi="Times New Roman" w:cs="Times New Roman"/>
        </w:rPr>
        <w:t>. 2010;114(1):259-270. doi:https://doi.org/10.1111/j.1471-4159.2010.06750.x</w:t>
      </w:r>
    </w:p>
    <w:p w14:paraId="2D98EF61"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133. </w:t>
      </w:r>
      <w:r w:rsidRPr="000E79AA">
        <w:rPr>
          <w:rFonts w:ascii="Times New Roman" w:hAnsi="Times New Roman" w:cs="Times New Roman"/>
        </w:rPr>
        <w:tab/>
        <w:t xml:space="preserve">Ramoz N, Boni C, Downing AM, et al. A Haplotype of the Norepinephrine Transporter (Net) Gene Slc6a2 is Associated with Clinical Response to Atomoxetine in Attention-Deficit Hyperactivity Disorder (ADHD). </w:t>
      </w:r>
      <w:r w:rsidRPr="000E79AA">
        <w:rPr>
          <w:rFonts w:ascii="Times New Roman" w:hAnsi="Times New Roman" w:cs="Times New Roman"/>
          <w:i/>
          <w:iCs/>
        </w:rPr>
        <w:t>Neuropsychopharmacology</w:t>
      </w:r>
      <w:r w:rsidRPr="000E79AA">
        <w:rPr>
          <w:rFonts w:ascii="Times New Roman" w:hAnsi="Times New Roman" w:cs="Times New Roman"/>
        </w:rPr>
        <w:t>. 2009;34(9):2135-2142. doi:10.1038/npp.2009.39</w:t>
      </w:r>
    </w:p>
    <w:p w14:paraId="5F243806"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134. </w:t>
      </w:r>
      <w:r w:rsidRPr="000E79AA">
        <w:rPr>
          <w:rFonts w:ascii="Times New Roman" w:hAnsi="Times New Roman" w:cs="Times New Roman"/>
        </w:rPr>
        <w:tab/>
        <w:t xml:space="preserve">Whelan R, Conrod PJ, Poline J-B, et al. Adolescent impulsivity phenotypes characterized by distinct brain networks. </w:t>
      </w:r>
      <w:r w:rsidRPr="000E79AA">
        <w:rPr>
          <w:rFonts w:ascii="Times New Roman" w:hAnsi="Times New Roman" w:cs="Times New Roman"/>
          <w:i/>
          <w:iCs/>
        </w:rPr>
        <w:t>Nat Neurosci</w:t>
      </w:r>
      <w:r w:rsidRPr="000E79AA">
        <w:rPr>
          <w:rFonts w:ascii="Times New Roman" w:hAnsi="Times New Roman" w:cs="Times New Roman"/>
        </w:rPr>
        <w:t>. 2012;15(6):920-925. doi:10.1038/nn.3092</w:t>
      </w:r>
    </w:p>
    <w:p w14:paraId="0B862B94"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135. </w:t>
      </w:r>
      <w:r w:rsidRPr="000E79AA">
        <w:rPr>
          <w:rFonts w:ascii="Times New Roman" w:hAnsi="Times New Roman" w:cs="Times New Roman"/>
        </w:rPr>
        <w:tab/>
        <w:t xml:space="preserve">Le AN, Ziauddeen H, Fernandez-Egea E, et al. SLC6A2 genotype variation and the modulatory effects of atomoxetine on inhibitory control in individuals with and without cocaine use disorder. </w:t>
      </w:r>
      <w:r w:rsidRPr="000E79AA">
        <w:rPr>
          <w:rFonts w:ascii="Times New Roman" w:hAnsi="Times New Roman" w:cs="Times New Roman"/>
          <w:i/>
          <w:iCs/>
        </w:rPr>
        <w:t>Abstr 30th ECNP Congr</w:t>
      </w:r>
      <w:r w:rsidRPr="000E79AA">
        <w:rPr>
          <w:rFonts w:ascii="Times New Roman" w:hAnsi="Times New Roman" w:cs="Times New Roman"/>
        </w:rPr>
        <w:t>. 2017;27:S1070-S1071. doi:10.1016/S0924-977X(17)31865-5</w:t>
      </w:r>
    </w:p>
    <w:p w14:paraId="354287BC"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136. </w:t>
      </w:r>
      <w:r w:rsidRPr="000E79AA">
        <w:rPr>
          <w:rFonts w:ascii="Times New Roman" w:hAnsi="Times New Roman" w:cs="Times New Roman"/>
        </w:rPr>
        <w:tab/>
        <w:t xml:space="preserve">Sara SJ. The locus coeruleus and noradrenergic modulation of cognition. </w:t>
      </w:r>
      <w:r w:rsidRPr="000E79AA">
        <w:rPr>
          <w:rFonts w:ascii="Times New Roman" w:hAnsi="Times New Roman" w:cs="Times New Roman"/>
          <w:i/>
          <w:iCs/>
        </w:rPr>
        <w:t>Nat Rev Neurosci</w:t>
      </w:r>
      <w:r w:rsidRPr="000E79AA">
        <w:rPr>
          <w:rFonts w:ascii="Times New Roman" w:hAnsi="Times New Roman" w:cs="Times New Roman"/>
        </w:rPr>
        <w:t>. 2009;10(3):211-223. doi:10.1038/nrn2573</w:t>
      </w:r>
    </w:p>
    <w:p w14:paraId="545E0F43" w14:textId="77777777" w:rsidR="00FE0233" w:rsidRPr="000E79AA" w:rsidRDefault="00FE0233" w:rsidP="00FE0233">
      <w:pPr>
        <w:pStyle w:val="Bibliography"/>
        <w:rPr>
          <w:rFonts w:ascii="Times New Roman" w:hAnsi="Times New Roman" w:cs="Times New Roman"/>
        </w:rPr>
      </w:pPr>
      <w:r w:rsidRPr="000E79AA">
        <w:rPr>
          <w:rFonts w:ascii="Times New Roman" w:hAnsi="Times New Roman" w:cs="Times New Roman"/>
        </w:rPr>
        <w:t xml:space="preserve">137. </w:t>
      </w:r>
      <w:r w:rsidRPr="000E79AA">
        <w:rPr>
          <w:rFonts w:ascii="Times New Roman" w:hAnsi="Times New Roman" w:cs="Times New Roman"/>
        </w:rPr>
        <w:tab/>
        <w:t xml:space="preserve">Oertel WH, Henrich MT, Janzen A, Geibl FF. The locus coeruleus: Another vulnerability target in Parkinson’s disease. </w:t>
      </w:r>
      <w:r w:rsidRPr="000E79AA">
        <w:rPr>
          <w:rFonts w:ascii="Times New Roman" w:hAnsi="Times New Roman" w:cs="Times New Roman"/>
          <w:i/>
          <w:iCs/>
        </w:rPr>
        <w:t>Mov Disord</w:t>
      </w:r>
      <w:r w:rsidRPr="000E79AA">
        <w:rPr>
          <w:rFonts w:ascii="Times New Roman" w:hAnsi="Times New Roman" w:cs="Times New Roman"/>
        </w:rPr>
        <w:t>. 2019;34(10):1423-1429. doi:10.1002/mds.27785</w:t>
      </w:r>
    </w:p>
    <w:p w14:paraId="76AAACA9" w14:textId="28C5319F" w:rsidR="00A74D7F" w:rsidRPr="00A761A3" w:rsidRDefault="00D728F1" w:rsidP="0074658B">
      <w:pPr>
        <w:rPr>
          <w:rFonts w:ascii="Times New Roman" w:hAnsi="Times New Roman" w:cs="Times New Roman"/>
          <w:b/>
          <w:bCs/>
          <w:lang w:val="en-AU"/>
        </w:rPr>
      </w:pPr>
      <w:r w:rsidRPr="000E79AA">
        <w:rPr>
          <w:rFonts w:ascii="Times New Roman" w:hAnsi="Times New Roman" w:cs="Times New Roman"/>
          <w:b/>
          <w:bCs/>
          <w:lang w:val="en-AU"/>
        </w:rPr>
        <w:fldChar w:fldCharType="end"/>
      </w:r>
      <w:bookmarkStart w:id="0" w:name="_GoBack"/>
      <w:bookmarkEnd w:id="0"/>
    </w:p>
    <w:p w14:paraId="22985D88" w14:textId="3F4F8107" w:rsidR="00813981" w:rsidRPr="00A761A3" w:rsidRDefault="00813981" w:rsidP="00423FF4">
      <w:pPr>
        <w:spacing w:line="360" w:lineRule="auto"/>
        <w:jc w:val="both"/>
        <w:rPr>
          <w:rFonts w:ascii="Times New Roman" w:hAnsi="Times New Roman" w:cs="Times New Roman"/>
          <w:noProof/>
          <w:lang w:val="en-AU"/>
        </w:rPr>
      </w:pPr>
    </w:p>
    <w:sectPr w:rsidR="00813981" w:rsidRPr="00A761A3" w:rsidSect="000D5634">
      <w:type w:val="continuous"/>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1CD576" w14:textId="77777777" w:rsidR="00210CAC" w:rsidRDefault="00210CAC" w:rsidP="0039229C">
      <w:r>
        <w:separator/>
      </w:r>
    </w:p>
  </w:endnote>
  <w:endnote w:type="continuationSeparator" w:id="0">
    <w:p w14:paraId="3E4D5428" w14:textId="77777777" w:rsidR="00210CAC" w:rsidRDefault="00210CAC" w:rsidP="00392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32949582"/>
      <w:docPartObj>
        <w:docPartGallery w:val="Page Numbers (Bottom of Page)"/>
        <w:docPartUnique/>
      </w:docPartObj>
    </w:sdtPr>
    <w:sdtEndPr>
      <w:rPr>
        <w:rStyle w:val="PageNumber"/>
      </w:rPr>
    </w:sdtEndPr>
    <w:sdtContent>
      <w:p w14:paraId="155F130B" w14:textId="77777777" w:rsidR="00DC71F9" w:rsidRDefault="00DC71F9" w:rsidP="00F66AD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6A4976" w14:textId="77777777" w:rsidR="00DC71F9" w:rsidRDefault="00DC71F9" w:rsidP="00E23B5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468107"/>
      <w:docPartObj>
        <w:docPartGallery w:val="Page Numbers (Bottom of Page)"/>
        <w:docPartUnique/>
      </w:docPartObj>
    </w:sdtPr>
    <w:sdtEndPr>
      <w:rPr>
        <w:rStyle w:val="PageNumber"/>
        <w:rFonts w:ascii="Times New Roman" w:hAnsi="Times New Roman" w:cs="Times New Roman"/>
      </w:rPr>
    </w:sdtEndPr>
    <w:sdtContent>
      <w:p w14:paraId="562323E8" w14:textId="77777777" w:rsidR="00DC71F9" w:rsidRPr="008B7C1A" w:rsidRDefault="00DC71F9" w:rsidP="00F66ADA">
        <w:pPr>
          <w:pStyle w:val="Footer"/>
          <w:framePr w:wrap="none" w:vAnchor="text" w:hAnchor="margin" w:xAlign="right" w:y="1"/>
          <w:rPr>
            <w:rStyle w:val="PageNumber"/>
            <w:rFonts w:ascii="Times New Roman" w:hAnsi="Times New Roman" w:cs="Times New Roman"/>
          </w:rPr>
        </w:pPr>
        <w:r w:rsidRPr="008B7C1A">
          <w:rPr>
            <w:rStyle w:val="PageNumber"/>
            <w:rFonts w:ascii="Times New Roman" w:hAnsi="Times New Roman" w:cs="Times New Roman"/>
          </w:rPr>
          <w:fldChar w:fldCharType="begin"/>
        </w:r>
        <w:r w:rsidRPr="008B7C1A">
          <w:rPr>
            <w:rStyle w:val="PageNumber"/>
            <w:rFonts w:ascii="Times New Roman" w:hAnsi="Times New Roman" w:cs="Times New Roman"/>
          </w:rPr>
          <w:instrText xml:space="preserve"> PAGE </w:instrText>
        </w:r>
        <w:r w:rsidRPr="008B7C1A">
          <w:rPr>
            <w:rStyle w:val="PageNumber"/>
            <w:rFonts w:ascii="Times New Roman" w:hAnsi="Times New Roman" w:cs="Times New Roman"/>
          </w:rPr>
          <w:fldChar w:fldCharType="separate"/>
        </w:r>
        <w:r>
          <w:rPr>
            <w:rStyle w:val="PageNumber"/>
            <w:rFonts w:ascii="Times New Roman" w:hAnsi="Times New Roman" w:cs="Times New Roman"/>
            <w:noProof/>
          </w:rPr>
          <w:t>23</w:t>
        </w:r>
        <w:r w:rsidRPr="008B7C1A">
          <w:rPr>
            <w:rStyle w:val="PageNumber"/>
            <w:rFonts w:ascii="Times New Roman" w:hAnsi="Times New Roman" w:cs="Times New Roman"/>
          </w:rPr>
          <w:fldChar w:fldCharType="end"/>
        </w:r>
      </w:p>
    </w:sdtContent>
  </w:sdt>
  <w:p w14:paraId="1D255E0A" w14:textId="77777777" w:rsidR="00DC71F9" w:rsidRPr="008B7C1A" w:rsidRDefault="00DC71F9" w:rsidP="00E23B5C">
    <w:pPr>
      <w:pStyle w:val="Footer"/>
      <w:ind w:right="360"/>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3268AF" w14:textId="77777777" w:rsidR="00210CAC" w:rsidRDefault="00210CAC" w:rsidP="0039229C">
      <w:r>
        <w:separator/>
      </w:r>
    </w:p>
  </w:footnote>
  <w:footnote w:type="continuationSeparator" w:id="0">
    <w:p w14:paraId="1EA4ACE2" w14:textId="77777777" w:rsidR="00210CAC" w:rsidRDefault="00210CAC" w:rsidP="003922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74F65"/>
    <w:multiLevelType w:val="hybridMultilevel"/>
    <w:tmpl w:val="3FBEC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735C63"/>
    <w:multiLevelType w:val="hybridMultilevel"/>
    <w:tmpl w:val="387653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C7E3F82"/>
    <w:multiLevelType w:val="hybridMultilevel"/>
    <w:tmpl w:val="D7F8C8F2"/>
    <w:lvl w:ilvl="0" w:tplc="84808B20">
      <w:start w:val="1"/>
      <w:numFmt w:val="decimal"/>
      <w:lvlText w:val="%1"/>
      <w:lvlJc w:val="right"/>
      <w:pPr>
        <w:ind w:left="340" w:hanging="227"/>
      </w:pPr>
      <w:rPr>
        <w:rFonts w:hint="default"/>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42E6"/>
    <w:rsid w:val="00001AD7"/>
    <w:rsid w:val="000021B9"/>
    <w:rsid w:val="0000325E"/>
    <w:rsid w:val="00003A34"/>
    <w:rsid w:val="00004368"/>
    <w:rsid w:val="00005726"/>
    <w:rsid w:val="00006030"/>
    <w:rsid w:val="000065BB"/>
    <w:rsid w:val="00006DBE"/>
    <w:rsid w:val="000070D0"/>
    <w:rsid w:val="000070F2"/>
    <w:rsid w:val="0001154F"/>
    <w:rsid w:val="0001348A"/>
    <w:rsid w:val="00014281"/>
    <w:rsid w:val="00016F08"/>
    <w:rsid w:val="000177BB"/>
    <w:rsid w:val="00020272"/>
    <w:rsid w:val="0002092A"/>
    <w:rsid w:val="00020B6E"/>
    <w:rsid w:val="000217A4"/>
    <w:rsid w:val="000217E0"/>
    <w:rsid w:val="00021D94"/>
    <w:rsid w:val="000228F9"/>
    <w:rsid w:val="00023133"/>
    <w:rsid w:val="0002515D"/>
    <w:rsid w:val="000271F6"/>
    <w:rsid w:val="000273BC"/>
    <w:rsid w:val="0003045C"/>
    <w:rsid w:val="00030B78"/>
    <w:rsid w:val="000341AE"/>
    <w:rsid w:val="00034310"/>
    <w:rsid w:val="00034D7F"/>
    <w:rsid w:val="0003515E"/>
    <w:rsid w:val="00036A21"/>
    <w:rsid w:val="000406AC"/>
    <w:rsid w:val="00040BED"/>
    <w:rsid w:val="00041EB6"/>
    <w:rsid w:val="00043207"/>
    <w:rsid w:val="00043DCD"/>
    <w:rsid w:val="000454D3"/>
    <w:rsid w:val="00045852"/>
    <w:rsid w:val="00045956"/>
    <w:rsid w:val="000460A4"/>
    <w:rsid w:val="00046EC7"/>
    <w:rsid w:val="00050603"/>
    <w:rsid w:val="000512BE"/>
    <w:rsid w:val="00051B6C"/>
    <w:rsid w:val="000526F1"/>
    <w:rsid w:val="00053C98"/>
    <w:rsid w:val="00054611"/>
    <w:rsid w:val="00056CA0"/>
    <w:rsid w:val="000575C0"/>
    <w:rsid w:val="000607F9"/>
    <w:rsid w:val="00060D48"/>
    <w:rsid w:val="00062D78"/>
    <w:rsid w:val="0006490C"/>
    <w:rsid w:val="000649E2"/>
    <w:rsid w:val="00064B30"/>
    <w:rsid w:val="00065BDD"/>
    <w:rsid w:val="00066C7E"/>
    <w:rsid w:val="00066CEC"/>
    <w:rsid w:val="00066D19"/>
    <w:rsid w:val="00067B50"/>
    <w:rsid w:val="00070515"/>
    <w:rsid w:val="00070A7E"/>
    <w:rsid w:val="00070FC8"/>
    <w:rsid w:val="000711C0"/>
    <w:rsid w:val="00071715"/>
    <w:rsid w:val="0007455D"/>
    <w:rsid w:val="0007667C"/>
    <w:rsid w:val="000803B9"/>
    <w:rsid w:val="000809D6"/>
    <w:rsid w:val="0008328C"/>
    <w:rsid w:val="00083994"/>
    <w:rsid w:val="00084C08"/>
    <w:rsid w:val="0009067C"/>
    <w:rsid w:val="0009132C"/>
    <w:rsid w:val="000918B2"/>
    <w:rsid w:val="00091BAD"/>
    <w:rsid w:val="00092BC7"/>
    <w:rsid w:val="000930B7"/>
    <w:rsid w:val="00093615"/>
    <w:rsid w:val="00096398"/>
    <w:rsid w:val="000965E3"/>
    <w:rsid w:val="00096B19"/>
    <w:rsid w:val="00097340"/>
    <w:rsid w:val="000A0045"/>
    <w:rsid w:val="000A0B36"/>
    <w:rsid w:val="000A0D22"/>
    <w:rsid w:val="000A0DDE"/>
    <w:rsid w:val="000A0EB5"/>
    <w:rsid w:val="000A2406"/>
    <w:rsid w:val="000A3402"/>
    <w:rsid w:val="000A48B2"/>
    <w:rsid w:val="000A48B9"/>
    <w:rsid w:val="000A54B2"/>
    <w:rsid w:val="000A66D9"/>
    <w:rsid w:val="000A6A40"/>
    <w:rsid w:val="000A7C5C"/>
    <w:rsid w:val="000B1039"/>
    <w:rsid w:val="000B10FC"/>
    <w:rsid w:val="000B1743"/>
    <w:rsid w:val="000B2C06"/>
    <w:rsid w:val="000B418F"/>
    <w:rsid w:val="000B438E"/>
    <w:rsid w:val="000B7151"/>
    <w:rsid w:val="000B782B"/>
    <w:rsid w:val="000C2715"/>
    <w:rsid w:val="000C29C2"/>
    <w:rsid w:val="000C30B6"/>
    <w:rsid w:val="000C68F8"/>
    <w:rsid w:val="000C78B2"/>
    <w:rsid w:val="000D0B9B"/>
    <w:rsid w:val="000D2D1B"/>
    <w:rsid w:val="000D37DD"/>
    <w:rsid w:val="000D4B05"/>
    <w:rsid w:val="000D4CA4"/>
    <w:rsid w:val="000D5634"/>
    <w:rsid w:val="000D56E4"/>
    <w:rsid w:val="000D7695"/>
    <w:rsid w:val="000E039E"/>
    <w:rsid w:val="000E0863"/>
    <w:rsid w:val="000E0AAF"/>
    <w:rsid w:val="000E134D"/>
    <w:rsid w:val="000E1FA2"/>
    <w:rsid w:val="000E30DE"/>
    <w:rsid w:val="000E36CC"/>
    <w:rsid w:val="000E3826"/>
    <w:rsid w:val="000E3EB5"/>
    <w:rsid w:val="000E4438"/>
    <w:rsid w:val="000E44F7"/>
    <w:rsid w:val="000E4EBD"/>
    <w:rsid w:val="000E6421"/>
    <w:rsid w:val="000E70FE"/>
    <w:rsid w:val="000E75E2"/>
    <w:rsid w:val="000E7730"/>
    <w:rsid w:val="000E79AA"/>
    <w:rsid w:val="000F027C"/>
    <w:rsid w:val="000F033F"/>
    <w:rsid w:val="000F08EB"/>
    <w:rsid w:val="000F0AC2"/>
    <w:rsid w:val="000F1AE0"/>
    <w:rsid w:val="000F1BA3"/>
    <w:rsid w:val="000F3172"/>
    <w:rsid w:val="000F3671"/>
    <w:rsid w:val="000F440E"/>
    <w:rsid w:val="000F4EE2"/>
    <w:rsid w:val="000F4F35"/>
    <w:rsid w:val="000F5216"/>
    <w:rsid w:val="000F7B4A"/>
    <w:rsid w:val="000F7F26"/>
    <w:rsid w:val="001011A2"/>
    <w:rsid w:val="001018F3"/>
    <w:rsid w:val="00101BF5"/>
    <w:rsid w:val="001030C9"/>
    <w:rsid w:val="0010490B"/>
    <w:rsid w:val="00110154"/>
    <w:rsid w:val="0011040A"/>
    <w:rsid w:val="001109D7"/>
    <w:rsid w:val="00110D8A"/>
    <w:rsid w:val="0011118E"/>
    <w:rsid w:val="00111B90"/>
    <w:rsid w:val="00111E89"/>
    <w:rsid w:val="0011252D"/>
    <w:rsid w:val="001126F6"/>
    <w:rsid w:val="00112723"/>
    <w:rsid w:val="001130AF"/>
    <w:rsid w:val="00113817"/>
    <w:rsid w:val="00115BD4"/>
    <w:rsid w:val="00115BF2"/>
    <w:rsid w:val="00115E78"/>
    <w:rsid w:val="0011607E"/>
    <w:rsid w:val="0011624A"/>
    <w:rsid w:val="00116B2C"/>
    <w:rsid w:val="001176C3"/>
    <w:rsid w:val="001217B7"/>
    <w:rsid w:val="00122F90"/>
    <w:rsid w:val="00123739"/>
    <w:rsid w:val="00124A21"/>
    <w:rsid w:val="0012591B"/>
    <w:rsid w:val="001260A1"/>
    <w:rsid w:val="00126538"/>
    <w:rsid w:val="001268BE"/>
    <w:rsid w:val="00126A12"/>
    <w:rsid w:val="00127148"/>
    <w:rsid w:val="00127C2B"/>
    <w:rsid w:val="00127F79"/>
    <w:rsid w:val="00130558"/>
    <w:rsid w:val="00130D3F"/>
    <w:rsid w:val="0013198F"/>
    <w:rsid w:val="00133E4D"/>
    <w:rsid w:val="001356FE"/>
    <w:rsid w:val="00136676"/>
    <w:rsid w:val="001402E8"/>
    <w:rsid w:val="001406EC"/>
    <w:rsid w:val="00141FBB"/>
    <w:rsid w:val="00144F59"/>
    <w:rsid w:val="001477A3"/>
    <w:rsid w:val="00147BD1"/>
    <w:rsid w:val="00147C71"/>
    <w:rsid w:val="001503DE"/>
    <w:rsid w:val="0015073D"/>
    <w:rsid w:val="00150CE8"/>
    <w:rsid w:val="00152649"/>
    <w:rsid w:val="00153AE5"/>
    <w:rsid w:val="00153D73"/>
    <w:rsid w:val="00153E24"/>
    <w:rsid w:val="00156117"/>
    <w:rsid w:val="00157399"/>
    <w:rsid w:val="001577AF"/>
    <w:rsid w:val="00157C2C"/>
    <w:rsid w:val="001603B0"/>
    <w:rsid w:val="00160FB2"/>
    <w:rsid w:val="001618CE"/>
    <w:rsid w:val="0016214F"/>
    <w:rsid w:val="00163166"/>
    <w:rsid w:val="00164517"/>
    <w:rsid w:val="00164B76"/>
    <w:rsid w:val="00167063"/>
    <w:rsid w:val="00167A6C"/>
    <w:rsid w:val="00171E24"/>
    <w:rsid w:val="001728FF"/>
    <w:rsid w:val="00172C11"/>
    <w:rsid w:val="00172E46"/>
    <w:rsid w:val="00173579"/>
    <w:rsid w:val="001751A7"/>
    <w:rsid w:val="00175560"/>
    <w:rsid w:val="00175EF6"/>
    <w:rsid w:val="001764E8"/>
    <w:rsid w:val="00177AAB"/>
    <w:rsid w:val="00181ACA"/>
    <w:rsid w:val="001822A7"/>
    <w:rsid w:val="00183A5E"/>
    <w:rsid w:val="00184541"/>
    <w:rsid w:val="0018489B"/>
    <w:rsid w:val="001854E1"/>
    <w:rsid w:val="001862EE"/>
    <w:rsid w:val="00187739"/>
    <w:rsid w:val="001907D0"/>
    <w:rsid w:val="00190A93"/>
    <w:rsid w:val="00190B3E"/>
    <w:rsid w:val="00190E1E"/>
    <w:rsid w:val="00190E8F"/>
    <w:rsid w:val="00193D4C"/>
    <w:rsid w:val="00193F70"/>
    <w:rsid w:val="001940D1"/>
    <w:rsid w:val="00194243"/>
    <w:rsid w:val="00194AFB"/>
    <w:rsid w:val="00195042"/>
    <w:rsid w:val="001953BB"/>
    <w:rsid w:val="00195B21"/>
    <w:rsid w:val="00196ED0"/>
    <w:rsid w:val="001976CC"/>
    <w:rsid w:val="00197A6F"/>
    <w:rsid w:val="001A0BB8"/>
    <w:rsid w:val="001A0D07"/>
    <w:rsid w:val="001A1519"/>
    <w:rsid w:val="001A19DF"/>
    <w:rsid w:val="001A2059"/>
    <w:rsid w:val="001A2ED3"/>
    <w:rsid w:val="001A2FB3"/>
    <w:rsid w:val="001A3B59"/>
    <w:rsid w:val="001A3C3B"/>
    <w:rsid w:val="001A489A"/>
    <w:rsid w:val="001A66D2"/>
    <w:rsid w:val="001A6D3F"/>
    <w:rsid w:val="001A75D2"/>
    <w:rsid w:val="001A7DAF"/>
    <w:rsid w:val="001B042A"/>
    <w:rsid w:val="001B1EDF"/>
    <w:rsid w:val="001B3564"/>
    <w:rsid w:val="001B3C2B"/>
    <w:rsid w:val="001B6845"/>
    <w:rsid w:val="001B6CC2"/>
    <w:rsid w:val="001B70C5"/>
    <w:rsid w:val="001B7B9E"/>
    <w:rsid w:val="001C0E79"/>
    <w:rsid w:val="001C19F9"/>
    <w:rsid w:val="001C1C3C"/>
    <w:rsid w:val="001C1DF6"/>
    <w:rsid w:val="001C2348"/>
    <w:rsid w:val="001C258D"/>
    <w:rsid w:val="001C27D8"/>
    <w:rsid w:val="001C28AF"/>
    <w:rsid w:val="001C336A"/>
    <w:rsid w:val="001C3405"/>
    <w:rsid w:val="001C37F1"/>
    <w:rsid w:val="001C5848"/>
    <w:rsid w:val="001C5A83"/>
    <w:rsid w:val="001C6F3A"/>
    <w:rsid w:val="001D1717"/>
    <w:rsid w:val="001D2AFE"/>
    <w:rsid w:val="001D4A75"/>
    <w:rsid w:val="001E0CC0"/>
    <w:rsid w:val="001E0DE4"/>
    <w:rsid w:val="001E0E94"/>
    <w:rsid w:val="001E0FBD"/>
    <w:rsid w:val="001E165A"/>
    <w:rsid w:val="001E169E"/>
    <w:rsid w:val="001E21C0"/>
    <w:rsid w:val="001E2544"/>
    <w:rsid w:val="001E2D54"/>
    <w:rsid w:val="001E42F6"/>
    <w:rsid w:val="001F02A7"/>
    <w:rsid w:val="001F0475"/>
    <w:rsid w:val="001F0C5D"/>
    <w:rsid w:val="001F31A6"/>
    <w:rsid w:val="001F32E6"/>
    <w:rsid w:val="001F33A5"/>
    <w:rsid w:val="001F4653"/>
    <w:rsid w:val="001F4A50"/>
    <w:rsid w:val="001F4A84"/>
    <w:rsid w:val="001F4E8A"/>
    <w:rsid w:val="001F5000"/>
    <w:rsid w:val="001F50C0"/>
    <w:rsid w:val="001F6658"/>
    <w:rsid w:val="001F6DF1"/>
    <w:rsid w:val="001F7596"/>
    <w:rsid w:val="001F77B6"/>
    <w:rsid w:val="001F7FBD"/>
    <w:rsid w:val="00201984"/>
    <w:rsid w:val="002025F0"/>
    <w:rsid w:val="00202DE9"/>
    <w:rsid w:val="00202E5C"/>
    <w:rsid w:val="002037C0"/>
    <w:rsid w:val="00203B57"/>
    <w:rsid w:val="0020418B"/>
    <w:rsid w:val="0020588E"/>
    <w:rsid w:val="00206937"/>
    <w:rsid w:val="002076C6"/>
    <w:rsid w:val="0021015F"/>
    <w:rsid w:val="00210196"/>
    <w:rsid w:val="00210AF3"/>
    <w:rsid w:val="00210B9C"/>
    <w:rsid w:val="00210CAC"/>
    <w:rsid w:val="0021144C"/>
    <w:rsid w:val="00211D2F"/>
    <w:rsid w:val="0021232C"/>
    <w:rsid w:val="00212455"/>
    <w:rsid w:val="0021280C"/>
    <w:rsid w:val="00213532"/>
    <w:rsid w:val="00214315"/>
    <w:rsid w:val="00214988"/>
    <w:rsid w:val="00215608"/>
    <w:rsid w:val="002174B9"/>
    <w:rsid w:val="002200FC"/>
    <w:rsid w:val="0022068C"/>
    <w:rsid w:val="002217E1"/>
    <w:rsid w:val="0022180B"/>
    <w:rsid w:val="0022187C"/>
    <w:rsid w:val="00222C04"/>
    <w:rsid w:val="00223C99"/>
    <w:rsid w:val="00225D98"/>
    <w:rsid w:val="00230303"/>
    <w:rsid w:val="00230CA9"/>
    <w:rsid w:val="002312A4"/>
    <w:rsid w:val="00232E64"/>
    <w:rsid w:val="00233038"/>
    <w:rsid w:val="002348D0"/>
    <w:rsid w:val="00234BEC"/>
    <w:rsid w:val="0023554A"/>
    <w:rsid w:val="002362F3"/>
    <w:rsid w:val="00236836"/>
    <w:rsid w:val="0023698F"/>
    <w:rsid w:val="00236B58"/>
    <w:rsid w:val="00240BC0"/>
    <w:rsid w:val="002418E4"/>
    <w:rsid w:val="0024287A"/>
    <w:rsid w:val="0024332C"/>
    <w:rsid w:val="00243FD3"/>
    <w:rsid w:val="002440AA"/>
    <w:rsid w:val="00244475"/>
    <w:rsid w:val="00245D2E"/>
    <w:rsid w:val="002469EF"/>
    <w:rsid w:val="00250112"/>
    <w:rsid w:val="0025065D"/>
    <w:rsid w:val="00250FE9"/>
    <w:rsid w:val="00251DBE"/>
    <w:rsid w:val="00251ECC"/>
    <w:rsid w:val="00252913"/>
    <w:rsid w:val="00253542"/>
    <w:rsid w:val="0025482A"/>
    <w:rsid w:val="0025596F"/>
    <w:rsid w:val="00256E66"/>
    <w:rsid w:val="00264C56"/>
    <w:rsid w:val="00265B74"/>
    <w:rsid w:val="00265CF1"/>
    <w:rsid w:val="00266474"/>
    <w:rsid w:val="00266CE3"/>
    <w:rsid w:val="0026758F"/>
    <w:rsid w:val="00271E08"/>
    <w:rsid w:val="00271FF7"/>
    <w:rsid w:val="00272D9E"/>
    <w:rsid w:val="00273745"/>
    <w:rsid w:val="00274374"/>
    <w:rsid w:val="00274CA7"/>
    <w:rsid w:val="00274F33"/>
    <w:rsid w:val="002801DB"/>
    <w:rsid w:val="00283670"/>
    <w:rsid w:val="00283814"/>
    <w:rsid w:val="00283A21"/>
    <w:rsid w:val="00284D89"/>
    <w:rsid w:val="0028509F"/>
    <w:rsid w:val="00285759"/>
    <w:rsid w:val="00285795"/>
    <w:rsid w:val="00285EA1"/>
    <w:rsid w:val="00286956"/>
    <w:rsid w:val="00286F63"/>
    <w:rsid w:val="002902C9"/>
    <w:rsid w:val="002905EA"/>
    <w:rsid w:val="002913A5"/>
    <w:rsid w:val="00291914"/>
    <w:rsid w:val="00291F7F"/>
    <w:rsid w:val="002925C5"/>
    <w:rsid w:val="0029359B"/>
    <w:rsid w:val="002949D7"/>
    <w:rsid w:val="00294BA9"/>
    <w:rsid w:val="002951A4"/>
    <w:rsid w:val="00295F9C"/>
    <w:rsid w:val="002963ED"/>
    <w:rsid w:val="00296B90"/>
    <w:rsid w:val="002A0385"/>
    <w:rsid w:val="002A1F2A"/>
    <w:rsid w:val="002A64A0"/>
    <w:rsid w:val="002B0233"/>
    <w:rsid w:val="002B1315"/>
    <w:rsid w:val="002B14A0"/>
    <w:rsid w:val="002B1E44"/>
    <w:rsid w:val="002B268F"/>
    <w:rsid w:val="002B3073"/>
    <w:rsid w:val="002B41F3"/>
    <w:rsid w:val="002B4FD5"/>
    <w:rsid w:val="002B52D5"/>
    <w:rsid w:val="002B5AEE"/>
    <w:rsid w:val="002B6379"/>
    <w:rsid w:val="002B6666"/>
    <w:rsid w:val="002B6D91"/>
    <w:rsid w:val="002B6E91"/>
    <w:rsid w:val="002B7683"/>
    <w:rsid w:val="002B7968"/>
    <w:rsid w:val="002C027E"/>
    <w:rsid w:val="002C0656"/>
    <w:rsid w:val="002C1E32"/>
    <w:rsid w:val="002C2BCE"/>
    <w:rsid w:val="002C2EE5"/>
    <w:rsid w:val="002C3499"/>
    <w:rsid w:val="002C3819"/>
    <w:rsid w:val="002C5B9A"/>
    <w:rsid w:val="002C7D74"/>
    <w:rsid w:val="002C7EAE"/>
    <w:rsid w:val="002D0FCC"/>
    <w:rsid w:val="002D2768"/>
    <w:rsid w:val="002D2E15"/>
    <w:rsid w:val="002D3C58"/>
    <w:rsid w:val="002D5C58"/>
    <w:rsid w:val="002D5DE7"/>
    <w:rsid w:val="002D5F90"/>
    <w:rsid w:val="002D6836"/>
    <w:rsid w:val="002D687C"/>
    <w:rsid w:val="002D7763"/>
    <w:rsid w:val="002E02A5"/>
    <w:rsid w:val="002E3E4A"/>
    <w:rsid w:val="002E50B9"/>
    <w:rsid w:val="002E5F24"/>
    <w:rsid w:val="002E74DA"/>
    <w:rsid w:val="002F0AA7"/>
    <w:rsid w:val="002F1EBB"/>
    <w:rsid w:val="002F24EE"/>
    <w:rsid w:val="002F2618"/>
    <w:rsid w:val="002F28C8"/>
    <w:rsid w:val="002F3284"/>
    <w:rsid w:val="002F5378"/>
    <w:rsid w:val="002F56B3"/>
    <w:rsid w:val="002F7040"/>
    <w:rsid w:val="002F784C"/>
    <w:rsid w:val="002F7CD1"/>
    <w:rsid w:val="0030021C"/>
    <w:rsid w:val="0030231F"/>
    <w:rsid w:val="0030295C"/>
    <w:rsid w:val="0030297E"/>
    <w:rsid w:val="00303C95"/>
    <w:rsid w:val="003045C4"/>
    <w:rsid w:val="00304E00"/>
    <w:rsid w:val="0030589D"/>
    <w:rsid w:val="003066A4"/>
    <w:rsid w:val="0030700C"/>
    <w:rsid w:val="003070A4"/>
    <w:rsid w:val="003077C1"/>
    <w:rsid w:val="00313B06"/>
    <w:rsid w:val="00313D7C"/>
    <w:rsid w:val="00314FF8"/>
    <w:rsid w:val="00315127"/>
    <w:rsid w:val="00315B4D"/>
    <w:rsid w:val="00315BA9"/>
    <w:rsid w:val="003161FC"/>
    <w:rsid w:val="00316804"/>
    <w:rsid w:val="0031798E"/>
    <w:rsid w:val="00317CD6"/>
    <w:rsid w:val="003227E1"/>
    <w:rsid w:val="00323586"/>
    <w:rsid w:val="00324DED"/>
    <w:rsid w:val="00325029"/>
    <w:rsid w:val="003258E8"/>
    <w:rsid w:val="00325C21"/>
    <w:rsid w:val="00325F04"/>
    <w:rsid w:val="003272D6"/>
    <w:rsid w:val="0032759D"/>
    <w:rsid w:val="00327958"/>
    <w:rsid w:val="0032799B"/>
    <w:rsid w:val="00330A7C"/>
    <w:rsid w:val="00330C95"/>
    <w:rsid w:val="00330D37"/>
    <w:rsid w:val="00331284"/>
    <w:rsid w:val="00331811"/>
    <w:rsid w:val="00332F16"/>
    <w:rsid w:val="0033369E"/>
    <w:rsid w:val="00333A81"/>
    <w:rsid w:val="00334161"/>
    <w:rsid w:val="00335D9D"/>
    <w:rsid w:val="003360C5"/>
    <w:rsid w:val="003365EE"/>
    <w:rsid w:val="00337DBE"/>
    <w:rsid w:val="003408D6"/>
    <w:rsid w:val="003408E1"/>
    <w:rsid w:val="0034239B"/>
    <w:rsid w:val="003425C1"/>
    <w:rsid w:val="00344A5C"/>
    <w:rsid w:val="00345528"/>
    <w:rsid w:val="003462F0"/>
    <w:rsid w:val="00346617"/>
    <w:rsid w:val="003475AC"/>
    <w:rsid w:val="00350384"/>
    <w:rsid w:val="0035091F"/>
    <w:rsid w:val="00351E55"/>
    <w:rsid w:val="00352657"/>
    <w:rsid w:val="00352D5F"/>
    <w:rsid w:val="00353011"/>
    <w:rsid w:val="003531C2"/>
    <w:rsid w:val="00353B0E"/>
    <w:rsid w:val="00354A1A"/>
    <w:rsid w:val="00356127"/>
    <w:rsid w:val="003567F9"/>
    <w:rsid w:val="00357047"/>
    <w:rsid w:val="003570D8"/>
    <w:rsid w:val="0036046E"/>
    <w:rsid w:val="00361450"/>
    <w:rsid w:val="0036175B"/>
    <w:rsid w:val="00361DC0"/>
    <w:rsid w:val="00361DF8"/>
    <w:rsid w:val="003620E1"/>
    <w:rsid w:val="003626F0"/>
    <w:rsid w:val="00362F92"/>
    <w:rsid w:val="00363EF4"/>
    <w:rsid w:val="0036417E"/>
    <w:rsid w:val="0036480E"/>
    <w:rsid w:val="00364D42"/>
    <w:rsid w:val="00365BF5"/>
    <w:rsid w:val="00365FE9"/>
    <w:rsid w:val="003706BE"/>
    <w:rsid w:val="00371277"/>
    <w:rsid w:val="00371CD2"/>
    <w:rsid w:val="00372298"/>
    <w:rsid w:val="003729DF"/>
    <w:rsid w:val="00372F25"/>
    <w:rsid w:val="00373ECF"/>
    <w:rsid w:val="00374318"/>
    <w:rsid w:val="00380BC0"/>
    <w:rsid w:val="00381217"/>
    <w:rsid w:val="00381E13"/>
    <w:rsid w:val="00382F55"/>
    <w:rsid w:val="003866A1"/>
    <w:rsid w:val="003875F0"/>
    <w:rsid w:val="003907D1"/>
    <w:rsid w:val="00390D75"/>
    <w:rsid w:val="0039229C"/>
    <w:rsid w:val="00392572"/>
    <w:rsid w:val="003926B7"/>
    <w:rsid w:val="003929B1"/>
    <w:rsid w:val="00392A46"/>
    <w:rsid w:val="00392B6A"/>
    <w:rsid w:val="00393667"/>
    <w:rsid w:val="003939FE"/>
    <w:rsid w:val="00394198"/>
    <w:rsid w:val="0039436C"/>
    <w:rsid w:val="00395265"/>
    <w:rsid w:val="00395CEF"/>
    <w:rsid w:val="00396041"/>
    <w:rsid w:val="00396B0D"/>
    <w:rsid w:val="00397196"/>
    <w:rsid w:val="0039767C"/>
    <w:rsid w:val="00397B75"/>
    <w:rsid w:val="003A0F9A"/>
    <w:rsid w:val="003A19E4"/>
    <w:rsid w:val="003A272A"/>
    <w:rsid w:val="003A4465"/>
    <w:rsid w:val="003A4DA4"/>
    <w:rsid w:val="003A6EE3"/>
    <w:rsid w:val="003B0567"/>
    <w:rsid w:val="003B058F"/>
    <w:rsid w:val="003B3C44"/>
    <w:rsid w:val="003B47D6"/>
    <w:rsid w:val="003B4C4B"/>
    <w:rsid w:val="003B4C7A"/>
    <w:rsid w:val="003B505A"/>
    <w:rsid w:val="003B534A"/>
    <w:rsid w:val="003B5476"/>
    <w:rsid w:val="003B54F9"/>
    <w:rsid w:val="003B6079"/>
    <w:rsid w:val="003B71D4"/>
    <w:rsid w:val="003B76F3"/>
    <w:rsid w:val="003C292C"/>
    <w:rsid w:val="003C3670"/>
    <w:rsid w:val="003C4352"/>
    <w:rsid w:val="003C4774"/>
    <w:rsid w:val="003C5328"/>
    <w:rsid w:val="003C5786"/>
    <w:rsid w:val="003D0FAA"/>
    <w:rsid w:val="003D29CC"/>
    <w:rsid w:val="003D2AAE"/>
    <w:rsid w:val="003D3433"/>
    <w:rsid w:val="003D4265"/>
    <w:rsid w:val="003D42CB"/>
    <w:rsid w:val="003D5994"/>
    <w:rsid w:val="003D6D4A"/>
    <w:rsid w:val="003D6E53"/>
    <w:rsid w:val="003D765D"/>
    <w:rsid w:val="003D766C"/>
    <w:rsid w:val="003D7C16"/>
    <w:rsid w:val="003E080D"/>
    <w:rsid w:val="003E0B98"/>
    <w:rsid w:val="003E0ED1"/>
    <w:rsid w:val="003E16F0"/>
    <w:rsid w:val="003E22AF"/>
    <w:rsid w:val="003E306B"/>
    <w:rsid w:val="003E34AD"/>
    <w:rsid w:val="003E5773"/>
    <w:rsid w:val="003E7C10"/>
    <w:rsid w:val="003F023A"/>
    <w:rsid w:val="003F15C7"/>
    <w:rsid w:val="003F2078"/>
    <w:rsid w:val="003F21A8"/>
    <w:rsid w:val="003F3B91"/>
    <w:rsid w:val="003F3D01"/>
    <w:rsid w:val="003F4764"/>
    <w:rsid w:val="003F5099"/>
    <w:rsid w:val="003F56EB"/>
    <w:rsid w:val="003F5789"/>
    <w:rsid w:val="003F662B"/>
    <w:rsid w:val="003F6801"/>
    <w:rsid w:val="003F6A23"/>
    <w:rsid w:val="00400BCD"/>
    <w:rsid w:val="004018C3"/>
    <w:rsid w:val="004018E1"/>
    <w:rsid w:val="004025BD"/>
    <w:rsid w:val="00404BBC"/>
    <w:rsid w:val="004052D4"/>
    <w:rsid w:val="00405E3D"/>
    <w:rsid w:val="004066A7"/>
    <w:rsid w:val="00406F37"/>
    <w:rsid w:val="00407E8F"/>
    <w:rsid w:val="0041056F"/>
    <w:rsid w:val="00410730"/>
    <w:rsid w:val="00410BFE"/>
    <w:rsid w:val="0041202C"/>
    <w:rsid w:val="00412293"/>
    <w:rsid w:val="004123C2"/>
    <w:rsid w:val="00412545"/>
    <w:rsid w:val="00414564"/>
    <w:rsid w:val="004146AF"/>
    <w:rsid w:val="0041524F"/>
    <w:rsid w:val="00415458"/>
    <w:rsid w:val="00416D7C"/>
    <w:rsid w:val="004172D4"/>
    <w:rsid w:val="00421ABC"/>
    <w:rsid w:val="00421DD9"/>
    <w:rsid w:val="00422DAD"/>
    <w:rsid w:val="004238B6"/>
    <w:rsid w:val="00423B29"/>
    <w:rsid w:val="00423FF4"/>
    <w:rsid w:val="004252C3"/>
    <w:rsid w:val="00426686"/>
    <w:rsid w:val="00427725"/>
    <w:rsid w:val="00427C7C"/>
    <w:rsid w:val="004328B5"/>
    <w:rsid w:val="00433CDA"/>
    <w:rsid w:val="00433FF7"/>
    <w:rsid w:val="004341DB"/>
    <w:rsid w:val="0043470B"/>
    <w:rsid w:val="0043556E"/>
    <w:rsid w:val="00436B9D"/>
    <w:rsid w:val="0043773B"/>
    <w:rsid w:val="00437F34"/>
    <w:rsid w:val="0044094A"/>
    <w:rsid w:val="00440FA3"/>
    <w:rsid w:val="00442CAE"/>
    <w:rsid w:val="00442E11"/>
    <w:rsid w:val="00442E25"/>
    <w:rsid w:val="00444914"/>
    <w:rsid w:val="00445FC6"/>
    <w:rsid w:val="00447A99"/>
    <w:rsid w:val="00447B1B"/>
    <w:rsid w:val="00450630"/>
    <w:rsid w:val="0045096B"/>
    <w:rsid w:val="004518BD"/>
    <w:rsid w:val="00452B0B"/>
    <w:rsid w:val="00452B49"/>
    <w:rsid w:val="00452D00"/>
    <w:rsid w:val="00452F0F"/>
    <w:rsid w:val="00453A69"/>
    <w:rsid w:val="00453E18"/>
    <w:rsid w:val="00454975"/>
    <w:rsid w:val="004556C6"/>
    <w:rsid w:val="004557D5"/>
    <w:rsid w:val="00456328"/>
    <w:rsid w:val="0045756C"/>
    <w:rsid w:val="00460030"/>
    <w:rsid w:val="00460305"/>
    <w:rsid w:val="00460F48"/>
    <w:rsid w:val="00462416"/>
    <w:rsid w:val="00465767"/>
    <w:rsid w:val="00467914"/>
    <w:rsid w:val="004704C5"/>
    <w:rsid w:val="00472CAD"/>
    <w:rsid w:val="0047345C"/>
    <w:rsid w:val="00473D06"/>
    <w:rsid w:val="004742E6"/>
    <w:rsid w:val="004754A3"/>
    <w:rsid w:val="0047575C"/>
    <w:rsid w:val="00475FA6"/>
    <w:rsid w:val="00477143"/>
    <w:rsid w:val="00477887"/>
    <w:rsid w:val="00477CED"/>
    <w:rsid w:val="0048009C"/>
    <w:rsid w:val="004814B9"/>
    <w:rsid w:val="004817BA"/>
    <w:rsid w:val="00481AD5"/>
    <w:rsid w:val="00481EDC"/>
    <w:rsid w:val="00482DF8"/>
    <w:rsid w:val="004843DC"/>
    <w:rsid w:val="0048471B"/>
    <w:rsid w:val="004848F3"/>
    <w:rsid w:val="00484902"/>
    <w:rsid w:val="00484C21"/>
    <w:rsid w:val="00490184"/>
    <w:rsid w:val="0049038E"/>
    <w:rsid w:val="00491112"/>
    <w:rsid w:val="00491DAC"/>
    <w:rsid w:val="00492E41"/>
    <w:rsid w:val="004934B3"/>
    <w:rsid w:val="00493D32"/>
    <w:rsid w:val="00494679"/>
    <w:rsid w:val="00494CBC"/>
    <w:rsid w:val="00495865"/>
    <w:rsid w:val="00495FD8"/>
    <w:rsid w:val="004963EF"/>
    <w:rsid w:val="00497722"/>
    <w:rsid w:val="004A0019"/>
    <w:rsid w:val="004A0414"/>
    <w:rsid w:val="004A09E8"/>
    <w:rsid w:val="004A0B3D"/>
    <w:rsid w:val="004A156A"/>
    <w:rsid w:val="004A34A8"/>
    <w:rsid w:val="004A3A4D"/>
    <w:rsid w:val="004A46B9"/>
    <w:rsid w:val="004A492F"/>
    <w:rsid w:val="004A4CAA"/>
    <w:rsid w:val="004A737F"/>
    <w:rsid w:val="004B0F7B"/>
    <w:rsid w:val="004B242B"/>
    <w:rsid w:val="004B295E"/>
    <w:rsid w:val="004B2C11"/>
    <w:rsid w:val="004B30DA"/>
    <w:rsid w:val="004B3CB5"/>
    <w:rsid w:val="004B4481"/>
    <w:rsid w:val="004B6B42"/>
    <w:rsid w:val="004B6CD5"/>
    <w:rsid w:val="004B7C3C"/>
    <w:rsid w:val="004C07B0"/>
    <w:rsid w:val="004C0861"/>
    <w:rsid w:val="004C0B93"/>
    <w:rsid w:val="004C320A"/>
    <w:rsid w:val="004C377E"/>
    <w:rsid w:val="004C3ED1"/>
    <w:rsid w:val="004C4615"/>
    <w:rsid w:val="004C6C4B"/>
    <w:rsid w:val="004C7752"/>
    <w:rsid w:val="004D0E2D"/>
    <w:rsid w:val="004D10B4"/>
    <w:rsid w:val="004D134C"/>
    <w:rsid w:val="004D182B"/>
    <w:rsid w:val="004D3607"/>
    <w:rsid w:val="004D39B7"/>
    <w:rsid w:val="004D41B2"/>
    <w:rsid w:val="004D4236"/>
    <w:rsid w:val="004D5AC0"/>
    <w:rsid w:val="004D5D25"/>
    <w:rsid w:val="004D6457"/>
    <w:rsid w:val="004D69E0"/>
    <w:rsid w:val="004D7292"/>
    <w:rsid w:val="004E00A3"/>
    <w:rsid w:val="004E4916"/>
    <w:rsid w:val="004E5A5D"/>
    <w:rsid w:val="004E6224"/>
    <w:rsid w:val="004E63CD"/>
    <w:rsid w:val="004E671C"/>
    <w:rsid w:val="004E693F"/>
    <w:rsid w:val="004E6F6B"/>
    <w:rsid w:val="004E7E56"/>
    <w:rsid w:val="004F0E11"/>
    <w:rsid w:val="004F12AA"/>
    <w:rsid w:val="004F14C8"/>
    <w:rsid w:val="004F20E2"/>
    <w:rsid w:val="004F3A18"/>
    <w:rsid w:val="004F4DC8"/>
    <w:rsid w:val="004F5FF8"/>
    <w:rsid w:val="004F77FA"/>
    <w:rsid w:val="0050082C"/>
    <w:rsid w:val="0050107D"/>
    <w:rsid w:val="0050226E"/>
    <w:rsid w:val="00502460"/>
    <w:rsid w:val="00502AAB"/>
    <w:rsid w:val="00503F17"/>
    <w:rsid w:val="00504DC2"/>
    <w:rsid w:val="00505842"/>
    <w:rsid w:val="0050636D"/>
    <w:rsid w:val="005066B7"/>
    <w:rsid w:val="00507062"/>
    <w:rsid w:val="0050716E"/>
    <w:rsid w:val="005111DD"/>
    <w:rsid w:val="00511F2D"/>
    <w:rsid w:val="005125FA"/>
    <w:rsid w:val="00513C9F"/>
    <w:rsid w:val="00515325"/>
    <w:rsid w:val="00515856"/>
    <w:rsid w:val="00515BE0"/>
    <w:rsid w:val="00516B6A"/>
    <w:rsid w:val="00516BCA"/>
    <w:rsid w:val="00522A94"/>
    <w:rsid w:val="00522F6A"/>
    <w:rsid w:val="00523C68"/>
    <w:rsid w:val="0052490E"/>
    <w:rsid w:val="005252D5"/>
    <w:rsid w:val="005255FD"/>
    <w:rsid w:val="00527696"/>
    <w:rsid w:val="0052770E"/>
    <w:rsid w:val="005278AE"/>
    <w:rsid w:val="00530B5F"/>
    <w:rsid w:val="00531057"/>
    <w:rsid w:val="005319FB"/>
    <w:rsid w:val="00531DC3"/>
    <w:rsid w:val="00532D32"/>
    <w:rsid w:val="00533853"/>
    <w:rsid w:val="00533C86"/>
    <w:rsid w:val="00533D52"/>
    <w:rsid w:val="0053467E"/>
    <w:rsid w:val="00534B45"/>
    <w:rsid w:val="0053541F"/>
    <w:rsid w:val="005366C7"/>
    <w:rsid w:val="005367B4"/>
    <w:rsid w:val="005374E9"/>
    <w:rsid w:val="005433B1"/>
    <w:rsid w:val="00543EE0"/>
    <w:rsid w:val="005442F1"/>
    <w:rsid w:val="00544437"/>
    <w:rsid w:val="00545E81"/>
    <w:rsid w:val="005477AE"/>
    <w:rsid w:val="00551875"/>
    <w:rsid w:val="00551981"/>
    <w:rsid w:val="005522C6"/>
    <w:rsid w:val="00554318"/>
    <w:rsid w:val="005543BE"/>
    <w:rsid w:val="005551EA"/>
    <w:rsid w:val="00555385"/>
    <w:rsid w:val="00555FAA"/>
    <w:rsid w:val="005569FC"/>
    <w:rsid w:val="0055722F"/>
    <w:rsid w:val="005574B3"/>
    <w:rsid w:val="00557E47"/>
    <w:rsid w:val="0056035C"/>
    <w:rsid w:val="005607C1"/>
    <w:rsid w:val="00561005"/>
    <w:rsid w:val="005613F1"/>
    <w:rsid w:val="005624CC"/>
    <w:rsid w:val="005632E0"/>
    <w:rsid w:val="00563711"/>
    <w:rsid w:val="005646B9"/>
    <w:rsid w:val="005651A1"/>
    <w:rsid w:val="00565C87"/>
    <w:rsid w:val="00566172"/>
    <w:rsid w:val="005662E0"/>
    <w:rsid w:val="0056796D"/>
    <w:rsid w:val="00567973"/>
    <w:rsid w:val="00571283"/>
    <w:rsid w:val="00571678"/>
    <w:rsid w:val="0057412D"/>
    <w:rsid w:val="00576E05"/>
    <w:rsid w:val="00581070"/>
    <w:rsid w:val="005818A6"/>
    <w:rsid w:val="00581DAE"/>
    <w:rsid w:val="00581DB4"/>
    <w:rsid w:val="005820C8"/>
    <w:rsid w:val="005846F3"/>
    <w:rsid w:val="00584B74"/>
    <w:rsid w:val="00585BCA"/>
    <w:rsid w:val="00586E57"/>
    <w:rsid w:val="00587C89"/>
    <w:rsid w:val="00590BC5"/>
    <w:rsid w:val="00590C26"/>
    <w:rsid w:val="0059139B"/>
    <w:rsid w:val="005917A8"/>
    <w:rsid w:val="00591D59"/>
    <w:rsid w:val="00591F5D"/>
    <w:rsid w:val="00592578"/>
    <w:rsid w:val="005934EC"/>
    <w:rsid w:val="00596570"/>
    <w:rsid w:val="00596E4F"/>
    <w:rsid w:val="00596F37"/>
    <w:rsid w:val="00597122"/>
    <w:rsid w:val="00597644"/>
    <w:rsid w:val="005A19B1"/>
    <w:rsid w:val="005A217D"/>
    <w:rsid w:val="005A22C9"/>
    <w:rsid w:val="005A2AF0"/>
    <w:rsid w:val="005A355C"/>
    <w:rsid w:val="005A4F20"/>
    <w:rsid w:val="005A4F75"/>
    <w:rsid w:val="005A5993"/>
    <w:rsid w:val="005A64EE"/>
    <w:rsid w:val="005A740F"/>
    <w:rsid w:val="005A7F05"/>
    <w:rsid w:val="005B02C0"/>
    <w:rsid w:val="005B06D5"/>
    <w:rsid w:val="005B203D"/>
    <w:rsid w:val="005B216A"/>
    <w:rsid w:val="005B27C8"/>
    <w:rsid w:val="005B52EE"/>
    <w:rsid w:val="005B5A48"/>
    <w:rsid w:val="005B622C"/>
    <w:rsid w:val="005B64D5"/>
    <w:rsid w:val="005C0A03"/>
    <w:rsid w:val="005C0C7E"/>
    <w:rsid w:val="005C14ED"/>
    <w:rsid w:val="005C292F"/>
    <w:rsid w:val="005C3A7C"/>
    <w:rsid w:val="005C5244"/>
    <w:rsid w:val="005C5CB4"/>
    <w:rsid w:val="005C6CDA"/>
    <w:rsid w:val="005C73AE"/>
    <w:rsid w:val="005C7F6D"/>
    <w:rsid w:val="005D186B"/>
    <w:rsid w:val="005D2491"/>
    <w:rsid w:val="005D3859"/>
    <w:rsid w:val="005D432C"/>
    <w:rsid w:val="005D475E"/>
    <w:rsid w:val="005D5101"/>
    <w:rsid w:val="005D5583"/>
    <w:rsid w:val="005D56E4"/>
    <w:rsid w:val="005D6B1E"/>
    <w:rsid w:val="005D76E0"/>
    <w:rsid w:val="005D797A"/>
    <w:rsid w:val="005D7F94"/>
    <w:rsid w:val="005E01CC"/>
    <w:rsid w:val="005E07F8"/>
    <w:rsid w:val="005E39F8"/>
    <w:rsid w:val="005E4117"/>
    <w:rsid w:val="005E4BB3"/>
    <w:rsid w:val="005E5499"/>
    <w:rsid w:val="005E6E2D"/>
    <w:rsid w:val="005E7FB7"/>
    <w:rsid w:val="005F2A32"/>
    <w:rsid w:val="005F30EE"/>
    <w:rsid w:val="005F4AC0"/>
    <w:rsid w:val="005F4AE2"/>
    <w:rsid w:val="005F4DD8"/>
    <w:rsid w:val="005F5AF7"/>
    <w:rsid w:val="005F6BAB"/>
    <w:rsid w:val="005F729A"/>
    <w:rsid w:val="00600CD8"/>
    <w:rsid w:val="006023AA"/>
    <w:rsid w:val="006034AD"/>
    <w:rsid w:val="00604BDA"/>
    <w:rsid w:val="00607B7F"/>
    <w:rsid w:val="0061056C"/>
    <w:rsid w:val="00610EA4"/>
    <w:rsid w:val="00611B5B"/>
    <w:rsid w:val="0061322C"/>
    <w:rsid w:val="0061353E"/>
    <w:rsid w:val="00616A2E"/>
    <w:rsid w:val="00617744"/>
    <w:rsid w:val="00620C1C"/>
    <w:rsid w:val="00620F26"/>
    <w:rsid w:val="006212EE"/>
    <w:rsid w:val="00621DED"/>
    <w:rsid w:val="00622090"/>
    <w:rsid w:val="00623515"/>
    <w:rsid w:val="0062404F"/>
    <w:rsid w:val="0062450F"/>
    <w:rsid w:val="00624C9B"/>
    <w:rsid w:val="00625501"/>
    <w:rsid w:val="006266CF"/>
    <w:rsid w:val="00626702"/>
    <w:rsid w:val="00626882"/>
    <w:rsid w:val="00630A48"/>
    <w:rsid w:val="00630FE2"/>
    <w:rsid w:val="00632C4B"/>
    <w:rsid w:val="00632E1B"/>
    <w:rsid w:val="00632F6E"/>
    <w:rsid w:val="00633777"/>
    <w:rsid w:val="006347BF"/>
    <w:rsid w:val="006347C5"/>
    <w:rsid w:val="00634FE5"/>
    <w:rsid w:val="006358DA"/>
    <w:rsid w:val="006367FF"/>
    <w:rsid w:val="0063688C"/>
    <w:rsid w:val="00637133"/>
    <w:rsid w:val="00637686"/>
    <w:rsid w:val="00640480"/>
    <w:rsid w:val="00640532"/>
    <w:rsid w:val="00640F6D"/>
    <w:rsid w:val="00641DB6"/>
    <w:rsid w:val="0064226E"/>
    <w:rsid w:val="00643793"/>
    <w:rsid w:val="00643AD3"/>
    <w:rsid w:val="006449AB"/>
    <w:rsid w:val="006453AF"/>
    <w:rsid w:val="0064581C"/>
    <w:rsid w:val="00645F5F"/>
    <w:rsid w:val="006464CE"/>
    <w:rsid w:val="006500B3"/>
    <w:rsid w:val="00651E41"/>
    <w:rsid w:val="00652052"/>
    <w:rsid w:val="00652DD9"/>
    <w:rsid w:val="00652FD1"/>
    <w:rsid w:val="00653B6A"/>
    <w:rsid w:val="00653C42"/>
    <w:rsid w:val="00654B1A"/>
    <w:rsid w:val="006553F5"/>
    <w:rsid w:val="00655D8E"/>
    <w:rsid w:val="00656F57"/>
    <w:rsid w:val="006570D3"/>
    <w:rsid w:val="00661CE0"/>
    <w:rsid w:val="0066325B"/>
    <w:rsid w:val="00663C2A"/>
    <w:rsid w:val="006648F4"/>
    <w:rsid w:val="006650A9"/>
    <w:rsid w:val="00666967"/>
    <w:rsid w:val="00666B81"/>
    <w:rsid w:val="00670BDF"/>
    <w:rsid w:val="00671283"/>
    <w:rsid w:val="0067324E"/>
    <w:rsid w:val="00673914"/>
    <w:rsid w:val="0067397A"/>
    <w:rsid w:val="006739CF"/>
    <w:rsid w:val="00673A98"/>
    <w:rsid w:val="00673F89"/>
    <w:rsid w:val="0067541E"/>
    <w:rsid w:val="00675728"/>
    <w:rsid w:val="00676254"/>
    <w:rsid w:val="0067663F"/>
    <w:rsid w:val="00676EC1"/>
    <w:rsid w:val="00677639"/>
    <w:rsid w:val="00680479"/>
    <w:rsid w:val="0068136D"/>
    <w:rsid w:val="00682307"/>
    <w:rsid w:val="0068398F"/>
    <w:rsid w:val="00686C5C"/>
    <w:rsid w:val="00686EC0"/>
    <w:rsid w:val="006871B5"/>
    <w:rsid w:val="006879A2"/>
    <w:rsid w:val="00687E31"/>
    <w:rsid w:val="00690504"/>
    <w:rsid w:val="006908D4"/>
    <w:rsid w:val="00690D94"/>
    <w:rsid w:val="00691A0E"/>
    <w:rsid w:val="0069218D"/>
    <w:rsid w:val="0069278F"/>
    <w:rsid w:val="006939A0"/>
    <w:rsid w:val="00695065"/>
    <w:rsid w:val="00695D23"/>
    <w:rsid w:val="00697554"/>
    <w:rsid w:val="006978CC"/>
    <w:rsid w:val="006A0A81"/>
    <w:rsid w:val="006A0C0D"/>
    <w:rsid w:val="006A16B2"/>
    <w:rsid w:val="006A170F"/>
    <w:rsid w:val="006A1C82"/>
    <w:rsid w:val="006A38BE"/>
    <w:rsid w:val="006A45F2"/>
    <w:rsid w:val="006A4743"/>
    <w:rsid w:val="006A4CF9"/>
    <w:rsid w:val="006A5B22"/>
    <w:rsid w:val="006A7DB1"/>
    <w:rsid w:val="006A7EE8"/>
    <w:rsid w:val="006B00E1"/>
    <w:rsid w:val="006B02F2"/>
    <w:rsid w:val="006B0775"/>
    <w:rsid w:val="006B097E"/>
    <w:rsid w:val="006B2B0F"/>
    <w:rsid w:val="006B2B86"/>
    <w:rsid w:val="006B3DA9"/>
    <w:rsid w:val="006B46AD"/>
    <w:rsid w:val="006B508C"/>
    <w:rsid w:val="006B5187"/>
    <w:rsid w:val="006B51F5"/>
    <w:rsid w:val="006B5D5C"/>
    <w:rsid w:val="006B65F0"/>
    <w:rsid w:val="006B6C60"/>
    <w:rsid w:val="006B71EC"/>
    <w:rsid w:val="006B7594"/>
    <w:rsid w:val="006C0CC1"/>
    <w:rsid w:val="006C0E48"/>
    <w:rsid w:val="006C1445"/>
    <w:rsid w:val="006C2B73"/>
    <w:rsid w:val="006C3E65"/>
    <w:rsid w:val="006C40C1"/>
    <w:rsid w:val="006C42DD"/>
    <w:rsid w:val="006C6081"/>
    <w:rsid w:val="006C615A"/>
    <w:rsid w:val="006C651F"/>
    <w:rsid w:val="006C6AF3"/>
    <w:rsid w:val="006C7B0F"/>
    <w:rsid w:val="006D0BF2"/>
    <w:rsid w:val="006D11CC"/>
    <w:rsid w:val="006D133A"/>
    <w:rsid w:val="006D23D8"/>
    <w:rsid w:val="006D3CDA"/>
    <w:rsid w:val="006D4237"/>
    <w:rsid w:val="006D438A"/>
    <w:rsid w:val="006D5A86"/>
    <w:rsid w:val="006D68DC"/>
    <w:rsid w:val="006D68E4"/>
    <w:rsid w:val="006D6F96"/>
    <w:rsid w:val="006D796B"/>
    <w:rsid w:val="006D7EF7"/>
    <w:rsid w:val="006E0216"/>
    <w:rsid w:val="006E0F0A"/>
    <w:rsid w:val="006E140C"/>
    <w:rsid w:val="006E298B"/>
    <w:rsid w:val="006E2C1D"/>
    <w:rsid w:val="006E2D4D"/>
    <w:rsid w:val="006E30A9"/>
    <w:rsid w:val="006E35EB"/>
    <w:rsid w:val="006E3F74"/>
    <w:rsid w:val="006E40E6"/>
    <w:rsid w:val="006E41C2"/>
    <w:rsid w:val="006E6059"/>
    <w:rsid w:val="006E6CA4"/>
    <w:rsid w:val="006E6E39"/>
    <w:rsid w:val="006F0682"/>
    <w:rsid w:val="006F11DB"/>
    <w:rsid w:val="006F4E8D"/>
    <w:rsid w:val="006F53D2"/>
    <w:rsid w:val="006F6247"/>
    <w:rsid w:val="006F70ED"/>
    <w:rsid w:val="006F736C"/>
    <w:rsid w:val="006F7615"/>
    <w:rsid w:val="006F79E5"/>
    <w:rsid w:val="0070068A"/>
    <w:rsid w:val="00700995"/>
    <w:rsid w:val="00700DA3"/>
    <w:rsid w:val="00703160"/>
    <w:rsid w:val="00703263"/>
    <w:rsid w:val="007041EA"/>
    <w:rsid w:val="00704669"/>
    <w:rsid w:val="00704A8A"/>
    <w:rsid w:val="00704AD6"/>
    <w:rsid w:val="007050AF"/>
    <w:rsid w:val="00705AD6"/>
    <w:rsid w:val="007064C7"/>
    <w:rsid w:val="00706C1B"/>
    <w:rsid w:val="00707069"/>
    <w:rsid w:val="0070770C"/>
    <w:rsid w:val="00710076"/>
    <w:rsid w:val="00711A01"/>
    <w:rsid w:val="007129D8"/>
    <w:rsid w:val="00712FCD"/>
    <w:rsid w:val="0071384E"/>
    <w:rsid w:val="00714E7B"/>
    <w:rsid w:val="0071558E"/>
    <w:rsid w:val="00716382"/>
    <w:rsid w:val="00716E2B"/>
    <w:rsid w:val="00721307"/>
    <w:rsid w:val="00721984"/>
    <w:rsid w:val="0072198B"/>
    <w:rsid w:val="00721E2C"/>
    <w:rsid w:val="007238C4"/>
    <w:rsid w:val="00723C91"/>
    <w:rsid w:val="00723E08"/>
    <w:rsid w:val="00725776"/>
    <w:rsid w:val="00725F31"/>
    <w:rsid w:val="00727A3A"/>
    <w:rsid w:val="00730F12"/>
    <w:rsid w:val="00731E71"/>
    <w:rsid w:val="0073234E"/>
    <w:rsid w:val="00732F60"/>
    <w:rsid w:val="00733A3D"/>
    <w:rsid w:val="00733A70"/>
    <w:rsid w:val="00733DC5"/>
    <w:rsid w:val="00734920"/>
    <w:rsid w:val="00734A5F"/>
    <w:rsid w:val="00734B10"/>
    <w:rsid w:val="00735A5F"/>
    <w:rsid w:val="00735A9D"/>
    <w:rsid w:val="00736C93"/>
    <w:rsid w:val="00737986"/>
    <w:rsid w:val="00740FEB"/>
    <w:rsid w:val="00741151"/>
    <w:rsid w:val="00741167"/>
    <w:rsid w:val="00742DAD"/>
    <w:rsid w:val="007434B9"/>
    <w:rsid w:val="007440B5"/>
    <w:rsid w:val="0074469E"/>
    <w:rsid w:val="00744B6C"/>
    <w:rsid w:val="00745673"/>
    <w:rsid w:val="00746195"/>
    <w:rsid w:val="007462CD"/>
    <w:rsid w:val="0074658B"/>
    <w:rsid w:val="00746997"/>
    <w:rsid w:val="0074763C"/>
    <w:rsid w:val="00750861"/>
    <w:rsid w:val="00750EB7"/>
    <w:rsid w:val="0075147A"/>
    <w:rsid w:val="007516B2"/>
    <w:rsid w:val="00751E6A"/>
    <w:rsid w:val="00751F73"/>
    <w:rsid w:val="0075283B"/>
    <w:rsid w:val="00752D5E"/>
    <w:rsid w:val="007562D1"/>
    <w:rsid w:val="0075672D"/>
    <w:rsid w:val="007575A9"/>
    <w:rsid w:val="00757607"/>
    <w:rsid w:val="00757BE2"/>
    <w:rsid w:val="00761030"/>
    <w:rsid w:val="00761851"/>
    <w:rsid w:val="00761B2F"/>
    <w:rsid w:val="00761FDE"/>
    <w:rsid w:val="0076268C"/>
    <w:rsid w:val="00764164"/>
    <w:rsid w:val="0076486B"/>
    <w:rsid w:val="0076514D"/>
    <w:rsid w:val="00767DEB"/>
    <w:rsid w:val="007718C9"/>
    <w:rsid w:val="00773031"/>
    <w:rsid w:val="0077393A"/>
    <w:rsid w:val="007744C2"/>
    <w:rsid w:val="007750AB"/>
    <w:rsid w:val="0077586F"/>
    <w:rsid w:val="00775E52"/>
    <w:rsid w:val="00776F29"/>
    <w:rsid w:val="00777204"/>
    <w:rsid w:val="007772D9"/>
    <w:rsid w:val="0077771D"/>
    <w:rsid w:val="00780B46"/>
    <w:rsid w:val="00780F09"/>
    <w:rsid w:val="00781CB8"/>
    <w:rsid w:val="0078232E"/>
    <w:rsid w:val="00782479"/>
    <w:rsid w:val="0078251A"/>
    <w:rsid w:val="00782969"/>
    <w:rsid w:val="007829EE"/>
    <w:rsid w:val="00782AD5"/>
    <w:rsid w:val="00783380"/>
    <w:rsid w:val="0078358E"/>
    <w:rsid w:val="00783727"/>
    <w:rsid w:val="00784006"/>
    <w:rsid w:val="00784892"/>
    <w:rsid w:val="00784AE7"/>
    <w:rsid w:val="00785696"/>
    <w:rsid w:val="00786111"/>
    <w:rsid w:val="0078745D"/>
    <w:rsid w:val="00787AD8"/>
    <w:rsid w:val="0079122A"/>
    <w:rsid w:val="00792513"/>
    <w:rsid w:val="00792596"/>
    <w:rsid w:val="00794CD5"/>
    <w:rsid w:val="00795B0A"/>
    <w:rsid w:val="00795EAD"/>
    <w:rsid w:val="0079667F"/>
    <w:rsid w:val="00797240"/>
    <w:rsid w:val="00797FF4"/>
    <w:rsid w:val="007A0474"/>
    <w:rsid w:val="007A1218"/>
    <w:rsid w:val="007A1FC8"/>
    <w:rsid w:val="007A2A23"/>
    <w:rsid w:val="007A4400"/>
    <w:rsid w:val="007A6986"/>
    <w:rsid w:val="007A6CF4"/>
    <w:rsid w:val="007A6FC2"/>
    <w:rsid w:val="007A7AC9"/>
    <w:rsid w:val="007B018B"/>
    <w:rsid w:val="007B09F1"/>
    <w:rsid w:val="007B0CE5"/>
    <w:rsid w:val="007B1FBB"/>
    <w:rsid w:val="007B294E"/>
    <w:rsid w:val="007B3555"/>
    <w:rsid w:val="007B4CD1"/>
    <w:rsid w:val="007B56A7"/>
    <w:rsid w:val="007B68EB"/>
    <w:rsid w:val="007B6F81"/>
    <w:rsid w:val="007B6F88"/>
    <w:rsid w:val="007B7AA8"/>
    <w:rsid w:val="007C03D4"/>
    <w:rsid w:val="007C0C08"/>
    <w:rsid w:val="007C1D54"/>
    <w:rsid w:val="007C22E9"/>
    <w:rsid w:val="007C3CA7"/>
    <w:rsid w:val="007C67C7"/>
    <w:rsid w:val="007C7C78"/>
    <w:rsid w:val="007D0EF4"/>
    <w:rsid w:val="007D1F2C"/>
    <w:rsid w:val="007D1F7B"/>
    <w:rsid w:val="007D241D"/>
    <w:rsid w:val="007D396E"/>
    <w:rsid w:val="007D4BBA"/>
    <w:rsid w:val="007D50E2"/>
    <w:rsid w:val="007D5A09"/>
    <w:rsid w:val="007D70C3"/>
    <w:rsid w:val="007D7B53"/>
    <w:rsid w:val="007D7C53"/>
    <w:rsid w:val="007E055A"/>
    <w:rsid w:val="007E08D6"/>
    <w:rsid w:val="007E0DCD"/>
    <w:rsid w:val="007E1D96"/>
    <w:rsid w:val="007E291E"/>
    <w:rsid w:val="007E44DD"/>
    <w:rsid w:val="007E4B41"/>
    <w:rsid w:val="007E50C7"/>
    <w:rsid w:val="007E51AA"/>
    <w:rsid w:val="007E51EE"/>
    <w:rsid w:val="007E64A2"/>
    <w:rsid w:val="007E7057"/>
    <w:rsid w:val="007F01ED"/>
    <w:rsid w:val="007F0336"/>
    <w:rsid w:val="007F0EE8"/>
    <w:rsid w:val="007F0F16"/>
    <w:rsid w:val="007F1663"/>
    <w:rsid w:val="007F1A31"/>
    <w:rsid w:val="007F1F4E"/>
    <w:rsid w:val="007F27CE"/>
    <w:rsid w:val="007F3083"/>
    <w:rsid w:val="007F3126"/>
    <w:rsid w:val="007F3374"/>
    <w:rsid w:val="007F36EB"/>
    <w:rsid w:val="007F3D1D"/>
    <w:rsid w:val="007F3FD0"/>
    <w:rsid w:val="007F43CC"/>
    <w:rsid w:val="007F48B7"/>
    <w:rsid w:val="007F53C8"/>
    <w:rsid w:val="007F544D"/>
    <w:rsid w:val="007F54D3"/>
    <w:rsid w:val="007F5E20"/>
    <w:rsid w:val="007F7B17"/>
    <w:rsid w:val="008006E2"/>
    <w:rsid w:val="008008EF"/>
    <w:rsid w:val="00800E6E"/>
    <w:rsid w:val="00800F23"/>
    <w:rsid w:val="00801D0B"/>
    <w:rsid w:val="0080234A"/>
    <w:rsid w:val="00802517"/>
    <w:rsid w:val="00802E23"/>
    <w:rsid w:val="00803998"/>
    <w:rsid w:val="008043F7"/>
    <w:rsid w:val="0080497D"/>
    <w:rsid w:val="00804A29"/>
    <w:rsid w:val="00804FDB"/>
    <w:rsid w:val="00805C8E"/>
    <w:rsid w:val="00806984"/>
    <w:rsid w:val="0080782A"/>
    <w:rsid w:val="00811D1C"/>
    <w:rsid w:val="008123AC"/>
    <w:rsid w:val="00812AF7"/>
    <w:rsid w:val="00813009"/>
    <w:rsid w:val="00813981"/>
    <w:rsid w:val="00813EDB"/>
    <w:rsid w:val="00813F2B"/>
    <w:rsid w:val="00814419"/>
    <w:rsid w:val="00814ACC"/>
    <w:rsid w:val="00814B21"/>
    <w:rsid w:val="00815150"/>
    <w:rsid w:val="00815399"/>
    <w:rsid w:val="008178FB"/>
    <w:rsid w:val="00820BB6"/>
    <w:rsid w:val="00820E63"/>
    <w:rsid w:val="008214FE"/>
    <w:rsid w:val="00822BF1"/>
    <w:rsid w:val="0082315C"/>
    <w:rsid w:val="00823F9E"/>
    <w:rsid w:val="008245CF"/>
    <w:rsid w:val="00824882"/>
    <w:rsid w:val="00824DEB"/>
    <w:rsid w:val="0082513B"/>
    <w:rsid w:val="008254AF"/>
    <w:rsid w:val="00826AF5"/>
    <w:rsid w:val="00827356"/>
    <w:rsid w:val="008303D4"/>
    <w:rsid w:val="008304DE"/>
    <w:rsid w:val="00830F0E"/>
    <w:rsid w:val="00831501"/>
    <w:rsid w:val="00831B1D"/>
    <w:rsid w:val="008323F0"/>
    <w:rsid w:val="0083380C"/>
    <w:rsid w:val="0083506E"/>
    <w:rsid w:val="0083776E"/>
    <w:rsid w:val="00837A76"/>
    <w:rsid w:val="00837B8F"/>
    <w:rsid w:val="0084004D"/>
    <w:rsid w:val="008406C0"/>
    <w:rsid w:val="00842B6E"/>
    <w:rsid w:val="00844AD3"/>
    <w:rsid w:val="00845366"/>
    <w:rsid w:val="00846B30"/>
    <w:rsid w:val="00847ED9"/>
    <w:rsid w:val="00851587"/>
    <w:rsid w:val="008545A9"/>
    <w:rsid w:val="00854AB8"/>
    <w:rsid w:val="0085670E"/>
    <w:rsid w:val="00856D63"/>
    <w:rsid w:val="00856E23"/>
    <w:rsid w:val="008575EA"/>
    <w:rsid w:val="008605E5"/>
    <w:rsid w:val="00860ECB"/>
    <w:rsid w:val="00861B38"/>
    <w:rsid w:val="008620BA"/>
    <w:rsid w:val="0086248A"/>
    <w:rsid w:val="00862510"/>
    <w:rsid w:val="008626CA"/>
    <w:rsid w:val="00862F65"/>
    <w:rsid w:val="008642A9"/>
    <w:rsid w:val="00864355"/>
    <w:rsid w:val="00864BF0"/>
    <w:rsid w:val="00864F80"/>
    <w:rsid w:val="00865140"/>
    <w:rsid w:val="00865536"/>
    <w:rsid w:val="008655AD"/>
    <w:rsid w:val="008656AC"/>
    <w:rsid w:val="00865B81"/>
    <w:rsid w:val="00865CE4"/>
    <w:rsid w:val="008675FD"/>
    <w:rsid w:val="0087101B"/>
    <w:rsid w:val="008714DD"/>
    <w:rsid w:val="00872737"/>
    <w:rsid w:val="00872D90"/>
    <w:rsid w:val="008745DC"/>
    <w:rsid w:val="00874B04"/>
    <w:rsid w:val="008752D9"/>
    <w:rsid w:val="00875DE0"/>
    <w:rsid w:val="00877546"/>
    <w:rsid w:val="00882FDF"/>
    <w:rsid w:val="00883007"/>
    <w:rsid w:val="008831D0"/>
    <w:rsid w:val="008842D7"/>
    <w:rsid w:val="008852DD"/>
    <w:rsid w:val="00885612"/>
    <w:rsid w:val="00885E26"/>
    <w:rsid w:val="0088612E"/>
    <w:rsid w:val="0088721D"/>
    <w:rsid w:val="00887241"/>
    <w:rsid w:val="008929FB"/>
    <w:rsid w:val="008934FD"/>
    <w:rsid w:val="008935AE"/>
    <w:rsid w:val="00893DF1"/>
    <w:rsid w:val="008946A9"/>
    <w:rsid w:val="008955FF"/>
    <w:rsid w:val="0089632F"/>
    <w:rsid w:val="00896BE3"/>
    <w:rsid w:val="008A008E"/>
    <w:rsid w:val="008A1091"/>
    <w:rsid w:val="008A237A"/>
    <w:rsid w:val="008A317A"/>
    <w:rsid w:val="008A3690"/>
    <w:rsid w:val="008A437D"/>
    <w:rsid w:val="008A6438"/>
    <w:rsid w:val="008A6C44"/>
    <w:rsid w:val="008A7DDE"/>
    <w:rsid w:val="008B0E5F"/>
    <w:rsid w:val="008B1215"/>
    <w:rsid w:val="008B2984"/>
    <w:rsid w:val="008B2E81"/>
    <w:rsid w:val="008B32E3"/>
    <w:rsid w:val="008B489E"/>
    <w:rsid w:val="008B4926"/>
    <w:rsid w:val="008B496F"/>
    <w:rsid w:val="008B7C1A"/>
    <w:rsid w:val="008C0C64"/>
    <w:rsid w:val="008C1E08"/>
    <w:rsid w:val="008C3235"/>
    <w:rsid w:val="008C3C22"/>
    <w:rsid w:val="008C4955"/>
    <w:rsid w:val="008C532B"/>
    <w:rsid w:val="008C63DA"/>
    <w:rsid w:val="008C7B7A"/>
    <w:rsid w:val="008D02E3"/>
    <w:rsid w:val="008D08F5"/>
    <w:rsid w:val="008D2D5A"/>
    <w:rsid w:val="008D3C07"/>
    <w:rsid w:val="008D4243"/>
    <w:rsid w:val="008D4CE7"/>
    <w:rsid w:val="008D6615"/>
    <w:rsid w:val="008D67E3"/>
    <w:rsid w:val="008D6AD5"/>
    <w:rsid w:val="008D71E2"/>
    <w:rsid w:val="008D773A"/>
    <w:rsid w:val="008D7948"/>
    <w:rsid w:val="008D7BE9"/>
    <w:rsid w:val="008D7F82"/>
    <w:rsid w:val="008E0484"/>
    <w:rsid w:val="008E0F70"/>
    <w:rsid w:val="008E1136"/>
    <w:rsid w:val="008E25EB"/>
    <w:rsid w:val="008E32C4"/>
    <w:rsid w:val="008E4370"/>
    <w:rsid w:val="008E4FC8"/>
    <w:rsid w:val="008E5562"/>
    <w:rsid w:val="008E61BF"/>
    <w:rsid w:val="008E62F7"/>
    <w:rsid w:val="008E68CE"/>
    <w:rsid w:val="008E6C05"/>
    <w:rsid w:val="008E79F0"/>
    <w:rsid w:val="008F015F"/>
    <w:rsid w:val="008F0838"/>
    <w:rsid w:val="008F0A6D"/>
    <w:rsid w:val="008F110A"/>
    <w:rsid w:val="008F121C"/>
    <w:rsid w:val="008F1570"/>
    <w:rsid w:val="008F167C"/>
    <w:rsid w:val="008F2D31"/>
    <w:rsid w:val="008F2DEC"/>
    <w:rsid w:val="008F3B02"/>
    <w:rsid w:val="008F4D75"/>
    <w:rsid w:val="008F5491"/>
    <w:rsid w:val="008F5B38"/>
    <w:rsid w:val="008F5EE7"/>
    <w:rsid w:val="008F6636"/>
    <w:rsid w:val="008F759E"/>
    <w:rsid w:val="008F79CB"/>
    <w:rsid w:val="008F7E16"/>
    <w:rsid w:val="008F7E23"/>
    <w:rsid w:val="008F7F4A"/>
    <w:rsid w:val="00901A32"/>
    <w:rsid w:val="00901CB5"/>
    <w:rsid w:val="0090236E"/>
    <w:rsid w:val="00902C1D"/>
    <w:rsid w:val="009055F4"/>
    <w:rsid w:val="009057DC"/>
    <w:rsid w:val="009062BF"/>
    <w:rsid w:val="009077D5"/>
    <w:rsid w:val="00907895"/>
    <w:rsid w:val="00907AA3"/>
    <w:rsid w:val="00907BED"/>
    <w:rsid w:val="00910468"/>
    <w:rsid w:val="00911263"/>
    <w:rsid w:val="009114A1"/>
    <w:rsid w:val="00911AED"/>
    <w:rsid w:val="009121D1"/>
    <w:rsid w:val="00912667"/>
    <w:rsid w:val="00912AB6"/>
    <w:rsid w:val="00912E37"/>
    <w:rsid w:val="00913C4C"/>
    <w:rsid w:val="00914B8C"/>
    <w:rsid w:val="009150DC"/>
    <w:rsid w:val="00915DEE"/>
    <w:rsid w:val="009161CE"/>
    <w:rsid w:val="009166C5"/>
    <w:rsid w:val="00916770"/>
    <w:rsid w:val="00916AB9"/>
    <w:rsid w:val="00917392"/>
    <w:rsid w:val="00917CDE"/>
    <w:rsid w:val="009202AB"/>
    <w:rsid w:val="00920577"/>
    <w:rsid w:val="009207E5"/>
    <w:rsid w:val="0092108B"/>
    <w:rsid w:val="00921F9C"/>
    <w:rsid w:val="00922DF4"/>
    <w:rsid w:val="00923317"/>
    <w:rsid w:val="00923814"/>
    <w:rsid w:val="00926723"/>
    <w:rsid w:val="00927ACD"/>
    <w:rsid w:val="00927D4F"/>
    <w:rsid w:val="0093021D"/>
    <w:rsid w:val="009304F6"/>
    <w:rsid w:val="009307A4"/>
    <w:rsid w:val="00930B60"/>
    <w:rsid w:val="00930DAB"/>
    <w:rsid w:val="00931FE0"/>
    <w:rsid w:val="00931FF3"/>
    <w:rsid w:val="00932F50"/>
    <w:rsid w:val="009334FC"/>
    <w:rsid w:val="009337FB"/>
    <w:rsid w:val="00933AEC"/>
    <w:rsid w:val="009340A1"/>
    <w:rsid w:val="009341C4"/>
    <w:rsid w:val="00935171"/>
    <w:rsid w:val="00936BF1"/>
    <w:rsid w:val="00936D0C"/>
    <w:rsid w:val="009377C4"/>
    <w:rsid w:val="00940024"/>
    <w:rsid w:val="00940208"/>
    <w:rsid w:val="009442BF"/>
    <w:rsid w:val="009444B1"/>
    <w:rsid w:val="009446AB"/>
    <w:rsid w:val="00944EAA"/>
    <w:rsid w:val="009454DE"/>
    <w:rsid w:val="00945609"/>
    <w:rsid w:val="00945EFC"/>
    <w:rsid w:val="00945F12"/>
    <w:rsid w:val="009478FB"/>
    <w:rsid w:val="00947A91"/>
    <w:rsid w:val="00947BCC"/>
    <w:rsid w:val="00947EB7"/>
    <w:rsid w:val="0095120D"/>
    <w:rsid w:val="009515EC"/>
    <w:rsid w:val="0095367C"/>
    <w:rsid w:val="00955543"/>
    <w:rsid w:val="009572C9"/>
    <w:rsid w:val="00960211"/>
    <w:rsid w:val="00960852"/>
    <w:rsid w:val="00960996"/>
    <w:rsid w:val="0096123A"/>
    <w:rsid w:val="00961E72"/>
    <w:rsid w:val="00963725"/>
    <w:rsid w:val="009640E4"/>
    <w:rsid w:val="0096446B"/>
    <w:rsid w:val="00965AC3"/>
    <w:rsid w:val="00966911"/>
    <w:rsid w:val="00967651"/>
    <w:rsid w:val="00967F30"/>
    <w:rsid w:val="009705AA"/>
    <w:rsid w:val="00971306"/>
    <w:rsid w:val="0097145A"/>
    <w:rsid w:val="009726F3"/>
    <w:rsid w:val="00972CB7"/>
    <w:rsid w:val="00974852"/>
    <w:rsid w:val="0097496E"/>
    <w:rsid w:val="009758F6"/>
    <w:rsid w:val="00976218"/>
    <w:rsid w:val="0097718D"/>
    <w:rsid w:val="0098103A"/>
    <w:rsid w:val="00981A23"/>
    <w:rsid w:val="0098214B"/>
    <w:rsid w:val="0098427D"/>
    <w:rsid w:val="00985076"/>
    <w:rsid w:val="009851A0"/>
    <w:rsid w:val="009855A0"/>
    <w:rsid w:val="00985733"/>
    <w:rsid w:val="00985B3E"/>
    <w:rsid w:val="00986F60"/>
    <w:rsid w:val="009875B7"/>
    <w:rsid w:val="00990D7A"/>
    <w:rsid w:val="0099117F"/>
    <w:rsid w:val="00995730"/>
    <w:rsid w:val="009958BB"/>
    <w:rsid w:val="009978A4"/>
    <w:rsid w:val="009A04A1"/>
    <w:rsid w:val="009A0C26"/>
    <w:rsid w:val="009A0CE6"/>
    <w:rsid w:val="009A28FD"/>
    <w:rsid w:val="009A29F8"/>
    <w:rsid w:val="009A2A36"/>
    <w:rsid w:val="009A2BF4"/>
    <w:rsid w:val="009A32EF"/>
    <w:rsid w:val="009A352E"/>
    <w:rsid w:val="009A3DB5"/>
    <w:rsid w:val="009A5C0A"/>
    <w:rsid w:val="009A6660"/>
    <w:rsid w:val="009A6AC0"/>
    <w:rsid w:val="009A7285"/>
    <w:rsid w:val="009B0007"/>
    <w:rsid w:val="009B0AA1"/>
    <w:rsid w:val="009B2124"/>
    <w:rsid w:val="009B2818"/>
    <w:rsid w:val="009B2E2F"/>
    <w:rsid w:val="009B4639"/>
    <w:rsid w:val="009B4812"/>
    <w:rsid w:val="009B51D2"/>
    <w:rsid w:val="009B5A15"/>
    <w:rsid w:val="009B5F60"/>
    <w:rsid w:val="009B65DC"/>
    <w:rsid w:val="009C14AF"/>
    <w:rsid w:val="009C174B"/>
    <w:rsid w:val="009C2CE2"/>
    <w:rsid w:val="009C30D1"/>
    <w:rsid w:val="009C30E8"/>
    <w:rsid w:val="009C3127"/>
    <w:rsid w:val="009C4F7E"/>
    <w:rsid w:val="009C56D8"/>
    <w:rsid w:val="009C602D"/>
    <w:rsid w:val="009C64C6"/>
    <w:rsid w:val="009C7CDE"/>
    <w:rsid w:val="009D06CA"/>
    <w:rsid w:val="009D0BAC"/>
    <w:rsid w:val="009D0F8C"/>
    <w:rsid w:val="009D1106"/>
    <w:rsid w:val="009D1B97"/>
    <w:rsid w:val="009D26DD"/>
    <w:rsid w:val="009D3238"/>
    <w:rsid w:val="009D3D1D"/>
    <w:rsid w:val="009D5D75"/>
    <w:rsid w:val="009D7101"/>
    <w:rsid w:val="009E04E2"/>
    <w:rsid w:val="009E1444"/>
    <w:rsid w:val="009E23C2"/>
    <w:rsid w:val="009E51F6"/>
    <w:rsid w:val="009E5470"/>
    <w:rsid w:val="009E6848"/>
    <w:rsid w:val="009E6A34"/>
    <w:rsid w:val="009E769B"/>
    <w:rsid w:val="009F0AAB"/>
    <w:rsid w:val="009F0C44"/>
    <w:rsid w:val="009F2C1A"/>
    <w:rsid w:val="009F3008"/>
    <w:rsid w:val="009F5038"/>
    <w:rsid w:val="009F510C"/>
    <w:rsid w:val="009F5820"/>
    <w:rsid w:val="009F5E8B"/>
    <w:rsid w:val="00A00057"/>
    <w:rsid w:val="00A003B5"/>
    <w:rsid w:val="00A00863"/>
    <w:rsid w:val="00A0124B"/>
    <w:rsid w:val="00A0147B"/>
    <w:rsid w:val="00A0290B"/>
    <w:rsid w:val="00A02FB3"/>
    <w:rsid w:val="00A038D0"/>
    <w:rsid w:val="00A0451B"/>
    <w:rsid w:val="00A05D12"/>
    <w:rsid w:val="00A05F32"/>
    <w:rsid w:val="00A06465"/>
    <w:rsid w:val="00A079D1"/>
    <w:rsid w:val="00A07AE9"/>
    <w:rsid w:val="00A103D8"/>
    <w:rsid w:val="00A12762"/>
    <w:rsid w:val="00A13A97"/>
    <w:rsid w:val="00A13E7C"/>
    <w:rsid w:val="00A153EC"/>
    <w:rsid w:val="00A154BC"/>
    <w:rsid w:val="00A15D9B"/>
    <w:rsid w:val="00A1693E"/>
    <w:rsid w:val="00A1736D"/>
    <w:rsid w:val="00A208EB"/>
    <w:rsid w:val="00A2131D"/>
    <w:rsid w:val="00A2166D"/>
    <w:rsid w:val="00A22320"/>
    <w:rsid w:val="00A22684"/>
    <w:rsid w:val="00A227B2"/>
    <w:rsid w:val="00A22E0A"/>
    <w:rsid w:val="00A23D9B"/>
    <w:rsid w:val="00A25108"/>
    <w:rsid w:val="00A25919"/>
    <w:rsid w:val="00A30665"/>
    <w:rsid w:val="00A30CD3"/>
    <w:rsid w:val="00A34E15"/>
    <w:rsid w:val="00A361DB"/>
    <w:rsid w:val="00A36F22"/>
    <w:rsid w:val="00A373CA"/>
    <w:rsid w:val="00A414AE"/>
    <w:rsid w:val="00A4242B"/>
    <w:rsid w:val="00A42C34"/>
    <w:rsid w:val="00A43764"/>
    <w:rsid w:val="00A4432E"/>
    <w:rsid w:val="00A449A0"/>
    <w:rsid w:val="00A47459"/>
    <w:rsid w:val="00A47551"/>
    <w:rsid w:val="00A501CA"/>
    <w:rsid w:val="00A5091F"/>
    <w:rsid w:val="00A509B9"/>
    <w:rsid w:val="00A516E3"/>
    <w:rsid w:val="00A52A61"/>
    <w:rsid w:val="00A5338E"/>
    <w:rsid w:val="00A53AC1"/>
    <w:rsid w:val="00A53D02"/>
    <w:rsid w:val="00A53E38"/>
    <w:rsid w:val="00A54C40"/>
    <w:rsid w:val="00A54F2D"/>
    <w:rsid w:val="00A555D2"/>
    <w:rsid w:val="00A55BD4"/>
    <w:rsid w:val="00A55FE8"/>
    <w:rsid w:val="00A561F4"/>
    <w:rsid w:val="00A5679F"/>
    <w:rsid w:val="00A577FD"/>
    <w:rsid w:val="00A57E10"/>
    <w:rsid w:val="00A60C6D"/>
    <w:rsid w:val="00A618D9"/>
    <w:rsid w:val="00A61AAB"/>
    <w:rsid w:val="00A627A5"/>
    <w:rsid w:val="00A62E3E"/>
    <w:rsid w:val="00A64779"/>
    <w:rsid w:val="00A659B5"/>
    <w:rsid w:val="00A660E0"/>
    <w:rsid w:val="00A661B1"/>
    <w:rsid w:val="00A67063"/>
    <w:rsid w:val="00A671DB"/>
    <w:rsid w:val="00A6720E"/>
    <w:rsid w:val="00A70E1D"/>
    <w:rsid w:val="00A71972"/>
    <w:rsid w:val="00A7408E"/>
    <w:rsid w:val="00A74599"/>
    <w:rsid w:val="00A74D7F"/>
    <w:rsid w:val="00A754C1"/>
    <w:rsid w:val="00A756E2"/>
    <w:rsid w:val="00A761A3"/>
    <w:rsid w:val="00A76332"/>
    <w:rsid w:val="00A77243"/>
    <w:rsid w:val="00A7779D"/>
    <w:rsid w:val="00A77F7E"/>
    <w:rsid w:val="00A810E5"/>
    <w:rsid w:val="00A83015"/>
    <w:rsid w:val="00A83DCD"/>
    <w:rsid w:val="00A87033"/>
    <w:rsid w:val="00A87275"/>
    <w:rsid w:val="00A8775D"/>
    <w:rsid w:val="00A87766"/>
    <w:rsid w:val="00A878BF"/>
    <w:rsid w:val="00A8790B"/>
    <w:rsid w:val="00A87ECD"/>
    <w:rsid w:val="00A90459"/>
    <w:rsid w:val="00A9058F"/>
    <w:rsid w:val="00A90BA4"/>
    <w:rsid w:val="00A9157C"/>
    <w:rsid w:val="00A91614"/>
    <w:rsid w:val="00A919EF"/>
    <w:rsid w:val="00A91EC8"/>
    <w:rsid w:val="00A92E25"/>
    <w:rsid w:val="00A93946"/>
    <w:rsid w:val="00A94D3C"/>
    <w:rsid w:val="00A951E1"/>
    <w:rsid w:val="00A97912"/>
    <w:rsid w:val="00A97949"/>
    <w:rsid w:val="00AA0889"/>
    <w:rsid w:val="00AA14BF"/>
    <w:rsid w:val="00AA485A"/>
    <w:rsid w:val="00AA4C37"/>
    <w:rsid w:val="00AA5C76"/>
    <w:rsid w:val="00AA7047"/>
    <w:rsid w:val="00AA7BB2"/>
    <w:rsid w:val="00AB28DC"/>
    <w:rsid w:val="00AB2A03"/>
    <w:rsid w:val="00AB2A9B"/>
    <w:rsid w:val="00AB2BCA"/>
    <w:rsid w:val="00AB2EF2"/>
    <w:rsid w:val="00AB30C1"/>
    <w:rsid w:val="00AB3945"/>
    <w:rsid w:val="00AB4AFE"/>
    <w:rsid w:val="00AB55C6"/>
    <w:rsid w:val="00AB688A"/>
    <w:rsid w:val="00AB71A3"/>
    <w:rsid w:val="00AB7E4E"/>
    <w:rsid w:val="00AC03BD"/>
    <w:rsid w:val="00AC1559"/>
    <w:rsid w:val="00AC16F4"/>
    <w:rsid w:val="00AC3AF4"/>
    <w:rsid w:val="00AC41F3"/>
    <w:rsid w:val="00AC533A"/>
    <w:rsid w:val="00AD0F6B"/>
    <w:rsid w:val="00AD1054"/>
    <w:rsid w:val="00AD1171"/>
    <w:rsid w:val="00AD1541"/>
    <w:rsid w:val="00AD15DD"/>
    <w:rsid w:val="00AD2B37"/>
    <w:rsid w:val="00AD2E51"/>
    <w:rsid w:val="00AD35E1"/>
    <w:rsid w:val="00AD5018"/>
    <w:rsid w:val="00AD5188"/>
    <w:rsid w:val="00AD5B5F"/>
    <w:rsid w:val="00AD5C7C"/>
    <w:rsid w:val="00AD65CF"/>
    <w:rsid w:val="00AD75BF"/>
    <w:rsid w:val="00AD7C35"/>
    <w:rsid w:val="00AE05FE"/>
    <w:rsid w:val="00AE0DB3"/>
    <w:rsid w:val="00AE1BF5"/>
    <w:rsid w:val="00AE335D"/>
    <w:rsid w:val="00AE3B36"/>
    <w:rsid w:val="00AE3D7D"/>
    <w:rsid w:val="00AE4C8B"/>
    <w:rsid w:val="00AE4F63"/>
    <w:rsid w:val="00AE6384"/>
    <w:rsid w:val="00AE6BCF"/>
    <w:rsid w:val="00AE7144"/>
    <w:rsid w:val="00AF03C7"/>
    <w:rsid w:val="00AF0973"/>
    <w:rsid w:val="00AF164C"/>
    <w:rsid w:val="00AF3C15"/>
    <w:rsid w:val="00AF4CC7"/>
    <w:rsid w:val="00AF5FBD"/>
    <w:rsid w:val="00AF683B"/>
    <w:rsid w:val="00AF7384"/>
    <w:rsid w:val="00B01318"/>
    <w:rsid w:val="00B01732"/>
    <w:rsid w:val="00B02019"/>
    <w:rsid w:val="00B027F9"/>
    <w:rsid w:val="00B03108"/>
    <w:rsid w:val="00B03622"/>
    <w:rsid w:val="00B044AE"/>
    <w:rsid w:val="00B04AC7"/>
    <w:rsid w:val="00B04B7C"/>
    <w:rsid w:val="00B0562A"/>
    <w:rsid w:val="00B05B45"/>
    <w:rsid w:val="00B0661A"/>
    <w:rsid w:val="00B06DB4"/>
    <w:rsid w:val="00B06EA7"/>
    <w:rsid w:val="00B07E87"/>
    <w:rsid w:val="00B10777"/>
    <w:rsid w:val="00B10D30"/>
    <w:rsid w:val="00B11437"/>
    <w:rsid w:val="00B14000"/>
    <w:rsid w:val="00B1435E"/>
    <w:rsid w:val="00B1471F"/>
    <w:rsid w:val="00B205FC"/>
    <w:rsid w:val="00B2064F"/>
    <w:rsid w:val="00B20E04"/>
    <w:rsid w:val="00B215CD"/>
    <w:rsid w:val="00B21814"/>
    <w:rsid w:val="00B220FC"/>
    <w:rsid w:val="00B22B4A"/>
    <w:rsid w:val="00B25877"/>
    <w:rsid w:val="00B264D7"/>
    <w:rsid w:val="00B2743C"/>
    <w:rsid w:val="00B30CDC"/>
    <w:rsid w:val="00B30F7B"/>
    <w:rsid w:val="00B329A7"/>
    <w:rsid w:val="00B32EB4"/>
    <w:rsid w:val="00B34041"/>
    <w:rsid w:val="00B34143"/>
    <w:rsid w:val="00B341C3"/>
    <w:rsid w:val="00B355EB"/>
    <w:rsid w:val="00B35847"/>
    <w:rsid w:val="00B36753"/>
    <w:rsid w:val="00B36A83"/>
    <w:rsid w:val="00B40073"/>
    <w:rsid w:val="00B41C4D"/>
    <w:rsid w:val="00B421DD"/>
    <w:rsid w:val="00B4264B"/>
    <w:rsid w:val="00B426CA"/>
    <w:rsid w:val="00B42E8E"/>
    <w:rsid w:val="00B4333E"/>
    <w:rsid w:val="00B43B1F"/>
    <w:rsid w:val="00B43EDE"/>
    <w:rsid w:val="00B44EA2"/>
    <w:rsid w:val="00B45328"/>
    <w:rsid w:val="00B4533B"/>
    <w:rsid w:val="00B470C5"/>
    <w:rsid w:val="00B47419"/>
    <w:rsid w:val="00B4767F"/>
    <w:rsid w:val="00B50DD5"/>
    <w:rsid w:val="00B52EF9"/>
    <w:rsid w:val="00B532E1"/>
    <w:rsid w:val="00B53A12"/>
    <w:rsid w:val="00B543EB"/>
    <w:rsid w:val="00B54C3E"/>
    <w:rsid w:val="00B55BCB"/>
    <w:rsid w:val="00B561B5"/>
    <w:rsid w:val="00B56589"/>
    <w:rsid w:val="00B566DF"/>
    <w:rsid w:val="00B5735F"/>
    <w:rsid w:val="00B60FC8"/>
    <w:rsid w:val="00B62BEF"/>
    <w:rsid w:val="00B63381"/>
    <w:rsid w:val="00B644D9"/>
    <w:rsid w:val="00B65B45"/>
    <w:rsid w:val="00B66C74"/>
    <w:rsid w:val="00B7040F"/>
    <w:rsid w:val="00B70B26"/>
    <w:rsid w:val="00B70DBF"/>
    <w:rsid w:val="00B718F5"/>
    <w:rsid w:val="00B761C6"/>
    <w:rsid w:val="00B768B1"/>
    <w:rsid w:val="00B76F1C"/>
    <w:rsid w:val="00B77E48"/>
    <w:rsid w:val="00B80045"/>
    <w:rsid w:val="00B80E0E"/>
    <w:rsid w:val="00B81688"/>
    <w:rsid w:val="00B81D58"/>
    <w:rsid w:val="00B825C1"/>
    <w:rsid w:val="00B82A95"/>
    <w:rsid w:val="00B8381D"/>
    <w:rsid w:val="00B85156"/>
    <w:rsid w:val="00B855DB"/>
    <w:rsid w:val="00B858F0"/>
    <w:rsid w:val="00B85ED1"/>
    <w:rsid w:val="00B87641"/>
    <w:rsid w:val="00B908D9"/>
    <w:rsid w:val="00B911ED"/>
    <w:rsid w:val="00B91A33"/>
    <w:rsid w:val="00B91E0E"/>
    <w:rsid w:val="00B9385B"/>
    <w:rsid w:val="00B945C2"/>
    <w:rsid w:val="00B945ED"/>
    <w:rsid w:val="00B95B30"/>
    <w:rsid w:val="00B95F2B"/>
    <w:rsid w:val="00B976E0"/>
    <w:rsid w:val="00B97838"/>
    <w:rsid w:val="00B97F63"/>
    <w:rsid w:val="00BA0416"/>
    <w:rsid w:val="00BA0695"/>
    <w:rsid w:val="00BA17EE"/>
    <w:rsid w:val="00BA21C7"/>
    <w:rsid w:val="00BA2398"/>
    <w:rsid w:val="00BA3970"/>
    <w:rsid w:val="00BA3BF7"/>
    <w:rsid w:val="00BA4D74"/>
    <w:rsid w:val="00BA5FFE"/>
    <w:rsid w:val="00BA6B01"/>
    <w:rsid w:val="00BA70B4"/>
    <w:rsid w:val="00BB22BF"/>
    <w:rsid w:val="00BB272C"/>
    <w:rsid w:val="00BB2890"/>
    <w:rsid w:val="00BB3FA4"/>
    <w:rsid w:val="00BB445C"/>
    <w:rsid w:val="00BB4BD5"/>
    <w:rsid w:val="00BB50AA"/>
    <w:rsid w:val="00BB5DD2"/>
    <w:rsid w:val="00BB6F29"/>
    <w:rsid w:val="00BB70EC"/>
    <w:rsid w:val="00BB769E"/>
    <w:rsid w:val="00BB7996"/>
    <w:rsid w:val="00BC0585"/>
    <w:rsid w:val="00BC0804"/>
    <w:rsid w:val="00BC12AA"/>
    <w:rsid w:val="00BC28FA"/>
    <w:rsid w:val="00BC3B1D"/>
    <w:rsid w:val="00BC3E9A"/>
    <w:rsid w:val="00BC4FD4"/>
    <w:rsid w:val="00BD1004"/>
    <w:rsid w:val="00BD1211"/>
    <w:rsid w:val="00BD16AB"/>
    <w:rsid w:val="00BD1CEA"/>
    <w:rsid w:val="00BD1FC6"/>
    <w:rsid w:val="00BD26CE"/>
    <w:rsid w:val="00BD4357"/>
    <w:rsid w:val="00BD61E6"/>
    <w:rsid w:val="00BD648C"/>
    <w:rsid w:val="00BD67E9"/>
    <w:rsid w:val="00BD6B53"/>
    <w:rsid w:val="00BD72F7"/>
    <w:rsid w:val="00BD77BC"/>
    <w:rsid w:val="00BE05BF"/>
    <w:rsid w:val="00BE0900"/>
    <w:rsid w:val="00BE178B"/>
    <w:rsid w:val="00BE17F6"/>
    <w:rsid w:val="00BE1E27"/>
    <w:rsid w:val="00BE48F3"/>
    <w:rsid w:val="00BE5422"/>
    <w:rsid w:val="00BE69D3"/>
    <w:rsid w:val="00BE74B8"/>
    <w:rsid w:val="00BE7950"/>
    <w:rsid w:val="00BE7CF3"/>
    <w:rsid w:val="00BE7D8C"/>
    <w:rsid w:val="00BF327E"/>
    <w:rsid w:val="00BF38D3"/>
    <w:rsid w:val="00BF4578"/>
    <w:rsid w:val="00BF4B43"/>
    <w:rsid w:val="00BF4F47"/>
    <w:rsid w:val="00BF50DA"/>
    <w:rsid w:val="00C00201"/>
    <w:rsid w:val="00C00437"/>
    <w:rsid w:val="00C0150A"/>
    <w:rsid w:val="00C0186B"/>
    <w:rsid w:val="00C01E9F"/>
    <w:rsid w:val="00C03452"/>
    <w:rsid w:val="00C03CF5"/>
    <w:rsid w:val="00C041D2"/>
    <w:rsid w:val="00C056DD"/>
    <w:rsid w:val="00C068BA"/>
    <w:rsid w:val="00C07CCA"/>
    <w:rsid w:val="00C10700"/>
    <w:rsid w:val="00C10F38"/>
    <w:rsid w:val="00C119CA"/>
    <w:rsid w:val="00C11BBE"/>
    <w:rsid w:val="00C11CD5"/>
    <w:rsid w:val="00C12B66"/>
    <w:rsid w:val="00C13B07"/>
    <w:rsid w:val="00C13FF4"/>
    <w:rsid w:val="00C157C8"/>
    <w:rsid w:val="00C1591F"/>
    <w:rsid w:val="00C166A6"/>
    <w:rsid w:val="00C1684D"/>
    <w:rsid w:val="00C1693B"/>
    <w:rsid w:val="00C16C79"/>
    <w:rsid w:val="00C16F4D"/>
    <w:rsid w:val="00C20566"/>
    <w:rsid w:val="00C21B65"/>
    <w:rsid w:val="00C21C89"/>
    <w:rsid w:val="00C22AB8"/>
    <w:rsid w:val="00C232A9"/>
    <w:rsid w:val="00C23456"/>
    <w:rsid w:val="00C23F18"/>
    <w:rsid w:val="00C256C4"/>
    <w:rsid w:val="00C260D2"/>
    <w:rsid w:val="00C26E11"/>
    <w:rsid w:val="00C27C8B"/>
    <w:rsid w:val="00C27F6C"/>
    <w:rsid w:val="00C309CE"/>
    <w:rsid w:val="00C30D82"/>
    <w:rsid w:val="00C30E1B"/>
    <w:rsid w:val="00C317BE"/>
    <w:rsid w:val="00C31866"/>
    <w:rsid w:val="00C31FE0"/>
    <w:rsid w:val="00C3274F"/>
    <w:rsid w:val="00C32EB7"/>
    <w:rsid w:val="00C3303C"/>
    <w:rsid w:val="00C33A13"/>
    <w:rsid w:val="00C3462F"/>
    <w:rsid w:val="00C34E90"/>
    <w:rsid w:val="00C354C0"/>
    <w:rsid w:val="00C362A6"/>
    <w:rsid w:val="00C36532"/>
    <w:rsid w:val="00C37897"/>
    <w:rsid w:val="00C37EAE"/>
    <w:rsid w:val="00C403C0"/>
    <w:rsid w:val="00C4181E"/>
    <w:rsid w:val="00C4204E"/>
    <w:rsid w:val="00C4373A"/>
    <w:rsid w:val="00C4375B"/>
    <w:rsid w:val="00C44683"/>
    <w:rsid w:val="00C44D32"/>
    <w:rsid w:val="00C4604B"/>
    <w:rsid w:val="00C46290"/>
    <w:rsid w:val="00C47385"/>
    <w:rsid w:val="00C47A66"/>
    <w:rsid w:val="00C502C6"/>
    <w:rsid w:val="00C537AF"/>
    <w:rsid w:val="00C559F2"/>
    <w:rsid w:val="00C55C02"/>
    <w:rsid w:val="00C57A10"/>
    <w:rsid w:val="00C57E4C"/>
    <w:rsid w:val="00C601B9"/>
    <w:rsid w:val="00C6073B"/>
    <w:rsid w:val="00C609B3"/>
    <w:rsid w:val="00C61F7B"/>
    <w:rsid w:val="00C62D90"/>
    <w:rsid w:val="00C63114"/>
    <w:rsid w:val="00C63F69"/>
    <w:rsid w:val="00C651AF"/>
    <w:rsid w:val="00C67FF3"/>
    <w:rsid w:val="00C7184D"/>
    <w:rsid w:val="00C71FDA"/>
    <w:rsid w:val="00C72A32"/>
    <w:rsid w:val="00C734AA"/>
    <w:rsid w:val="00C7402F"/>
    <w:rsid w:val="00C74103"/>
    <w:rsid w:val="00C75694"/>
    <w:rsid w:val="00C75B14"/>
    <w:rsid w:val="00C76118"/>
    <w:rsid w:val="00C77572"/>
    <w:rsid w:val="00C77C06"/>
    <w:rsid w:val="00C81163"/>
    <w:rsid w:val="00C812BF"/>
    <w:rsid w:val="00C831ED"/>
    <w:rsid w:val="00C834BE"/>
    <w:rsid w:val="00C85E57"/>
    <w:rsid w:val="00C8687A"/>
    <w:rsid w:val="00C868EB"/>
    <w:rsid w:val="00C86F2D"/>
    <w:rsid w:val="00C87130"/>
    <w:rsid w:val="00C87CBA"/>
    <w:rsid w:val="00C90126"/>
    <w:rsid w:val="00C925D8"/>
    <w:rsid w:val="00C92825"/>
    <w:rsid w:val="00C92E23"/>
    <w:rsid w:val="00C939FE"/>
    <w:rsid w:val="00C95CD5"/>
    <w:rsid w:val="00C97450"/>
    <w:rsid w:val="00C975DA"/>
    <w:rsid w:val="00CA13A0"/>
    <w:rsid w:val="00CA1CA2"/>
    <w:rsid w:val="00CA1EAA"/>
    <w:rsid w:val="00CA27D3"/>
    <w:rsid w:val="00CA3952"/>
    <w:rsid w:val="00CA4D0A"/>
    <w:rsid w:val="00CA5B92"/>
    <w:rsid w:val="00CA5BB8"/>
    <w:rsid w:val="00CA5E2C"/>
    <w:rsid w:val="00CA6C3B"/>
    <w:rsid w:val="00CA75BF"/>
    <w:rsid w:val="00CA7916"/>
    <w:rsid w:val="00CB0791"/>
    <w:rsid w:val="00CB207B"/>
    <w:rsid w:val="00CB21E7"/>
    <w:rsid w:val="00CB38D8"/>
    <w:rsid w:val="00CB38F9"/>
    <w:rsid w:val="00CB4073"/>
    <w:rsid w:val="00CB45EA"/>
    <w:rsid w:val="00CB49E2"/>
    <w:rsid w:val="00CB50B3"/>
    <w:rsid w:val="00CB5A81"/>
    <w:rsid w:val="00CB679A"/>
    <w:rsid w:val="00CB6B2B"/>
    <w:rsid w:val="00CC00AD"/>
    <w:rsid w:val="00CC0CFF"/>
    <w:rsid w:val="00CC1507"/>
    <w:rsid w:val="00CC3187"/>
    <w:rsid w:val="00CC41BD"/>
    <w:rsid w:val="00CC4C58"/>
    <w:rsid w:val="00CC576E"/>
    <w:rsid w:val="00CC6266"/>
    <w:rsid w:val="00CC6CA4"/>
    <w:rsid w:val="00CC7D7C"/>
    <w:rsid w:val="00CD0566"/>
    <w:rsid w:val="00CD0BCF"/>
    <w:rsid w:val="00CD1870"/>
    <w:rsid w:val="00CD1C52"/>
    <w:rsid w:val="00CD2FA3"/>
    <w:rsid w:val="00CD382C"/>
    <w:rsid w:val="00CD3FA6"/>
    <w:rsid w:val="00CD4180"/>
    <w:rsid w:val="00CD41A1"/>
    <w:rsid w:val="00CD6036"/>
    <w:rsid w:val="00CD6E5D"/>
    <w:rsid w:val="00CE01C2"/>
    <w:rsid w:val="00CE12FA"/>
    <w:rsid w:val="00CE1C7B"/>
    <w:rsid w:val="00CE3785"/>
    <w:rsid w:val="00CE3792"/>
    <w:rsid w:val="00CE477E"/>
    <w:rsid w:val="00CE561B"/>
    <w:rsid w:val="00CE596E"/>
    <w:rsid w:val="00CE6B16"/>
    <w:rsid w:val="00CE7272"/>
    <w:rsid w:val="00CE78F1"/>
    <w:rsid w:val="00CE7995"/>
    <w:rsid w:val="00CF01DD"/>
    <w:rsid w:val="00CF1FFF"/>
    <w:rsid w:val="00CF3FDE"/>
    <w:rsid w:val="00CF4652"/>
    <w:rsid w:val="00CF781C"/>
    <w:rsid w:val="00CF79A3"/>
    <w:rsid w:val="00D00469"/>
    <w:rsid w:val="00D0096D"/>
    <w:rsid w:val="00D00FA2"/>
    <w:rsid w:val="00D027A4"/>
    <w:rsid w:val="00D027A6"/>
    <w:rsid w:val="00D02D07"/>
    <w:rsid w:val="00D03211"/>
    <w:rsid w:val="00D0396C"/>
    <w:rsid w:val="00D03F9E"/>
    <w:rsid w:val="00D051FA"/>
    <w:rsid w:val="00D07B30"/>
    <w:rsid w:val="00D07C3E"/>
    <w:rsid w:val="00D10243"/>
    <w:rsid w:val="00D114F4"/>
    <w:rsid w:val="00D1254F"/>
    <w:rsid w:val="00D13416"/>
    <w:rsid w:val="00D14281"/>
    <w:rsid w:val="00D14E1E"/>
    <w:rsid w:val="00D14E3B"/>
    <w:rsid w:val="00D14FA8"/>
    <w:rsid w:val="00D14FDC"/>
    <w:rsid w:val="00D156FD"/>
    <w:rsid w:val="00D17639"/>
    <w:rsid w:val="00D179DD"/>
    <w:rsid w:val="00D20143"/>
    <w:rsid w:val="00D20591"/>
    <w:rsid w:val="00D20930"/>
    <w:rsid w:val="00D20989"/>
    <w:rsid w:val="00D218CB"/>
    <w:rsid w:val="00D22971"/>
    <w:rsid w:val="00D23BB3"/>
    <w:rsid w:val="00D23DFA"/>
    <w:rsid w:val="00D24B23"/>
    <w:rsid w:val="00D25A97"/>
    <w:rsid w:val="00D26946"/>
    <w:rsid w:val="00D2737B"/>
    <w:rsid w:val="00D27722"/>
    <w:rsid w:val="00D3109C"/>
    <w:rsid w:val="00D31EA6"/>
    <w:rsid w:val="00D331D4"/>
    <w:rsid w:val="00D33FD0"/>
    <w:rsid w:val="00D3405C"/>
    <w:rsid w:val="00D35487"/>
    <w:rsid w:val="00D35641"/>
    <w:rsid w:val="00D3588F"/>
    <w:rsid w:val="00D35AD9"/>
    <w:rsid w:val="00D37514"/>
    <w:rsid w:val="00D37D5D"/>
    <w:rsid w:val="00D40E5A"/>
    <w:rsid w:val="00D41353"/>
    <w:rsid w:val="00D41916"/>
    <w:rsid w:val="00D421F5"/>
    <w:rsid w:val="00D42BAD"/>
    <w:rsid w:val="00D42FB5"/>
    <w:rsid w:val="00D433B9"/>
    <w:rsid w:val="00D4386A"/>
    <w:rsid w:val="00D44A0E"/>
    <w:rsid w:val="00D44C0B"/>
    <w:rsid w:val="00D45647"/>
    <w:rsid w:val="00D46939"/>
    <w:rsid w:val="00D47DFB"/>
    <w:rsid w:val="00D50F0B"/>
    <w:rsid w:val="00D5102A"/>
    <w:rsid w:val="00D51B78"/>
    <w:rsid w:val="00D5368B"/>
    <w:rsid w:val="00D54830"/>
    <w:rsid w:val="00D548A6"/>
    <w:rsid w:val="00D54BDB"/>
    <w:rsid w:val="00D56BA3"/>
    <w:rsid w:val="00D5711A"/>
    <w:rsid w:val="00D5748F"/>
    <w:rsid w:val="00D575B5"/>
    <w:rsid w:val="00D6012D"/>
    <w:rsid w:val="00D60A29"/>
    <w:rsid w:val="00D61A56"/>
    <w:rsid w:val="00D62424"/>
    <w:rsid w:val="00D63DE4"/>
    <w:rsid w:val="00D64059"/>
    <w:rsid w:val="00D64E58"/>
    <w:rsid w:val="00D6579D"/>
    <w:rsid w:val="00D659FA"/>
    <w:rsid w:val="00D660EC"/>
    <w:rsid w:val="00D671A6"/>
    <w:rsid w:val="00D67621"/>
    <w:rsid w:val="00D67ED8"/>
    <w:rsid w:val="00D7107C"/>
    <w:rsid w:val="00D71122"/>
    <w:rsid w:val="00D7209B"/>
    <w:rsid w:val="00D72129"/>
    <w:rsid w:val="00D728F1"/>
    <w:rsid w:val="00D733AB"/>
    <w:rsid w:val="00D7368C"/>
    <w:rsid w:val="00D7380B"/>
    <w:rsid w:val="00D73E81"/>
    <w:rsid w:val="00D74152"/>
    <w:rsid w:val="00D741B5"/>
    <w:rsid w:val="00D74353"/>
    <w:rsid w:val="00D75351"/>
    <w:rsid w:val="00D76DBB"/>
    <w:rsid w:val="00D77860"/>
    <w:rsid w:val="00D77D1A"/>
    <w:rsid w:val="00D80080"/>
    <w:rsid w:val="00D80AFD"/>
    <w:rsid w:val="00D82DA7"/>
    <w:rsid w:val="00D82ED0"/>
    <w:rsid w:val="00D83409"/>
    <w:rsid w:val="00D83787"/>
    <w:rsid w:val="00D83974"/>
    <w:rsid w:val="00D83DCF"/>
    <w:rsid w:val="00D84428"/>
    <w:rsid w:val="00D85079"/>
    <w:rsid w:val="00D903FD"/>
    <w:rsid w:val="00D918B7"/>
    <w:rsid w:val="00D93C0A"/>
    <w:rsid w:val="00D951DB"/>
    <w:rsid w:val="00D95585"/>
    <w:rsid w:val="00D95A89"/>
    <w:rsid w:val="00D95B39"/>
    <w:rsid w:val="00D95E51"/>
    <w:rsid w:val="00D96133"/>
    <w:rsid w:val="00D963F6"/>
    <w:rsid w:val="00D96910"/>
    <w:rsid w:val="00D96A9A"/>
    <w:rsid w:val="00DA10D3"/>
    <w:rsid w:val="00DA15A4"/>
    <w:rsid w:val="00DA1639"/>
    <w:rsid w:val="00DA1B04"/>
    <w:rsid w:val="00DA28A5"/>
    <w:rsid w:val="00DA2A7A"/>
    <w:rsid w:val="00DA3026"/>
    <w:rsid w:val="00DA545B"/>
    <w:rsid w:val="00DA5B60"/>
    <w:rsid w:val="00DA5F25"/>
    <w:rsid w:val="00DA6B52"/>
    <w:rsid w:val="00DB0385"/>
    <w:rsid w:val="00DB09E3"/>
    <w:rsid w:val="00DB1546"/>
    <w:rsid w:val="00DB46E8"/>
    <w:rsid w:val="00DB4B26"/>
    <w:rsid w:val="00DB4C4A"/>
    <w:rsid w:val="00DB518D"/>
    <w:rsid w:val="00DB5490"/>
    <w:rsid w:val="00DB6BA9"/>
    <w:rsid w:val="00DB7BE2"/>
    <w:rsid w:val="00DC0274"/>
    <w:rsid w:val="00DC0B28"/>
    <w:rsid w:val="00DC1354"/>
    <w:rsid w:val="00DC2891"/>
    <w:rsid w:val="00DC2B7E"/>
    <w:rsid w:val="00DC30F1"/>
    <w:rsid w:val="00DC3BDF"/>
    <w:rsid w:val="00DC6B77"/>
    <w:rsid w:val="00DC71F9"/>
    <w:rsid w:val="00DC7A16"/>
    <w:rsid w:val="00DC7BFA"/>
    <w:rsid w:val="00DD0169"/>
    <w:rsid w:val="00DD03AD"/>
    <w:rsid w:val="00DD0B43"/>
    <w:rsid w:val="00DD1AF1"/>
    <w:rsid w:val="00DD3078"/>
    <w:rsid w:val="00DD519E"/>
    <w:rsid w:val="00DD5F62"/>
    <w:rsid w:val="00DD5F65"/>
    <w:rsid w:val="00DD6CAF"/>
    <w:rsid w:val="00DE0532"/>
    <w:rsid w:val="00DE093E"/>
    <w:rsid w:val="00DE15FD"/>
    <w:rsid w:val="00DE3A18"/>
    <w:rsid w:val="00DE3DD5"/>
    <w:rsid w:val="00DE4D75"/>
    <w:rsid w:val="00DE5471"/>
    <w:rsid w:val="00DE5998"/>
    <w:rsid w:val="00DE62BA"/>
    <w:rsid w:val="00DE6787"/>
    <w:rsid w:val="00DE6C4F"/>
    <w:rsid w:val="00DE70F5"/>
    <w:rsid w:val="00DE723C"/>
    <w:rsid w:val="00DF09C3"/>
    <w:rsid w:val="00DF0A14"/>
    <w:rsid w:val="00DF0E4F"/>
    <w:rsid w:val="00DF12D0"/>
    <w:rsid w:val="00DF273D"/>
    <w:rsid w:val="00DF28CA"/>
    <w:rsid w:val="00DF2997"/>
    <w:rsid w:val="00DF3AD3"/>
    <w:rsid w:val="00DF40CC"/>
    <w:rsid w:val="00DF67B7"/>
    <w:rsid w:val="00DF69BE"/>
    <w:rsid w:val="00DF6DE8"/>
    <w:rsid w:val="00E00E83"/>
    <w:rsid w:val="00E021B5"/>
    <w:rsid w:val="00E0289A"/>
    <w:rsid w:val="00E02976"/>
    <w:rsid w:val="00E03744"/>
    <w:rsid w:val="00E039F2"/>
    <w:rsid w:val="00E04281"/>
    <w:rsid w:val="00E0471C"/>
    <w:rsid w:val="00E04E53"/>
    <w:rsid w:val="00E05156"/>
    <w:rsid w:val="00E054A4"/>
    <w:rsid w:val="00E07AC4"/>
    <w:rsid w:val="00E07F4E"/>
    <w:rsid w:val="00E107A5"/>
    <w:rsid w:val="00E1376A"/>
    <w:rsid w:val="00E13927"/>
    <w:rsid w:val="00E1413D"/>
    <w:rsid w:val="00E141DA"/>
    <w:rsid w:val="00E15659"/>
    <w:rsid w:val="00E16023"/>
    <w:rsid w:val="00E16C05"/>
    <w:rsid w:val="00E21753"/>
    <w:rsid w:val="00E21971"/>
    <w:rsid w:val="00E21DFD"/>
    <w:rsid w:val="00E22877"/>
    <w:rsid w:val="00E2341F"/>
    <w:rsid w:val="00E23B5C"/>
    <w:rsid w:val="00E23DA4"/>
    <w:rsid w:val="00E24BED"/>
    <w:rsid w:val="00E25700"/>
    <w:rsid w:val="00E25F2C"/>
    <w:rsid w:val="00E26846"/>
    <w:rsid w:val="00E27019"/>
    <w:rsid w:val="00E2774B"/>
    <w:rsid w:val="00E27E96"/>
    <w:rsid w:val="00E308A0"/>
    <w:rsid w:val="00E30A9A"/>
    <w:rsid w:val="00E30F9B"/>
    <w:rsid w:val="00E31EB1"/>
    <w:rsid w:val="00E32E1B"/>
    <w:rsid w:val="00E3442A"/>
    <w:rsid w:val="00E35D2F"/>
    <w:rsid w:val="00E368E5"/>
    <w:rsid w:val="00E375C7"/>
    <w:rsid w:val="00E37EDA"/>
    <w:rsid w:val="00E41154"/>
    <w:rsid w:val="00E417E4"/>
    <w:rsid w:val="00E42F45"/>
    <w:rsid w:val="00E43831"/>
    <w:rsid w:val="00E4414E"/>
    <w:rsid w:val="00E442DA"/>
    <w:rsid w:val="00E44A05"/>
    <w:rsid w:val="00E45D53"/>
    <w:rsid w:val="00E46183"/>
    <w:rsid w:val="00E46572"/>
    <w:rsid w:val="00E4739C"/>
    <w:rsid w:val="00E47A4B"/>
    <w:rsid w:val="00E47C59"/>
    <w:rsid w:val="00E47EBE"/>
    <w:rsid w:val="00E504B4"/>
    <w:rsid w:val="00E51291"/>
    <w:rsid w:val="00E51D4F"/>
    <w:rsid w:val="00E51EAE"/>
    <w:rsid w:val="00E53A9D"/>
    <w:rsid w:val="00E558D7"/>
    <w:rsid w:val="00E563F9"/>
    <w:rsid w:val="00E56D8E"/>
    <w:rsid w:val="00E579E9"/>
    <w:rsid w:val="00E57CA4"/>
    <w:rsid w:val="00E60CDE"/>
    <w:rsid w:val="00E61E34"/>
    <w:rsid w:val="00E62795"/>
    <w:rsid w:val="00E64147"/>
    <w:rsid w:val="00E64E51"/>
    <w:rsid w:val="00E65089"/>
    <w:rsid w:val="00E65F50"/>
    <w:rsid w:val="00E66E06"/>
    <w:rsid w:val="00E67140"/>
    <w:rsid w:val="00E67833"/>
    <w:rsid w:val="00E70540"/>
    <w:rsid w:val="00E70573"/>
    <w:rsid w:val="00E705BC"/>
    <w:rsid w:val="00E708A0"/>
    <w:rsid w:val="00E7191A"/>
    <w:rsid w:val="00E71BF5"/>
    <w:rsid w:val="00E72205"/>
    <w:rsid w:val="00E722AC"/>
    <w:rsid w:val="00E72FAF"/>
    <w:rsid w:val="00E7324A"/>
    <w:rsid w:val="00E74939"/>
    <w:rsid w:val="00E74D73"/>
    <w:rsid w:val="00E75372"/>
    <w:rsid w:val="00E75888"/>
    <w:rsid w:val="00E75B2A"/>
    <w:rsid w:val="00E75C7E"/>
    <w:rsid w:val="00E75D89"/>
    <w:rsid w:val="00E761AF"/>
    <w:rsid w:val="00E77164"/>
    <w:rsid w:val="00E77F78"/>
    <w:rsid w:val="00E8227F"/>
    <w:rsid w:val="00E83037"/>
    <w:rsid w:val="00E831CC"/>
    <w:rsid w:val="00E83D46"/>
    <w:rsid w:val="00E86AA8"/>
    <w:rsid w:val="00E87F8A"/>
    <w:rsid w:val="00E90106"/>
    <w:rsid w:val="00E90F47"/>
    <w:rsid w:val="00E91F5D"/>
    <w:rsid w:val="00E93BCF"/>
    <w:rsid w:val="00E9457B"/>
    <w:rsid w:val="00E94F92"/>
    <w:rsid w:val="00E961E5"/>
    <w:rsid w:val="00E964F8"/>
    <w:rsid w:val="00E969E7"/>
    <w:rsid w:val="00E96C06"/>
    <w:rsid w:val="00E96DEB"/>
    <w:rsid w:val="00E97930"/>
    <w:rsid w:val="00EA01CD"/>
    <w:rsid w:val="00EA02BA"/>
    <w:rsid w:val="00EA18C6"/>
    <w:rsid w:val="00EA2C11"/>
    <w:rsid w:val="00EA3907"/>
    <w:rsid w:val="00EA59D6"/>
    <w:rsid w:val="00EA628A"/>
    <w:rsid w:val="00EA772E"/>
    <w:rsid w:val="00EA7D79"/>
    <w:rsid w:val="00EB01A1"/>
    <w:rsid w:val="00EB02DE"/>
    <w:rsid w:val="00EB1176"/>
    <w:rsid w:val="00EB14B5"/>
    <w:rsid w:val="00EB1FAA"/>
    <w:rsid w:val="00EB3E97"/>
    <w:rsid w:val="00EB4E94"/>
    <w:rsid w:val="00EB50AC"/>
    <w:rsid w:val="00EB5CCF"/>
    <w:rsid w:val="00EB73D3"/>
    <w:rsid w:val="00EC088D"/>
    <w:rsid w:val="00EC147E"/>
    <w:rsid w:val="00EC1A7C"/>
    <w:rsid w:val="00EC1CFE"/>
    <w:rsid w:val="00EC3DC4"/>
    <w:rsid w:val="00EC429A"/>
    <w:rsid w:val="00EC5322"/>
    <w:rsid w:val="00EC55C4"/>
    <w:rsid w:val="00EC59A5"/>
    <w:rsid w:val="00EC67EE"/>
    <w:rsid w:val="00EC6E2C"/>
    <w:rsid w:val="00ED010C"/>
    <w:rsid w:val="00ED12B9"/>
    <w:rsid w:val="00ED17DB"/>
    <w:rsid w:val="00ED1876"/>
    <w:rsid w:val="00ED24E7"/>
    <w:rsid w:val="00ED3405"/>
    <w:rsid w:val="00ED3693"/>
    <w:rsid w:val="00ED3C9E"/>
    <w:rsid w:val="00ED3F17"/>
    <w:rsid w:val="00ED6B91"/>
    <w:rsid w:val="00ED6EB6"/>
    <w:rsid w:val="00ED7FCD"/>
    <w:rsid w:val="00EE0346"/>
    <w:rsid w:val="00EE0A39"/>
    <w:rsid w:val="00EE0B23"/>
    <w:rsid w:val="00EE45C2"/>
    <w:rsid w:val="00EE46C5"/>
    <w:rsid w:val="00EE4806"/>
    <w:rsid w:val="00EE6208"/>
    <w:rsid w:val="00EF19A9"/>
    <w:rsid w:val="00EF2401"/>
    <w:rsid w:val="00EF3D02"/>
    <w:rsid w:val="00EF3F50"/>
    <w:rsid w:val="00EF51B9"/>
    <w:rsid w:val="00EF5F12"/>
    <w:rsid w:val="00EF7893"/>
    <w:rsid w:val="00EF78DF"/>
    <w:rsid w:val="00EF79D2"/>
    <w:rsid w:val="00F0025A"/>
    <w:rsid w:val="00F004D6"/>
    <w:rsid w:val="00F00ACC"/>
    <w:rsid w:val="00F01F25"/>
    <w:rsid w:val="00F0313C"/>
    <w:rsid w:val="00F0459D"/>
    <w:rsid w:val="00F04B84"/>
    <w:rsid w:val="00F05549"/>
    <w:rsid w:val="00F0565F"/>
    <w:rsid w:val="00F0612D"/>
    <w:rsid w:val="00F067B7"/>
    <w:rsid w:val="00F07A01"/>
    <w:rsid w:val="00F07ACA"/>
    <w:rsid w:val="00F07C38"/>
    <w:rsid w:val="00F126B8"/>
    <w:rsid w:val="00F12A2C"/>
    <w:rsid w:val="00F14212"/>
    <w:rsid w:val="00F144DE"/>
    <w:rsid w:val="00F15667"/>
    <w:rsid w:val="00F16381"/>
    <w:rsid w:val="00F22071"/>
    <w:rsid w:val="00F22DC9"/>
    <w:rsid w:val="00F2353E"/>
    <w:rsid w:val="00F236AB"/>
    <w:rsid w:val="00F26F9A"/>
    <w:rsid w:val="00F26FA7"/>
    <w:rsid w:val="00F27AAF"/>
    <w:rsid w:val="00F300B4"/>
    <w:rsid w:val="00F3210C"/>
    <w:rsid w:val="00F321D5"/>
    <w:rsid w:val="00F32381"/>
    <w:rsid w:val="00F32C60"/>
    <w:rsid w:val="00F341D8"/>
    <w:rsid w:val="00F3479C"/>
    <w:rsid w:val="00F350C5"/>
    <w:rsid w:val="00F3534D"/>
    <w:rsid w:val="00F35F6F"/>
    <w:rsid w:val="00F36C6F"/>
    <w:rsid w:val="00F36DDE"/>
    <w:rsid w:val="00F37196"/>
    <w:rsid w:val="00F375F6"/>
    <w:rsid w:val="00F3762D"/>
    <w:rsid w:val="00F377CA"/>
    <w:rsid w:val="00F4086F"/>
    <w:rsid w:val="00F40BAA"/>
    <w:rsid w:val="00F40E16"/>
    <w:rsid w:val="00F4156B"/>
    <w:rsid w:val="00F41837"/>
    <w:rsid w:val="00F42184"/>
    <w:rsid w:val="00F42A2A"/>
    <w:rsid w:val="00F43177"/>
    <w:rsid w:val="00F43EA7"/>
    <w:rsid w:val="00F448B8"/>
    <w:rsid w:val="00F45BFA"/>
    <w:rsid w:val="00F471C5"/>
    <w:rsid w:val="00F51980"/>
    <w:rsid w:val="00F5270D"/>
    <w:rsid w:val="00F54314"/>
    <w:rsid w:val="00F54B04"/>
    <w:rsid w:val="00F5512A"/>
    <w:rsid w:val="00F56455"/>
    <w:rsid w:val="00F568FA"/>
    <w:rsid w:val="00F57BEF"/>
    <w:rsid w:val="00F601F9"/>
    <w:rsid w:val="00F60921"/>
    <w:rsid w:val="00F61365"/>
    <w:rsid w:val="00F61E52"/>
    <w:rsid w:val="00F61F3E"/>
    <w:rsid w:val="00F61FCB"/>
    <w:rsid w:val="00F622B9"/>
    <w:rsid w:val="00F626F9"/>
    <w:rsid w:val="00F63E64"/>
    <w:rsid w:val="00F63F3F"/>
    <w:rsid w:val="00F657CF"/>
    <w:rsid w:val="00F666BA"/>
    <w:rsid w:val="00F66ADA"/>
    <w:rsid w:val="00F670E9"/>
    <w:rsid w:val="00F675DA"/>
    <w:rsid w:val="00F7061E"/>
    <w:rsid w:val="00F708D3"/>
    <w:rsid w:val="00F70C48"/>
    <w:rsid w:val="00F70E94"/>
    <w:rsid w:val="00F716A2"/>
    <w:rsid w:val="00F72D54"/>
    <w:rsid w:val="00F7598F"/>
    <w:rsid w:val="00F75EA6"/>
    <w:rsid w:val="00F75F9B"/>
    <w:rsid w:val="00F7700C"/>
    <w:rsid w:val="00F777C8"/>
    <w:rsid w:val="00F779EB"/>
    <w:rsid w:val="00F77FD1"/>
    <w:rsid w:val="00F8006B"/>
    <w:rsid w:val="00F80964"/>
    <w:rsid w:val="00F81547"/>
    <w:rsid w:val="00F82102"/>
    <w:rsid w:val="00F83253"/>
    <w:rsid w:val="00F83B02"/>
    <w:rsid w:val="00F85BC2"/>
    <w:rsid w:val="00F86503"/>
    <w:rsid w:val="00F86FC3"/>
    <w:rsid w:val="00F877BE"/>
    <w:rsid w:val="00F87985"/>
    <w:rsid w:val="00F87ECC"/>
    <w:rsid w:val="00F90190"/>
    <w:rsid w:val="00F901C0"/>
    <w:rsid w:val="00F90FE6"/>
    <w:rsid w:val="00F9186A"/>
    <w:rsid w:val="00F91FFB"/>
    <w:rsid w:val="00F93A13"/>
    <w:rsid w:val="00F93C33"/>
    <w:rsid w:val="00F94C25"/>
    <w:rsid w:val="00F95478"/>
    <w:rsid w:val="00F9569D"/>
    <w:rsid w:val="00F9569E"/>
    <w:rsid w:val="00F958CC"/>
    <w:rsid w:val="00F971A7"/>
    <w:rsid w:val="00FA0197"/>
    <w:rsid w:val="00FA028A"/>
    <w:rsid w:val="00FA049B"/>
    <w:rsid w:val="00FA0D4B"/>
    <w:rsid w:val="00FA0FF8"/>
    <w:rsid w:val="00FA3BBD"/>
    <w:rsid w:val="00FA3C66"/>
    <w:rsid w:val="00FA500A"/>
    <w:rsid w:val="00FA555A"/>
    <w:rsid w:val="00FA57C3"/>
    <w:rsid w:val="00FA7A4F"/>
    <w:rsid w:val="00FB07A2"/>
    <w:rsid w:val="00FB25B0"/>
    <w:rsid w:val="00FB2BEE"/>
    <w:rsid w:val="00FB44AF"/>
    <w:rsid w:val="00FB486E"/>
    <w:rsid w:val="00FB6B78"/>
    <w:rsid w:val="00FB7040"/>
    <w:rsid w:val="00FB7338"/>
    <w:rsid w:val="00FB7ABC"/>
    <w:rsid w:val="00FC13C1"/>
    <w:rsid w:val="00FC1CA5"/>
    <w:rsid w:val="00FC25BE"/>
    <w:rsid w:val="00FC3A1C"/>
    <w:rsid w:val="00FC3DE6"/>
    <w:rsid w:val="00FC51E9"/>
    <w:rsid w:val="00FC7A9F"/>
    <w:rsid w:val="00FD14DB"/>
    <w:rsid w:val="00FD1AB9"/>
    <w:rsid w:val="00FD3B96"/>
    <w:rsid w:val="00FD4A4F"/>
    <w:rsid w:val="00FD4D54"/>
    <w:rsid w:val="00FD51CE"/>
    <w:rsid w:val="00FD5412"/>
    <w:rsid w:val="00FD6A66"/>
    <w:rsid w:val="00FD6E4F"/>
    <w:rsid w:val="00FD70BC"/>
    <w:rsid w:val="00FE0233"/>
    <w:rsid w:val="00FE101C"/>
    <w:rsid w:val="00FE12AC"/>
    <w:rsid w:val="00FE2FCD"/>
    <w:rsid w:val="00FE38D8"/>
    <w:rsid w:val="00FE4244"/>
    <w:rsid w:val="00FE42EC"/>
    <w:rsid w:val="00FE5009"/>
    <w:rsid w:val="00FE5673"/>
    <w:rsid w:val="00FE74B6"/>
    <w:rsid w:val="00FF0A8E"/>
    <w:rsid w:val="00FF110A"/>
    <w:rsid w:val="00FF1140"/>
    <w:rsid w:val="00FF1AC0"/>
    <w:rsid w:val="00FF1ADE"/>
    <w:rsid w:val="00FF1E12"/>
    <w:rsid w:val="00FF2245"/>
    <w:rsid w:val="00FF2E1F"/>
    <w:rsid w:val="00FF3270"/>
    <w:rsid w:val="00FF420E"/>
    <w:rsid w:val="00FF4481"/>
    <w:rsid w:val="00FF4D7A"/>
    <w:rsid w:val="00FF587D"/>
    <w:rsid w:val="00FF5993"/>
    <w:rsid w:val="00FF6077"/>
    <w:rsid w:val="00FF62CC"/>
    <w:rsid w:val="00FF67B4"/>
    <w:rsid w:val="00FF70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61DAA6"/>
  <w14:defaultImageDpi w14:val="32767"/>
  <w15:chartTrackingRefBased/>
  <w15:docId w15:val="{3C3EC2C5-28AC-C14E-ABA6-A20EF0A97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092A"/>
    <w:pPr>
      <w:ind w:left="720"/>
      <w:contextualSpacing/>
    </w:pPr>
    <w:rPr>
      <w:rFonts w:ascii="Times New Roman" w:hAnsi="Times New Roman" w:cs="Times New Roman"/>
      <w:lang w:eastAsia="en-GB"/>
    </w:rPr>
  </w:style>
  <w:style w:type="character" w:styleId="Hyperlink">
    <w:name w:val="Hyperlink"/>
    <w:basedOn w:val="DefaultParagraphFont"/>
    <w:uiPriority w:val="99"/>
    <w:unhideWhenUsed/>
    <w:rsid w:val="0002092A"/>
    <w:rPr>
      <w:color w:val="0563C1" w:themeColor="hyperlink"/>
      <w:u w:val="single"/>
    </w:rPr>
  </w:style>
  <w:style w:type="character" w:styleId="CommentReference">
    <w:name w:val="annotation reference"/>
    <w:basedOn w:val="DefaultParagraphFont"/>
    <w:uiPriority w:val="99"/>
    <w:semiHidden/>
    <w:unhideWhenUsed/>
    <w:rsid w:val="0002092A"/>
    <w:rPr>
      <w:sz w:val="16"/>
      <w:szCs w:val="16"/>
    </w:rPr>
  </w:style>
  <w:style w:type="paragraph" w:styleId="CommentText">
    <w:name w:val="annotation text"/>
    <w:basedOn w:val="Normal"/>
    <w:link w:val="CommentTextChar"/>
    <w:uiPriority w:val="99"/>
    <w:semiHidden/>
    <w:unhideWhenUsed/>
    <w:rsid w:val="0002092A"/>
    <w:rPr>
      <w:rFonts w:ascii="Times New Roman" w:hAnsi="Times New Roman" w:cs="Times New Roman"/>
      <w:sz w:val="20"/>
      <w:szCs w:val="20"/>
      <w:lang w:eastAsia="en-GB"/>
    </w:rPr>
  </w:style>
  <w:style w:type="character" w:customStyle="1" w:styleId="CommentTextChar">
    <w:name w:val="Comment Text Char"/>
    <w:basedOn w:val="DefaultParagraphFont"/>
    <w:link w:val="CommentText"/>
    <w:uiPriority w:val="99"/>
    <w:semiHidden/>
    <w:rsid w:val="0002092A"/>
    <w:rPr>
      <w:rFonts w:ascii="Times New Roman" w:hAnsi="Times New Roman" w:cs="Times New Roman"/>
      <w:sz w:val="20"/>
      <w:szCs w:val="20"/>
      <w:lang w:eastAsia="en-GB"/>
    </w:rPr>
  </w:style>
  <w:style w:type="paragraph" w:styleId="BalloonText">
    <w:name w:val="Balloon Text"/>
    <w:basedOn w:val="Normal"/>
    <w:link w:val="BalloonTextChar"/>
    <w:uiPriority w:val="99"/>
    <w:semiHidden/>
    <w:unhideWhenUsed/>
    <w:rsid w:val="0002092A"/>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2092A"/>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0A48B9"/>
    <w:rPr>
      <w:rFonts w:ascii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0A48B9"/>
    <w:rPr>
      <w:rFonts w:ascii="Times New Roman" w:hAnsi="Times New Roman" w:cs="Times New Roman"/>
      <w:b/>
      <w:bCs/>
      <w:sz w:val="20"/>
      <w:szCs w:val="20"/>
      <w:lang w:eastAsia="en-GB"/>
    </w:rPr>
  </w:style>
  <w:style w:type="character" w:styleId="PlaceholderText">
    <w:name w:val="Placeholder Text"/>
    <w:basedOn w:val="DefaultParagraphFont"/>
    <w:uiPriority w:val="99"/>
    <w:semiHidden/>
    <w:rsid w:val="00B644D9"/>
    <w:rPr>
      <w:color w:val="808080"/>
    </w:rPr>
  </w:style>
  <w:style w:type="table" w:styleId="TableGrid">
    <w:name w:val="Table Grid"/>
    <w:basedOn w:val="TableNormal"/>
    <w:uiPriority w:val="39"/>
    <w:rsid w:val="003926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4238B6"/>
    <w:rPr>
      <w:b/>
      <w:bCs/>
    </w:rPr>
  </w:style>
  <w:style w:type="character" w:customStyle="1" w:styleId="UnresolvedMention1">
    <w:name w:val="Unresolved Mention1"/>
    <w:basedOn w:val="DefaultParagraphFont"/>
    <w:uiPriority w:val="99"/>
    <w:rsid w:val="000D56E4"/>
    <w:rPr>
      <w:color w:val="605E5C"/>
      <w:shd w:val="clear" w:color="auto" w:fill="E1DFDD"/>
    </w:rPr>
  </w:style>
  <w:style w:type="paragraph" w:styleId="Revision">
    <w:name w:val="Revision"/>
    <w:hidden/>
    <w:uiPriority w:val="99"/>
    <w:semiHidden/>
    <w:rsid w:val="007B0CE5"/>
  </w:style>
  <w:style w:type="paragraph" w:styleId="Footer">
    <w:name w:val="footer"/>
    <w:basedOn w:val="Normal"/>
    <w:link w:val="FooterChar"/>
    <w:uiPriority w:val="99"/>
    <w:unhideWhenUsed/>
    <w:rsid w:val="00E23B5C"/>
    <w:pPr>
      <w:tabs>
        <w:tab w:val="center" w:pos="4680"/>
        <w:tab w:val="right" w:pos="9360"/>
      </w:tabs>
    </w:pPr>
  </w:style>
  <w:style w:type="character" w:customStyle="1" w:styleId="FooterChar">
    <w:name w:val="Footer Char"/>
    <w:basedOn w:val="DefaultParagraphFont"/>
    <w:link w:val="Footer"/>
    <w:uiPriority w:val="99"/>
    <w:rsid w:val="00E23B5C"/>
  </w:style>
  <w:style w:type="character" w:styleId="PageNumber">
    <w:name w:val="page number"/>
    <w:basedOn w:val="DefaultParagraphFont"/>
    <w:uiPriority w:val="99"/>
    <w:semiHidden/>
    <w:unhideWhenUsed/>
    <w:rsid w:val="00E23B5C"/>
  </w:style>
  <w:style w:type="paragraph" w:styleId="Header">
    <w:name w:val="header"/>
    <w:basedOn w:val="Normal"/>
    <w:link w:val="HeaderChar"/>
    <w:uiPriority w:val="99"/>
    <w:unhideWhenUsed/>
    <w:rsid w:val="00E23B5C"/>
    <w:pPr>
      <w:tabs>
        <w:tab w:val="center" w:pos="4680"/>
        <w:tab w:val="right" w:pos="9360"/>
      </w:tabs>
    </w:pPr>
  </w:style>
  <w:style w:type="character" w:customStyle="1" w:styleId="HeaderChar">
    <w:name w:val="Header Char"/>
    <w:basedOn w:val="DefaultParagraphFont"/>
    <w:link w:val="Header"/>
    <w:uiPriority w:val="99"/>
    <w:rsid w:val="00E23B5C"/>
  </w:style>
  <w:style w:type="character" w:styleId="FollowedHyperlink">
    <w:name w:val="FollowedHyperlink"/>
    <w:basedOn w:val="DefaultParagraphFont"/>
    <w:uiPriority w:val="99"/>
    <w:semiHidden/>
    <w:unhideWhenUsed/>
    <w:rsid w:val="00FF1AC0"/>
    <w:rPr>
      <w:color w:val="954F72" w:themeColor="followedHyperlink"/>
      <w:u w:val="single"/>
    </w:rPr>
  </w:style>
  <w:style w:type="paragraph" w:customStyle="1" w:styleId="chapter-para">
    <w:name w:val="chapter-para"/>
    <w:basedOn w:val="Normal"/>
    <w:rsid w:val="00382F55"/>
    <w:pPr>
      <w:spacing w:before="100" w:beforeAutospacing="1" w:after="100" w:afterAutospacing="1"/>
    </w:pPr>
    <w:rPr>
      <w:rFonts w:ascii="Times New Roman" w:eastAsia="Times New Roman" w:hAnsi="Times New Roman" w:cs="Times New Roman"/>
      <w:lang w:val="en-AU" w:eastAsia="en-GB"/>
    </w:rPr>
  </w:style>
  <w:style w:type="paragraph" w:styleId="NormalWeb">
    <w:name w:val="Normal (Web)"/>
    <w:basedOn w:val="Normal"/>
    <w:uiPriority w:val="99"/>
    <w:semiHidden/>
    <w:unhideWhenUsed/>
    <w:rsid w:val="00A57E10"/>
    <w:pPr>
      <w:spacing w:before="100" w:beforeAutospacing="1" w:after="100" w:afterAutospacing="1"/>
    </w:pPr>
    <w:rPr>
      <w:rFonts w:ascii="Times New Roman" w:eastAsia="Times New Roman" w:hAnsi="Times New Roman" w:cs="Times New Roman"/>
      <w:lang w:val="en-AU" w:eastAsia="en-GB"/>
    </w:rPr>
  </w:style>
  <w:style w:type="paragraph" w:styleId="Bibliography">
    <w:name w:val="Bibliography"/>
    <w:basedOn w:val="Normal"/>
    <w:next w:val="Normal"/>
    <w:uiPriority w:val="37"/>
    <w:unhideWhenUsed/>
    <w:rsid w:val="00B66C74"/>
    <w:pPr>
      <w:tabs>
        <w:tab w:val="left" w:pos="620"/>
      </w:tabs>
      <w:spacing w:after="240"/>
      <w:ind w:left="624" w:hanging="624"/>
    </w:pPr>
  </w:style>
  <w:style w:type="character" w:customStyle="1" w:styleId="position-number">
    <w:name w:val="position-number"/>
    <w:basedOn w:val="DefaultParagraphFont"/>
    <w:rsid w:val="00416D7C"/>
  </w:style>
  <w:style w:type="character" w:customStyle="1" w:styleId="labs-docsum-authors">
    <w:name w:val="labs-docsum-authors"/>
    <w:basedOn w:val="DefaultParagraphFont"/>
    <w:rsid w:val="00416D7C"/>
  </w:style>
  <w:style w:type="character" w:customStyle="1" w:styleId="labs-docsum-journal-citation">
    <w:name w:val="labs-docsum-journal-citation"/>
    <w:basedOn w:val="DefaultParagraphFont"/>
    <w:rsid w:val="00416D7C"/>
  </w:style>
  <w:style w:type="character" w:customStyle="1" w:styleId="citation-part">
    <w:name w:val="citation-part"/>
    <w:basedOn w:val="DefaultParagraphFont"/>
    <w:rsid w:val="00416D7C"/>
  </w:style>
  <w:style w:type="character" w:customStyle="1" w:styleId="docsum-pmid">
    <w:name w:val="docsum-pmid"/>
    <w:basedOn w:val="DefaultParagraphFont"/>
    <w:rsid w:val="00416D7C"/>
  </w:style>
  <w:style w:type="character" w:customStyle="1" w:styleId="UnresolvedMention2">
    <w:name w:val="Unresolved Mention2"/>
    <w:basedOn w:val="DefaultParagraphFont"/>
    <w:uiPriority w:val="99"/>
    <w:semiHidden/>
    <w:unhideWhenUsed/>
    <w:rsid w:val="00E3442A"/>
    <w:rPr>
      <w:color w:val="605E5C"/>
      <w:shd w:val="clear" w:color="auto" w:fill="E1DFDD"/>
    </w:rPr>
  </w:style>
  <w:style w:type="character" w:styleId="UnresolvedMention">
    <w:name w:val="Unresolved Mention"/>
    <w:basedOn w:val="DefaultParagraphFont"/>
    <w:uiPriority w:val="99"/>
    <w:semiHidden/>
    <w:unhideWhenUsed/>
    <w:rsid w:val="009055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9152">
      <w:bodyDiv w:val="1"/>
      <w:marLeft w:val="0"/>
      <w:marRight w:val="0"/>
      <w:marTop w:val="0"/>
      <w:marBottom w:val="0"/>
      <w:divBdr>
        <w:top w:val="none" w:sz="0" w:space="0" w:color="auto"/>
        <w:left w:val="none" w:sz="0" w:space="0" w:color="auto"/>
        <w:bottom w:val="none" w:sz="0" w:space="0" w:color="auto"/>
        <w:right w:val="none" w:sz="0" w:space="0" w:color="auto"/>
      </w:divBdr>
    </w:div>
    <w:div w:id="32199751">
      <w:bodyDiv w:val="1"/>
      <w:marLeft w:val="0"/>
      <w:marRight w:val="0"/>
      <w:marTop w:val="0"/>
      <w:marBottom w:val="0"/>
      <w:divBdr>
        <w:top w:val="none" w:sz="0" w:space="0" w:color="auto"/>
        <w:left w:val="none" w:sz="0" w:space="0" w:color="auto"/>
        <w:bottom w:val="none" w:sz="0" w:space="0" w:color="auto"/>
        <w:right w:val="none" w:sz="0" w:space="0" w:color="auto"/>
      </w:divBdr>
      <w:divsChild>
        <w:div w:id="2002346094">
          <w:marLeft w:val="0"/>
          <w:marRight w:val="0"/>
          <w:marTop w:val="0"/>
          <w:marBottom w:val="0"/>
          <w:divBdr>
            <w:top w:val="none" w:sz="0" w:space="0" w:color="auto"/>
            <w:left w:val="none" w:sz="0" w:space="0" w:color="auto"/>
            <w:bottom w:val="none" w:sz="0" w:space="0" w:color="auto"/>
            <w:right w:val="none" w:sz="0" w:space="0" w:color="auto"/>
          </w:divBdr>
          <w:divsChild>
            <w:div w:id="1360662122">
              <w:marLeft w:val="0"/>
              <w:marRight w:val="0"/>
              <w:marTop w:val="0"/>
              <w:marBottom w:val="0"/>
              <w:divBdr>
                <w:top w:val="none" w:sz="0" w:space="0" w:color="auto"/>
                <w:left w:val="none" w:sz="0" w:space="0" w:color="auto"/>
                <w:bottom w:val="none" w:sz="0" w:space="0" w:color="auto"/>
                <w:right w:val="none" w:sz="0" w:space="0" w:color="auto"/>
              </w:divBdr>
              <w:divsChild>
                <w:div w:id="4996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71976">
      <w:bodyDiv w:val="1"/>
      <w:marLeft w:val="0"/>
      <w:marRight w:val="0"/>
      <w:marTop w:val="0"/>
      <w:marBottom w:val="0"/>
      <w:divBdr>
        <w:top w:val="none" w:sz="0" w:space="0" w:color="auto"/>
        <w:left w:val="none" w:sz="0" w:space="0" w:color="auto"/>
        <w:bottom w:val="none" w:sz="0" w:space="0" w:color="auto"/>
        <w:right w:val="none" w:sz="0" w:space="0" w:color="auto"/>
      </w:divBdr>
    </w:div>
    <w:div w:id="183567343">
      <w:bodyDiv w:val="1"/>
      <w:marLeft w:val="0"/>
      <w:marRight w:val="0"/>
      <w:marTop w:val="0"/>
      <w:marBottom w:val="0"/>
      <w:divBdr>
        <w:top w:val="none" w:sz="0" w:space="0" w:color="auto"/>
        <w:left w:val="none" w:sz="0" w:space="0" w:color="auto"/>
        <w:bottom w:val="none" w:sz="0" w:space="0" w:color="auto"/>
        <w:right w:val="none" w:sz="0" w:space="0" w:color="auto"/>
      </w:divBdr>
    </w:div>
    <w:div w:id="189339082">
      <w:bodyDiv w:val="1"/>
      <w:marLeft w:val="0"/>
      <w:marRight w:val="0"/>
      <w:marTop w:val="0"/>
      <w:marBottom w:val="0"/>
      <w:divBdr>
        <w:top w:val="none" w:sz="0" w:space="0" w:color="auto"/>
        <w:left w:val="none" w:sz="0" w:space="0" w:color="auto"/>
        <w:bottom w:val="none" w:sz="0" w:space="0" w:color="auto"/>
        <w:right w:val="none" w:sz="0" w:space="0" w:color="auto"/>
      </w:divBdr>
    </w:div>
    <w:div w:id="194539508">
      <w:bodyDiv w:val="1"/>
      <w:marLeft w:val="0"/>
      <w:marRight w:val="0"/>
      <w:marTop w:val="0"/>
      <w:marBottom w:val="0"/>
      <w:divBdr>
        <w:top w:val="none" w:sz="0" w:space="0" w:color="auto"/>
        <w:left w:val="none" w:sz="0" w:space="0" w:color="auto"/>
        <w:bottom w:val="none" w:sz="0" w:space="0" w:color="auto"/>
        <w:right w:val="none" w:sz="0" w:space="0" w:color="auto"/>
      </w:divBdr>
    </w:div>
    <w:div w:id="220332860">
      <w:bodyDiv w:val="1"/>
      <w:marLeft w:val="0"/>
      <w:marRight w:val="0"/>
      <w:marTop w:val="0"/>
      <w:marBottom w:val="0"/>
      <w:divBdr>
        <w:top w:val="none" w:sz="0" w:space="0" w:color="auto"/>
        <w:left w:val="none" w:sz="0" w:space="0" w:color="auto"/>
        <w:bottom w:val="none" w:sz="0" w:space="0" w:color="auto"/>
        <w:right w:val="none" w:sz="0" w:space="0" w:color="auto"/>
      </w:divBdr>
    </w:div>
    <w:div w:id="245655822">
      <w:bodyDiv w:val="1"/>
      <w:marLeft w:val="0"/>
      <w:marRight w:val="0"/>
      <w:marTop w:val="0"/>
      <w:marBottom w:val="0"/>
      <w:divBdr>
        <w:top w:val="none" w:sz="0" w:space="0" w:color="auto"/>
        <w:left w:val="none" w:sz="0" w:space="0" w:color="auto"/>
        <w:bottom w:val="none" w:sz="0" w:space="0" w:color="auto"/>
        <w:right w:val="none" w:sz="0" w:space="0" w:color="auto"/>
      </w:divBdr>
    </w:div>
    <w:div w:id="278343229">
      <w:bodyDiv w:val="1"/>
      <w:marLeft w:val="0"/>
      <w:marRight w:val="0"/>
      <w:marTop w:val="0"/>
      <w:marBottom w:val="0"/>
      <w:divBdr>
        <w:top w:val="none" w:sz="0" w:space="0" w:color="auto"/>
        <w:left w:val="none" w:sz="0" w:space="0" w:color="auto"/>
        <w:bottom w:val="none" w:sz="0" w:space="0" w:color="auto"/>
        <w:right w:val="none" w:sz="0" w:space="0" w:color="auto"/>
      </w:divBdr>
      <w:divsChild>
        <w:div w:id="1912496704">
          <w:marLeft w:val="0"/>
          <w:marRight w:val="0"/>
          <w:marTop w:val="0"/>
          <w:marBottom w:val="0"/>
          <w:divBdr>
            <w:top w:val="none" w:sz="0" w:space="0" w:color="auto"/>
            <w:left w:val="none" w:sz="0" w:space="0" w:color="auto"/>
            <w:bottom w:val="none" w:sz="0" w:space="0" w:color="auto"/>
            <w:right w:val="none" w:sz="0" w:space="0" w:color="auto"/>
          </w:divBdr>
        </w:div>
        <w:div w:id="475223306">
          <w:marLeft w:val="0"/>
          <w:marRight w:val="0"/>
          <w:marTop w:val="0"/>
          <w:marBottom w:val="0"/>
          <w:divBdr>
            <w:top w:val="none" w:sz="0" w:space="0" w:color="auto"/>
            <w:left w:val="none" w:sz="0" w:space="0" w:color="auto"/>
            <w:bottom w:val="none" w:sz="0" w:space="0" w:color="auto"/>
            <w:right w:val="none" w:sz="0" w:space="0" w:color="auto"/>
          </w:divBdr>
          <w:divsChild>
            <w:div w:id="919215887">
              <w:marLeft w:val="0"/>
              <w:marRight w:val="0"/>
              <w:marTop w:val="0"/>
              <w:marBottom w:val="0"/>
              <w:divBdr>
                <w:top w:val="none" w:sz="0" w:space="0" w:color="auto"/>
                <w:left w:val="none" w:sz="0" w:space="0" w:color="auto"/>
                <w:bottom w:val="none" w:sz="0" w:space="0" w:color="auto"/>
                <w:right w:val="none" w:sz="0" w:space="0" w:color="auto"/>
              </w:divBdr>
              <w:divsChild>
                <w:div w:id="174444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396237">
      <w:bodyDiv w:val="1"/>
      <w:marLeft w:val="0"/>
      <w:marRight w:val="0"/>
      <w:marTop w:val="0"/>
      <w:marBottom w:val="0"/>
      <w:divBdr>
        <w:top w:val="none" w:sz="0" w:space="0" w:color="auto"/>
        <w:left w:val="none" w:sz="0" w:space="0" w:color="auto"/>
        <w:bottom w:val="none" w:sz="0" w:space="0" w:color="auto"/>
        <w:right w:val="none" w:sz="0" w:space="0" w:color="auto"/>
      </w:divBdr>
    </w:div>
    <w:div w:id="306059774">
      <w:bodyDiv w:val="1"/>
      <w:marLeft w:val="0"/>
      <w:marRight w:val="0"/>
      <w:marTop w:val="0"/>
      <w:marBottom w:val="0"/>
      <w:divBdr>
        <w:top w:val="none" w:sz="0" w:space="0" w:color="auto"/>
        <w:left w:val="none" w:sz="0" w:space="0" w:color="auto"/>
        <w:bottom w:val="none" w:sz="0" w:space="0" w:color="auto"/>
        <w:right w:val="none" w:sz="0" w:space="0" w:color="auto"/>
      </w:divBdr>
      <w:divsChild>
        <w:div w:id="1820346006">
          <w:marLeft w:val="0"/>
          <w:marRight w:val="0"/>
          <w:marTop w:val="0"/>
          <w:marBottom w:val="0"/>
          <w:divBdr>
            <w:top w:val="none" w:sz="0" w:space="0" w:color="auto"/>
            <w:left w:val="none" w:sz="0" w:space="0" w:color="auto"/>
            <w:bottom w:val="none" w:sz="0" w:space="0" w:color="auto"/>
            <w:right w:val="none" w:sz="0" w:space="0" w:color="auto"/>
          </w:divBdr>
          <w:divsChild>
            <w:div w:id="1620525977">
              <w:marLeft w:val="0"/>
              <w:marRight w:val="0"/>
              <w:marTop w:val="0"/>
              <w:marBottom w:val="0"/>
              <w:divBdr>
                <w:top w:val="none" w:sz="0" w:space="0" w:color="auto"/>
                <w:left w:val="none" w:sz="0" w:space="0" w:color="auto"/>
                <w:bottom w:val="none" w:sz="0" w:space="0" w:color="auto"/>
                <w:right w:val="none" w:sz="0" w:space="0" w:color="auto"/>
              </w:divBdr>
              <w:divsChild>
                <w:div w:id="385573497">
                  <w:marLeft w:val="0"/>
                  <w:marRight w:val="0"/>
                  <w:marTop w:val="0"/>
                  <w:marBottom w:val="0"/>
                  <w:divBdr>
                    <w:top w:val="none" w:sz="0" w:space="0" w:color="auto"/>
                    <w:left w:val="none" w:sz="0" w:space="0" w:color="auto"/>
                    <w:bottom w:val="none" w:sz="0" w:space="0" w:color="auto"/>
                    <w:right w:val="none" w:sz="0" w:space="0" w:color="auto"/>
                  </w:divBdr>
                  <w:divsChild>
                    <w:div w:id="327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775511">
      <w:bodyDiv w:val="1"/>
      <w:marLeft w:val="0"/>
      <w:marRight w:val="0"/>
      <w:marTop w:val="0"/>
      <w:marBottom w:val="0"/>
      <w:divBdr>
        <w:top w:val="none" w:sz="0" w:space="0" w:color="auto"/>
        <w:left w:val="none" w:sz="0" w:space="0" w:color="auto"/>
        <w:bottom w:val="none" w:sz="0" w:space="0" w:color="auto"/>
        <w:right w:val="none" w:sz="0" w:space="0" w:color="auto"/>
      </w:divBdr>
    </w:div>
    <w:div w:id="346324843">
      <w:bodyDiv w:val="1"/>
      <w:marLeft w:val="0"/>
      <w:marRight w:val="0"/>
      <w:marTop w:val="0"/>
      <w:marBottom w:val="0"/>
      <w:divBdr>
        <w:top w:val="none" w:sz="0" w:space="0" w:color="auto"/>
        <w:left w:val="none" w:sz="0" w:space="0" w:color="auto"/>
        <w:bottom w:val="none" w:sz="0" w:space="0" w:color="auto"/>
        <w:right w:val="none" w:sz="0" w:space="0" w:color="auto"/>
      </w:divBdr>
    </w:div>
    <w:div w:id="348607131">
      <w:bodyDiv w:val="1"/>
      <w:marLeft w:val="0"/>
      <w:marRight w:val="0"/>
      <w:marTop w:val="0"/>
      <w:marBottom w:val="0"/>
      <w:divBdr>
        <w:top w:val="none" w:sz="0" w:space="0" w:color="auto"/>
        <w:left w:val="none" w:sz="0" w:space="0" w:color="auto"/>
        <w:bottom w:val="none" w:sz="0" w:space="0" w:color="auto"/>
        <w:right w:val="none" w:sz="0" w:space="0" w:color="auto"/>
      </w:divBdr>
    </w:div>
    <w:div w:id="355038234">
      <w:bodyDiv w:val="1"/>
      <w:marLeft w:val="0"/>
      <w:marRight w:val="0"/>
      <w:marTop w:val="0"/>
      <w:marBottom w:val="0"/>
      <w:divBdr>
        <w:top w:val="none" w:sz="0" w:space="0" w:color="auto"/>
        <w:left w:val="none" w:sz="0" w:space="0" w:color="auto"/>
        <w:bottom w:val="none" w:sz="0" w:space="0" w:color="auto"/>
        <w:right w:val="none" w:sz="0" w:space="0" w:color="auto"/>
      </w:divBdr>
    </w:div>
    <w:div w:id="363797831">
      <w:bodyDiv w:val="1"/>
      <w:marLeft w:val="0"/>
      <w:marRight w:val="0"/>
      <w:marTop w:val="0"/>
      <w:marBottom w:val="0"/>
      <w:divBdr>
        <w:top w:val="none" w:sz="0" w:space="0" w:color="auto"/>
        <w:left w:val="none" w:sz="0" w:space="0" w:color="auto"/>
        <w:bottom w:val="none" w:sz="0" w:space="0" w:color="auto"/>
        <w:right w:val="none" w:sz="0" w:space="0" w:color="auto"/>
      </w:divBdr>
      <w:divsChild>
        <w:div w:id="216011871">
          <w:marLeft w:val="0"/>
          <w:marRight w:val="0"/>
          <w:marTop w:val="0"/>
          <w:marBottom w:val="0"/>
          <w:divBdr>
            <w:top w:val="none" w:sz="0" w:space="0" w:color="auto"/>
            <w:left w:val="none" w:sz="0" w:space="0" w:color="auto"/>
            <w:bottom w:val="none" w:sz="0" w:space="0" w:color="auto"/>
            <w:right w:val="none" w:sz="0" w:space="0" w:color="auto"/>
          </w:divBdr>
          <w:divsChild>
            <w:div w:id="1995796121">
              <w:marLeft w:val="0"/>
              <w:marRight w:val="0"/>
              <w:marTop w:val="0"/>
              <w:marBottom w:val="0"/>
              <w:divBdr>
                <w:top w:val="none" w:sz="0" w:space="0" w:color="auto"/>
                <w:left w:val="none" w:sz="0" w:space="0" w:color="auto"/>
                <w:bottom w:val="none" w:sz="0" w:space="0" w:color="auto"/>
                <w:right w:val="none" w:sz="0" w:space="0" w:color="auto"/>
              </w:divBdr>
              <w:divsChild>
                <w:div w:id="64994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660931">
      <w:bodyDiv w:val="1"/>
      <w:marLeft w:val="0"/>
      <w:marRight w:val="0"/>
      <w:marTop w:val="0"/>
      <w:marBottom w:val="0"/>
      <w:divBdr>
        <w:top w:val="none" w:sz="0" w:space="0" w:color="auto"/>
        <w:left w:val="none" w:sz="0" w:space="0" w:color="auto"/>
        <w:bottom w:val="none" w:sz="0" w:space="0" w:color="auto"/>
        <w:right w:val="none" w:sz="0" w:space="0" w:color="auto"/>
      </w:divBdr>
    </w:div>
    <w:div w:id="431126408">
      <w:bodyDiv w:val="1"/>
      <w:marLeft w:val="0"/>
      <w:marRight w:val="0"/>
      <w:marTop w:val="0"/>
      <w:marBottom w:val="0"/>
      <w:divBdr>
        <w:top w:val="none" w:sz="0" w:space="0" w:color="auto"/>
        <w:left w:val="none" w:sz="0" w:space="0" w:color="auto"/>
        <w:bottom w:val="none" w:sz="0" w:space="0" w:color="auto"/>
        <w:right w:val="none" w:sz="0" w:space="0" w:color="auto"/>
      </w:divBdr>
    </w:div>
    <w:div w:id="438795161">
      <w:bodyDiv w:val="1"/>
      <w:marLeft w:val="0"/>
      <w:marRight w:val="0"/>
      <w:marTop w:val="0"/>
      <w:marBottom w:val="0"/>
      <w:divBdr>
        <w:top w:val="none" w:sz="0" w:space="0" w:color="auto"/>
        <w:left w:val="none" w:sz="0" w:space="0" w:color="auto"/>
        <w:bottom w:val="none" w:sz="0" w:space="0" w:color="auto"/>
        <w:right w:val="none" w:sz="0" w:space="0" w:color="auto"/>
      </w:divBdr>
    </w:div>
    <w:div w:id="444664130">
      <w:bodyDiv w:val="1"/>
      <w:marLeft w:val="0"/>
      <w:marRight w:val="0"/>
      <w:marTop w:val="0"/>
      <w:marBottom w:val="0"/>
      <w:divBdr>
        <w:top w:val="none" w:sz="0" w:space="0" w:color="auto"/>
        <w:left w:val="none" w:sz="0" w:space="0" w:color="auto"/>
        <w:bottom w:val="none" w:sz="0" w:space="0" w:color="auto"/>
        <w:right w:val="none" w:sz="0" w:space="0" w:color="auto"/>
      </w:divBdr>
      <w:divsChild>
        <w:div w:id="539174852">
          <w:marLeft w:val="0"/>
          <w:marRight w:val="0"/>
          <w:marTop w:val="0"/>
          <w:marBottom w:val="0"/>
          <w:divBdr>
            <w:top w:val="none" w:sz="0" w:space="0" w:color="auto"/>
            <w:left w:val="none" w:sz="0" w:space="0" w:color="auto"/>
            <w:bottom w:val="none" w:sz="0" w:space="0" w:color="auto"/>
            <w:right w:val="none" w:sz="0" w:space="0" w:color="auto"/>
          </w:divBdr>
          <w:divsChild>
            <w:div w:id="1156604399">
              <w:marLeft w:val="0"/>
              <w:marRight w:val="0"/>
              <w:marTop w:val="0"/>
              <w:marBottom w:val="0"/>
              <w:divBdr>
                <w:top w:val="none" w:sz="0" w:space="0" w:color="auto"/>
                <w:left w:val="none" w:sz="0" w:space="0" w:color="auto"/>
                <w:bottom w:val="none" w:sz="0" w:space="0" w:color="auto"/>
                <w:right w:val="none" w:sz="0" w:space="0" w:color="auto"/>
              </w:divBdr>
              <w:divsChild>
                <w:div w:id="747967361">
                  <w:marLeft w:val="0"/>
                  <w:marRight w:val="0"/>
                  <w:marTop w:val="0"/>
                  <w:marBottom w:val="0"/>
                  <w:divBdr>
                    <w:top w:val="none" w:sz="0" w:space="0" w:color="auto"/>
                    <w:left w:val="none" w:sz="0" w:space="0" w:color="auto"/>
                    <w:bottom w:val="none" w:sz="0" w:space="0" w:color="auto"/>
                    <w:right w:val="none" w:sz="0" w:space="0" w:color="auto"/>
                  </w:divBdr>
                  <w:divsChild>
                    <w:div w:id="101845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5685842">
      <w:bodyDiv w:val="1"/>
      <w:marLeft w:val="0"/>
      <w:marRight w:val="0"/>
      <w:marTop w:val="0"/>
      <w:marBottom w:val="0"/>
      <w:divBdr>
        <w:top w:val="none" w:sz="0" w:space="0" w:color="auto"/>
        <w:left w:val="none" w:sz="0" w:space="0" w:color="auto"/>
        <w:bottom w:val="none" w:sz="0" w:space="0" w:color="auto"/>
        <w:right w:val="none" w:sz="0" w:space="0" w:color="auto"/>
      </w:divBdr>
    </w:div>
    <w:div w:id="480466006">
      <w:bodyDiv w:val="1"/>
      <w:marLeft w:val="0"/>
      <w:marRight w:val="0"/>
      <w:marTop w:val="0"/>
      <w:marBottom w:val="0"/>
      <w:divBdr>
        <w:top w:val="none" w:sz="0" w:space="0" w:color="auto"/>
        <w:left w:val="none" w:sz="0" w:space="0" w:color="auto"/>
        <w:bottom w:val="none" w:sz="0" w:space="0" w:color="auto"/>
        <w:right w:val="none" w:sz="0" w:space="0" w:color="auto"/>
      </w:divBdr>
    </w:div>
    <w:div w:id="506477565">
      <w:bodyDiv w:val="1"/>
      <w:marLeft w:val="0"/>
      <w:marRight w:val="0"/>
      <w:marTop w:val="0"/>
      <w:marBottom w:val="0"/>
      <w:divBdr>
        <w:top w:val="none" w:sz="0" w:space="0" w:color="auto"/>
        <w:left w:val="none" w:sz="0" w:space="0" w:color="auto"/>
        <w:bottom w:val="none" w:sz="0" w:space="0" w:color="auto"/>
        <w:right w:val="none" w:sz="0" w:space="0" w:color="auto"/>
      </w:divBdr>
    </w:div>
    <w:div w:id="533811147">
      <w:bodyDiv w:val="1"/>
      <w:marLeft w:val="0"/>
      <w:marRight w:val="0"/>
      <w:marTop w:val="0"/>
      <w:marBottom w:val="0"/>
      <w:divBdr>
        <w:top w:val="none" w:sz="0" w:space="0" w:color="auto"/>
        <w:left w:val="none" w:sz="0" w:space="0" w:color="auto"/>
        <w:bottom w:val="none" w:sz="0" w:space="0" w:color="auto"/>
        <w:right w:val="none" w:sz="0" w:space="0" w:color="auto"/>
      </w:divBdr>
    </w:div>
    <w:div w:id="541358001">
      <w:bodyDiv w:val="1"/>
      <w:marLeft w:val="0"/>
      <w:marRight w:val="0"/>
      <w:marTop w:val="0"/>
      <w:marBottom w:val="0"/>
      <w:divBdr>
        <w:top w:val="none" w:sz="0" w:space="0" w:color="auto"/>
        <w:left w:val="none" w:sz="0" w:space="0" w:color="auto"/>
        <w:bottom w:val="none" w:sz="0" w:space="0" w:color="auto"/>
        <w:right w:val="none" w:sz="0" w:space="0" w:color="auto"/>
      </w:divBdr>
    </w:div>
    <w:div w:id="547031202">
      <w:bodyDiv w:val="1"/>
      <w:marLeft w:val="0"/>
      <w:marRight w:val="0"/>
      <w:marTop w:val="0"/>
      <w:marBottom w:val="0"/>
      <w:divBdr>
        <w:top w:val="none" w:sz="0" w:space="0" w:color="auto"/>
        <w:left w:val="none" w:sz="0" w:space="0" w:color="auto"/>
        <w:bottom w:val="none" w:sz="0" w:space="0" w:color="auto"/>
        <w:right w:val="none" w:sz="0" w:space="0" w:color="auto"/>
      </w:divBdr>
    </w:div>
    <w:div w:id="566694586">
      <w:bodyDiv w:val="1"/>
      <w:marLeft w:val="0"/>
      <w:marRight w:val="0"/>
      <w:marTop w:val="0"/>
      <w:marBottom w:val="0"/>
      <w:divBdr>
        <w:top w:val="none" w:sz="0" w:space="0" w:color="auto"/>
        <w:left w:val="none" w:sz="0" w:space="0" w:color="auto"/>
        <w:bottom w:val="none" w:sz="0" w:space="0" w:color="auto"/>
        <w:right w:val="none" w:sz="0" w:space="0" w:color="auto"/>
      </w:divBdr>
    </w:div>
    <w:div w:id="569197654">
      <w:bodyDiv w:val="1"/>
      <w:marLeft w:val="0"/>
      <w:marRight w:val="0"/>
      <w:marTop w:val="0"/>
      <w:marBottom w:val="0"/>
      <w:divBdr>
        <w:top w:val="none" w:sz="0" w:space="0" w:color="auto"/>
        <w:left w:val="none" w:sz="0" w:space="0" w:color="auto"/>
        <w:bottom w:val="none" w:sz="0" w:space="0" w:color="auto"/>
        <w:right w:val="none" w:sz="0" w:space="0" w:color="auto"/>
      </w:divBdr>
    </w:div>
    <w:div w:id="584992547">
      <w:bodyDiv w:val="1"/>
      <w:marLeft w:val="0"/>
      <w:marRight w:val="0"/>
      <w:marTop w:val="0"/>
      <w:marBottom w:val="0"/>
      <w:divBdr>
        <w:top w:val="none" w:sz="0" w:space="0" w:color="auto"/>
        <w:left w:val="none" w:sz="0" w:space="0" w:color="auto"/>
        <w:bottom w:val="none" w:sz="0" w:space="0" w:color="auto"/>
        <w:right w:val="none" w:sz="0" w:space="0" w:color="auto"/>
      </w:divBdr>
    </w:div>
    <w:div w:id="585111483">
      <w:bodyDiv w:val="1"/>
      <w:marLeft w:val="0"/>
      <w:marRight w:val="0"/>
      <w:marTop w:val="0"/>
      <w:marBottom w:val="0"/>
      <w:divBdr>
        <w:top w:val="none" w:sz="0" w:space="0" w:color="auto"/>
        <w:left w:val="none" w:sz="0" w:space="0" w:color="auto"/>
        <w:bottom w:val="none" w:sz="0" w:space="0" w:color="auto"/>
        <w:right w:val="none" w:sz="0" w:space="0" w:color="auto"/>
      </w:divBdr>
    </w:div>
    <w:div w:id="588999239">
      <w:bodyDiv w:val="1"/>
      <w:marLeft w:val="0"/>
      <w:marRight w:val="0"/>
      <w:marTop w:val="0"/>
      <w:marBottom w:val="0"/>
      <w:divBdr>
        <w:top w:val="none" w:sz="0" w:space="0" w:color="auto"/>
        <w:left w:val="none" w:sz="0" w:space="0" w:color="auto"/>
        <w:bottom w:val="none" w:sz="0" w:space="0" w:color="auto"/>
        <w:right w:val="none" w:sz="0" w:space="0" w:color="auto"/>
      </w:divBdr>
    </w:div>
    <w:div w:id="590772091">
      <w:bodyDiv w:val="1"/>
      <w:marLeft w:val="0"/>
      <w:marRight w:val="0"/>
      <w:marTop w:val="0"/>
      <w:marBottom w:val="0"/>
      <w:divBdr>
        <w:top w:val="none" w:sz="0" w:space="0" w:color="auto"/>
        <w:left w:val="none" w:sz="0" w:space="0" w:color="auto"/>
        <w:bottom w:val="none" w:sz="0" w:space="0" w:color="auto"/>
        <w:right w:val="none" w:sz="0" w:space="0" w:color="auto"/>
      </w:divBdr>
    </w:div>
    <w:div w:id="613249482">
      <w:bodyDiv w:val="1"/>
      <w:marLeft w:val="0"/>
      <w:marRight w:val="0"/>
      <w:marTop w:val="0"/>
      <w:marBottom w:val="0"/>
      <w:divBdr>
        <w:top w:val="none" w:sz="0" w:space="0" w:color="auto"/>
        <w:left w:val="none" w:sz="0" w:space="0" w:color="auto"/>
        <w:bottom w:val="none" w:sz="0" w:space="0" w:color="auto"/>
        <w:right w:val="none" w:sz="0" w:space="0" w:color="auto"/>
      </w:divBdr>
    </w:div>
    <w:div w:id="614674481">
      <w:bodyDiv w:val="1"/>
      <w:marLeft w:val="0"/>
      <w:marRight w:val="0"/>
      <w:marTop w:val="0"/>
      <w:marBottom w:val="0"/>
      <w:divBdr>
        <w:top w:val="none" w:sz="0" w:space="0" w:color="auto"/>
        <w:left w:val="none" w:sz="0" w:space="0" w:color="auto"/>
        <w:bottom w:val="none" w:sz="0" w:space="0" w:color="auto"/>
        <w:right w:val="none" w:sz="0" w:space="0" w:color="auto"/>
      </w:divBdr>
    </w:div>
    <w:div w:id="636648933">
      <w:bodyDiv w:val="1"/>
      <w:marLeft w:val="0"/>
      <w:marRight w:val="0"/>
      <w:marTop w:val="0"/>
      <w:marBottom w:val="0"/>
      <w:divBdr>
        <w:top w:val="none" w:sz="0" w:space="0" w:color="auto"/>
        <w:left w:val="none" w:sz="0" w:space="0" w:color="auto"/>
        <w:bottom w:val="none" w:sz="0" w:space="0" w:color="auto"/>
        <w:right w:val="none" w:sz="0" w:space="0" w:color="auto"/>
      </w:divBdr>
      <w:divsChild>
        <w:div w:id="1227643020">
          <w:marLeft w:val="0"/>
          <w:marRight w:val="0"/>
          <w:marTop w:val="0"/>
          <w:marBottom w:val="0"/>
          <w:divBdr>
            <w:top w:val="none" w:sz="0" w:space="0" w:color="auto"/>
            <w:left w:val="none" w:sz="0" w:space="0" w:color="auto"/>
            <w:bottom w:val="none" w:sz="0" w:space="0" w:color="auto"/>
            <w:right w:val="none" w:sz="0" w:space="0" w:color="auto"/>
          </w:divBdr>
          <w:divsChild>
            <w:div w:id="1996034181">
              <w:marLeft w:val="0"/>
              <w:marRight w:val="0"/>
              <w:marTop w:val="0"/>
              <w:marBottom w:val="0"/>
              <w:divBdr>
                <w:top w:val="none" w:sz="0" w:space="0" w:color="auto"/>
                <w:left w:val="none" w:sz="0" w:space="0" w:color="auto"/>
                <w:bottom w:val="none" w:sz="0" w:space="0" w:color="auto"/>
                <w:right w:val="none" w:sz="0" w:space="0" w:color="auto"/>
              </w:divBdr>
              <w:divsChild>
                <w:div w:id="173347564">
                  <w:marLeft w:val="0"/>
                  <w:marRight w:val="0"/>
                  <w:marTop w:val="0"/>
                  <w:marBottom w:val="0"/>
                  <w:divBdr>
                    <w:top w:val="none" w:sz="0" w:space="0" w:color="auto"/>
                    <w:left w:val="none" w:sz="0" w:space="0" w:color="auto"/>
                    <w:bottom w:val="none" w:sz="0" w:space="0" w:color="auto"/>
                    <w:right w:val="none" w:sz="0" w:space="0" w:color="auto"/>
                  </w:divBdr>
                  <w:divsChild>
                    <w:div w:id="198122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7682733">
      <w:bodyDiv w:val="1"/>
      <w:marLeft w:val="0"/>
      <w:marRight w:val="0"/>
      <w:marTop w:val="0"/>
      <w:marBottom w:val="0"/>
      <w:divBdr>
        <w:top w:val="none" w:sz="0" w:space="0" w:color="auto"/>
        <w:left w:val="none" w:sz="0" w:space="0" w:color="auto"/>
        <w:bottom w:val="none" w:sz="0" w:space="0" w:color="auto"/>
        <w:right w:val="none" w:sz="0" w:space="0" w:color="auto"/>
      </w:divBdr>
      <w:divsChild>
        <w:div w:id="2137335571">
          <w:marLeft w:val="0"/>
          <w:marRight w:val="0"/>
          <w:marTop w:val="0"/>
          <w:marBottom w:val="0"/>
          <w:divBdr>
            <w:top w:val="none" w:sz="0" w:space="0" w:color="auto"/>
            <w:left w:val="none" w:sz="0" w:space="0" w:color="auto"/>
            <w:bottom w:val="none" w:sz="0" w:space="0" w:color="auto"/>
            <w:right w:val="none" w:sz="0" w:space="0" w:color="auto"/>
          </w:divBdr>
          <w:divsChild>
            <w:div w:id="2071533286">
              <w:marLeft w:val="0"/>
              <w:marRight w:val="0"/>
              <w:marTop w:val="0"/>
              <w:marBottom w:val="0"/>
              <w:divBdr>
                <w:top w:val="none" w:sz="0" w:space="0" w:color="auto"/>
                <w:left w:val="none" w:sz="0" w:space="0" w:color="auto"/>
                <w:bottom w:val="none" w:sz="0" w:space="0" w:color="auto"/>
                <w:right w:val="none" w:sz="0" w:space="0" w:color="auto"/>
              </w:divBdr>
              <w:divsChild>
                <w:div w:id="1692293783">
                  <w:marLeft w:val="0"/>
                  <w:marRight w:val="0"/>
                  <w:marTop w:val="0"/>
                  <w:marBottom w:val="0"/>
                  <w:divBdr>
                    <w:top w:val="none" w:sz="0" w:space="0" w:color="auto"/>
                    <w:left w:val="none" w:sz="0" w:space="0" w:color="auto"/>
                    <w:bottom w:val="none" w:sz="0" w:space="0" w:color="auto"/>
                    <w:right w:val="none" w:sz="0" w:space="0" w:color="auto"/>
                  </w:divBdr>
                  <w:divsChild>
                    <w:div w:id="31098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1354399">
      <w:bodyDiv w:val="1"/>
      <w:marLeft w:val="0"/>
      <w:marRight w:val="0"/>
      <w:marTop w:val="0"/>
      <w:marBottom w:val="0"/>
      <w:divBdr>
        <w:top w:val="none" w:sz="0" w:space="0" w:color="auto"/>
        <w:left w:val="none" w:sz="0" w:space="0" w:color="auto"/>
        <w:bottom w:val="none" w:sz="0" w:space="0" w:color="auto"/>
        <w:right w:val="none" w:sz="0" w:space="0" w:color="auto"/>
      </w:divBdr>
      <w:divsChild>
        <w:div w:id="1716391705">
          <w:marLeft w:val="0"/>
          <w:marRight w:val="0"/>
          <w:marTop w:val="0"/>
          <w:marBottom w:val="0"/>
          <w:divBdr>
            <w:top w:val="none" w:sz="0" w:space="0" w:color="auto"/>
            <w:left w:val="none" w:sz="0" w:space="0" w:color="auto"/>
            <w:bottom w:val="none" w:sz="0" w:space="0" w:color="auto"/>
            <w:right w:val="none" w:sz="0" w:space="0" w:color="auto"/>
          </w:divBdr>
          <w:divsChild>
            <w:div w:id="1567105759">
              <w:marLeft w:val="0"/>
              <w:marRight w:val="0"/>
              <w:marTop w:val="0"/>
              <w:marBottom w:val="0"/>
              <w:divBdr>
                <w:top w:val="none" w:sz="0" w:space="0" w:color="auto"/>
                <w:left w:val="none" w:sz="0" w:space="0" w:color="auto"/>
                <w:bottom w:val="none" w:sz="0" w:space="0" w:color="auto"/>
                <w:right w:val="none" w:sz="0" w:space="0" w:color="auto"/>
              </w:divBdr>
              <w:divsChild>
                <w:div w:id="1081878463">
                  <w:marLeft w:val="0"/>
                  <w:marRight w:val="0"/>
                  <w:marTop w:val="0"/>
                  <w:marBottom w:val="0"/>
                  <w:divBdr>
                    <w:top w:val="none" w:sz="0" w:space="0" w:color="auto"/>
                    <w:left w:val="none" w:sz="0" w:space="0" w:color="auto"/>
                    <w:bottom w:val="none" w:sz="0" w:space="0" w:color="auto"/>
                    <w:right w:val="none" w:sz="0" w:space="0" w:color="auto"/>
                  </w:divBdr>
                  <w:divsChild>
                    <w:div w:id="2041778839">
                      <w:marLeft w:val="0"/>
                      <w:marRight w:val="0"/>
                      <w:marTop w:val="0"/>
                      <w:marBottom w:val="0"/>
                      <w:divBdr>
                        <w:top w:val="none" w:sz="0" w:space="0" w:color="auto"/>
                        <w:left w:val="none" w:sz="0" w:space="0" w:color="auto"/>
                        <w:bottom w:val="none" w:sz="0" w:space="0" w:color="auto"/>
                        <w:right w:val="none" w:sz="0" w:space="0" w:color="auto"/>
                      </w:divBdr>
                      <w:divsChild>
                        <w:div w:id="563685112">
                          <w:marLeft w:val="0"/>
                          <w:marRight w:val="0"/>
                          <w:marTop w:val="0"/>
                          <w:marBottom w:val="0"/>
                          <w:divBdr>
                            <w:top w:val="none" w:sz="0" w:space="0" w:color="auto"/>
                            <w:left w:val="none" w:sz="0" w:space="0" w:color="auto"/>
                            <w:bottom w:val="none" w:sz="0" w:space="0" w:color="auto"/>
                            <w:right w:val="none" w:sz="0" w:space="0" w:color="auto"/>
                          </w:divBdr>
                          <w:divsChild>
                            <w:div w:id="595870525">
                              <w:marLeft w:val="-240"/>
                              <w:marRight w:val="-120"/>
                              <w:marTop w:val="0"/>
                              <w:marBottom w:val="0"/>
                              <w:divBdr>
                                <w:top w:val="none" w:sz="0" w:space="0" w:color="auto"/>
                                <w:left w:val="none" w:sz="0" w:space="0" w:color="auto"/>
                                <w:bottom w:val="none" w:sz="0" w:space="0" w:color="auto"/>
                                <w:right w:val="none" w:sz="0" w:space="0" w:color="auto"/>
                              </w:divBdr>
                              <w:divsChild>
                                <w:div w:id="633099034">
                                  <w:marLeft w:val="0"/>
                                  <w:marRight w:val="0"/>
                                  <w:marTop w:val="0"/>
                                  <w:marBottom w:val="60"/>
                                  <w:divBdr>
                                    <w:top w:val="none" w:sz="0" w:space="0" w:color="auto"/>
                                    <w:left w:val="none" w:sz="0" w:space="0" w:color="auto"/>
                                    <w:bottom w:val="none" w:sz="0" w:space="0" w:color="auto"/>
                                    <w:right w:val="none" w:sz="0" w:space="0" w:color="auto"/>
                                  </w:divBdr>
                                  <w:divsChild>
                                    <w:div w:id="2040348998">
                                      <w:marLeft w:val="0"/>
                                      <w:marRight w:val="0"/>
                                      <w:marTop w:val="0"/>
                                      <w:marBottom w:val="0"/>
                                      <w:divBdr>
                                        <w:top w:val="none" w:sz="0" w:space="0" w:color="auto"/>
                                        <w:left w:val="none" w:sz="0" w:space="0" w:color="auto"/>
                                        <w:bottom w:val="none" w:sz="0" w:space="0" w:color="auto"/>
                                        <w:right w:val="none" w:sz="0" w:space="0" w:color="auto"/>
                                      </w:divBdr>
                                      <w:divsChild>
                                        <w:div w:id="1133644610">
                                          <w:marLeft w:val="0"/>
                                          <w:marRight w:val="0"/>
                                          <w:marTop w:val="0"/>
                                          <w:marBottom w:val="0"/>
                                          <w:divBdr>
                                            <w:top w:val="none" w:sz="0" w:space="0" w:color="auto"/>
                                            <w:left w:val="none" w:sz="0" w:space="0" w:color="auto"/>
                                            <w:bottom w:val="none" w:sz="0" w:space="0" w:color="auto"/>
                                            <w:right w:val="none" w:sz="0" w:space="0" w:color="auto"/>
                                          </w:divBdr>
                                          <w:divsChild>
                                            <w:div w:id="1766073919">
                                              <w:marLeft w:val="0"/>
                                              <w:marRight w:val="0"/>
                                              <w:marTop w:val="0"/>
                                              <w:marBottom w:val="0"/>
                                              <w:divBdr>
                                                <w:top w:val="none" w:sz="0" w:space="0" w:color="auto"/>
                                                <w:left w:val="none" w:sz="0" w:space="0" w:color="auto"/>
                                                <w:bottom w:val="none" w:sz="0" w:space="0" w:color="auto"/>
                                                <w:right w:val="none" w:sz="0" w:space="0" w:color="auto"/>
                                              </w:divBdr>
                                              <w:divsChild>
                                                <w:div w:id="181694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30958450">
          <w:marLeft w:val="0"/>
          <w:marRight w:val="0"/>
          <w:marTop w:val="0"/>
          <w:marBottom w:val="0"/>
          <w:divBdr>
            <w:top w:val="none" w:sz="0" w:space="0" w:color="auto"/>
            <w:left w:val="none" w:sz="0" w:space="0" w:color="auto"/>
            <w:bottom w:val="none" w:sz="0" w:space="0" w:color="auto"/>
            <w:right w:val="none" w:sz="0" w:space="0" w:color="auto"/>
          </w:divBdr>
          <w:divsChild>
            <w:div w:id="584654829">
              <w:marLeft w:val="0"/>
              <w:marRight w:val="0"/>
              <w:marTop w:val="0"/>
              <w:marBottom w:val="0"/>
              <w:divBdr>
                <w:top w:val="none" w:sz="0" w:space="0" w:color="auto"/>
                <w:left w:val="none" w:sz="0" w:space="0" w:color="auto"/>
                <w:bottom w:val="none" w:sz="0" w:space="0" w:color="auto"/>
                <w:right w:val="none" w:sz="0" w:space="0" w:color="auto"/>
              </w:divBdr>
              <w:divsChild>
                <w:div w:id="308051487">
                  <w:marLeft w:val="0"/>
                  <w:marRight w:val="0"/>
                  <w:marTop w:val="0"/>
                  <w:marBottom w:val="0"/>
                  <w:divBdr>
                    <w:top w:val="none" w:sz="0" w:space="0" w:color="auto"/>
                    <w:left w:val="none" w:sz="0" w:space="0" w:color="auto"/>
                    <w:bottom w:val="none" w:sz="0" w:space="0" w:color="auto"/>
                    <w:right w:val="none" w:sz="0" w:space="0" w:color="auto"/>
                  </w:divBdr>
                  <w:divsChild>
                    <w:div w:id="252714256">
                      <w:marLeft w:val="0"/>
                      <w:marRight w:val="0"/>
                      <w:marTop w:val="0"/>
                      <w:marBottom w:val="0"/>
                      <w:divBdr>
                        <w:top w:val="none" w:sz="0" w:space="0" w:color="auto"/>
                        <w:left w:val="none" w:sz="0" w:space="0" w:color="auto"/>
                        <w:bottom w:val="none" w:sz="0" w:space="0" w:color="auto"/>
                        <w:right w:val="none" w:sz="0" w:space="0" w:color="auto"/>
                      </w:divBdr>
                      <w:divsChild>
                        <w:div w:id="1088766721">
                          <w:marLeft w:val="0"/>
                          <w:marRight w:val="0"/>
                          <w:marTop w:val="0"/>
                          <w:marBottom w:val="0"/>
                          <w:divBdr>
                            <w:top w:val="none" w:sz="0" w:space="0" w:color="auto"/>
                            <w:left w:val="none" w:sz="0" w:space="0" w:color="auto"/>
                            <w:bottom w:val="none" w:sz="0" w:space="0" w:color="auto"/>
                            <w:right w:val="none" w:sz="0" w:space="0" w:color="auto"/>
                          </w:divBdr>
                          <w:divsChild>
                            <w:div w:id="559054681">
                              <w:marLeft w:val="0"/>
                              <w:marRight w:val="120"/>
                              <w:marTop w:val="0"/>
                              <w:marBottom w:val="0"/>
                              <w:divBdr>
                                <w:top w:val="none" w:sz="0" w:space="0" w:color="auto"/>
                                <w:left w:val="none" w:sz="0" w:space="0" w:color="auto"/>
                                <w:bottom w:val="none" w:sz="0" w:space="0" w:color="auto"/>
                                <w:right w:val="none" w:sz="0" w:space="0" w:color="auto"/>
                              </w:divBdr>
                              <w:divsChild>
                                <w:div w:id="1008216261">
                                  <w:marLeft w:val="-300"/>
                                  <w:marRight w:val="0"/>
                                  <w:marTop w:val="0"/>
                                  <w:marBottom w:val="0"/>
                                  <w:divBdr>
                                    <w:top w:val="none" w:sz="0" w:space="0" w:color="auto"/>
                                    <w:left w:val="none" w:sz="0" w:space="0" w:color="auto"/>
                                    <w:bottom w:val="none" w:sz="0" w:space="0" w:color="auto"/>
                                    <w:right w:val="none" w:sz="0" w:space="0" w:color="auto"/>
                                  </w:divBdr>
                                </w:div>
                              </w:divsChild>
                            </w:div>
                            <w:div w:id="294726003">
                              <w:marLeft w:val="-240"/>
                              <w:marRight w:val="-120"/>
                              <w:marTop w:val="0"/>
                              <w:marBottom w:val="0"/>
                              <w:divBdr>
                                <w:top w:val="none" w:sz="0" w:space="0" w:color="auto"/>
                                <w:left w:val="none" w:sz="0" w:space="0" w:color="auto"/>
                                <w:bottom w:val="none" w:sz="0" w:space="0" w:color="auto"/>
                                <w:right w:val="none" w:sz="0" w:space="0" w:color="auto"/>
                              </w:divBdr>
                              <w:divsChild>
                                <w:div w:id="1753889720">
                                  <w:marLeft w:val="0"/>
                                  <w:marRight w:val="0"/>
                                  <w:marTop w:val="0"/>
                                  <w:marBottom w:val="60"/>
                                  <w:divBdr>
                                    <w:top w:val="none" w:sz="0" w:space="0" w:color="auto"/>
                                    <w:left w:val="none" w:sz="0" w:space="0" w:color="auto"/>
                                    <w:bottom w:val="none" w:sz="0" w:space="0" w:color="auto"/>
                                    <w:right w:val="none" w:sz="0" w:space="0" w:color="auto"/>
                                  </w:divBdr>
                                  <w:divsChild>
                                    <w:div w:id="1467157594">
                                      <w:marLeft w:val="0"/>
                                      <w:marRight w:val="0"/>
                                      <w:marTop w:val="0"/>
                                      <w:marBottom w:val="0"/>
                                      <w:divBdr>
                                        <w:top w:val="none" w:sz="0" w:space="0" w:color="auto"/>
                                        <w:left w:val="none" w:sz="0" w:space="0" w:color="auto"/>
                                        <w:bottom w:val="none" w:sz="0" w:space="0" w:color="auto"/>
                                        <w:right w:val="none" w:sz="0" w:space="0" w:color="auto"/>
                                      </w:divBdr>
                                      <w:divsChild>
                                        <w:div w:id="1535195312">
                                          <w:marLeft w:val="0"/>
                                          <w:marRight w:val="0"/>
                                          <w:marTop w:val="0"/>
                                          <w:marBottom w:val="0"/>
                                          <w:divBdr>
                                            <w:top w:val="none" w:sz="0" w:space="0" w:color="auto"/>
                                            <w:left w:val="none" w:sz="0" w:space="0" w:color="auto"/>
                                            <w:bottom w:val="none" w:sz="0" w:space="0" w:color="auto"/>
                                            <w:right w:val="none" w:sz="0" w:space="0" w:color="auto"/>
                                          </w:divBdr>
                                          <w:divsChild>
                                            <w:div w:id="1323313898">
                                              <w:marLeft w:val="0"/>
                                              <w:marRight w:val="0"/>
                                              <w:marTop w:val="0"/>
                                              <w:marBottom w:val="0"/>
                                              <w:divBdr>
                                                <w:top w:val="none" w:sz="0" w:space="0" w:color="auto"/>
                                                <w:left w:val="none" w:sz="0" w:space="0" w:color="auto"/>
                                                <w:bottom w:val="none" w:sz="0" w:space="0" w:color="auto"/>
                                                <w:right w:val="none" w:sz="0" w:space="0" w:color="auto"/>
                                              </w:divBdr>
                                              <w:divsChild>
                                                <w:div w:id="628046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0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668158">
      <w:bodyDiv w:val="1"/>
      <w:marLeft w:val="0"/>
      <w:marRight w:val="0"/>
      <w:marTop w:val="0"/>
      <w:marBottom w:val="0"/>
      <w:divBdr>
        <w:top w:val="none" w:sz="0" w:space="0" w:color="auto"/>
        <w:left w:val="none" w:sz="0" w:space="0" w:color="auto"/>
        <w:bottom w:val="none" w:sz="0" w:space="0" w:color="auto"/>
        <w:right w:val="none" w:sz="0" w:space="0" w:color="auto"/>
      </w:divBdr>
    </w:div>
    <w:div w:id="667247836">
      <w:bodyDiv w:val="1"/>
      <w:marLeft w:val="0"/>
      <w:marRight w:val="0"/>
      <w:marTop w:val="0"/>
      <w:marBottom w:val="0"/>
      <w:divBdr>
        <w:top w:val="none" w:sz="0" w:space="0" w:color="auto"/>
        <w:left w:val="none" w:sz="0" w:space="0" w:color="auto"/>
        <w:bottom w:val="none" w:sz="0" w:space="0" w:color="auto"/>
        <w:right w:val="none" w:sz="0" w:space="0" w:color="auto"/>
      </w:divBdr>
      <w:divsChild>
        <w:div w:id="1839614679">
          <w:marLeft w:val="0"/>
          <w:marRight w:val="0"/>
          <w:marTop w:val="0"/>
          <w:marBottom w:val="0"/>
          <w:divBdr>
            <w:top w:val="none" w:sz="0" w:space="0" w:color="auto"/>
            <w:left w:val="none" w:sz="0" w:space="0" w:color="auto"/>
            <w:bottom w:val="none" w:sz="0" w:space="0" w:color="auto"/>
            <w:right w:val="none" w:sz="0" w:space="0" w:color="auto"/>
          </w:divBdr>
          <w:divsChild>
            <w:div w:id="1820076535">
              <w:marLeft w:val="0"/>
              <w:marRight w:val="0"/>
              <w:marTop w:val="0"/>
              <w:marBottom w:val="0"/>
              <w:divBdr>
                <w:top w:val="none" w:sz="0" w:space="0" w:color="auto"/>
                <w:left w:val="none" w:sz="0" w:space="0" w:color="auto"/>
                <w:bottom w:val="none" w:sz="0" w:space="0" w:color="auto"/>
                <w:right w:val="none" w:sz="0" w:space="0" w:color="auto"/>
              </w:divBdr>
              <w:divsChild>
                <w:div w:id="897519540">
                  <w:marLeft w:val="0"/>
                  <w:marRight w:val="0"/>
                  <w:marTop w:val="0"/>
                  <w:marBottom w:val="0"/>
                  <w:divBdr>
                    <w:top w:val="none" w:sz="0" w:space="0" w:color="auto"/>
                    <w:left w:val="none" w:sz="0" w:space="0" w:color="auto"/>
                    <w:bottom w:val="none" w:sz="0" w:space="0" w:color="auto"/>
                    <w:right w:val="none" w:sz="0" w:space="0" w:color="auto"/>
                  </w:divBdr>
                  <w:divsChild>
                    <w:div w:id="239291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9264035">
      <w:bodyDiv w:val="1"/>
      <w:marLeft w:val="0"/>
      <w:marRight w:val="0"/>
      <w:marTop w:val="0"/>
      <w:marBottom w:val="0"/>
      <w:divBdr>
        <w:top w:val="none" w:sz="0" w:space="0" w:color="auto"/>
        <w:left w:val="none" w:sz="0" w:space="0" w:color="auto"/>
        <w:bottom w:val="none" w:sz="0" w:space="0" w:color="auto"/>
        <w:right w:val="none" w:sz="0" w:space="0" w:color="auto"/>
      </w:divBdr>
      <w:divsChild>
        <w:div w:id="1147239177">
          <w:marLeft w:val="0"/>
          <w:marRight w:val="0"/>
          <w:marTop w:val="0"/>
          <w:marBottom w:val="0"/>
          <w:divBdr>
            <w:top w:val="none" w:sz="0" w:space="0" w:color="auto"/>
            <w:left w:val="none" w:sz="0" w:space="0" w:color="auto"/>
            <w:bottom w:val="none" w:sz="0" w:space="0" w:color="auto"/>
            <w:right w:val="none" w:sz="0" w:space="0" w:color="auto"/>
          </w:divBdr>
          <w:divsChild>
            <w:div w:id="1665283564">
              <w:marLeft w:val="0"/>
              <w:marRight w:val="0"/>
              <w:marTop w:val="0"/>
              <w:marBottom w:val="0"/>
              <w:divBdr>
                <w:top w:val="none" w:sz="0" w:space="0" w:color="auto"/>
                <w:left w:val="none" w:sz="0" w:space="0" w:color="auto"/>
                <w:bottom w:val="none" w:sz="0" w:space="0" w:color="auto"/>
                <w:right w:val="none" w:sz="0" w:space="0" w:color="auto"/>
              </w:divBdr>
              <w:divsChild>
                <w:div w:id="1988631346">
                  <w:marLeft w:val="0"/>
                  <w:marRight w:val="0"/>
                  <w:marTop w:val="0"/>
                  <w:marBottom w:val="0"/>
                  <w:divBdr>
                    <w:top w:val="none" w:sz="0" w:space="0" w:color="auto"/>
                    <w:left w:val="none" w:sz="0" w:space="0" w:color="auto"/>
                    <w:bottom w:val="none" w:sz="0" w:space="0" w:color="auto"/>
                    <w:right w:val="none" w:sz="0" w:space="0" w:color="auto"/>
                  </w:divBdr>
                  <w:divsChild>
                    <w:div w:id="8696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768523">
      <w:bodyDiv w:val="1"/>
      <w:marLeft w:val="0"/>
      <w:marRight w:val="0"/>
      <w:marTop w:val="0"/>
      <w:marBottom w:val="0"/>
      <w:divBdr>
        <w:top w:val="none" w:sz="0" w:space="0" w:color="auto"/>
        <w:left w:val="none" w:sz="0" w:space="0" w:color="auto"/>
        <w:bottom w:val="none" w:sz="0" w:space="0" w:color="auto"/>
        <w:right w:val="none" w:sz="0" w:space="0" w:color="auto"/>
      </w:divBdr>
    </w:div>
    <w:div w:id="709378492">
      <w:bodyDiv w:val="1"/>
      <w:marLeft w:val="0"/>
      <w:marRight w:val="0"/>
      <w:marTop w:val="0"/>
      <w:marBottom w:val="0"/>
      <w:divBdr>
        <w:top w:val="none" w:sz="0" w:space="0" w:color="auto"/>
        <w:left w:val="none" w:sz="0" w:space="0" w:color="auto"/>
        <w:bottom w:val="none" w:sz="0" w:space="0" w:color="auto"/>
        <w:right w:val="none" w:sz="0" w:space="0" w:color="auto"/>
      </w:divBdr>
    </w:div>
    <w:div w:id="715394162">
      <w:bodyDiv w:val="1"/>
      <w:marLeft w:val="0"/>
      <w:marRight w:val="0"/>
      <w:marTop w:val="0"/>
      <w:marBottom w:val="0"/>
      <w:divBdr>
        <w:top w:val="none" w:sz="0" w:space="0" w:color="auto"/>
        <w:left w:val="none" w:sz="0" w:space="0" w:color="auto"/>
        <w:bottom w:val="none" w:sz="0" w:space="0" w:color="auto"/>
        <w:right w:val="none" w:sz="0" w:space="0" w:color="auto"/>
      </w:divBdr>
    </w:div>
    <w:div w:id="733554171">
      <w:bodyDiv w:val="1"/>
      <w:marLeft w:val="0"/>
      <w:marRight w:val="0"/>
      <w:marTop w:val="0"/>
      <w:marBottom w:val="0"/>
      <w:divBdr>
        <w:top w:val="none" w:sz="0" w:space="0" w:color="auto"/>
        <w:left w:val="none" w:sz="0" w:space="0" w:color="auto"/>
        <w:bottom w:val="none" w:sz="0" w:space="0" w:color="auto"/>
        <w:right w:val="none" w:sz="0" w:space="0" w:color="auto"/>
      </w:divBdr>
    </w:div>
    <w:div w:id="782266847">
      <w:bodyDiv w:val="1"/>
      <w:marLeft w:val="0"/>
      <w:marRight w:val="0"/>
      <w:marTop w:val="0"/>
      <w:marBottom w:val="0"/>
      <w:divBdr>
        <w:top w:val="none" w:sz="0" w:space="0" w:color="auto"/>
        <w:left w:val="none" w:sz="0" w:space="0" w:color="auto"/>
        <w:bottom w:val="none" w:sz="0" w:space="0" w:color="auto"/>
        <w:right w:val="none" w:sz="0" w:space="0" w:color="auto"/>
      </w:divBdr>
    </w:div>
    <w:div w:id="835923568">
      <w:bodyDiv w:val="1"/>
      <w:marLeft w:val="0"/>
      <w:marRight w:val="0"/>
      <w:marTop w:val="0"/>
      <w:marBottom w:val="0"/>
      <w:divBdr>
        <w:top w:val="none" w:sz="0" w:space="0" w:color="auto"/>
        <w:left w:val="none" w:sz="0" w:space="0" w:color="auto"/>
        <w:bottom w:val="none" w:sz="0" w:space="0" w:color="auto"/>
        <w:right w:val="none" w:sz="0" w:space="0" w:color="auto"/>
      </w:divBdr>
      <w:divsChild>
        <w:div w:id="537813944">
          <w:marLeft w:val="0"/>
          <w:marRight w:val="0"/>
          <w:marTop w:val="0"/>
          <w:marBottom w:val="0"/>
          <w:divBdr>
            <w:top w:val="none" w:sz="0" w:space="0" w:color="auto"/>
            <w:left w:val="none" w:sz="0" w:space="0" w:color="auto"/>
            <w:bottom w:val="none" w:sz="0" w:space="0" w:color="auto"/>
            <w:right w:val="none" w:sz="0" w:space="0" w:color="auto"/>
          </w:divBdr>
          <w:divsChild>
            <w:div w:id="1222861558">
              <w:marLeft w:val="0"/>
              <w:marRight w:val="0"/>
              <w:marTop w:val="0"/>
              <w:marBottom w:val="0"/>
              <w:divBdr>
                <w:top w:val="none" w:sz="0" w:space="0" w:color="auto"/>
                <w:left w:val="none" w:sz="0" w:space="0" w:color="auto"/>
                <w:bottom w:val="none" w:sz="0" w:space="0" w:color="auto"/>
                <w:right w:val="none" w:sz="0" w:space="0" w:color="auto"/>
              </w:divBdr>
              <w:divsChild>
                <w:div w:id="67271497">
                  <w:marLeft w:val="0"/>
                  <w:marRight w:val="0"/>
                  <w:marTop w:val="0"/>
                  <w:marBottom w:val="0"/>
                  <w:divBdr>
                    <w:top w:val="none" w:sz="0" w:space="0" w:color="auto"/>
                    <w:left w:val="none" w:sz="0" w:space="0" w:color="auto"/>
                    <w:bottom w:val="none" w:sz="0" w:space="0" w:color="auto"/>
                    <w:right w:val="none" w:sz="0" w:space="0" w:color="auto"/>
                  </w:divBdr>
                  <w:divsChild>
                    <w:div w:id="15827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5287487">
      <w:bodyDiv w:val="1"/>
      <w:marLeft w:val="0"/>
      <w:marRight w:val="0"/>
      <w:marTop w:val="0"/>
      <w:marBottom w:val="0"/>
      <w:divBdr>
        <w:top w:val="none" w:sz="0" w:space="0" w:color="auto"/>
        <w:left w:val="none" w:sz="0" w:space="0" w:color="auto"/>
        <w:bottom w:val="none" w:sz="0" w:space="0" w:color="auto"/>
        <w:right w:val="none" w:sz="0" w:space="0" w:color="auto"/>
      </w:divBdr>
    </w:div>
    <w:div w:id="872379647">
      <w:bodyDiv w:val="1"/>
      <w:marLeft w:val="0"/>
      <w:marRight w:val="0"/>
      <w:marTop w:val="0"/>
      <w:marBottom w:val="0"/>
      <w:divBdr>
        <w:top w:val="none" w:sz="0" w:space="0" w:color="auto"/>
        <w:left w:val="none" w:sz="0" w:space="0" w:color="auto"/>
        <w:bottom w:val="none" w:sz="0" w:space="0" w:color="auto"/>
        <w:right w:val="none" w:sz="0" w:space="0" w:color="auto"/>
      </w:divBdr>
      <w:divsChild>
        <w:div w:id="2109084728">
          <w:marLeft w:val="0"/>
          <w:marRight w:val="0"/>
          <w:marTop w:val="0"/>
          <w:marBottom w:val="0"/>
          <w:divBdr>
            <w:top w:val="none" w:sz="0" w:space="0" w:color="auto"/>
            <w:left w:val="none" w:sz="0" w:space="0" w:color="auto"/>
            <w:bottom w:val="none" w:sz="0" w:space="0" w:color="auto"/>
            <w:right w:val="none" w:sz="0" w:space="0" w:color="auto"/>
          </w:divBdr>
          <w:divsChild>
            <w:div w:id="1372730965">
              <w:marLeft w:val="0"/>
              <w:marRight w:val="0"/>
              <w:marTop w:val="0"/>
              <w:marBottom w:val="0"/>
              <w:divBdr>
                <w:top w:val="none" w:sz="0" w:space="0" w:color="auto"/>
                <w:left w:val="none" w:sz="0" w:space="0" w:color="auto"/>
                <w:bottom w:val="none" w:sz="0" w:space="0" w:color="auto"/>
                <w:right w:val="none" w:sz="0" w:space="0" w:color="auto"/>
              </w:divBdr>
              <w:divsChild>
                <w:div w:id="947469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348302">
      <w:bodyDiv w:val="1"/>
      <w:marLeft w:val="0"/>
      <w:marRight w:val="0"/>
      <w:marTop w:val="0"/>
      <w:marBottom w:val="0"/>
      <w:divBdr>
        <w:top w:val="none" w:sz="0" w:space="0" w:color="auto"/>
        <w:left w:val="none" w:sz="0" w:space="0" w:color="auto"/>
        <w:bottom w:val="none" w:sz="0" w:space="0" w:color="auto"/>
        <w:right w:val="none" w:sz="0" w:space="0" w:color="auto"/>
      </w:divBdr>
      <w:divsChild>
        <w:div w:id="1215776324">
          <w:marLeft w:val="0"/>
          <w:marRight w:val="0"/>
          <w:marTop w:val="0"/>
          <w:marBottom w:val="0"/>
          <w:divBdr>
            <w:top w:val="none" w:sz="0" w:space="0" w:color="auto"/>
            <w:left w:val="none" w:sz="0" w:space="0" w:color="auto"/>
            <w:bottom w:val="none" w:sz="0" w:space="0" w:color="auto"/>
            <w:right w:val="none" w:sz="0" w:space="0" w:color="auto"/>
          </w:divBdr>
          <w:divsChild>
            <w:div w:id="1463575194">
              <w:marLeft w:val="0"/>
              <w:marRight w:val="0"/>
              <w:marTop w:val="0"/>
              <w:marBottom w:val="0"/>
              <w:divBdr>
                <w:top w:val="none" w:sz="0" w:space="0" w:color="auto"/>
                <w:left w:val="none" w:sz="0" w:space="0" w:color="auto"/>
                <w:bottom w:val="none" w:sz="0" w:space="0" w:color="auto"/>
                <w:right w:val="none" w:sz="0" w:space="0" w:color="auto"/>
              </w:divBdr>
              <w:divsChild>
                <w:div w:id="1490949330">
                  <w:marLeft w:val="0"/>
                  <w:marRight w:val="0"/>
                  <w:marTop w:val="0"/>
                  <w:marBottom w:val="0"/>
                  <w:divBdr>
                    <w:top w:val="none" w:sz="0" w:space="0" w:color="auto"/>
                    <w:left w:val="none" w:sz="0" w:space="0" w:color="auto"/>
                    <w:bottom w:val="none" w:sz="0" w:space="0" w:color="auto"/>
                    <w:right w:val="none" w:sz="0" w:space="0" w:color="auto"/>
                  </w:divBdr>
                  <w:divsChild>
                    <w:div w:id="1623265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0406862">
      <w:bodyDiv w:val="1"/>
      <w:marLeft w:val="0"/>
      <w:marRight w:val="0"/>
      <w:marTop w:val="0"/>
      <w:marBottom w:val="0"/>
      <w:divBdr>
        <w:top w:val="none" w:sz="0" w:space="0" w:color="auto"/>
        <w:left w:val="none" w:sz="0" w:space="0" w:color="auto"/>
        <w:bottom w:val="none" w:sz="0" w:space="0" w:color="auto"/>
        <w:right w:val="none" w:sz="0" w:space="0" w:color="auto"/>
      </w:divBdr>
    </w:div>
    <w:div w:id="964315564">
      <w:bodyDiv w:val="1"/>
      <w:marLeft w:val="0"/>
      <w:marRight w:val="0"/>
      <w:marTop w:val="0"/>
      <w:marBottom w:val="0"/>
      <w:divBdr>
        <w:top w:val="none" w:sz="0" w:space="0" w:color="auto"/>
        <w:left w:val="none" w:sz="0" w:space="0" w:color="auto"/>
        <w:bottom w:val="none" w:sz="0" w:space="0" w:color="auto"/>
        <w:right w:val="none" w:sz="0" w:space="0" w:color="auto"/>
      </w:divBdr>
    </w:div>
    <w:div w:id="1003163221">
      <w:bodyDiv w:val="1"/>
      <w:marLeft w:val="0"/>
      <w:marRight w:val="0"/>
      <w:marTop w:val="0"/>
      <w:marBottom w:val="0"/>
      <w:divBdr>
        <w:top w:val="none" w:sz="0" w:space="0" w:color="auto"/>
        <w:left w:val="none" w:sz="0" w:space="0" w:color="auto"/>
        <w:bottom w:val="none" w:sz="0" w:space="0" w:color="auto"/>
        <w:right w:val="none" w:sz="0" w:space="0" w:color="auto"/>
      </w:divBdr>
    </w:div>
    <w:div w:id="1029839856">
      <w:bodyDiv w:val="1"/>
      <w:marLeft w:val="0"/>
      <w:marRight w:val="0"/>
      <w:marTop w:val="0"/>
      <w:marBottom w:val="0"/>
      <w:divBdr>
        <w:top w:val="none" w:sz="0" w:space="0" w:color="auto"/>
        <w:left w:val="none" w:sz="0" w:space="0" w:color="auto"/>
        <w:bottom w:val="none" w:sz="0" w:space="0" w:color="auto"/>
        <w:right w:val="none" w:sz="0" w:space="0" w:color="auto"/>
      </w:divBdr>
    </w:div>
    <w:div w:id="1035347488">
      <w:bodyDiv w:val="1"/>
      <w:marLeft w:val="0"/>
      <w:marRight w:val="0"/>
      <w:marTop w:val="0"/>
      <w:marBottom w:val="0"/>
      <w:divBdr>
        <w:top w:val="none" w:sz="0" w:space="0" w:color="auto"/>
        <w:left w:val="none" w:sz="0" w:space="0" w:color="auto"/>
        <w:bottom w:val="none" w:sz="0" w:space="0" w:color="auto"/>
        <w:right w:val="none" w:sz="0" w:space="0" w:color="auto"/>
      </w:divBdr>
    </w:div>
    <w:div w:id="1042631070">
      <w:bodyDiv w:val="1"/>
      <w:marLeft w:val="0"/>
      <w:marRight w:val="0"/>
      <w:marTop w:val="0"/>
      <w:marBottom w:val="0"/>
      <w:divBdr>
        <w:top w:val="none" w:sz="0" w:space="0" w:color="auto"/>
        <w:left w:val="none" w:sz="0" w:space="0" w:color="auto"/>
        <w:bottom w:val="none" w:sz="0" w:space="0" w:color="auto"/>
        <w:right w:val="none" w:sz="0" w:space="0" w:color="auto"/>
      </w:divBdr>
      <w:divsChild>
        <w:div w:id="139616888">
          <w:marLeft w:val="0"/>
          <w:marRight w:val="0"/>
          <w:marTop w:val="0"/>
          <w:marBottom w:val="0"/>
          <w:divBdr>
            <w:top w:val="none" w:sz="0" w:space="0" w:color="auto"/>
            <w:left w:val="none" w:sz="0" w:space="0" w:color="auto"/>
            <w:bottom w:val="none" w:sz="0" w:space="0" w:color="auto"/>
            <w:right w:val="none" w:sz="0" w:space="0" w:color="auto"/>
          </w:divBdr>
          <w:divsChild>
            <w:div w:id="1060176426">
              <w:marLeft w:val="0"/>
              <w:marRight w:val="0"/>
              <w:marTop w:val="0"/>
              <w:marBottom w:val="0"/>
              <w:divBdr>
                <w:top w:val="none" w:sz="0" w:space="0" w:color="auto"/>
                <w:left w:val="none" w:sz="0" w:space="0" w:color="auto"/>
                <w:bottom w:val="none" w:sz="0" w:space="0" w:color="auto"/>
                <w:right w:val="none" w:sz="0" w:space="0" w:color="auto"/>
              </w:divBdr>
              <w:divsChild>
                <w:div w:id="9836998">
                  <w:marLeft w:val="0"/>
                  <w:marRight w:val="0"/>
                  <w:marTop w:val="0"/>
                  <w:marBottom w:val="0"/>
                  <w:divBdr>
                    <w:top w:val="none" w:sz="0" w:space="0" w:color="auto"/>
                    <w:left w:val="none" w:sz="0" w:space="0" w:color="auto"/>
                    <w:bottom w:val="none" w:sz="0" w:space="0" w:color="auto"/>
                    <w:right w:val="none" w:sz="0" w:space="0" w:color="auto"/>
                  </w:divBdr>
                  <w:divsChild>
                    <w:div w:id="62943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2799602">
      <w:bodyDiv w:val="1"/>
      <w:marLeft w:val="0"/>
      <w:marRight w:val="0"/>
      <w:marTop w:val="0"/>
      <w:marBottom w:val="0"/>
      <w:divBdr>
        <w:top w:val="none" w:sz="0" w:space="0" w:color="auto"/>
        <w:left w:val="none" w:sz="0" w:space="0" w:color="auto"/>
        <w:bottom w:val="none" w:sz="0" w:space="0" w:color="auto"/>
        <w:right w:val="none" w:sz="0" w:space="0" w:color="auto"/>
      </w:divBdr>
    </w:div>
    <w:div w:id="1092509124">
      <w:bodyDiv w:val="1"/>
      <w:marLeft w:val="0"/>
      <w:marRight w:val="0"/>
      <w:marTop w:val="0"/>
      <w:marBottom w:val="0"/>
      <w:divBdr>
        <w:top w:val="none" w:sz="0" w:space="0" w:color="auto"/>
        <w:left w:val="none" w:sz="0" w:space="0" w:color="auto"/>
        <w:bottom w:val="none" w:sz="0" w:space="0" w:color="auto"/>
        <w:right w:val="none" w:sz="0" w:space="0" w:color="auto"/>
      </w:divBdr>
    </w:div>
    <w:div w:id="1120151336">
      <w:bodyDiv w:val="1"/>
      <w:marLeft w:val="0"/>
      <w:marRight w:val="0"/>
      <w:marTop w:val="0"/>
      <w:marBottom w:val="0"/>
      <w:divBdr>
        <w:top w:val="none" w:sz="0" w:space="0" w:color="auto"/>
        <w:left w:val="none" w:sz="0" w:space="0" w:color="auto"/>
        <w:bottom w:val="none" w:sz="0" w:space="0" w:color="auto"/>
        <w:right w:val="none" w:sz="0" w:space="0" w:color="auto"/>
      </w:divBdr>
    </w:div>
    <w:div w:id="1129202171">
      <w:bodyDiv w:val="1"/>
      <w:marLeft w:val="0"/>
      <w:marRight w:val="0"/>
      <w:marTop w:val="0"/>
      <w:marBottom w:val="0"/>
      <w:divBdr>
        <w:top w:val="none" w:sz="0" w:space="0" w:color="auto"/>
        <w:left w:val="none" w:sz="0" w:space="0" w:color="auto"/>
        <w:bottom w:val="none" w:sz="0" w:space="0" w:color="auto"/>
        <w:right w:val="none" w:sz="0" w:space="0" w:color="auto"/>
      </w:divBdr>
    </w:div>
    <w:div w:id="1197348493">
      <w:bodyDiv w:val="1"/>
      <w:marLeft w:val="0"/>
      <w:marRight w:val="0"/>
      <w:marTop w:val="0"/>
      <w:marBottom w:val="0"/>
      <w:divBdr>
        <w:top w:val="none" w:sz="0" w:space="0" w:color="auto"/>
        <w:left w:val="none" w:sz="0" w:space="0" w:color="auto"/>
        <w:bottom w:val="none" w:sz="0" w:space="0" w:color="auto"/>
        <w:right w:val="none" w:sz="0" w:space="0" w:color="auto"/>
      </w:divBdr>
      <w:divsChild>
        <w:div w:id="1836143750">
          <w:marLeft w:val="0"/>
          <w:marRight w:val="0"/>
          <w:marTop w:val="0"/>
          <w:marBottom w:val="0"/>
          <w:divBdr>
            <w:top w:val="none" w:sz="0" w:space="0" w:color="auto"/>
            <w:left w:val="none" w:sz="0" w:space="0" w:color="auto"/>
            <w:bottom w:val="none" w:sz="0" w:space="0" w:color="auto"/>
            <w:right w:val="none" w:sz="0" w:space="0" w:color="auto"/>
          </w:divBdr>
          <w:divsChild>
            <w:div w:id="702705978">
              <w:marLeft w:val="0"/>
              <w:marRight w:val="0"/>
              <w:marTop w:val="0"/>
              <w:marBottom w:val="0"/>
              <w:divBdr>
                <w:top w:val="none" w:sz="0" w:space="0" w:color="auto"/>
                <w:left w:val="none" w:sz="0" w:space="0" w:color="auto"/>
                <w:bottom w:val="none" w:sz="0" w:space="0" w:color="auto"/>
                <w:right w:val="none" w:sz="0" w:space="0" w:color="auto"/>
              </w:divBdr>
              <w:divsChild>
                <w:div w:id="2053000365">
                  <w:marLeft w:val="0"/>
                  <w:marRight w:val="0"/>
                  <w:marTop w:val="0"/>
                  <w:marBottom w:val="0"/>
                  <w:divBdr>
                    <w:top w:val="none" w:sz="0" w:space="0" w:color="auto"/>
                    <w:left w:val="none" w:sz="0" w:space="0" w:color="auto"/>
                    <w:bottom w:val="none" w:sz="0" w:space="0" w:color="auto"/>
                    <w:right w:val="none" w:sz="0" w:space="0" w:color="auto"/>
                  </w:divBdr>
                  <w:divsChild>
                    <w:div w:id="189176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1519236">
      <w:bodyDiv w:val="1"/>
      <w:marLeft w:val="0"/>
      <w:marRight w:val="0"/>
      <w:marTop w:val="0"/>
      <w:marBottom w:val="0"/>
      <w:divBdr>
        <w:top w:val="none" w:sz="0" w:space="0" w:color="auto"/>
        <w:left w:val="none" w:sz="0" w:space="0" w:color="auto"/>
        <w:bottom w:val="none" w:sz="0" w:space="0" w:color="auto"/>
        <w:right w:val="none" w:sz="0" w:space="0" w:color="auto"/>
      </w:divBdr>
    </w:div>
    <w:div w:id="1316688574">
      <w:bodyDiv w:val="1"/>
      <w:marLeft w:val="0"/>
      <w:marRight w:val="0"/>
      <w:marTop w:val="0"/>
      <w:marBottom w:val="0"/>
      <w:divBdr>
        <w:top w:val="none" w:sz="0" w:space="0" w:color="auto"/>
        <w:left w:val="none" w:sz="0" w:space="0" w:color="auto"/>
        <w:bottom w:val="none" w:sz="0" w:space="0" w:color="auto"/>
        <w:right w:val="none" w:sz="0" w:space="0" w:color="auto"/>
      </w:divBdr>
    </w:div>
    <w:div w:id="1333920357">
      <w:bodyDiv w:val="1"/>
      <w:marLeft w:val="0"/>
      <w:marRight w:val="0"/>
      <w:marTop w:val="0"/>
      <w:marBottom w:val="0"/>
      <w:divBdr>
        <w:top w:val="none" w:sz="0" w:space="0" w:color="auto"/>
        <w:left w:val="none" w:sz="0" w:space="0" w:color="auto"/>
        <w:bottom w:val="none" w:sz="0" w:space="0" w:color="auto"/>
        <w:right w:val="none" w:sz="0" w:space="0" w:color="auto"/>
      </w:divBdr>
      <w:divsChild>
        <w:div w:id="1952277313">
          <w:marLeft w:val="0"/>
          <w:marRight w:val="0"/>
          <w:marTop w:val="0"/>
          <w:marBottom w:val="0"/>
          <w:divBdr>
            <w:top w:val="none" w:sz="0" w:space="0" w:color="auto"/>
            <w:left w:val="none" w:sz="0" w:space="0" w:color="auto"/>
            <w:bottom w:val="none" w:sz="0" w:space="0" w:color="auto"/>
            <w:right w:val="none" w:sz="0" w:space="0" w:color="auto"/>
          </w:divBdr>
          <w:divsChild>
            <w:div w:id="1409111593">
              <w:marLeft w:val="0"/>
              <w:marRight w:val="0"/>
              <w:marTop w:val="0"/>
              <w:marBottom w:val="0"/>
              <w:divBdr>
                <w:top w:val="none" w:sz="0" w:space="0" w:color="auto"/>
                <w:left w:val="none" w:sz="0" w:space="0" w:color="auto"/>
                <w:bottom w:val="none" w:sz="0" w:space="0" w:color="auto"/>
                <w:right w:val="none" w:sz="0" w:space="0" w:color="auto"/>
              </w:divBdr>
              <w:divsChild>
                <w:div w:id="1248804700">
                  <w:marLeft w:val="0"/>
                  <w:marRight w:val="0"/>
                  <w:marTop w:val="0"/>
                  <w:marBottom w:val="0"/>
                  <w:divBdr>
                    <w:top w:val="none" w:sz="0" w:space="0" w:color="auto"/>
                    <w:left w:val="none" w:sz="0" w:space="0" w:color="auto"/>
                    <w:bottom w:val="none" w:sz="0" w:space="0" w:color="auto"/>
                    <w:right w:val="none" w:sz="0" w:space="0" w:color="auto"/>
                  </w:divBdr>
                  <w:divsChild>
                    <w:div w:id="37763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5540859">
      <w:bodyDiv w:val="1"/>
      <w:marLeft w:val="0"/>
      <w:marRight w:val="0"/>
      <w:marTop w:val="0"/>
      <w:marBottom w:val="0"/>
      <w:divBdr>
        <w:top w:val="none" w:sz="0" w:space="0" w:color="auto"/>
        <w:left w:val="none" w:sz="0" w:space="0" w:color="auto"/>
        <w:bottom w:val="none" w:sz="0" w:space="0" w:color="auto"/>
        <w:right w:val="none" w:sz="0" w:space="0" w:color="auto"/>
      </w:divBdr>
      <w:divsChild>
        <w:div w:id="1165706851">
          <w:marLeft w:val="0"/>
          <w:marRight w:val="0"/>
          <w:marTop w:val="0"/>
          <w:marBottom w:val="0"/>
          <w:divBdr>
            <w:top w:val="none" w:sz="0" w:space="0" w:color="auto"/>
            <w:left w:val="none" w:sz="0" w:space="0" w:color="auto"/>
            <w:bottom w:val="none" w:sz="0" w:space="0" w:color="auto"/>
            <w:right w:val="none" w:sz="0" w:space="0" w:color="auto"/>
          </w:divBdr>
          <w:divsChild>
            <w:div w:id="1146749280">
              <w:marLeft w:val="0"/>
              <w:marRight w:val="0"/>
              <w:marTop w:val="0"/>
              <w:marBottom w:val="0"/>
              <w:divBdr>
                <w:top w:val="none" w:sz="0" w:space="0" w:color="auto"/>
                <w:left w:val="none" w:sz="0" w:space="0" w:color="auto"/>
                <w:bottom w:val="none" w:sz="0" w:space="0" w:color="auto"/>
                <w:right w:val="none" w:sz="0" w:space="0" w:color="auto"/>
              </w:divBdr>
              <w:divsChild>
                <w:div w:id="320163407">
                  <w:marLeft w:val="0"/>
                  <w:marRight w:val="0"/>
                  <w:marTop w:val="0"/>
                  <w:marBottom w:val="0"/>
                  <w:divBdr>
                    <w:top w:val="none" w:sz="0" w:space="0" w:color="auto"/>
                    <w:left w:val="none" w:sz="0" w:space="0" w:color="auto"/>
                    <w:bottom w:val="none" w:sz="0" w:space="0" w:color="auto"/>
                    <w:right w:val="none" w:sz="0" w:space="0" w:color="auto"/>
                  </w:divBdr>
                  <w:divsChild>
                    <w:div w:id="462384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434016">
      <w:bodyDiv w:val="1"/>
      <w:marLeft w:val="0"/>
      <w:marRight w:val="0"/>
      <w:marTop w:val="0"/>
      <w:marBottom w:val="0"/>
      <w:divBdr>
        <w:top w:val="none" w:sz="0" w:space="0" w:color="auto"/>
        <w:left w:val="none" w:sz="0" w:space="0" w:color="auto"/>
        <w:bottom w:val="none" w:sz="0" w:space="0" w:color="auto"/>
        <w:right w:val="none" w:sz="0" w:space="0" w:color="auto"/>
      </w:divBdr>
    </w:div>
    <w:div w:id="1460106627">
      <w:bodyDiv w:val="1"/>
      <w:marLeft w:val="0"/>
      <w:marRight w:val="0"/>
      <w:marTop w:val="0"/>
      <w:marBottom w:val="0"/>
      <w:divBdr>
        <w:top w:val="none" w:sz="0" w:space="0" w:color="auto"/>
        <w:left w:val="none" w:sz="0" w:space="0" w:color="auto"/>
        <w:bottom w:val="none" w:sz="0" w:space="0" w:color="auto"/>
        <w:right w:val="none" w:sz="0" w:space="0" w:color="auto"/>
      </w:divBdr>
    </w:div>
    <w:div w:id="1491828314">
      <w:bodyDiv w:val="1"/>
      <w:marLeft w:val="0"/>
      <w:marRight w:val="0"/>
      <w:marTop w:val="0"/>
      <w:marBottom w:val="0"/>
      <w:divBdr>
        <w:top w:val="none" w:sz="0" w:space="0" w:color="auto"/>
        <w:left w:val="none" w:sz="0" w:space="0" w:color="auto"/>
        <w:bottom w:val="none" w:sz="0" w:space="0" w:color="auto"/>
        <w:right w:val="none" w:sz="0" w:space="0" w:color="auto"/>
      </w:divBdr>
    </w:div>
    <w:div w:id="1496845256">
      <w:bodyDiv w:val="1"/>
      <w:marLeft w:val="0"/>
      <w:marRight w:val="0"/>
      <w:marTop w:val="0"/>
      <w:marBottom w:val="0"/>
      <w:divBdr>
        <w:top w:val="none" w:sz="0" w:space="0" w:color="auto"/>
        <w:left w:val="none" w:sz="0" w:space="0" w:color="auto"/>
        <w:bottom w:val="none" w:sz="0" w:space="0" w:color="auto"/>
        <w:right w:val="none" w:sz="0" w:space="0" w:color="auto"/>
      </w:divBdr>
    </w:div>
    <w:div w:id="1500460582">
      <w:bodyDiv w:val="1"/>
      <w:marLeft w:val="0"/>
      <w:marRight w:val="0"/>
      <w:marTop w:val="0"/>
      <w:marBottom w:val="0"/>
      <w:divBdr>
        <w:top w:val="none" w:sz="0" w:space="0" w:color="auto"/>
        <w:left w:val="none" w:sz="0" w:space="0" w:color="auto"/>
        <w:bottom w:val="none" w:sz="0" w:space="0" w:color="auto"/>
        <w:right w:val="none" w:sz="0" w:space="0" w:color="auto"/>
      </w:divBdr>
      <w:divsChild>
        <w:div w:id="1943953811">
          <w:marLeft w:val="0"/>
          <w:marRight w:val="0"/>
          <w:marTop w:val="0"/>
          <w:marBottom w:val="0"/>
          <w:divBdr>
            <w:top w:val="none" w:sz="0" w:space="0" w:color="auto"/>
            <w:left w:val="none" w:sz="0" w:space="0" w:color="auto"/>
            <w:bottom w:val="none" w:sz="0" w:space="0" w:color="auto"/>
            <w:right w:val="none" w:sz="0" w:space="0" w:color="auto"/>
          </w:divBdr>
          <w:divsChild>
            <w:div w:id="400761257">
              <w:marLeft w:val="0"/>
              <w:marRight w:val="0"/>
              <w:marTop w:val="0"/>
              <w:marBottom w:val="0"/>
              <w:divBdr>
                <w:top w:val="none" w:sz="0" w:space="0" w:color="auto"/>
                <w:left w:val="none" w:sz="0" w:space="0" w:color="auto"/>
                <w:bottom w:val="none" w:sz="0" w:space="0" w:color="auto"/>
                <w:right w:val="none" w:sz="0" w:space="0" w:color="auto"/>
              </w:divBdr>
              <w:divsChild>
                <w:div w:id="37867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99878">
      <w:bodyDiv w:val="1"/>
      <w:marLeft w:val="0"/>
      <w:marRight w:val="0"/>
      <w:marTop w:val="0"/>
      <w:marBottom w:val="0"/>
      <w:divBdr>
        <w:top w:val="none" w:sz="0" w:space="0" w:color="auto"/>
        <w:left w:val="none" w:sz="0" w:space="0" w:color="auto"/>
        <w:bottom w:val="none" w:sz="0" w:space="0" w:color="auto"/>
        <w:right w:val="none" w:sz="0" w:space="0" w:color="auto"/>
      </w:divBdr>
    </w:div>
    <w:div w:id="1523203435">
      <w:bodyDiv w:val="1"/>
      <w:marLeft w:val="0"/>
      <w:marRight w:val="0"/>
      <w:marTop w:val="0"/>
      <w:marBottom w:val="0"/>
      <w:divBdr>
        <w:top w:val="none" w:sz="0" w:space="0" w:color="auto"/>
        <w:left w:val="none" w:sz="0" w:space="0" w:color="auto"/>
        <w:bottom w:val="none" w:sz="0" w:space="0" w:color="auto"/>
        <w:right w:val="none" w:sz="0" w:space="0" w:color="auto"/>
      </w:divBdr>
    </w:div>
    <w:div w:id="1536380387">
      <w:bodyDiv w:val="1"/>
      <w:marLeft w:val="0"/>
      <w:marRight w:val="0"/>
      <w:marTop w:val="0"/>
      <w:marBottom w:val="0"/>
      <w:divBdr>
        <w:top w:val="none" w:sz="0" w:space="0" w:color="auto"/>
        <w:left w:val="none" w:sz="0" w:space="0" w:color="auto"/>
        <w:bottom w:val="none" w:sz="0" w:space="0" w:color="auto"/>
        <w:right w:val="none" w:sz="0" w:space="0" w:color="auto"/>
      </w:divBdr>
    </w:div>
    <w:div w:id="1561284536">
      <w:bodyDiv w:val="1"/>
      <w:marLeft w:val="0"/>
      <w:marRight w:val="0"/>
      <w:marTop w:val="0"/>
      <w:marBottom w:val="0"/>
      <w:divBdr>
        <w:top w:val="none" w:sz="0" w:space="0" w:color="auto"/>
        <w:left w:val="none" w:sz="0" w:space="0" w:color="auto"/>
        <w:bottom w:val="none" w:sz="0" w:space="0" w:color="auto"/>
        <w:right w:val="none" w:sz="0" w:space="0" w:color="auto"/>
      </w:divBdr>
      <w:divsChild>
        <w:div w:id="307326325">
          <w:marLeft w:val="0"/>
          <w:marRight w:val="0"/>
          <w:marTop w:val="0"/>
          <w:marBottom w:val="0"/>
          <w:divBdr>
            <w:top w:val="none" w:sz="0" w:space="0" w:color="auto"/>
            <w:left w:val="none" w:sz="0" w:space="0" w:color="auto"/>
            <w:bottom w:val="none" w:sz="0" w:space="0" w:color="auto"/>
            <w:right w:val="none" w:sz="0" w:space="0" w:color="auto"/>
          </w:divBdr>
          <w:divsChild>
            <w:div w:id="613253103">
              <w:marLeft w:val="0"/>
              <w:marRight w:val="0"/>
              <w:marTop w:val="0"/>
              <w:marBottom w:val="0"/>
              <w:divBdr>
                <w:top w:val="none" w:sz="0" w:space="0" w:color="auto"/>
                <w:left w:val="none" w:sz="0" w:space="0" w:color="auto"/>
                <w:bottom w:val="none" w:sz="0" w:space="0" w:color="auto"/>
                <w:right w:val="none" w:sz="0" w:space="0" w:color="auto"/>
              </w:divBdr>
              <w:divsChild>
                <w:div w:id="170768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89126">
      <w:bodyDiv w:val="1"/>
      <w:marLeft w:val="0"/>
      <w:marRight w:val="0"/>
      <w:marTop w:val="0"/>
      <w:marBottom w:val="0"/>
      <w:divBdr>
        <w:top w:val="none" w:sz="0" w:space="0" w:color="auto"/>
        <w:left w:val="none" w:sz="0" w:space="0" w:color="auto"/>
        <w:bottom w:val="none" w:sz="0" w:space="0" w:color="auto"/>
        <w:right w:val="none" w:sz="0" w:space="0" w:color="auto"/>
      </w:divBdr>
    </w:div>
    <w:div w:id="1596742945">
      <w:bodyDiv w:val="1"/>
      <w:marLeft w:val="0"/>
      <w:marRight w:val="0"/>
      <w:marTop w:val="0"/>
      <w:marBottom w:val="0"/>
      <w:divBdr>
        <w:top w:val="none" w:sz="0" w:space="0" w:color="auto"/>
        <w:left w:val="none" w:sz="0" w:space="0" w:color="auto"/>
        <w:bottom w:val="none" w:sz="0" w:space="0" w:color="auto"/>
        <w:right w:val="none" w:sz="0" w:space="0" w:color="auto"/>
      </w:divBdr>
    </w:div>
    <w:div w:id="1667853674">
      <w:bodyDiv w:val="1"/>
      <w:marLeft w:val="0"/>
      <w:marRight w:val="0"/>
      <w:marTop w:val="0"/>
      <w:marBottom w:val="0"/>
      <w:divBdr>
        <w:top w:val="none" w:sz="0" w:space="0" w:color="auto"/>
        <w:left w:val="none" w:sz="0" w:space="0" w:color="auto"/>
        <w:bottom w:val="none" w:sz="0" w:space="0" w:color="auto"/>
        <w:right w:val="none" w:sz="0" w:space="0" w:color="auto"/>
      </w:divBdr>
      <w:divsChild>
        <w:div w:id="688876007">
          <w:marLeft w:val="0"/>
          <w:marRight w:val="0"/>
          <w:marTop w:val="0"/>
          <w:marBottom w:val="0"/>
          <w:divBdr>
            <w:top w:val="none" w:sz="0" w:space="0" w:color="auto"/>
            <w:left w:val="none" w:sz="0" w:space="0" w:color="auto"/>
            <w:bottom w:val="none" w:sz="0" w:space="0" w:color="auto"/>
            <w:right w:val="none" w:sz="0" w:space="0" w:color="auto"/>
          </w:divBdr>
          <w:divsChild>
            <w:div w:id="1499270346">
              <w:marLeft w:val="0"/>
              <w:marRight w:val="0"/>
              <w:marTop w:val="0"/>
              <w:marBottom w:val="0"/>
              <w:divBdr>
                <w:top w:val="none" w:sz="0" w:space="0" w:color="auto"/>
                <w:left w:val="none" w:sz="0" w:space="0" w:color="auto"/>
                <w:bottom w:val="none" w:sz="0" w:space="0" w:color="auto"/>
                <w:right w:val="none" w:sz="0" w:space="0" w:color="auto"/>
              </w:divBdr>
              <w:divsChild>
                <w:div w:id="462969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020332">
      <w:bodyDiv w:val="1"/>
      <w:marLeft w:val="0"/>
      <w:marRight w:val="0"/>
      <w:marTop w:val="0"/>
      <w:marBottom w:val="0"/>
      <w:divBdr>
        <w:top w:val="none" w:sz="0" w:space="0" w:color="auto"/>
        <w:left w:val="none" w:sz="0" w:space="0" w:color="auto"/>
        <w:bottom w:val="none" w:sz="0" w:space="0" w:color="auto"/>
        <w:right w:val="none" w:sz="0" w:space="0" w:color="auto"/>
      </w:divBdr>
    </w:div>
    <w:div w:id="1689679320">
      <w:bodyDiv w:val="1"/>
      <w:marLeft w:val="0"/>
      <w:marRight w:val="0"/>
      <w:marTop w:val="0"/>
      <w:marBottom w:val="0"/>
      <w:divBdr>
        <w:top w:val="none" w:sz="0" w:space="0" w:color="auto"/>
        <w:left w:val="none" w:sz="0" w:space="0" w:color="auto"/>
        <w:bottom w:val="none" w:sz="0" w:space="0" w:color="auto"/>
        <w:right w:val="none" w:sz="0" w:space="0" w:color="auto"/>
      </w:divBdr>
    </w:div>
    <w:div w:id="1736123572">
      <w:bodyDiv w:val="1"/>
      <w:marLeft w:val="0"/>
      <w:marRight w:val="0"/>
      <w:marTop w:val="0"/>
      <w:marBottom w:val="0"/>
      <w:divBdr>
        <w:top w:val="none" w:sz="0" w:space="0" w:color="auto"/>
        <w:left w:val="none" w:sz="0" w:space="0" w:color="auto"/>
        <w:bottom w:val="none" w:sz="0" w:space="0" w:color="auto"/>
        <w:right w:val="none" w:sz="0" w:space="0" w:color="auto"/>
      </w:divBdr>
      <w:divsChild>
        <w:div w:id="544489646">
          <w:marLeft w:val="0"/>
          <w:marRight w:val="0"/>
          <w:marTop w:val="0"/>
          <w:marBottom w:val="0"/>
          <w:divBdr>
            <w:top w:val="none" w:sz="0" w:space="0" w:color="auto"/>
            <w:left w:val="none" w:sz="0" w:space="0" w:color="auto"/>
            <w:bottom w:val="none" w:sz="0" w:space="0" w:color="auto"/>
            <w:right w:val="none" w:sz="0" w:space="0" w:color="auto"/>
          </w:divBdr>
          <w:divsChild>
            <w:div w:id="1260143538">
              <w:marLeft w:val="0"/>
              <w:marRight w:val="0"/>
              <w:marTop w:val="0"/>
              <w:marBottom w:val="0"/>
              <w:divBdr>
                <w:top w:val="none" w:sz="0" w:space="0" w:color="auto"/>
                <w:left w:val="none" w:sz="0" w:space="0" w:color="auto"/>
                <w:bottom w:val="none" w:sz="0" w:space="0" w:color="auto"/>
                <w:right w:val="none" w:sz="0" w:space="0" w:color="auto"/>
              </w:divBdr>
              <w:divsChild>
                <w:div w:id="217014394">
                  <w:marLeft w:val="0"/>
                  <w:marRight w:val="0"/>
                  <w:marTop w:val="0"/>
                  <w:marBottom w:val="0"/>
                  <w:divBdr>
                    <w:top w:val="none" w:sz="0" w:space="0" w:color="auto"/>
                    <w:left w:val="none" w:sz="0" w:space="0" w:color="auto"/>
                    <w:bottom w:val="none" w:sz="0" w:space="0" w:color="auto"/>
                    <w:right w:val="none" w:sz="0" w:space="0" w:color="auto"/>
                  </w:divBdr>
                  <w:divsChild>
                    <w:div w:id="1484614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8437380">
      <w:bodyDiv w:val="1"/>
      <w:marLeft w:val="0"/>
      <w:marRight w:val="0"/>
      <w:marTop w:val="0"/>
      <w:marBottom w:val="0"/>
      <w:divBdr>
        <w:top w:val="none" w:sz="0" w:space="0" w:color="auto"/>
        <w:left w:val="none" w:sz="0" w:space="0" w:color="auto"/>
        <w:bottom w:val="none" w:sz="0" w:space="0" w:color="auto"/>
        <w:right w:val="none" w:sz="0" w:space="0" w:color="auto"/>
      </w:divBdr>
    </w:div>
    <w:div w:id="1743528824">
      <w:bodyDiv w:val="1"/>
      <w:marLeft w:val="0"/>
      <w:marRight w:val="0"/>
      <w:marTop w:val="0"/>
      <w:marBottom w:val="0"/>
      <w:divBdr>
        <w:top w:val="none" w:sz="0" w:space="0" w:color="auto"/>
        <w:left w:val="none" w:sz="0" w:space="0" w:color="auto"/>
        <w:bottom w:val="none" w:sz="0" w:space="0" w:color="auto"/>
        <w:right w:val="none" w:sz="0" w:space="0" w:color="auto"/>
      </w:divBdr>
    </w:div>
    <w:div w:id="1744791946">
      <w:bodyDiv w:val="1"/>
      <w:marLeft w:val="0"/>
      <w:marRight w:val="0"/>
      <w:marTop w:val="0"/>
      <w:marBottom w:val="0"/>
      <w:divBdr>
        <w:top w:val="none" w:sz="0" w:space="0" w:color="auto"/>
        <w:left w:val="none" w:sz="0" w:space="0" w:color="auto"/>
        <w:bottom w:val="none" w:sz="0" w:space="0" w:color="auto"/>
        <w:right w:val="none" w:sz="0" w:space="0" w:color="auto"/>
      </w:divBdr>
    </w:div>
    <w:div w:id="1746998307">
      <w:bodyDiv w:val="1"/>
      <w:marLeft w:val="0"/>
      <w:marRight w:val="0"/>
      <w:marTop w:val="0"/>
      <w:marBottom w:val="0"/>
      <w:divBdr>
        <w:top w:val="none" w:sz="0" w:space="0" w:color="auto"/>
        <w:left w:val="none" w:sz="0" w:space="0" w:color="auto"/>
        <w:bottom w:val="none" w:sz="0" w:space="0" w:color="auto"/>
        <w:right w:val="none" w:sz="0" w:space="0" w:color="auto"/>
      </w:divBdr>
      <w:divsChild>
        <w:div w:id="1554657152">
          <w:marLeft w:val="0"/>
          <w:marRight w:val="0"/>
          <w:marTop w:val="0"/>
          <w:marBottom w:val="0"/>
          <w:divBdr>
            <w:top w:val="none" w:sz="0" w:space="0" w:color="auto"/>
            <w:left w:val="none" w:sz="0" w:space="0" w:color="auto"/>
            <w:bottom w:val="none" w:sz="0" w:space="0" w:color="auto"/>
            <w:right w:val="none" w:sz="0" w:space="0" w:color="auto"/>
          </w:divBdr>
          <w:divsChild>
            <w:div w:id="588781772">
              <w:marLeft w:val="0"/>
              <w:marRight w:val="0"/>
              <w:marTop w:val="0"/>
              <w:marBottom w:val="0"/>
              <w:divBdr>
                <w:top w:val="none" w:sz="0" w:space="0" w:color="auto"/>
                <w:left w:val="none" w:sz="0" w:space="0" w:color="auto"/>
                <w:bottom w:val="none" w:sz="0" w:space="0" w:color="auto"/>
                <w:right w:val="none" w:sz="0" w:space="0" w:color="auto"/>
              </w:divBdr>
              <w:divsChild>
                <w:div w:id="2116052366">
                  <w:marLeft w:val="0"/>
                  <w:marRight w:val="0"/>
                  <w:marTop w:val="0"/>
                  <w:marBottom w:val="0"/>
                  <w:divBdr>
                    <w:top w:val="none" w:sz="0" w:space="0" w:color="auto"/>
                    <w:left w:val="none" w:sz="0" w:space="0" w:color="auto"/>
                    <w:bottom w:val="none" w:sz="0" w:space="0" w:color="auto"/>
                    <w:right w:val="none" w:sz="0" w:space="0" w:color="auto"/>
                  </w:divBdr>
                  <w:divsChild>
                    <w:div w:id="179112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1856334">
      <w:bodyDiv w:val="1"/>
      <w:marLeft w:val="0"/>
      <w:marRight w:val="0"/>
      <w:marTop w:val="0"/>
      <w:marBottom w:val="0"/>
      <w:divBdr>
        <w:top w:val="none" w:sz="0" w:space="0" w:color="auto"/>
        <w:left w:val="none" w:sz="0" w:space="0" w:color="auto"/>
        <w:bottom w:val="none" w:sz="0" w:space="0" w:color="auto"/>
        <w:right w:val="none" w:sz="0" w:space="0" w:color="auto"/>
      </w:divBdr>
    </w:div>
    <w:div w:id="1777292814">
      <w:bodyDiv w:val="1"/>
      <w:marLeft w:val="0"/>
      <w:marRight w:val="0"/>
      <w:marTop w:val="0"/>
      <w:marBottom w:val="0"/>
      <w:divBdr>
        <w:top w:val="none" w:sz="0" w:space="0" w:color="auto"/>
        <w:left w:val="none" w:sz="0" w:space="0" w:color="auto"/>
        <w:bottom w:val="none" w:sz="0" w:space="0" w:color="auto"/>
        <w:right w:val="none" w:sz="0" w:space="0" w:color="auto"/>
      </w:divBdr>
    </w:div>
    <w:div w:id="1782142176">
      <w:bodyDiv w:val="1"/>
      <w:marLeft w:val="0"/>
      <w:marRight w:val="0"/>
      <w:marTop w:val="0"/>
      <w:marBottom w:val="0"/>
      <w:divBdr>
        <w:top w:val="none" w:sz="0" w:space="0" w:color="auto"/>
        <w:left w:val="none" w:sz="0" w:space="0" w:color="auto"/>
        <w:bottom w:val="none" w:sz="0" w:space="0" w:color="auto"/>
        <w:right w:val="none" w:sz="0" w:space="0" w:color="auto"/>
      </w:divBdr>
    </w:div>
    <w:div w:id="1807548939">
      <w:bodyDiv w:val="1"/>
      <w:marLeft w:val="0"/>
      <w:marRight w:val="0"/>
      <w:marTop w:val="0"/>
      <w:marBottom w:val="0"/>
      <w:divBdr>
        <w:top w:val="none" w:sz="0" w:space="0" w:color="auto"/>
        <w:left w:val="none" w:sz="0" w:space="0" w:color="auto"/>
        <w:bottom w:val="none" w:sz="0" w:space="0" w:color="auto"/>
        <w:right w:val="none" w:sz="0" w:space="0" w:color="auto"/>
      </w:divBdr>
      <w:divsChild>
        <w:div w:id="1222206287">
          <w:marLeft w:val="0"/>
          <w:marRight w:val="0"/>
          <w:marTop w:val="0"/>
          <w:marBottom w:val="0"/>
          <w:divBdr>
            <w:top w:val="none" w:sz="0" w:space="0" w:color="auto"/>
            <w:left w:val="none" w:sz="0" w:space="0" w:color="auto"/>
            <w:bottom w:val="none" w:sz="0" w:space="0" w:color="auto"/>
            <w:right w:val="none" w:sz="0" w:space="0" w:color="auto"/>
          </w:divBdr>
          <w:divsChild>
            <w:div w:id="1890073553">
              <w:marLeft w:val="0"/>
              <w:marRight w:val="0"/>
              <w:marTop w:val="0"/>
              <w:marBottom w:val="0"/>
              <w:divBdr>
                <w:top w:val="none" w:sz="0" w:space="0" w:color="auto"/>
                <w:left w:val="none" w:sz="0" w:space="0" w:color="auto"/>
                <w:bottom w:val="none" w:sz="0" w:space="0" w:color="auto"/>
                <w:right w:val="none" w:sz="0" w:space="0" w:color="auto"/>
              </w:divBdr>
              <w:divsChild>
                <w:div w:id="76054203">
                  <w:marLeft w:val="0"/>
                  <w:marRight w:val="0"/>
                  <w:marTop w:val="0"/>
                  <w:marBottom w:val="0"/>
                  <w:divBdr>
                    <w:top w:val="none" w:sz="0" w:space="0" w:color="auto"/>
                    <w:left w:val="none" w:sz="0" w:space="0" w:color="auto"/>
                    <w:bottom w:val="none" w:sz="0" w:space="0" w:color="auto"/>
                    <w:right w:val="none" w:sz="0" w:space="0" w:color="auto"/>
                  </w:divBdr>
                  <w:divsChild>
                    <w:div w:id="161061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622340">
      <w:bodyDiv w:val="1"/>
      <w:marLeft w:val="0"/>
      <w:marRight w:val="0"/>
      <w:marTop w:val="0"/>
      <w:marBottom w:val="0"/>
      <w:divBdr>
        <w:top w:val="none" w:sz="0" w:space="0" w:color="auto"/>
        <w:left w:val="none" w:sz="0" w:space="0" w:color="auto"/>
        <w:bottom w:val="none" w:sz="0" w:space="0" w:color="auto"/>
        <w:right w:val="none" w:sz="0" w:space="0" w:color="auto"/>
      </w:divBdr>
      <w:divsChild>
        <w:div w:id="303513167">
          <w:marLeft w:val="0"/>
          <w:marRight w:val="0"/>
          <w:marTop w:val="0"/>
          <w:marBottom w:val="0"/>
          <w:divBdr>
            <w:top w:val="none" w:sz="0" w:space="0" w:color="auto"/>
            <w:left w:val="none" w:sz="0" w:space="0" w:color="auto"/>
            <w:bottom w:val="none" w:sz="0" w:space="0" w:color="auto"/>
            <w:right w:val="none" w:sz="0" w:space="0" w:color="auto"/>
          </w:divBdr>
          <w:divsChild>
            <w:div w:id="15231874">
              <w:marLeft w:val="0"/>
              <w:marRight w:val="0"/>
              <w:marTop w:val="0"/>
              <w:marBottom w:val="0"/>
              <w:divBdr>
                <w:top w:val="none" w:sz="0" w:space="0" w:color="auto"/>
                <w:left w:val="none" w:sz="0" w:space="0" w:color="auto"/>
                <w:bottom w:val="none" w:sz="0" w:space="0" w:color="auto"/>
                <w:right w:val="none" w:sz="0" w:space="0" w:color="auto"/>
              </w:divBdr>
              <w:divsChild>
                <w:div w:id="158078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368758">
      <w:bodyDiv w:val="1"/>
      <w:marLeft w:val="0"/>
      <w:marRight w:val="0"/>
      <w:marTop w:val="0"/>
      <w:marBottom w:val="0"/>
      <w:divBdr>
        <w:top w:val="none" w:sz="0" w:space="0" w:color="auto"/>
        <w:left w:val="none" w:sz="0" w:space="0" w:color="auto"/>
        <w:bottom w:val="none" w:sz="0" w:space="0" w:color="auto"/>
        <w:right w:val="none" w:sz="0" w:space="0" w:color="auto"/>
      </w:divBdr>
    </w:div>
    <w:div w:id="1842231846">
      <w:bodyDiv w:val="1"/>
      <w:marLeft w:val="0"/>
      <w:marRight w:val="0"/>
      <w:marTop w:val="0"/>
      <w:marBottom w:val="0"/>
      <w:divBdr>
        <w:top w:val="none" w:sz="0" w:space="0" w:color="auto"/>
        <w:left w:val="none" w:sz="0" w:space="0" w:color="auto"/>
        <w:bottom w:val="none" w:sz="0" w:space="0" w:color="auto"/>
        <w:right w:val="none" w:sz="0" w:space="0" w:color="auto"/>
      </w:divBdr>
    </w:div>
    <w:div w:id="1843079936">
      <w:bodyDiv w:val="1"/>
      <w:marLeft w:val="0"/>
      <w:marRight w:val="0"/>
      <w:marTop w:val="0"/>
      <w:marBottom w:val="0"/>
      <w:divBdr>
        <w:top w:val="none" w:sz="0" w:space="0" w:color="auto"/>
        <w:left w:val="none" w:sz="0" w:space="0" w:color="auto"/>
        <w:bottom w:val="none" w:sz="0" w:space="0" w:color="auto"/>
        <w:right w:val="none" w:sz="0" w:space="0" w:color="auto"/>
      </w:divBdr>
    </w:div>
    <w:div w:id="1862737143">
      <w:bodyDiv w:val="1"/>
      <w:marLeft w:val="0"/>
      <w:marRight w:val="0"/>
      <w:marTop w:val="0"/>
      <w:marBottom w:val="0"/>
      <w:divBdr>
        <w:top w:val="none" w:sz="0" w:space="0" w:color="auto"/>
        <w:left w:val="none" w:sz="0" w:space="0" w:color="auto"/>
        <w:bottom w:val="none" w:sz="0" w:space="0" w:color="auto"/>
        <w:right w:val="none" w:sz="0" w:space="0" w:color="auto"/>
      </w:divBdr>
    </w:div>
    <w:div w:id="1867406194">
      <w:bodyDiv w:val="1"/>
      <w:marLeft w:val="0"/>
      <w:marRight w:val="0"/>
      <w:marTop w:val="0"/>
      <w:marBottom w:val="0"/>
      <w:divBdr>
        <w:top w:val="none" w:sz="0" w:space="0" w:color="auto"/>
        <w:left w:val="none" w:sz="0" w:space="0" w:color="auto"/>
        <w:bottom w:val="none" w:sz="0" w:space="0" w:color="auto"/>
        <w:right w:val="none" w:sz="0" w:space="0" w:color="auto"/>
      </w:divBdr>
    </w:div>
    <w:div w:id="1923568155">
      <w:bodyDiv w:val="1"/>
      <w:marLeft w:val="0"/>
      <w:marRight w:val="0"/>
      <w:marTop w:val="0"/>
      <w:marBottom w:val="0"/>
      <w:divBdr>
        <w:top w:val="none" w:sz="0" w:space="0" w:color="auto"/>
        <w:left w:val="none" w:sz="0" w:space="0" w:color="auto"/>
        <w:bottom w:val="none" w:sz="0" w:space="0" w:color="auto"/>
        <w:right w:val="none" w:sz="0" w:space="0" w:color="auto"/>
      </w:divBdr>
    </w:div>
    <w:div w:id="1930967934">
      <w:bodyDiv w:val="1"/>
      <w:marLeft w:val="0"/>
      <w:marRight w:val="0"/>
      <w:marTop w:val="0"/>
      <w:marBottom w:val="0"/>
      <w:divBdr>
        <w:top w:val="none" w:sz="0" w:space="0" w:color="auto"/>
        <w:left w:val="none" w:sz="0" w:space="0" w:color="auto"/>
        <w:bottom w:val="none" w:sz="0" w:space="0" w:color="auto"/>
        <w:right w:val="none" w:sz="0" w:space="0" w:color="auto"/>
      </w:divBdr>
    </w:div>
    <w:div w:id="1933660491">
      <w:bodyDiv w:val="1"/>
      <w:marLeft w:val="0"/>
      <w:marRight w:val="0"/>
      <w:marTop w:val="0"/>
      <w:marBottom w:val="0"/>
      <w:divBdr>
        <w:top w:val="none" w:sz="0" w:space="0" w:color="auto"/>
        <w:left w:val="none" w:sz="0" w:space="0" w:color="auto"/>
        <w:bottom w:val="none" w:sz="0" w:space="0" w:color="auto"/>
        <w:right w:val="none" w:sz="0" w:space="0" w:color="auto"/>
      </w:divBdr>
      <w:divsChild>
        <w:div w:id="777914121">
          <w:marLeft w:val="0"/>
          <w:marRight w:val="0"/>
          <w:marTop w:val="0"/>
          <w:marBottom w:val="0"/>
          <w:divBdr>
            <w:top w:val="none" w:sz="0" w:space="0" w:color="auto"/>
            <w:left w:val="none" w:sz="0" w:space="0" w:color="auto"/>
            <w:bottom w:val="none" w:sz="0" w:space="0" w:color="auto"/>
            <w:right w:val="none" w:sz="0" w:space="0" w:color="auto"/>
          </w:divBdr>
          <w:divsChild>
            <w:div w:id="988091081">
              <w:marLeft w:val="0"/>
              <w:marRight w:val="0"/>
              <w:marTop w:val="0"/>
              <w:marBottom w:val="0"/>
              <w:divBdr>
                <w:top w:val="none" w:sz="0" w:space="0" w:color="auto"/>
                <w:left w:val="none" w:sz="0" w:space="0" w:color="auto"/>
                <w:bottom w:val="none" w:sz="0" w:space="0" w:color="auto"/>
                <w:right w:val="none" w:sz="0" w:space="0" w:color="auto"/>
              </w:divBdr>
              <w:divsChild>
                <w:div w:id="396710289">
                  <w:marLeft w:val="0"/>
                  <w:marRight w:val="0"/>
                  <w:marTop w:val="0"/>
                  <w:marBottom w:val="0"/>
                  <w:divBdr>
                    <w:top w:val="none" w:sz="0" w:space="0" w:color="auto"/>
                    <w:left w:val="none" w:sz="0" w:space="0" w:color="auto"/>
                    <w:bottom w:val="none" w:sz="0" w:space="0" w:color="auto"/>
                    <w:right w:val="none" w:sz="0" w:space="0" w:color="auto"/>
                  </w:divBdr>
                  <w:divsChild>
                    <w:div w:id="80585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409637">
      <w:bodyDiv w:val="1"/>
      <w:marLeft w:val="0"/>
      <w:marRight w:val="0"/>
      <w:marTop w:val="0"/>
      <w:marBottom w:val="0"/>
      <w:divBdr>
        <w:top w:val="none" w:sz="0" w:space="0" w:color="auto"/>
        <w:left w:val="none" w:sz="0" w:space="0" w:color="auto"/>
        <w:bottom w:val="none" w:sz="0" w:space="0" w:color="auto"/>
        <w:right w:val="none" w:sz="0" w:space="0" w:color="auto"/>
      </w:divBdr>
      <w:divsChild>
        <w:div w:id="326791229">
          <w:marLeft w:val="0"/>
          <w:marRight w:val="0"/>
          <w:marTop w:val="0"/>
          <w:marBottom w:val="0"/>
          <w:divBdr>
            <w:top w:val="none" w:sz="0" w:space="0" w:color="auto"/>
            <w:left w:val="none" w:sz="0" w:space="0" w:color="auto"/>
            <w:bottom w:val="none" w:sz="0" w:space="0" w:color="auto"/>
            <w:right w:val="none" w:sz="0" w:space="0" w:color="auto"/>
          </w:divBdr>
          <w:divsChild>
            <w:div w:id="422458575">
              <w:marLeft w:val="0"/>
              <w:marRight w:val="0"/>
              <w:marTop w:val="0"/>
              <w:marBottom w:val="0"/>
              <w:divBdr>
                <w:top w:val="none" w:sz="0" w:space="0" w:color="auto"/>
                <w:left w:val="none" w:sz="0" w:space="0" w:color="auto"/>
                <w:bottom w:val="none" w:sz="0" w:space="0" w:color="auto"/>
                <w:right w:val="none" w:sz="0" w:space="0" w:color="auto"/>
              </w:divBdr>
              <w:divsChild>
                <w:div w:id="663972245">
                  <w:marLeft w:val="0"/>
                  <w:marRight w:val="0"/>
                  <w:marTop w:val="0"/>
                  <w:marBottom w:val="0"/>
                  <w:divBdr>
                    <w:top w:val="none" w:sz="0" w:space="0" w:color="auto"/>
                    <w:left w:val="none" w:sz="0" w:space="0" w:color="auto"/>
                    <w:bottom w:val="none" w:sz="0" w:space="0" w:color="auto"/>
                    <w:right w:val="none" w:sz="0" w:space="0" w:color="auto"/>
                  </w:divBdr>
                  <w:divsChild>
                    <w:div w:id="84240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5187028">
      <w:bodyDiv w:val="1"/>
      <w:marLeft w:val="0"/>
      <w:marRight w:val="0"/>
      <w:marTop w:val="0"/>
      <w:marBottom w:val="0"/>
      <w:divBdr>
        <w:top w:val="none" w:sz="0" w:space="0" w:color="auto"/>
        <w:left w:val="none" w:sz="0" w:space="0" w:color="auto"/>
        <w:bottom w:val="none" w:sz="0" w:space="0" w:color="auto"/>
        <w:right w:val="none" w:sz="0" w:space="0" w:color="auto"/>
      </w:divBdr>
      <w:divsChild>
        <w:div w:id="1487668955">
          <w:marLeft w:val="0"/>
          <w:marRight w:val="0"/>
          <w:marTop w:val="0"/>
          <w:marBottom w:val="0"/>
          <w:divBdr>
            <w:top w:val="none" w:sz="0" w:space="0" w:color="auto"/>
            <w:left w:val="none" w:sz="0" w:space="0" w:color="auto"/>
            <w:bottom w:val="none" w:sz="0" w:space="0" w:color="auto"/>
            <w:right w:val="none" w:sz="0" w:space="0" w:color="auto"/>
          </w:divBdr>
          <w:divsChild>
            <w:div w:id="2085954054">
              <w:marLeft w:val="0"/>
              <w:marRight w:val="0"/>
              <w:marTop w:val="0"/>
              <w:marBottom w:val="0"/>
              <w:divBdr>
                <w:top w:val="none" w:sz="0" w:space="0" w:color="auto"/>
                <w:left w:val="none" w:sz="0" w:space="0" w:color="auto"/>
                <w:bottom w:val="none" w:sz="0" w:space="0" w:color="auto"/>
                <w:right w:val="none" w:sz="0" w:space="0" w:color="auto"/>
              </w:divBdr>
              <w:divsChild>
                <w:div w:id="1993172095">
                  <w:marLeft w:val="0"/>
                  <w:marRight w:val="0"/>
                  <w:marTop w:val="0"/>
                  <w:marBottom w:val="0"/>
                  <w:divBdr>
                    <w:top w:val="none" w:sz="0" w:space="0" w:color="auto"/>
                    <w:left w:val="none" w:sz="0" w:space="0" w:color="auto"/>
                    <w:bottom w:val="none" w:sz="0" w:space="0" w:color="auto"/>
                    <w:right w:val="none" w:sz="0" w:space="0" w:color="auto"/>
                  </w:divBdr>
                  <w:divsChild>
                    <w:div w:id="37527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0228155">
      <w:bodyDiv w:val="1"/>
      <w:marLeft w:val="0"/>
      <w:marRight w:val="0"/>
      <w:marTop w:val="0"/>
      <w:marBottom w:val="0"/>
      <w:divBdr>
        <w:top w:val="none" w:sz="0" w:space="0" w:color="auto"/>
        <w:left w:val="none" w:sz="0" w:space="0" w:color="auto"/>
        <w:bottom w:val="none" w:sz="0" w:space="0" w:color="auto"/>
        <w:right w:val="none" w:sz="0" w:space="0" w:color="auto"/>
      </w:divBdr>
    </w:div>
    <w:div w:id="2041585704">
      <w:bodyDiv w:val="1"/>
      <w:marLeft w:val="0"/>
      <w:marRight w:val="0"/>
      <w:marTop w:val="0"/>
      <w:marBottom w:val="0"/>
      <w:divBdr>
        <w:top w:val="none" w:sz="0" w:space="0" w:color="auto"/>
        <w:left w:val="none" w:sz="0" w:space="0" w:color="auto"/>
        <w:bottom w:val="none" w:sz="0" w:space="0" w:color="auto"/>
        <w:right w:val="none" w:sz="0" w:space="0" w:color="auto"/>
      </w:divBdr>
    </w:div>
    <w:div w:id="2043358574">
      <w:bodyDiv w:val="1"/>
      <w:marLeft w:val="0"/>
      <w:marRight w:val="0"/>
      <w:marTop w:val="0"/>
      <w:marBottom w:val="0"/>
      <w:divBdr>
        <w:top w:val="none" w:sz="0" w:space="0" w:color="auto"/>
        <w:left w:val="none" w:sz="0" w:space="0" w:color="auto"/>
        <w:bottom w:val="none" w:sz="0" w:space="0" w:color="auto"/>
        <w:right w:val="none" w:sz="0" w:space="0" w:color="auto"/>
      </w:divBdr>
    </w:div>
    <w:div w:id="2045133761">
      <w:bodyDiv w:val="1"/>
      <w:marLeft w:val="0"/>
      <w:marRight w:val="0"/>
      <w:marTop w:val="0"/>
      <w:marBottom w:val="0"/>
      <w:divBdr>
        <w:top w:val="none" w:sz="0" w:space="0" w:color="auto"/>
        <w:left w:val="none" w:sz="0" w:space="0" w:color="auto"/>
        <w:bottom w:val="none" w:sz="0" w:space="0" w:color="auto"/>
        <w:right w:val="none" w:sz="0" w:space="0" w:color="auto"/>
      </w:divBdr>
    </w:div>
    <w:div w:id="2072314597">
      <w:bodyDiv w:val="1"/>
      <w:marLeft w:val="0"/>
      <w:marRight w:val="0"/>
      <w:marTop w:val="0"/>
      <w:marBottom w:val="0"/>
      <w:divBdr>
        <w:top w:val="none" w:sz="0" w:space="0" w:color="auto"/>
        <w:left w:val="none" w:sz="0" w:space="0" w:color="auto"/>
        <w:bottom w:val="none" w:sz="0" w:space="0" w:color="auto"/>
        <w:right w:val="none" w:sz="0" w:space="0" w:color="auto"/>
      </w:divBdr>
      <w:divsChild>
        <w:div w:id="1441222878">
          <w:marLeft w:val="0"/>
          <w:marRight w:val="0"/>
          <w:marTop w:val="0"/>
          <w:marBottom w:val="0"/>
          <w:divBdr>
            <w:top w:val="none" w:sz="0" w:space="0" w:color="auto"/>
            <w:left w:val="none" w:sz="0" w:space="0" w:color="auto"/>
            <w:bottom w:val="none" w:sz="0" w:space="0" w:color="auto"/>
            <w:right w:val="none" w:sz="0" w:space="0" w:color="auto"/>
          </w:divBdr>
          <w:divsChild>
            <w:div w:id="966163267">
              <w:marLeft w:val="0"/>
              <w:marRight w:val="0"/>
              <w:marTop w:val="0"/>
              <w:marBottom w:val="0"/>
              <w:divBdr>
                <w:top w:val="none" w:sz="0" w:space="0" w:color="auto"/>
                <w:left w:val="none" w:sz="0" w:space="0" w:color="auto"/>
                <w:bottom w:val="none" w:sz="0" w:space="0" w:color="auto"/>
                <w:right w:val="none" w:sz="0" w:space="0" w:color="auto"/>
              </w:divBdr>
              <w:divsChild>
                <w:div w:id="1634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158523">
      <w:bodyDiv w:val="1"/>
      <w:marLeft w:val="0"/>
      <w:marRight w:val="0"/>
      <w:marTop w:val="0"/>
      <w:marBottom w:val="0"/>
      <w:divBdr>
        <w:top w:val="none" w:sz="0" w:space="0" w:color="auto"/>
        <w:left w:val="none" w:sz="0" w:space="0" w:color="auto"/>
        <w:bottom w:val="none" w:sz="0" w:space="0" w:color="auto"/>
        <w:right w:val="none" w:sz="0" w:space="0" w:color="auto"/>
      </w:divBdr>
      <w:divsChild>
        <w:div w:id="613707790">
          <w:marLeft w:val="0"/>
          <w:marRight w:val="0"/>
          <w:marTop w:val="0"/>
          <w:marBottom w:val="0"/>
          <w:divBdr>
            <w:top w:val="none" w:sz="0" w:space="0" w:color="auto"/>
            <w:left w:val="none" w:sz="0" w:space="0" w:color="auto"/>
            <w:bottom w:val="none" w:sz="0" w:space="0" w:color="auto"/>
            <w:right w:val="none" w:sz="0" w:space="0" w:color="auto"/>
          </w:divBdr>
          <w:divsChild>
            <w:div w:id="428737203">
              <w:marLeft w:val="0"/>
              <w:marRight w:val="0"/>
              <w:marTop w:val="0"/>
              <w:marBottom w:val="0"/>
              <w:divBdr>
                <w:top w:val="none" w:sz="0" w:space="0" w:color="auto"/>
                <w:left w:val="none" w:sz="0" w:space="0" w:color="auto"/>
                <w:bottom w:val="none" w:sz="0" w:space="0" w:color="auto"/>
                <w:right w:val="none" w:sz="0" w:space="0" w:color="auto"/>
              </w:divBdr>
              <w:divsChild>
                <w:div w:id="45005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289361">
      <w:bodyDiv w:val="1"/>
      <w:marLeft w:val="0"/>
      <w:marRight w:val="0"/>
      <w:marTop w:val="0"/>
      <w:marBottom w:val="0"/>
      <w:divBdr>
        <w:top w:val="none" w:sz="0" w:space="0" w:color="auto"/>
        <w:left w:val="none" w:sz="0" w:space="0" w:color="auto"/>
        <w:bottom w:val="none" w:sz="0" w:space="0" w:color="auto"/>
        <w:right w:val="none" w:sz="0" w:space="0" w:color="auto"/>
      </w:divBdr>
    </w:div>
    <w:div w:id="2144037921">
      <w:bodyDiv w:val="1"/>
      <w:marLeft w:val="0"/>
      <w:marRight w:val="0"/>
      <w:marTop w:val="0"/>
      <w:marBottom w:val="0"/>
      <w:divBdr>
        <w:top w:val="none" w:sz="0" w:space="0" w:color="auto"/>
        <w:left w:val="none" w:sz="0" w:space="0" w:color="auto"/>
        <w:bottom w:val="none" w:sz="0" w:space="0" w:color="auto"/>
        <w:right w:val="none" w:sz="0" w:space="0" w:color="auto"/>
      </w:divBdr>
      <w:divsChild>
        <w:div w:id="569968283">
          <w:marLeft w:val="0"/>
          <w:marRight w:val="0"/>
          <w:marTop w:val="0"/>
          <w:marBottom w:val="0"/>
          <w:divBdr>
            <w:top w:val="none" w:sz="0" w:space="0" w:color="auto"/>
            <w:left w:val="none" w:sz="0" w:space="0" w:color="auto"/>
            <w:bottom w:val="none" w:sz="0" w:space="0" w:color="auto"/>
            <w:right w:val="none" w:sz="0" w:space="0" w:color="auto"/>
          </w:divBdr>
          <w:divsChild>
            <w:div w:id="227612207">
              <w:marLeft w:val="0"/>
              <w:marRight w:val="0"/>
              <w:marTop w:val="0"/>
              <w:marBottom w:val="0"/>
              <w:divBdr>
                <w:top w:val="none" w:sz="0" w:space="0" w:color="auto"/>
                <w:left w:val="none" w:sz="0" w:space="0" w:color="auto"/>
                <w:bottom w:val="none" w:sz="0" w:space="0" w:color="auto"/>
                <w:right w:val="none" w:sz="0" w:space="0" w:color="auto"/>
              </w:divBdr>
              <w:divsChild>
                <w:div w:id="210445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osf.io/tyka3/"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www.fil.ion.ucl.ac.uk/spm/software/spm1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image" Target="media/image3.png"/><Relationship Id="rId10" Type="http://schemas.openxmlformats.org/officeDocument/2006/relationships/hyperlink" Target="mailto:Frank.Hezemans@mrc-cbu.cam.ac.uk" TargetMode="External"/><Relationship Id="rId4" Type="http://schemas.openxmlformats.org/officeDocument/2006/relationships/webSettings" Target="webSettings.xml"/><Relationship Id="rId9" Type="http://schemas.openxmlformats.org/officeDocument/2006/relationships/hyperlink" Target="mailto:claire.ocallaghan@sydney.edu.au" TargetMode="External"/><Relationship Id="rId14"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119</TotalTime>
  <Pages>37</Pages>
  <Words>62821</Words>
  <Characters>377559</Characters>
  <Application>Microsoft Office Word</Application>
  <DocSecurity>0</DocSecurity>
  <Lines>4967</Lines>
  <Paragraphs>1299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Hezemans</dc:creator>
  <cp:keywords/>
  <dc:description/>
  <cp:lastModifiedBy>Claire O'Callaghan</cp:lastModifiedBy>
  <cp:revision>376</cp:revision>
  <dcterms:created xsi:type="dcterms:W3CDTF">2021-01-31T14:01:00Z</dcterms:created>
  <dcterms:modified xsi:type="dcterms:W3CDTF">2021-03-23T10:32:00Z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id="IttNASIo"/&gt;&lt;style id="http://www.zotero.org/styles/american-medical-association" hasBibliography="1" bibliographyStyleHasBeenSet="1"/&gt;&lt;prefs&gt;&lt;pref name="fieldType" value="Field"/&gt;&lt;pref name="auto</vt:lpwstr>
  </property>
  <property fmtid="{D5CDD505-2E9C-101B-9397-08002B2CF9AE}" pid="3" name="ZOTERO_PREF_2">
    <vt:lpwstr>maticJournalAbbreviations" value="true"/&gt;&lt;pref name="delayCitationUpdates" value="true"/&gt;&lt;/prefs&gt;&lt;/data&gt;</vt:lpwstr>
  </property>
</Properties>
</file>