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C8905" w14:textId="2155C32E" w:rsidR="00662343" w:rsidRPr="00805A4B" w:rsidRDefault="00662343" w:rsidP="00CD1FE1">
      <w:pPr>
        <w:pStyle w:val="Default"/>
        <w:spacing w:line="480" w:lineRule="auto"/>
      </w:pPr>
      <w:r w:rsidRPr="00662343">
        <w:rPr>
          <w:rFonts w:ascii="Times New Roman" w:eastAsia="Times New Roman" w:hAnsi="Times New Roman" w:cs="Times New Roman"/>
          <w:sz w:val="24"/>
          <w:szCs w:val="24"/>
        </w:rPr>
        <w:tab/>
      </w:r>
      <w:bookmarkStart w:id="0" w:name="_Toc534885881"/>
      <w:r w:rsidRPr="00805A4B">
        <w:t xml:space="preserve">Singing the King’s Death: </w:t>
      </w:r>
      <w:r w:rsidR="00805A4B" w:rsidRPr="00805A4B">
        <w:t>V</w:t>
      </w:r>
      <w:r w:rsidRPr="00805A4B">
        <w:t xml:space="preserve">oice and </w:t>
      </w:r>
      <w:r w:rsidR="00805A4B" w:rsidRPr="00805A4B">
        <w:t>S</w:t>
      </w:r>
      <w:r w:rsidRPr="00805A4B">
        <w:t>ound in 1715</w:t>
      </w:r>
      <w:bookmarkEnd w:id="0"/>
    </w:p>
    <w:p w14:paraId="1E713107" w14:textId="77777777" w:rsidR="00662343" w:rsidRDefault="00662343" w:rsidP="00805A4B">
      <w:pPr>
        <w:spacing w:line="480" w:lineRule="auto"/>
      </w:pPr>
    </w:p>
    <w:p w14:paraId="018FFF5F" w14:textId="202725C4" w:rsidR="00662343" w:rsidRDefault="00662343" w:rsidP="00805A4B">
      <w:pPr>
        <w:spacing w:line="480" w:lineRule="auto"/>
      </w:pPr>
      <w:r>
        <w:t>Nicholas Hammond</w:t>
      </w:r>
    </w:p>
    <w:p w14:paraId="0C448966" w14:textId="77777777" w:rsidR="00805A4B" w:rsidRDefault="00805A4B" w:rsidP="00805A4B">
      <w:pPr>
        <w:spacing w:line="480" w:lineRule="auto"/>
      </w:pPr>
      <w:r w:rsidRPr="00662343">
        <w:t>University of Cambridge</w:t>
      </w:r>
    </w:p>
    <w:p w14:paraId="3C57D623" w14:textId="77777777" w:rsidR="00805A4B" w:rsidRPr="00662343" w:rsidRDefault="000574A4" w:rsidP="00805A4B">
      <w:pPr>
        <w:spacing w:line="480" w:lineRule="auto"/>
      </w:pPr>
      <w:hyperlink r:id="rId8" w:history="1">
        <w:r w:rsidR="00805A4B" w:rsidRPr="003D41B4">
          <w:rPr>
            <w:rStyle w:val="Hyperlink"/>
          </w:rPr>
          <w:t>ngh20@cam.ac.uk</w:t>
        </w:r>
      </w:hyperlink>
      <w:r w:rsidR="00805A4B" w:rsidRPr="00662343">
        <w:t xml:space="preserve"> </w:t>
      </w:r>
    </w:p>
    <w:p w14:paraId="10BED805" w14:textId="77777777" w:rsidR="00662343" w:rsidRDefault="00662343" w:rsidP="00805A4B">
      <w:pPr>
        <w:spacing w:line="480" w:lineRule="auto"/>
      </w:pPr>
    </w:p>
    <w:p w14:paraId="0471E4C7" w14:textId="77777777" w:rsidR="00662343" w:rsidRPr="00662343" w:rsidRDefault="00662343" w:rsidP="00805A4B">
      <w:pPr>
        <w:spacing w:line="480" w:lineRule="auto"/>
        <w:rPr>
          <w:b/>
        </w:rPr>
      </w:pPr>
      <w:r>
        <w:rPr>
          <w:b/>
        </w:rPr>
        <w:t>Abstract</w:t>
      </w:r>
    </w:p>
    <w:p w14:paraId="2062592C" w14:textId="4AD61686" w:rsidR="00662343" w:rsidRDefault="00662343" w:rsidP="00805A4B">
      <w:pPr>
        <w:spacing w:line="480" w:lineRule="auto"/>
      </w:pPr>
      <w:r>
        <w:t xml:space="preserve">The central thesis of this article is that Louis XIV’s reign, which has tended to be considered from an exclusively visual perspective, warrants re-evaluation from a sonic angle. Voice and sound assume a particular intensity at the time of the king’s final illness and after his death in 1715: not only do those closest to Louis, including Mme de Maintenon and his two servants, the Antoine brothers, take care to record the monarch’s final words and the sound of his voice, but the voices of others commemorate and question the legacy of a king who in his later years presided over military defeats, crippling taxes and widespread hardship. The words of preachers, such as Quiqueran de Beaujeu and Massillon, take inspiration from criticism of the monarch on the street, just as the thriving song culture around the Pont-Neuf gives a socially diverse populace the opportunity to hear about the king’s funeral and to express different responses to their king’s demise. Web-links to performances of the songs on </w:t>
      </w:r>
      <w:hyperlink r:id="rId9" w:history="1">
        <w:r w:rsidRPr="00343CEF">
          <w:rPr>
            <w:rStyle w:val="Hyperlink"/>
          </w:rPr>
          <w:t>http://parisiansoundscapes.org</w:t>
        </w:r>
      </w:hyperlink>
      <w:r>
        <w:t xml:space="preserve"> give readers the chance to listen to the sound of songs which until now have only been considered for their textual content.</w:t>
      </w:r>
    </w:p>
    <w:p w14:paraId="7803AD45" w14:textId="77777777" w:rsidR="00662343" w:rsidRDefault="00662343" w:rsidP="00805A4B">
      <w:pPr>
        <w:spacing w:line="480" w:lineRule="auto"/>
      </w:pPr>
    </w:p>
    <w:p w14:paraId="401B2A6D" w14:textId="77777777" w:rsidR="00662343" w:rsidRDefault="00662343" w:rsidP="00805A4B">
      <w:pPr>
        <w:spacing w:line="480" w:lineRule="auto"/>
      </w:pPr>
      <w:r>
        <w:rPr>
          <w:b/>
        </w:rPr>
        <w:t>Keywords</w:t>
      </w:r>
    </w:p>
    <w:p w14:paraId="6D3762E6" w14:textId="77777777" w:rsidR="00662343" w:rsidRPr="00C546EE" w:rsidRDefault="00662343" w:rsidP="00805A4B">
      <w:pPr>
        <w:spacing w:line="480" w:lineRule="auto"/>
      </w:pPr>
      <w:r>
        <w:t>soundscapes, Louis XIV, death, illness, song, voice, Pont-Neuf, funeral orations, visuality, posterity</w:t>
      </w:r>
    </w:p>
    <w:p w14:paraId="00DA0074" w14:textId="77777777" w:rsidR="00662343" w:rsidRDefault="00662343" w:rsidP="00805A4B">
      <w:pPr>
        <w:spacing w:line="480" w:lineRule="auto"/>
      </w:pPr>
    </w:p>
    <w:p w14:paraId="46500F06" w14:textId="77777777" w:rsidR="00662343" w:rsidRPr="00557178" w:rsidRDefault="00662343" w:rsidP="00805A4B">
      <w:pPr>
        <w:spacing w:line="480" w:lineRule="auto"/>
      </w:pPr>
    </w:p>
    <w:p w14:paraId="7958D103" w14:textId="18E0A566" w:rsidR="00662343" w:rsidRPr="00557178" w:rsidRDefault="00662343" w:rsidP="000D2DF6">
      <w:pPr>
        <w:spacing w:line="480" w:lineRule="auto"/>
        <w:ind w:left="1134"/>
      </w:pPr>
      <w:r>
        <w:t>Je sors du plus grand, du plus touchant et du plus héroïque spectacle que les hommes puissent jamais voir.</w:t>
      </w:r>
      <w:r>
        <w:rPr>
          <w:rStyle w:val="FootnoteReference"/>
        </w:rPr>
        <w:footnoteReference w:id="1"/>
      </w:r>
    </w:p>
    <w:p w14:paraId="33F3C791" w14:textId="7D3601AF" w:rsidR="00662343" w:rsidRPr="00557178" w:rsidRDefault="00662343" w:rsidP="00805A4B">
      <w:pPr>
        <w:spacing w:line="480" w:lineRule="auto"/>
      </w:pPr>
      <w:r>
        <w:t>The words that the Marquis de Dangeau wrote in his Journal after he visited the mortally ill Louis XIV</w:t>
      </w:r>
      <w:r w:rsidRPr="00557178">
        <w:t xml:space="preserve"> </w:t>
      </w:r>
      <w:r>
        <w:t>show above all the emotion of a loyal courtier. They also follow a long-established tradition of portraying</w:t>
      </w:r>
      <w:r w:rsidRPr="00557178">
        <w:t xml:space="preserve"> </w:t>
      </w:r>
      <w:r>
        <w:t>the monarch, even at this late stage of his life,</w:t>
      </w:r>
      <w:r w:rsidRPr="00557178">
        <w:t xml:space="preserve"> in overwhelmingly visual terms. </w:t>
      </w:r>
      <w:r>
        <w:t xml:space="preserve">The purpose of this article will be to consider the time leading up to and following Louis’s death from another sensory angle: that of hearing and sound. </w:t>
      </w:r>
    </w:p>
    <w:p w14:paraId="5390986E" w14:textId="1BEB894B" w:rsidR="00662343" w:rsidRPr="00557178" w:rsidRDefault="00662343" w:rsidP="00805A4B">
      <w:pPr>
        <w:spacing w:line="480" w:lineRule="auto"/>
        <w:ind w:firstLine="720"/>
      </w:pPr>
      <w:r>
        <w:t>The</w:t>
      </w:r>
      <w:r w:rsidRPr="00557178">
        <w:t xml:space="preserve"> image of Louis as stage-manager of his life, as the exemplary object of his loyal subjects’ gaze, is a commonplace that, like many commonplaces, is largely rooted in reality. Louis wanted to project an image of strength, even invincibility, through visual representations of him and through the sight of the royal body. Yet, the visuality of Louis’s reign has all too often been accepted as the only way of considering the </w:t>
      </w:r>
      <w:r>
        <w:t>king</w:t>
      </w:r>
      <w:r w:rsidRPr="00557178">
        <w:t xml:space="preserve">. Even the most interesting </w:t>
      </w:r>
      <w:r>
        <w:t xml:space="preserve">modern </w:t>
      </w:r>
      <w:r w:rsidRPr="00557178">
        <w:t xml:space="preserve">analyses of Louis rarely veer away from such an approach. Jean-Marie Apostolidès, for example, brings out the complexity of the royal image, but always on a visual level: </w:t>
      </w:r>
    </w:p>
    <w:p w14:paraId="14AC5D96" w14:textId="35FEB952" w:rsidR="00662343" w:rsidRPr="00557178" w:rsidRDefault="00662343" w:rsidP="000D2DF6">
      <w:pPr>
        <w:spacing w:line="480" w:lineRule="auto"/>
        <w:ind w:left="1134"/>
      </w:pPr>
      <w:r w:rsidRPr="00557178">
        <w:t>Le spectacle au XVIIe siècle possède une fonction d’éblouissement: il attire en même temps qu’il dissimule. L’attirance est marquée par le phototropisme positif des sujets à l’égard du soleil monarchique. Le prince projette son image sur une double scène, celle qui se constitue peu à peu à Versailles et la scène de l’inconscient de ses sujets.</w:t>
      </w:r>
      <w:r w:rsidRPr="00557178">
        <w:rPr>
          <w:rStyle w:val="FootnoteReference"/>
        </w:rPr>
        <w:footnoteReference w:id="2"/>
      </w:r>
      <w:r w:rsidRPr="00557178">
        <w:t xml:space="preserve">  </w:t>
      </w:r>
    </w:p>
    <w:p w14:paraId="10C78132" w14:textId="081845AD" w:rsidR="00662343" w:rsidRPr="00557178" w:rsidRDefault="00662343" w:rsidP="00805A4B">
      <w:pPr>
        <w:spacing w:line="480" w:lineRule="auto"/>
      </w:pPr>
      <w:r w:rsidRPr="00557178">
        <w:t>Similarly, Louis Marin’s perceptive analysis of the historian’s role in the representation of Louis is marked by terminology relating to the gaze:</w:t>
      </w:r>
    </w:p>
    <w:p w14:paraId="29F554F9" w14:textId="2635AAE2" w:rsidR="00662343" w:rsidRPr="00557178" w:rsidRDefault="00662343" w:rsidP="000D2DF6">
      <w:pPr>
        <w:spacing w:line="480" w:lineRule="auto"/>
        <w:ind w:left="1134"/>
      </w:pPr>
      <w:r w:rsidRPr="00557178">
        <w:lastRenderedPageBreak/>
        <w:t>Entre le roi et son historien, il y a échange complice d’un oeil et d’un regard: le premier, en voyant tout, fait et n’est vu qu’autant qu’il se donne à voir en donnant tout ce qu’il y a à voir; le second, qui voit tout ce que le premier lui fait voir et l’ayant vu, en l’écrivant, le fait voir à son tour à tous ceux qui auront été absents au temps et au lieu de cette visibilité.’</w:t>
      </w:r>
      <w:r w:rsidRPr="00557178">
        <w:rPr>
          <w:rStyle w:val="FootnoteReference"/>
        </w:rPr>
        <w:footnoteReference w:id="3"/>
      </w:r>
    </w:p>
    <w:p w14:paraId="43C98F47" w14:textId="77777777" w:rsidR="00662343" w:rsidRDefault="00662343" w:rsidP="00805A4B">
      <w:pPr>
        <w:spacing w:line="480" w:lineRule="auto"/>
        <w:ind w:firstLine="720"/>
      </w:pPr>
      <w:r w:rsidRPr="00557178">
        <w:t xml:space="preserve">As valuable as these readings are, I would argue that, by turning our attention away from the visual toward the aural, a very different side of Louis’s reign can be revealed. </w:t>
      </w:r>
      <w:r>
        <w:t>Unlike the visible</w:t>
      </w:r>
      <w:r w:rsidRPr="00557178">
        <w:t xml:space="preserve"> or the written image, which could be carefully controlled, manipulated and, if necessary, swiftly repressed, the sound worlds surrounding Louis proved less easy to contain, </w:t>
      </w:r>
      <w:r>
        <w:t>whether it be through listening to the stern words of a preacher admonishing the king in church, or through the eloquence displayed within lawcourts leading to outcomes that were opposed by the monarch, or to the vibrant song culture, e</w:t>
      </w:r>
      <w:r w:rsidRPr="00557178">
        <w:t>specially on a noisy thoroughfare like the Pont-Neuf</w:t>
      </w:r>
      <w:r>
        <w:t>, which openly questioned royal authority</w:t>
      </w:r>
      <w:r w:rsidRPr="00557178">
        <w:t>.</w:t>
      </w:r>
      <w:r>
        <w:rPr>
          <w:rStyle w:val="FootnoteReference"/>
        </w:rPr>
        <w:footnoteReference w:id="4"/>
      </w:r>
      <w:r w:rsidRPr="00557178">
        <w:t xml:space="preserve"> The spectacle of the </w:t>
      </w:r>
      <w:r>
        <w:t>king</w:t>
      </w:r>
      <w:r w:rsidRPr="00557178">
        <w:t xml:space="preserve">, whether in public or within Versailles in the middle and later stages of his reign, represented royal confidence and authority. </w:t>
      </w:r>
      <w:r>
        <w:t>Even at moments of crisis, such as when the king was ill, the king’s body became part of what Stanis Perez calls ‘un système performant’,</w:t>
      </w:r>
      <w:r>
        <w:rPr>
          <w:rStyle w:val="FootnoteReference"/>
        </w:rPr>
        <w:footnoteReference w:id="5"/>
      </w:r>
      <w:r>
        <w:t xml:space="preserve"> where the king was shown both to display strength in adversity and to continue to govern effectively. </w:t>
      </w:r>
      <w:r w:rsidRPr="00557178">
        <w:t xml:space="preserve">The sonic space </w:t>
      </w:r>
      <w:r>
        <w:t xml:space="preserve">by contrast </w:t>
      </w:r>
      <w:r w:rsidRPr="00557178">
        <w:t>betrayed greater uncertainty</w:t>
      </w:r>
      <w:r>
        <w:t xml:space="preserve"> and, in the sovereign’s final moments, a touching intimacy</w:t>
      </w:r>
      <w:r w:rsidRPr="00557178">
        <w:t xml:space="preserve">. </w:t>
      </w:r>
    </w:p>
    <w:p w14:paraId="25B143D0" w14:textId="73E959F2" w:rsidR="00662343" w:rsidRDefault="00662343" w:rsidP="00805A4B">
      <w:pPr>
        <w:spacing w:line="480" w:lineRule="auto"/>
        <w:ind w:firstLine="720"/>
      </w:pPr>
      <w:r>
        <w:t xml:space="preserve">An inevitable consequence of the care taken in presenting a suitably positive image of an ailing or dying king was the different ways in which the news could spread to the street and become part of the oral culture of the city, where official versions of events were easily </w:t>
      </w:r>
      <w:r>
        <w:lastRenderedPageBreak/>
        <w:t>questioned or countered. When Louis underwent an operation to treat an anal fistula in 1686, for example, the abbé de Choisy reports that ‘on ne parlait d’autre chose dans toutes les rues, et tout Paris le sut dans un quart d’heure’.</w:t>
      </w:r>
      <w:r>
        <w:rPr>
          <w:rStyle w:val="FootnoteReference"/>
        </w:rPr>
        <w:footnoteReference w:id="6"/>
      </w:r>
      <w:r>
        <w:t xml:space="preserve"> If Choisy is to believed, most of the spoken comments were admiring, but in fact surviving street songs from the time both praise the monarch’s courage at that time and express fatigue at the number of military conflicts in which he was engaged.</w:t>
      </w:r>
      <w:r>
        <w:rPr>
          <w:rStyle w:val="FootnoteReference"/>
        </w:rPr>
        <w:footnoteReference w:id="7"/>
      </w:r>
    </w:p>
    <w:p w14:paraId="747FE3FA" w14:textId="1B372D2B" w:rsidR="00662343" w:rsidRDefault="00662343" w:rsidP="000D2DF6">
      <w:pPr>
        <w:spacing w:after="240" w:line="480" w:lineRule="auto"/>
        <w:ind w:firstLine="720"/>
      </w:pPr>
      <w:r>
        <w:t>Louis’s final illness and death in 1715 had an even stronger impact on wider conversations and on the vibrant song culture of early modern Paris. As one piece puts it, ‘</w:t>
      </w:r>
      <w:r w:rsidRPr="00557178">
        <w:rPr>
          <w:color w:val="171717"/>
        </w:rPr>
        <w:t>Sa mort de tout</w:t>
      </w:r>
      <w:r>
        <w:rPr>
          <w:color w:val="171717"/>
        </w:rPr>
        <w:t xml:space="preserve"> Paris, fait l’unique entretien’.</w:t>
      </w:r>
      <w:r>
        <w:rPr>
          <w:rStyle w:val="FootnoteReference"/>
          <w:color w:val="171717"/>
        </w:rPr>
        <w:footnoteReference w:id="8"/>
      </w:r>
      <w:r>
        <w:rPr>
          <w:color w:val="171717"/>
        </w:rPr>
        <w:t xml:space="preserve"> Far from praising </w:t>
      </w:r>
      <w:r w:rsidRPr="00557178">
        <w:t xml:space="preserve">the legacy </w:t>
      </w:r>
      <w:r>
        <w:t xml:space="preserve">of </w:t>
      </w:r>
      <w:r w:rsidRPr="00557178">
        <w:t xml:space="preserve">a </w:t>
      </w:r>
      <w:r>
        <w:t xml:space="preserve">long-lived king, however, many of the songs express exasperation or contempt at the </w:t>
      </w:r>
      <w:r w:rsidRPr="00557178">
        <w:t xml:space="preserve"> military campaigns, crippling taxes and widespread hardship</w:t>
      </w:r>
      <w:r>
        <w:t xml:space="preserve"> that beset the people in the later years of Louis’s reign</w:t>
      </w:r>
      <w:r w:rsidRPr="00557178">
        <w:t xml:space="preserve">. </w:t>
      </w:r>
    </w:p>
    <w:p w14:paraId="3A100DB9" w14:textId="70433C52" w:rsidR="00662343" w:rsidRDefault="00662343" w:rsidP="00805A4B">
      <w:pPr>
        <w:spacing w:line="480" w:lineRule="auto"/>
        <w:ind w:firstLine="720"/>
      </w:pPr>
      <w:r>
        <w:t>The authorities during Louis’s reign clearly considered this kind of song-singing to be sufficiently dangerous to warrant taking measures to ban singers from performing in public spaces, with further restrictions placed after the Revocation of the Edict of Nantes.</w:t>
      </w:r>
      <w:r>
        <w:rPr>
          <w:rStyle w:val="FootnoteReference"/>
        </w:rPr>
        <w:footnoteReference w:id="9"/>
      </w:r>
      <w:r>
        <w:t xml:space="preserve"> In reality, however, it was very difficult to prevent songs from being heard. The sheets containing the words of songs that were sometimes sold by performers could be and were confiscated,</w:t>
      </w:r>
      <w:r>
        <w:rPr>
          <w:rStyle w:val="FootnoteReference"/>
        </w:rPr>
        <w:footnoteReference w:id="10"/>
      </w:r>
      <w:r>
        <w:t xml:space="preserve"> but the actual sounds of the songs would have disappeared as soon as they had been heard by </w:t>
      </w:r>
      <w:r>
        <w:lastRenderedPageBreak/>
        <w:t xml:space="preserve">those gathered to listen to them, the words made more easily memorable to them by the fact that they were set to popular and easily recognizable tunes of the day. Prosecuting people for listening to and remembering subversive songs, without any physical evidence, was a far more complicated process. The very transience and elusiveness of sound represented therefore a particular threat to those in authority. </w:t>
      </w:r>
    </w:p>
    <w:p w14:paraId="2121E1EC" w14:textId="5E6DFCE4" w:rsidR="00662343" w:rsidRPr="00CB027D" w:rsidRDefault="00662343" w:rsidP="00805A4B">
      <w:pPr>
        <w:spacing w:line="480" w:lineRule="auto"/>
        <w:ind w:firstLine="720"/>
        <w:rPr>
          <w:color w:val="171717"/>
        </w:rPr>
      </w:pPr>
      <w:r>
        <w:t>During his reign, Louis was very aware of songs being sung about him and was reported to have made efforts to discover the authors of such songs.</w:t>
      </w:r>
      <w:r>
        <w:rPr>
          <w:rStyle w:val="FootnoteReference"/>
        </w:rPr>
        <w:footnoteReference w:id="11"/>
      </w:r>
      <w:r>
        <w:t xml:space="preserve"> It is particularly revealing to read the words of the jurist </w:t>
      </w:r>
      <w:r w:rsidRPr="00CB027D">
        <w:rPr>
          <w:color w:val="171717"/>
        </w:rPr>
        <w:t xml:space="preserve">Mathieu Marais, </w:t>
      </w:r>
      <w:r>
        <w:rPr>
          <w:color w:val="171717"/>
        </w:rPr>
        <w:t xml:space="preserve">written just two weeks after Louis’s death, because not only do they indicate the more relaxed attitude of the Regent, Philippe II d’Orléans, but also this viewpoint contrasts sharply with a recent past when the </w:t>
      </w:r>
      <w:r w:rsidRPr="00CB027D">
        <w:rPr>
          <w:i/>
          <w:color w:val="171717"/>
        </w:rPr>
        <w:t>lieutenant de police</w:t>
      </w:r>
      <w:r>
        <w:rPr>
          <w:color w:val="171717"/>
        </w:rPr>
        <w:t xml:space="preserve"> d’Argenson would have been expected to report on things said and sung about the king: </w:t>
      </w:r>
    </w:p>
    <w:p w14:paraId="06E3FB78" w14:textId="09A6540B" w:rsidR="00662343" w:rsidRDefault="00662343" w:rsidP="000D2DF6">
      <w:pPr>
        <w:spacing w:line="480" w:lineRule="auto"/>
        <w:ind w:left="1134"/>
      </w:pPr>
      <w:r w:rsidRPr="00A03AD9">
        <w:rPr>
          <w:color w:val="171717"/>
        </w:rPr>
        <w:t>On a fait une chanson sur la mort du Roi, contenant plusieurs couplets. M. d’Argenson, lieutenant de police, est venu trouver le Régent et lui a dit qu’il étoit scandalisé des discours qui se tenoient dans le public contre la mémoire du feu Roi. Mais encore que d</w:t>
      </w:r>
      <w:r>
        <w:rPr>
          <w:color w:val="171717"/>
        </w:rPr>
        <w:t>it-on? dit M. le Duc d’Orléans.</w:t>
      </w:r>
      <w:r w:rsidRPr="00A03AD9">
        <w:rPr>
          <w:color w:val="171717"/>
        </w:rPr>
        <w:t xml:space="preserve"> M. d’Argenson ne vouloit point parler. Il a été pressé de dire le mal pour apporter</w:t>
      </w:r>
      <w:r>
        <w:rPr>
          <w:color w:val="171717"/>
        </w:rPr>
        <w:t xml:space="preserve"> le remède. Enfin il a dit</w:t>
      </w:r>
      <w:r w:rsidRPr="00A03AD9">
        <w:rPr>
          <w:color w:val="171717"/>
        </w:rPr>
        <w:t xml:space="preserve"> qu’on traitoit le feu Roi de banqueroutier, de voleur, d’homme qui avoit apporté le bien de tous ses sujets, et qu’il falloit empêcher toutes ces sortes de discours en donnant ordre d’arrêter ceux qui le tiennent. Vous n’y entendez rien, a dit M. le </w:t>
      </w:r>
      <w:r w:rsidRPr="00A03AD9">
        <w:rPr>
          <w:color w:val="171717"/>
        </w:rPr>
        <w:lastRenderedPageBreak/>
        <w:t>Régent, il faut payer les dettes du défunt et tous ces gens-là se tairont… Cette réponse a arrêté les proscriptions, qui étoient au goût du dernier règne.</w:t>
      </w:r>
      <w:r>
        <w:rPr>
          <w:rStyle w:val="FootnoteReference"/>
          <w:color w:val="171717"/>
        </w:rPr>
        <w:footnoteReference w:id="12"/>
      </w:r>
    </w:p>
    <w:p w14:paraId="02D43AD3" w14:textId="543F4B7F" w:rsidR="00662343" w:rsidRDefault="00662343" w:rsidP="00805A4B">
      <w:pPr>
        <w:spacing w:line="480" w:lineRule="auto"/>
      </w:pPr>
      <w:r>
        <w:t xml:space="preserve">Songs containing precisely such sentiments about the king were indeed doing the rounds soon after his death, as can be found in perhaps the most significant  collection of songs, poems, epigrams and vaudevilles, the </w:t>
      </w:r>
      <w:r>
        <w:rPr>
          <w:i/>
        </w:rPr>
        <w:t>Chansonnier Maurepas</w:t>
      </w:r>
      <w:r>
        <w:t>, an eighteenth-century multi-volume manuscript. While one song, set to the popular tune ‘O filii et filiae’, emphasizes how ‘Les uns le nomment Louis le Grand,/ Et d’autres Louis le Tiran,/ Louis le Banqueroutier, Louis l’Injuste,/ Et c’est raisonner assez juste’,</w:t>
      </w:r>
      <w:r>
        <w:rPr>
          <w:rStyle w:val="FootnoteReference"/>
        </w:rPr>
        <w:footnoteReference w:id="13"/>
      </w:r>
      <w:r>
        <w:t xml:space="preserve"> another, sung to the tune ‘Il a battu son petit frère’, makes the coruscating remark that ‘L’abominable Banqueroute,/Que Louis fait dans sa déroute/ Va charger la Barque à Caron’.</w:t>
      </w:r>
      <w:r>
        <w:rPr>
          <w:rStyle w:val="FootnoteReference"/>
        </w:rPr>
        <w:footnoteReference w:id="14"/>
      </w:r>
      <w:r>
        <w:t xml:space="preserve"> </w:t>
      </w:r>
    </w:p>
    <w:p w14:paraId="22E16C13" w14:textId="38B74E70" w:rsidR="00662343" w:rsidRPr="00596300" w:rsidRDefault="00662343" w:rsidP="00805A4B">
      <w:pPr>
        <w:spacing w:after="240" w:line="480" w:lineRule="auto"/>
        <w:ind w:firstLine="720"/>
      </w:pPr>
      <w:r w:rsidRPr="00557178">
        <w:t>Whereas only a highly select (and overwhelmingly aristocratic) group of people would have had the opportun</w:t>
      </w:r>
      <w:r>
        <w:t>ity to pay court to the king in his final days and to attend his funeral</w:t>
      </w:r>
      <w:r w:rsidRPr="00557178">
        <w:t>, a socially much more diverse set, both literate and illiterate, would have been able to witness the immediate responses to the death of the monarch.</w:t>
      </w:r>
      <w:r>
        <w:t xml:space="preserve"> </w:t>
      </w:r>
      <w:r w:rsidRPr="00557178">
        <w:t>The Pont-Neuf in particular</w:t>
      </w:r>
      <w:r>
        <w:t>, which was the main thoroughfare on which singers and entertainers performed to passers-by,</w:t>
      </w:r>
      <w:r w:rsidRPr="00557178">
        <w:t xml:space="preserve"> was a public space where people of all classes rubbed shoulders.</w:t>
      </w:r>
      <w:r>
        <w:rPr>
          <w:rStyle w:val="FootnoteReference"/>
        </w:rPr>
        <w:footnoteReference w:id="15"/>
      </w:r>
      <w:r w:rsidRPr="00557178">
        <w:t xml:space="preserve"> </w:t>
      </w:r>
      <w:r>
        <w:t>The marquise</w:t>
      </w:r>
      <w:r w:rsidRPr="00557178">
        <w:t xml:space="preserve"> de Sévigné, for example, was able to describe the bridge as an old friend</w:t>
      </w:r>
      <w:r>
        <w:t>,</w:t>
      </w:r>
      <w:r>
        <w:rPr>
          <w:rStyle w:val="FootnoteReference"/>
        </w:rPr>
        <w:footnoteReference w:id="16"/>
      </w:r>
      <w:r>
        <w:t xml:space="preserve"> and aristocrats like her took pleasure in visiting it and listening to songs.</w:t>
      </w:r>
      <w:r w:rsidRPr="00557178">
        <w:t xml:space="preserve"> </w:t>
      </w:r>
      <w:r>
        <w:t>In addition to the many entertainers and tradespeople who plied their wares there,</w:t>
      </w:r>
      <w:r w:rsidRPr="00557178">
        <w:t xml:space="preserve"> </w:t>
      </w:r>
      <w:r>
        <w:t>the poorest people gathered</w:t>
      </w:r>
      <w:r w:rsidRPr="00557178">
        <w:t xml:space="preserve"> at the foot of the statue of Henri IV (Louis’s grandfather)</w:t>
      </w:r>
      <w:r>
        <w:t xml:space="preserve"> and had equal access to the song culture there: many of the best-known singers on the bridge chose the location of the statue as their principal performance space</w:t>
      </w:r>
      <w:r w:rsidRPr="00557178">
        <w:t xml:space="preserve">. </w:t>
      </w:r>
      <w:r>
        <w:t xml:space="preserve">One particularly famous singer from the middle years of the seventeenth </w:t>
      </w:r>
      <w:r>
        <w:lastRenderedPageBreak/>
        <w:t>century, Philippot le Savoyard, even mischievously refers to the paupers as ‘les courtisans du grand Henry’.</w:t>
      </w:r>
      <w:r>
        <w:rPr>
          <w:rStyle w:val="FootnoteReference"/>
        </w:rPr>
        <w:footnoteReference w:id="17"/>
      </w:r>
    </w:p>
    <w:p w14:paraId="227F7733" w14:textId="4EEFC9A1" w:rsidR="00662343" w:rsidRDefault="00662343" w:rsidP="00805A4B">
      <w:pPr>
        <w:spacing w:line="480" w:lineRule="auto"/>
        <w:ind w:firstLine="720"/>
      </w:pPr>
      <w:r w:rsidRPr="00557178">
        <w:t>The songs sung about Louis’s death, many of which</w:t>
      </w:r>
      <w:r>
        <w:t>, as we have already seen,</w:t>
      </w:r>
      <w:r w:rsidRPr="00557178">
        <w:t xml:space="preserve"> were written down in the </w:t>
      </w:r>
      <w:r w:rsidRPr="00557178">
        <w:rPr>
          <w:i/>
        </w:rPr>
        <w:t>Chansonnier Maurepas</w:t>
      </w:r>
      <w:r w:rsidRPr="00557178">
        <w:t>, have been briefly discussed in a number of studies. However, either they appear as an interesting postscript and counterbalance to the official literature,</w:t>
      </w:r>
      <w:r>
        <w:rPr>
          <w:rStyle w:val="FootnoteReference"/>
        </w:rPr>
        <w:footnoteReference w:id="18"/>
      </w:r>
      <w:r w:rsidRPr="00557178">
        <w:t xml:space="preserve"> or they form a preamble to depictions of </w:t>
      </w:r>
      <w:r>
        <w:t>king</w:t>
      </w:r>
      <w:r w:rsidRPr="00557178">
        <w:t>ship during the 18</w:t>
      </w:r>
      <w:r w:rsidRPr="00557178">
        <w:rPr>
          <w:vertAlign w:val="superscript"/>
        </w:rPr>
        <w:t>th</w:t>
      </w:r>
      <w:r w:rsidRPr="00557178">
        <w:t xml:space="preserve"> century</w:t>
      </w:r>
      <w:r>
        <w:t>,</w:t>
      </w:r>
      <w:r>
        <w:rPr>
          <w:rStyle w:val="FootnoteReference"/>
        </w:rPr>
        <w:footnoteReference w:id="19"/>
      </w:r>
      <w:r w:rsidRPr="00557178">
        <w:t xml:space="preserve"> </w:t>
      </w:r>
      <w:r>
        <w:t>or they are simply considered as ‘poèmes satiriques’.</w:t>
      </w:r>
      <w:r>
        <w:rPr>
          <w:rStyle w:val="FootnoteReference"/>
        </w:rPr>
        <w:footnoteReference w:id="20"/>
      </w:r>
      <w:r>
        <w:t xml:space="preserve"> </w:t>
      </w:r>
      <w:r w:rsidRPr="00557178">
        <w:t xml:space="preserve">None of them fully takes into account the </w:t>
      </w:r>
      <w:r w:rsidRPr="000D2DF6">
        <w:rPr>
          <w:i/>
        </w:rPr>
        <w:t>auditory</w:t>
      </w:r>
      <w:r w:rsidRPr="00557178">
        <w:t xml:space="preserve"> context of the songs, choosing </w:t>
      </w:r>
      <w:r>
        <w:t xml:space="preserve">instead </w:t>
      </w:r>
      <w:r w:rsidRPr="00557178">
        <w:t xml:space="preserve">simply to quote words on a printed page without imagining how they might sound. </w:t>
      </w:r>
      <w:r>
        <w:t>In this article, web-links from our website ‘Seventeenth-Century Parisian Soundscapes’ are provided to specially arranged performances of a selection of these songs by the London-based period group, Badinage, thereby providing the opportunity to appreciate them not simply as words to be read but also as sounds to be heard, in some cases for the first time since 1715.</w:t>
      </w:r>
      <w:r>
        <w:rPr>
          <w:rStyle w:val="FootnoteReference"/>
        </w:rPr>
        <w:footnoteReference w:id="21"/>
      </w:r>
      <w:r>
        <w:t xml:space="preserve">  The fundamental aspect of these pieces is that they were </w:t>
      </w:r>
      <w:r w:rsidRPr="00557178">
        <w:t xml:space="preserve">designed </w:t>
      </w:r>
      <w:r>
        <w:t xml:space="preserve">first and foremost </w:t>
      </w:r>
      <w:r w:rsidRPr="00557178">
        <w:t>to be heard rather than read.</w:t>
      </w:r>
      <w:r>
        <w:t xml:space="preserve"> The intention of this article, with its access to performed versions of a number of the songs, will be to reorientate our ears more closely to the sounds that would have been heard at the time on the Pont-Neuf and to move away from previous scholars’ well-intentioned, but in certain ways misdirected, focus on the written content of the songs.</w:t>
      </w:r>
    </w:p>
    <w:p w14:paraId="0F0CA60A" w14:textId="77777777" w:rsidR="00662343" w:rsidRDefault="00662343" w:rsidP="00805A4B">
      <w:pPr>
        <w:spacing w:line="480" w:lineRule="auto"/>
        <w:ind w:firstLine="720"/>
      </w:pPr>
      <w:r w:rsidRPr="00557178">
        <w:lastRenderedPageBreak/>
        <w:t>Before twentieth-century technology enabled the recording and storing of sound, a sound belonged to its own moment and evaporated almost immediately, evading capture as</w:t>
      </w:r>
      <w:r>
        <w:t xml:space="preserve"> soon as it was heard. For this reason, the sounds and noises of past ages have tended to be ignored in favour of the easy accessibility and longevity of those media which rely on sight, such as printed books, paintings, and sculptures.</w:t>
      </w:r>
    </w:p>
    <w:p w14:paraId="734A7E2F" w14:textId="6016F788" w:rsidR="00662343" w:rsidRDefault="00662343" w:rsidP="00805A4B">
      <w:pPr>
        <w:spacing w:line="480" w:lineRule="auto"/>
      </w:pPr>
      <w:r>
        <w:t>W</w:t>
      </w:r>
      <w:r w:rsidRPr="00557178">
        <w:t xml:space="preserve">hen it comes to posterity, </w:t>
      </w:r>
      <w:r>
        <w:t xml:space="preserve">therefore, there exists a disparity </w:t>
      </w:r>
      <w:r w:rsidRPr="00557178">
        <w:t>between</w:t>
      </w:r>
      <w:r>
        <w:t>, on the one hand,</w:t>
      </w:r>
      <w:r w:rsidRPr="00557178">
        <w:t xml:space="preserve"> the seeming permanence and longevity of the material and the visual, and on the other hand, the fleeting, transitory, intangible quality of what is heard. Yet, often it is precisely the evanescence of a moment that makes it all the more memorable or precious</w:t>
      </w:r>
      <w:r>
        <w:t>, and it was this sonic intangibility that attained a particular intensity for those witnessing the final illness of the monarch, where the sound of Louis’s voice became the primary object of attention.</w:t>
      </w:r>
    </w:p>
    <w:p w14:paraId="0BD7C5E4" w14:textId="77777777" w:rsidR="00662343" w:rsidRPr="00557178" w:rsidRDefault="00662343" w:rsidP="00805A4B">
      <w:pPr>
        <w:spacing w:line="480" w:lineRule="auto"/>
        <w:ind w:firstLine="720"/>
      </w:pPr>
    </w:p>
    <w:p w14:paraId="6FCF7632" w14:textId="77777777" w:rsidR="00662343" w:rsidRPr="00805A4B" w:rsidRDefault="00662343" w:rsidP="00805A4B">
      <w:pPr>
        <w:spacing w:line="480" w:lineRule="auto"/>
        <w:rPr>
          <w:b/>
        </w:rPr>
      </w:pPr>
      <w:r w:rsidRPr="00805A4B">
        <w:rPr>
          <w:b/>
        </w:rPr>
        <w:t>The King’s Voice.</w:t>
      </w:r>
    </w:p>
    <w:p w14:paraId="04F6491D" w14:textId="77777777" w:rsidR="00662343" w:rsidRPr="00557178" w:rsidRDefault="00662343" w:rsidP="00805A4B">
      <w:pPr>
        <w:spacing w:line="480" w:lineRule="auto"/>
      </w:pPr>
    </w:p>
    <w:p w14:paraId="28EBEA85" w14:textId="19750533" w:rsidR="00662343" w:rsidRDefault="00662343" w:rsidP="00805A4B">
      <w:pPr>
        <w:spacing w:line="480" w:lineRule="auto"/>
      </w:pPr>
      <w:r>
        <w:t>When it comes to the last</w:t>
      </w:r>
      <w:r w:rsidRPr="00557178">
        <w:t xml:space="preserve"> days of Louis’s life and the aftermath of his death,</w:t>
      </w:r>
      <w:r w:rsidRPr="00557178">
        <w:rPr>
          <w:rStyle w:val="FootnoteReference"/>
        </w:rPr>
        <w:footnoteReference w:id="22"/>
      </w:r>
      <w:r w:rsidRPr="00557178">
        <w:t xml:space="preserve"> </w:t>
      </w:r>
      <w:r>
        <w:t>all commentators of the time write of the pathos of the visual scene, as Joël Cornette has shown,</w:t>
      </w:r>
      <w:r>
        <w:rPr>
          <w:rStyle w:val="FootnoteReference"/>
        </w:rPr>
        <w:footnoteReference w:id="23"/>
      </w:r>
      <w:r>
        <w:t xml:space="preserve"> but at the most crucial moments the aural assumes an extraordinary prominence, both through the sound of the king’s voice and through the king as listener. </w:t>
      </w:r>
    </w:p>
    <w:p w14:paraId="3685B3C2" w14:textId="3955433B" w:rsidR="00662343" w:rsidRDefault="00662343" w:rsidP="00805A4B">
      <w:pPr>
        <w:spacing w:line="480" w:lineRule="auto"/>
        <w:ind w:firstLine="720"/>
      </w:pPr>
      <w:r>
        <w:t>As the frailties of the royal body became all too apparent, t</w:t>
      </w:r>
      <w:r w:rsidRPr="00557178">
        <w:t>hose who were present</w:t>
      </w:r>
      <w:r>
        <w:t xml:space="preserve"> began to document every word spoken by Louis XIV to various members of his family and entourage, including his sons by Mme de de Montespan, the duc du Maine and the duc de </w:t>
      </w:r>
      <w:r>
        <w:lastRenderedPageBreak/>
        <w:t>Toulouse, his sister-in-law the princesse Palatine, his wife Mme de Maintenon, and, most famously, his great-grandson, the future Louis XV.</w:t>
      </w:r>
      <w:r>
        <w:rPr>
          <w:rStyle w:val="FootnoteReference"/>
        </w:rPr>
        <w:footnoteReference w:id="24"/>
      </w:r>
      <w:r>
        <w:t xml:space="preserve"> </w:t>
      </w:r>
    </w:p>
    <w:p w14:paraId="3F5A6BB1" w14:textId="1700EFC6" w:rsidR="00662343" w:rsidRDefault="00662343" w:rsidP="00805A4B">
      <w:pPr>
        <w:spacing w:line="480" w:lineRule="auto"/>
      </w:pPr>
      <w:r>
        <w:tab/>
        <w:t xml:space="preserve"> Two chroniclers of this time who had the kind of access to the king’s daily life that even the most prestigious of visitors would have been denied, were his domestic servants Jean and François Antoine. Even if they somewhat self-consciously follow a family tradition in recording the final days of their master – their father Jacques had previously written an account of Louis XIII’s last illness</w:t>
      </w:r>
      <w:r>
        <w:rPr>
          <w:rStyle w:val="FootnoteReference"/>
        </w:rPr>
        <w:footnoteReference w:id="25"/>
      </w:r>
      <w:r>
        <w:t xml:space="preserve"> – they are not only invaluable as ‘témoins oculaires’, to use Francis Assaf’s term,</w:t>
      </w:r>
      <w:r>
        <w:rPr>
          <w:rStyle w:val="FootnoteReference"/>
        </w:rPr>
        <w:footnoteReference w:id="26"/>
      </w:r>
      <w:r>
        <w:t xml:space="preserve"> but they provide, I would argue, essential aural testimony. In addition to offering their own version of the words spoken individually to members of his family, they show how the sound of Louis’s voice (and his efforts to produce that sound) as he spoke for the final time to a larger group of his courtiers intensified the effect upon his audience:</w:t>
      </w:r>
    </w:p>
    <w:p w14:paraId="21D9F991" w14:textId="19FB4165" w:rsidR="00662343" w:rsidRDefault="00662343" w:rsidP="000D2DF6">
      <w:pPr>
        <w:spacing w:line="480" w:lineRule="auto"/>
        <w:ind w:left="1134"/>
      </w:pPr>
      <w:r>
        <w:t>Le Roy ayant fait des Efforts Extraordinaires pour parler haut et sefaire entendre de tout le monde l’avoient trés Emû […].</w:t>
      </w:r>
      <w:r>
        <w:rPr>
          <w:rStyle w:val="FootnoteReference"/>
        </w:rPr>
        <w:footnoteReference w:id="27"/>
      </w:r>
      <w:r>
        <w:t xml:space="preserve"> </w:t>
      </w:r>
    </w:p>
    <w:p w14:paraId="5D43856C" w14:textId="57087796" w:rsidR="00662343" w:rsidRDefault="00662343" w:rsidP="00805A4B">
      <w:pPr>
        <w:spacing w:line="480" w:lineRule="auto"/>
      </w:pPr>
      <w:r>
        <w:t>Significantly, the two servants interpret the king’s loss of control of his ‘parole’ as indication that he ‘approchoit de sa fin’.</w:t>
      </w:r>
      <w:r>
        <w:rPr>
          <w:rStyle w:val="FootnoteReference"/>
        </w:rPr>
        <w:footnoteReference w:id="28"/>
      </w:r>
    </w:p>
    <w:p w14:paraId="02626252" w14:textId="1F5797E7" w:rsidR="00662343" w:rsidRDefault="00662343" w:rsidP="00805A4B">
      <w:pPr>
        <w:spacing w:line="480" w:lineRule="auto"/>
      </w:pPr>
      <w:r>
        <w:tab/>
        <w:t xml:space="preserve">This emphasis upon the dying king’s words, and indeed upon the sound of his voice, finds an echo far away from Versailles in the street-songs of Paris. Often different songs set to the same melody would either praise or denigrate his legacy. A particular tune, Oh reguingé, that was especially popular in the early years of the eighteenth century, is one such </w:t>
      </w:r>
      <w:r>
        <w:lastRenderedPageBreak/>
        <w:t>example, with two contrasting songs dwelling upon the king’s voice. One long and respectful piece recreates the last words spoken to all his subjects, including an evocation of the final speech made to his courtiers which was recounted by the Antoine brothers and of the loss of his ‘parole’:</w:t>
      </w:r>
    </w:p>
    <w:p w14:paraId="46FBCCC4" w14:textId="77777777" w:rsidR="00662343" w:rsidRPr="00557178" w:rsidRDefault="00662343" w:rsidP="00805A4B">
      <w:pPr>
        <w:spacing w:after="240" w:line="480" w:lineRule="auto"/>
        <w:ind w:left="1134"/>
        <w:rPr>
          <w:color w:val="171717"/>
        </w:rPr>
      </w:pPr>
      <w:r w:rsidRPr="00557178">
        <w:rPr>
          <w:color w:val="171717"/>
        </w:rPr>
        <w:t>Voyant toute la Cour en pleurs,</w:t>
      </w:r>
    </w:p>
    <w:p w14:paraId="44EB6347" w14:textId="77777777" w:rsidR="00662343" w:rsidRPr="00557178" w:rsidRDefault="00662343" w:rsidP="00805A4B">
      <w:pPr>
        <w:spacing w:after="240" w:line="480" w:lineRule="auto"/>
        <w:ind w:left="1134"/>
        <w:rPr>
          <w:color w:val="171717"/>
        </w:rPr>
      </w:pPr>
      <w:r w:rsidRPr="00557178">
        <w:rPr>
          <w:color w:val="171717"/>
        </w:rPr>
        <w:t>Il parle et la console:</w:t>
      </w:r>
    </w:p>
    <w:p w14:paraId="154C8019" w14:textId="77777777" w:rsidR="00662343" w:rsidRPr="00557178" w:rsidRDefault="00662343" w:rsidP="00805A4B">
      <w:pPr>
        <w:spacing w:after="240" w:line="480" w:lineRule="auto"/>
        <w:ind w:left="1134"/>
        <w:rPr>
          <w:color w:val="171717"/>
        </w:rPr>
      </w:pPr>
      <w:r w:rsidRPr="00557178">
        <w:rPr>
          <w:color w:val="171717"/>
        </w:rPr>
        <w:t>Adieu pour toujours, je meurs,</w:t>
      </w:r>
    </w:p>
    <w:p w14:paraId="32DB08BD" w14:textId="77777777" w:rsidR="00662343" w:rsidRPr="00557178" w:rsidRDefault="00662343" w:rsidP="00805A4B">
      <w:pPr>
        <w:spacing w:after="240" w:line="480" w:lineRule="auto"/>
        <w:ind w:left="1134"/>
        <w:rPr>
          <w:color w:val="171717"/>
        </w:rPr>
      </w:pPr>
      <w:r w:rsidRPr="00557178">
        <w:rPr>
          <w:color w:val="171717"/>
        </w:rPr>
        <w:t>Car je perds la parole.</w:t>
      </w:r>
    </w:p>
    <w:p w14:paraId="17EB0358" w14:textId="77777777" w:rsidR="00662343" w:rsidRPr="00557178" w:rsidRDefault="00662343" w:rsidP="00805A4B">
      <w:pPr>
        <w:spacing w:after="240" w:line="480" w:lineRule="auto"/>
        <w:ind w:left="1134"/>
        <w:rPr>
          <w:color w:val="171717"/>
        </w:rPr>
      </w:pPr>
      <w:r w:rsidRPr="00557178">
        <w:rPr>
          <w:color w:val="171717"/>
        </w:rPr>
        <w:t>Alors se tait le grand Bourbon.</w:t>
      </w:r>
    </w:p>
    <w:p w14:paraId="2DEC01CA" w14:textId="77777777" w:rsidR="00662343" w:rsidRPr="00557178" w:rsidRDefault="00662343" w:rsidP="00805A4B">
      <w:pPr>
        <w:spacing w:after="240" w:line="480" w:lineRule="auto"/>
        <w:ind w:left="1134"/>
        <w:rPr>
          <w:color w:val="171717"/>
        </w:rPr>
      </w:pPr>
      <w:r w:rsidRPr="00557178">
        <w:rPr>
          <w:color w:val="171717"/>
        </w:rPr>
        <w:t>La faridondaine etc.</w:t>
      </w:r>
    </w:p>
    <w:p w14:paraId="520D6C69" w14:textId="77777777" w:rsidR="00662343" w:rsidRPr="00557178" w:rsidRDefault="00662343" w:rsidP="00805A4B">
      <w:pPr>
        <w:spacing w:after="240" w:line="480" w:lineRule="auto"/>
        <w:ind w:left="1134"/>
        <w:rPr>
          <w:color w:val="171717"/>
        </w:rPr>
      </w:pPr>
      <w:r w:rsidRPr="00557178">
        <w:rPr>
          <w:color w:val="171717"/>
        </w:rPr>
        <w:t>Laissant a penser bien de lui, biribi,</w:t>
      </w:r>
    </w:p>
    <w:p w14:paraId="1E9EE3B3" w14:textId="56588F67" w:rsidR="00662343" w:rsidRDefault="00662343" w:rsidP="00805A4B">
      <w:pPr>
        <w:spacing w:after="240" w:line="480" w:lineRule="auto"/>
        <w:ind w:left="1134"/>
        <w:rPr>
          <w:color w:val="171717"/>
        </w:rPr>
      </w:pPr>
      <w:r w:rsidRPr="00557178">
        <w:rPr>
          <w:color w:val="171717"/>
        </w:rPr>
        <w:t>A la faςon etc.</w:t>
      </w:r>
      <w:r>
        <w:rPr>
          <w:rStyle w:val="FootnoteReference"/>
          <w:color w:val="171717"/>
        </w:rPr>
        <w:footnoteReference w:id="29"/>
      </w:r>
    </w:p>
    <w:p w14:paraId="0F602561" w14:textId="1E824494" w:rsidR="00662343" w:rsidRPr="00557178" w:rsidRDefault="00662343" w:rsidP="00805A4B">
      <w:pPr>
        <w:spacing w:after="240" w:line="480" w:lineRule="auto"/>
        <w:rPr>
          <w:color w:val="171717"/>
        </w:rPr>
      </w:pPr>
      <w:r>
        <w:rPr>
          <w:color w:val="171717"/>
        </w:rPr>
        <w:t>A</w:t>
      </w:r>
      <w:r w:rsidRPr="00557178">
        <w:rPr>
          <w:color w:val="171717"/>
        </w:rPr>
        <w:t xml:space="preserve">nother </w:t>
      </w:r>
      <w:r>
        <w:rPr>
          <w:color w:val="171717"/>
        </w:rPr>
        <w:t>song, set to the same tune, is far more subversive in its reimagining of Louis’s final words, casting him as the destroyer of his ancestors’ heritage and throwing doubt on the motives of the Regent toward the future Louis XV:</w:t>
      </w:r>
    </w:p>
    <w:p w14:paraId="27951939" w14:textId="068D934C" w:rsidR="00662343" w:rsidRPr="00C528B8" w:rsidRDefault="00662343" w:rsidP="000D2DF6">
      <w:pPr>
        <w:spacing w:after="240" w:line="480" w:lineRule="auto"/>
        <w:ind w:left="1134"/>
        <w:rPr>
          <w:rFonts w:asciiTheme="minorHAnsi" w:hAnsiTheme="minorHAnsi" w:cstheme="minorBidi"/>
          <w:lang w:val="en-US"/>
        </w:rPr>
      </w:pPr>
      <w:r w:rsidRPr="000D2DF6">
        <w:rPr>
          <w:lang w:val="en-US"/>
        </w:rPr>
        <w:t>Je vais rejoindre mes parens,</w:t>
      </w:r>
    </w:p>
    <w:p w14:paraId="1DF56E76" w14:textId="77777777" w:rsidR="00662343" w:rsidRPr="00C528B8" w:rsidRDefault="00662343" w:rsidP="000D2DF6">
      <w:pPr>
        <w:spacing w:after="240" w:line="480" w:lineRule="auto"/>
        <w:ind w:left="1134"/>
        <w:rPr>
          <w:rFonts w:asciiTheme="minorHAnsi" w:hAnsiTheme="minorHAnsi" w:cstheme="minorBidi"/>
          <w:lang w:val="en-US"/>
        </w:rPr>
      </w:pPr>
      <w:r w:rsidRPr="000D2DF6">
        <w:rPr>
          <w:lang w:val="en-US"/>
        </w:rPr>
        <w:t>Qui m’attendent depuis longtems;</w:t>
      </w:r>
    </w:p>
    <w:p w14:paraId="6B9B54AB" w14:textId="77777777" w:rsidR="00662343" w:rsidRPr="00557178" w:rsidRDefault="00662343" w:rsidP="00805A4B">
      <w:pPr>
        <w:pStyle w:val="NormalWeb"/>
        <w:spacing w:before="0" w:beforeAutospacing="0" w:after="240" w:afterAutospacing="0" w:line="480" w:lineRule="auto"/>
        <w:ind w:left="1134"/>
        <w:rPr>
          <w:color w:val="171717"/>
          <w:sz w:val="24"/>
          <w:szCs w:val="24"/>
        </w:rPr>
      </w:pPr>
      <w:r w:rsidRPr="00557178">
        <w:rPr>
          <w:color w:val="171717"/>
          <w:sz w:val="24"/>
          <w:szCs w:val="24"/>
        </w:rPr>
        <w:t>Oh etc.</w:t>
      </w:r>
    </w:p>
    <w:p w14:paraId="410C1FFA" w14:textId="77777777" w:rsidR="00662343" w:rsidRPr="00557178" w:rsidRDefault="00662343" w:rsidP="00805A4B">
      <w:pPr>
        <w:pStyle w:val="NormalWeb"/>
        <w:spacing w:before="0" w:beforeAutospacing="0" w:after="240" w:afterAutospacing="0" w:line="480" w:lineRule="auto"/>
        <w:ind w:left="1134"/>
        <w:rPr>
          <w:color w:val="171717"/>
          <w:sz w:val="24"/>
          <w:szCs w:val="24"/>
        </w:rPr>
      </w:pPr>
      <w:r w:rsidRPr="00557178">
        <w:rPr>
          <w:color w:val="171717"/>
          <w:sz w:val="24"/>
          <w:szCs w:val="24"/>
        </w:rPr>
        <w:t>Je voudrois avant ce voyage,</w:t>
      </w:r>
    </w:p>
    <w:p w14:paraId="09339D67" w14:textId="77777777" w:rsidR="00662343" w:rsidRPr="00557178" w:rsidRDefault="00662343" w:rsidP="00805A4B">
      <w:pPr>
        <w:pStyle w:val="NormalWeb"/>
        <w:spacing w:before="0" w:beforeAutospacing="0" w:after="240" w:afterAutospacing="0" w:line="480" w:lineRule="auto"/>
        <w:ind w:left="1134"/>
        <w:rPr>
          <w:color w:val="171717"/>
          <w:sz w:val="24"/>
          <w:szCs w:val="24"/>
        </w:rPr>
      </w:pPr>
      <w:r w:rsidRPr="00557178">
        <w:rPr>
          <w:color w:val="171717"/>
          <w:sz w:val="24"/>
          <w:szCs w:val="24"/>
        </w:rPr>
        <w:lastRenderedPageBreak/>
        <w:t>Détruire icy leur</w:t>
      </w:r>
      <w:r>
        <w:rPr>
          <w:color w:val="171717"/>
          <w:sz w:val="24"/>
          <w:szCs w:val="24"/>
        </w:rPr>
        <w:t xml:space="preserve"> héritage. </w:t>
      </w:r>
    </w:p>
    <w:p w14:paraId="1C2A3B42" w14:textId="77777777" w:rsidR="00662343" w:rsidRPr="00557178" w:rsidRDefault="00662343" w:rsidP="00805A4B">
      <w:pPr>
        <w:pStyle w:val="NormalWeb"/>
        <w:spacing w:before="0" w:beforeAutospacing="0" w:after="240" w:afterAutospacing="0" w:line="480" w:lineRule="auto"/>
        <w:ind w:left="1134"/>
        <w:rPr>
          <w:color w:val="171717"/>
          <w:sz w:val="24"/>
          <w:szCs w:val="24"/>
        </w:rPr>
      </w:pPr>
    </w:p>
    <w:p w14:paraId="1B30075B" w14:textId="77777777" w:rsidR="00662343" w:rsidRPr="00557178" w:rsidRDefault="00662343" w:rsidP="00805A4B">
      <w:pPr>
        <w:pStyle w:val="NormalWeb"/>
        <w:spacing w:before="0" w:beforeAutospacing="0" w:after="240" w:afterAutospacing="0" w:line="480" w:lineRule="auto"/>
        <w:ind w:left="1134"/>
        <w:rPr>
          <w:color w:val="171717"/>
          <w:sz w:val="24"/>
          <w:szCs w:val="24"/>
        </w:rPr>
      </w:pPr>
      <w:r w:rsidRPr="00557178">
        <w:rPr>
          <w:color w:val="171717"/>
          <w:sz w:val="24"/>
          <w:szCs w:val="24"/>
        </w:rPr>
        <w:t>Recevez mes embrassemens,</w:t>
      </w:r>
    </w:p>
    <w:p w14:paraId="1C96E043" w14:textId="77777777" w:rsidR="00662343" w:rsidRPr="00557178" w:rsidRDefault="00662343" w:rsidP="00805A4B">
      <w:pPr>
        <w:pStyle w:val="NormalWeb"/>
        <w:spacing w:before="0" w:beforeAutospacing="0" w:after="240" w:afterAutospacing="0" w:line="480" w:lineRule="auto"/>
        <w:ind w:left="1134"/>
        <w:rPr>
          <w:color w:val="171717"/>
          <w:sz w:val="24"/>
          <w:szCs w:val="24"/>
        </w:rPr>
      </w:pPr>
      <w:r w:rsidRPr="00557178">
        <w:rPr>
          <w:color w:val="171717"/>
          <w:sz w:val="24"/>
          <w:szCs w:val="24"/>
        </w:rPr>
        <w:t>Dauphin; mais dans fort peu de tems;    </w:t>
      </w:r>
      <w:r>
        <w:rPr>
          <w:color w:val="171717"/>
          <w:sz w:val="24"/>
          <w:szCs w:val="24"/>
        </w:rPr>
        <w:t xml:space="preserve">                       </w:t>
      </w:r>
    </w:p>
    <w:p w14:paraId="632638A3" w14:textId="77777777" w:rsidR="00662343" w:rsidRPr="00557178" w:rsidRDefault="00662343" w:rsidP="00805A4B">
      <w:pPr>
        <w:pStyle w:val="NormalWeb"/>
        <w:spacing w:before="0" w:beforeAutospacing="0" w:after="240" w:afterAutospacing="0" w:line="480" w:lineRule="auto"/>
        <w:ind w:left="1134"/>
        <w:rPr>
          <w:color w:val="171717"/>
          <w:sz w:val="24"/>
          <w:szCs w:val="24"/>
        </w:rPr>
      </w:pPr>
      <w:r w:rsidRPr="00557178">
        <w:rPr>
          <w:color w:val="171717"/>
          <w:sz w:val="24"/>
          <w:szCs w:val="24"/>
        </w:rPr>
        <w:t>Oh. etc.</w:t>
      </w:r>
    </w:p>
    <w:p w14:paraId="4C57BE4C" w14:textId="77777777" w:rsidR="00662343" w:rsidRPr="00557178" w:rsidRDefault="00662343" w:rsidP="00805A4B">
      <w:pPr>
        <w:pStyle w:val="NormalWeb"/>
        <w:spacing w:before="0" w:beforeAutospacing="0" w:after="240" w:afterAutospacing="0" w:line="480" w:lineRule="auto"/>
        <w:ind w:left="1134"/>
        <w:rPr>
          <w:color w:val="171717"/>
          <w:sz w:val="24"/>
          <w:szCs w:val="24"/>
        </w:rPr>
      </w:pPr>
      <w:r w:rsidRPr="00557178">
        <w:rPr>
          <w:color w:val="171717"/>
          <w:sz w:val="24"/>
          <w:szCs w:val="24"/>
        </w:rPr>
        <w:t>Je vous attends sur le rivage,</w:t>
      </w:r>
    </w:p>
    <w:p w14:paraId="5D2C57D4" w14:textId="77777777" w:rsidR="00662343" w:rsidRPr="00BB3C94" w:rsidRDefault="00662343" w:rsidP="00805A4B">
      <w:pPr>
        <w:pStyle w:val="NormalWeb"/>
        <w:spacing w:before="0" w:beforeAutospacing="0" w:after="240" w:afterAutospacing="0" w:line="480" w:lineRule="auto"/>
        <w:ind w:left="1134"/>
        <w:rPr>
          <w:color w:val="171717"/>
          <w:sz w:val="24"/>
          <w:szCs w:val="24"/>
        </w:rPr>
      </w:pPr>
      <w:r w:rsidRPr="00557178">
        <w:rPr>
          <w:color w:val="171717"/>
          <w:sz w:val="24"/>
          <w:szCs w:val="24"/>
        </w:rPr>
        <w:t>Phillipe aura soin du voyage.</w:t>
      </w:r>
      <w:r>
        <w:rPr>
          <w:rStyle w:val="FootnoteReference"/>
          <w:color w:val="171717"/>
          <w:sz w:val="24"/>
          <w:szCs w:val="24"/>
        </w:rPr>
        <w:footnoteReference w:id="30"/>
      </w:r>
      <w:r w:rsidRPr="00557178">
        <w:rPr>
          <w:color w:val="171717"/>
          <w:sz w:val="24"/>
          <w:szCs w:val="24"/>
        </w:rPr>
        <w:t>                                     </w:t>
      </w:r>
      <w:r>
        <w:rPr>
          <w:color w:val="171717"/>
          <w:sz w:val="24"/>
          <w:szCs w:val="24"/>
        </w:rPr>
        <w:t xml:space="preserve">         </w:t>
      </w:r>
    </w:p>
    <w:p w14:paraId="09324147" w14:textId="77777777" w:rsidR="00662343" w:rsidRDefault="00662343" w:rsidP="00805A4B">
      <w:pPr>
        <w:spacing w:line="480" w:lineRule="auto"/>
      </w:pPr>
    </w:p>
    <w:p w14:paraId="67FEEB6D" w14:textId="7356108C" w:rsidR="00662343" w:rsidRDefault="00662343" w:rsidP="00805A4B">
      <w:pPr>
        <w:spacing w:line="480" w:lineRule="auto"/>
      </w:pPr>
      <w:r>
        <w:tab/>
        <w:t>Nobody shows the importance of the auditory over the visual elements of Louis’s end with greater immediacy than Mme de Maintenon herself. Until her own death in 1719 at Saint-Cyr, she kept beside her a detailed account, written in her own hand, of the King’s final words. The short document, with its lapidary quotation of his utterances, would seem not to be written for a future readership: certainly her withdrawal from public life and her retirement to Saint-Cyr suggest that she kept the text for her own perusal. On the other hand, she continued to receive visitors at Saint-Cyr, to whom she may have shown the document, and her choice to register the King’s advice to the Regent, asking him to take care of her needs, might have served as documentary evidence should Philippe d’Orléans choose not to follow the king’s wishes in this regard.</w:t>
      </w:r>
      <w:r>
        <w:rPr>
          <w:rStyle w:val="FootnoteReference"/>
        </w:rPr>
        <w:footnoteReference w:id="31"/>
      </w:r>
      <w:r>
        <w:t xml:space="preserve"> However, above all, the paper, in itemis</w:t>
      </w:r>
      <w:r w:rsidRPr="00A4287C">
        <w:t>ing</w:t>
      </w:r>
      <w:r>
        <w:t xml:space="preserve"> the three times that he bade her farewell, serves as her own attempt to preserve her husband’s voice, to hear his words at a time when the actual sound of his voice was impossible to record:</w:t>
      </w:r>
    </w:p>
    <w:p w14:paraId="399A9C00" w14:textId="77777777" w:rsidR="00662343" w:rsidRDefault="00662343" w:rsidP="00805A4B">
      <w:pPr>
        <w:spacing w:line="480" w:lineRule="auto"/>
        <w:ind w:left="1134"/>
      </w:pPr>
      <w:r>
        <w:lastRenderedPageBreak/>
        <w:t>Il me dit trois fois adieu:</w:t>
      </w:r>
    </w:p>
    <w:p w14:paraId="7B5F78F3" w14:textId="77777777" w:rsidR="00662343" w:rsidRPr="000D2DF6" w:rsidRDefault="00662343" w:rsidP="000D2DF6">
      <w:pPr>
        <w:pStyle w:val="ListParagraph"/>
        <w:numPr>
          <w:ilvl w:val="0"/>
          <w:numId w:val="4"/>
        </w:numPr>
        <w:spacing w:line="480" w:lineRule="auto"/>
        <w:rPr>
          <w:rFonts w:cs="Times New Roman"/>
        </w:rPr>
      </w:pPr>
      <w:r w:rsidRPr="000D2DF6">
        <w:rPr>
          <w:rFonts w:ascii="Times New Roman" w:hAnsi="Times New Roman" w:cs="Times New Roman"/>
        </w:rPr>
        <w:t>La première, en me disant qu’il n’avait de regret que celui de me quitter, mais que nous nous reverrions bientôt. Je le priai de ne penser qu’à Dieu.</w:t>
      </w:r>
    </w:p>
    <w:p w14:paraId="18AFF106" w14:textId="77777777" w:rsidR="00662343" w:rsidRPr="00D57572" w:rsidRDefault="00662343" w:rsidP="000D2DF6">
      <w:pPr>
        <w:pStyle w:val="ListParagraph"/>
        <w:numPr>
          <w:ilvl w:val="0"/>
          <w:numId w:val="4"/>
        </w:numPr>
        <w:spacing w:line="480" w:lineRule="auto"/>
        <w:rPr>
          <w:rFonts w:cs="Times New Roman"/>
          <w:lang w:val="de-DE"/>
        </w:rPr>
      </w:pPr>
      <w:r>
        <w:rPr>
          <w:rFonts w:ascii="Times New Roman" w:hAnsi="Times New Roman" w:cs="Times New Roman"/>
        </w:rPr>
        <w:t xml:space="preserve">La seconde, il me demanda pardon de n’avoir pas assez bien vécu avec moi, qu’il ne ne m’avait point rendue heureuse, mais qu’il m’avait toujours aimée et estimée également. Il pleurait et me demanda s’il n’y avait personne, je lui dis que non, il dit, quand on entendrait que je m’attendris avec vous, personne n’en serait surpris. </w:t>
      </w:r>
      <w:r w:rsidRPr="00D57572">
        <w:rPr>
          <w:rFonts w:ascii="Times New Roman" w:hAnsi="Times New Roman" w:cs="Times New Roman"/>
          <w:lang w:val="de-DE"/>
        </w:rPr>
        <w:t>Je m’en allai pour ne lui pas faire de mal.</w:t>
      </w:r>
    </w:p>
    <w:p w14:paraId="0C8FADAB" w14:textId="5B61471B" w:rsidR="00662343" w:rsidRPr="000D2DF6" w:rsidRDefault="00662343" w:rsidP="000D2DF6">
      <w:pPr>
        <w:pStyle w:val="ListParagraph"/>
        <w:numPr>
          <w:ilvl w:val="0"/>
          <w:numId w:val="4"/>
        </w:numPr>
        <w:spacing w:line="480" w:lineRule="auto"/>
        <w:rPr>
          <w:rFonts w:cs="Times New Roman"/>
        </w:rPr>
      </w:pPr>
      <w:r>
        <w:rPr>
          <w:rFonts w:ascii="Times New Roman" w:hAnsi="Times New Roman" w:cs="Times New Roman"/>
        </w:rPr>
        <w:t>À la troisième, il me dit: qu’allez-vous devenir car vous n’avez rien; je répondis: je suis un rien, ne vous occupez que de Dieu et je le quittai.</w:t>
      </w:r>
      <w:r>
        <w:rPr>
          <w:rStyle w:val="FootnoteReference"/>
          <w:rFonts w:ascii="Times New Roman" w:hAnsi="Times New Roman" w:cs="Times New Roman"/>
        </w:rPr>
        <w:footnoteReference w:id="32"/>
      </w:r>
    </w:p>
    <w:p w14:paraId="2C1A6D8C" w14:textId="3DF1C301" w:rsidR="00662343" w:rsidRDefault="00662343" w:rsidP="00805A4B">
      <w:pPr>
        <w:spacing w:line="480" w:lineRule="auto"/>
      </w:pPr>
      <w:r>
        <w:tab/>
        <w:t>The King himself began to rely on sounds rather than sights to distract and comfort him during his illness, finding the sound of music far more recuperative than the efforts of the surgeons who were called in to try and alleviate the pain that had spread through his body. Dangeau, for example, mentions the occasion of Louis’s feast-day (24</w:t>
      </w:r>
      <w:r w:rsidRPr="00A16E13">
        <w:rPr>
          <w:vertAlign w:val="superscript"/>
        </w:rPr>
        <w:t>th</w:t>
      </w:r>
      <w:r>
        <w:t xml:space="preserve"> August) when he listened to music with Mme de Maintenon.</w:t>
      </w:r>
      <w:r>
        <w:rPr>
          <w:rStyle w:val="FootnoteReference"/>
        </w:rPr>
        <w:footnoteReference w:id="33"/>
      </w:r>
      <w:r>
        <w:t xml:space="preserve"> According to the Antoine brothers, he had asked for musicians on the previous day to come and sing in his bed-chamber:</w:t>
      </w:r>
    </w:p>
    <w:p w14:paraId="6FD7D814" w14:textId="7ED2E24A" w:rsidR="00662343" w:rsidRDefault="00662343" w:rsidP="000D2DF6">
      <w:pPr>
        <w:spacing w:line="480" w:lineRule="auto"/>
        <w:ind w:left="1134"/>
      </w:pPr>
      <w:r>
        <w:t>Sa Majesté prit assez de plaisir a leur entendre chanter ses airs Jtaliens depuis sept heures Jusqua neuf. Elle demeura assez tranquille pendant ce temps la […].</w:t>
      </w:r>
      <w:r>
        <w:rPr>
          <w:rStyle w:val="FootnoteReference"/>
        </w:rPr>
        <w:footnoteReference w:id="34"/>
      </w:r>
    </w:p>
    <w:p w14:paraId="22294ECF" w14:textId="7B40246B" w:rsidR="00662343" w:rsidRDefault="00662343" w:rsidP="00805A4B">
      <w:pPr>
        <w:spacing w:line="480" w:lineRule="auto"/>
      </w:pPr>
      <w:r>
        <w:t>It is often said that hearing is the last of the senses to leave a dying person, and this is certainly true in Louis’s case, when in the final hours of his life, having been unconscious for around two days, he is reported by the Antoine brothers to have been aware of the final prayers spoken beside his bed by a group of prelates, including his confessor, the Jesuit Michel Le Tellier:</w:t>
      </w:r>
    </w:p>
    <w:p w14:paraId="25C1236F" w14:textId="77777777" w:rsidR="00662343" w:rsidRDefault="00662343" w:rsidP="00805A4B">
      <w:pPr>
        <w:spacing w:line="480" w:lineRule="auto"/>
        <w:ind w:left="1134"/>
      </w:pPr>
      <w:r>
        <w:lastRenderedPageBreak/>
        <w:t>on reconnu que le Roy avoit eu encore quelque peu d’attention: il endonnoit mesme detemps entemps des signes qui faisoient comprendre qu’il entendoit bien et qu’jl nepouvoit plus s’exprimer autrement.</w:t>
      </w:r>
      <w:r>
        <w:rPr>
          <w:rStyle w:val="FootnoteReference"/>
        </w:rPr>
        <w:footnoteReference w:id="35"/>
      </w:r>
    </w:p>
    <w:p w14:paraId="7D7910B1" w14:textId="77777777" w:rsidR="00662343" w:rsidRDefault="00662343" w:rsidP="000D2DF6">
      <w:pPr>
        <w:spacing w:line="480" w:lineRule="auto"/>
      </w:pPr>
    </w:p>
    <w:p w14:paraId="28825F6C" w14:textId="77777777" w:rsidR="00662343" w:rsidRDefault="00662343" w:rsidP="00805A4B">
      <w:pPr>
        <w:spacing w:line="480" w:lineRule="auto"/>
        <w:ind w:firstLine="720"/>
      </w:pPr>
      <w:r>
        <w:t>The attention that his two servants pay to every detail of Louis’s last moments brings out the touching triviality of death. Far from evoking the visual splendours of his reign at this point, they dwell upon tiny sounds - ‘quelques petits soupirs reiteres avec deux petits hoquets’ - that conclude their monarch’s life.</w:t>
      </w:r>
      <w:r>
        <w:rPr>
          <w:rStyle w:val="FootnoteReference"/>
        </w:rPr>
        <w:footnoteReference w:id="36"/>
      </w:r>
      <w:r>
        <w:t xml:space="preserve"> These noises emitted by the king bring out what Steven Connor calls the ‘mouth-body’: ‘for the mouth is more than just the part of the body specialized for the production of speech. It is the way in which, the place in which, the whole body may be taken up in vocality.’</w:t>
      </w:r>
      <w:r>
        <w:rPr>
          <w:rStyle w:val="FootnoteReference"/>
        </w:rPr>
        <w:footnoteReference w:id="37"/>
      </w:r>
      <w:r>
        <w:t xml:space="preserve"> Yet, at this stage of imminent death, the mouth-body sounds that he makes also signify the ultimate loss of control of both language and body.</w:t>
      </w:r>
    </w:p>
    <w:p w14:paraId="2C93754C" w14:textId="77777777" w:rsidR="00662343" w:rsidRPr="00557178" w:rsidRDefault="00662343" w:rsidP="00805A4B">
      <w:pPr>
        <w:spacing w:line="480" w:lineRule="auto"/>
        <w:ind w:firstLine="720"/>
      </w:pPr>
      <w:r>
        <w:t>The volume of noise that was heard in all quarters in response to the royal death stands in stark contrast to Louis’s barely audible farewell to the world, as described above by the Antoine brothers. These sonic reactions will form the foundation of the remainder of this article.</w:t>
      </w:r>
    </w:p>
    <w:p w14:paraId="3007ADE4" w14:textId="77777777" w:rsidR="00662343" w:rsidRDefault="00662343" w:rsidP="00805A4B">
      <w:pPr>
        <w:spacing w:line="480" w:lineRule="auto"/>
      </w:pPr>
    </w:p>
    <w:p w14:paraId="31A6D008" w14:textId="77777777" w:rsidR="00662343" w:rsidRPr="00805A4B" w:rsidRDefault="00662343" w:rsidP="00805A4B">
      <w:pPr>
        <w:spacing w:line="480" w:lineRule="auto"/>
        <w:rPr>
          <w:b/>
        </w:rPr>
      </w:pPr>
      <w:r w:rsidRPr="00805A4B">
        <w:rPr>
          <w:b/>
        </w:rPr>
        <w:t>Voices from the Pulpit, Voices in the Street</w:t>
      </w:r>
    </w:p>
    <w:p w14:paraId="67879254" w14:textId="77777777" w:rsidR="00662343" w:rsidRPr="00557178" w:rsidRDefault="00662343" w:rsidP="00805A4B">
      <w:pPr>
        <w:spacing w:line="480" w:lineRule="auto"/>
      </w:pPr>
    </w:p>
    <w:p w14:paraId="57058F09" w14:textId="1118226B" w:rsidR="00662343" w:rsidRDefault="00662343" w:rsidP="000D2DF6">
      <w:pPr>
        <w:spacing w:after="240" w:line="480" w:lineRule="auto"/>
      </w:pPr>
      <w:r w:rsidRPr="00557178">
        <w:t xml:space="preserve">From the moment that Louis died on 1 September, </w:t>
      </w:r>
      <w:r>
        <w:t xml:space="preserve">voices of all kinds in very different spaces were heard upon the subject. We have already come across a number of the songs that were being sung about him. In churches and cathedrals, </w:t>
      </w:r>
      <w:r w:rsidRPr="00557178">
        <w:t xml:space="preserve">hundreds of official eulogies and </w:t>
      </w:r>
      <w:r w:rsidRPr="00557178">
        <w:lastRenderedPageBreak/>
        <w:t>memorials were delivered on a regular basis for the next few months</w:t>
      </w:r>
      <w:r>
        <w:t xml:space="preserve"> at home and abroad, commemorating Louis’s life and work. </w:t>
      </w:r>
      <w:r w:rsidRPr="00557178">
        <w:t>Over 50 of those orations were published,</w:t>
      </w:r>
      <w:r w:rsidRPr="00557178">
        <w:rPr>
          <w:rStyle w:val="FootnoteReference"/>
        </w:rPr>
        <w:footnoteReference w:id="38"/>
      </w:r>
      <w:r w:rsidRPr="00557178">
        <w:t xml:space="preserve"> and two of these will be briefl</w:t>
      </w:r>
      <w:r>
        <w:t xml:space="preserve">y considered: that of Honoré </w:t>
      </w:r>
      <w:r w:rsidRPr="00557178">
        <w:t>Quiqueran de Beaujeu</w:t>
      </w:r>
      <w:r>
        <w:t>, Bishop of Castres (1655-1736),</w:t>
      </w:r>
      <w:r w:rsidRPr="00557178">
        <w:t xml:space="preserve"> at the official funeral at Saint-Denis on the 23</w:t>
      </w:r>
      <w:r w:rsidRPr="00557178">
        <w:rPr>
          <w:vertAlign w:val="superscript"/>
        </w:rPr>
        <w:t>rd</w:t>
      </w:r>
      <w:r w:rsidRPr="00557178">
        <w:t xml:space="preserve"> October</w:t>
      </w:r>
      <w:r>
        <w:t>; and the famous sermon by the future Bishop of Clermont,  Jean-Baptiste Massillon (1663-1742), given in the Sainte-Chapelle on the 17</w:t>
      </w:r>
      <w:r w:rsidRPr="008A5627">
        <w:rPr>
          <w:vertAlign w:val="superscript"/>
        </w:rPr>
        <w:t>th</w:t>
      </w:r>
      <w:r>
        <w:t xml:space="preserve"> December</w:t>
      </w:r>
      <w:r w:rsidRPr="00557178">
        <w:t xml:space="preserve">. </w:t>
      </w:r>
    </w:p>
    <w:p w14:paraId="2945F726" w14:textId="65ED1898" w:rsidR="00662343" w:rsidRPr="00557178" w:rsidRDefault="00662343" w:rsidP="000D2DF6">
      <w:pPr>
        <w:spacing w:line="480" w:lineRule="auto"/>
        <w:ind w:firstLine="720"/>
      </w:pPr>
      <w:r w:rsidRPr="00557178">
        <w:t xml:space="preserve">Posterity is a key theme of many of the </w:t>
      </w:r>
      <w:r>
        <w:t>funeral orations that were delivered</w:t>
      </w:r>
      <w:r w:rsidRPr="00557178">
        <w:t xml:space="preserve"> after Louis’s death. Quiqueran de Beaujeu, for example, in praising Louis, points to the difficulties of preserving oral communication for posterity as opposed to the many monuments erected in his honour. The metaphorical words spoken by such edifices would seem, therefore, to have greater power than the literal words spoken from the pulpit, as the statues will still be standing long after Beaujeu and his congregation are dead themselves:</w:t>
      </w:r>
    </w:p>
    <w:p w14:paraId="065001D6" w14:textId="53D56220" w:rsidR="00662343" w:rsidRPr="00557178" w:rsidRDefault="00662343" w:rsidP="000D2DF6">
      <w:pPr>
        <w:spacing w:line="480" w:lineRule="auto"/>
        <w:ind w:left="1134"/>
      </w:pPr>
      <w:r w:rsidRPr="00557178">
        <w:t>Les somptueux monumens de la religieuse et martiale magnificence de LOUIS parleront bien mieux à la posterité que je ne puis faire à mes Auditeurs.</w:t>
      </w:r>
      <w:r w:rsidRPr="00557178">
        <w:rPr>
          <w:rStyle w:val="FootnoteReference"/>
        </w:rPr>
        <w:footnoteReference w:id="39"/>
      </w:r>
    </w:p>
    <w:p w14:paraId="666EF5A2" w14:textId="3C223679" w:rsidR="00662343" w:rsidRPr="00557178" w:rsidRDefault="00662343" w:rsidP="00805A4B">
      <w:pPr>
        <w:spacing w:line="480" w:lineRule="auto"/>
      </w:pPr>
      <w:r w:rsidRPr="00557178">
        <w:t xml:space="preserve">Yet, Beaujeu’s use of </w:t>
      </w:r>
      <w:r w:rsidRPr="00557178">
        <w:rPr>
          <w:i/>
        </w:rPr>
        <w:t>praeteritio</w:t>
      </w:r>
      <w:r w:rsidRPr="00557178">
        <w:t xml:space="preserve"> here, by seeming to highlight the eloquence of inanimate objects over human communication, in fact draws attention to the living aural present and to the privileged status of those ‘auditeurs’, who, unlike Louis and all monumental representations of him, are still able to listen and respond.</w:t>
      </w:r>
      <w:r w:rsidRPr="00557178">
        <w:rPr>
          <w:i/>
        </w:rPr>
        <w:t xml:space="preserve"> </w:t>
      </w:r>
      <w:r w:rsidRPr="00557178">
        <w:t>By acknowledging the very transience of the sonic moment, in its distinctly non-monumental movement and ephemerality, those in the congregation are able to identify, as Brandon Labelle puts it, ‘a means for occupying and exploring the multiple perspectives of the present’.</w:t>
      </w:r>
      <w:r w:rsidRPr="00557178">
        <w:rPr>
          <w:rStyle w:val="FootnoteReference"/>
        </w:rPr>
        <w:footnoteReference w:id="40"/>
      </w:r>
    </w:p>
    <w:p w14:paraId="1DD09010" w14:textId="32F45E87" w:rsidR="00662343" w:rsidRPr="00557178" w:rsidRDefault="00662343" w:rsidP="000D2DF6">
      <w:pPr>
        <w:spacing w:line="480" w:lineRule="auto"/>
        <w:ind w:firstLine="720"/>
      </w:pPr>
      <w:r w:rsidRPr="00557178">
        <w:lastRenderedPageBreak/>
        <w:t>If Beaujeu’s evocati</w:t>
      </w:r>
      <w:r>
        <w:t>on of the King’s posterity is at certain points repetitive</w:t>
      </w:r>
      <w:r w:rsidRPr="00557178">
        <w:t xml:space="preserve">, </w:t>
      </w:r>
      <w:r>
        <w:t xml:space="preserve">failing to reach the rhetorical heights of a Bossuet, </w:t>
      </w:r>
      <w:r w:rsidRPr="00557178">
        <w:t>a number of the sermons rehearse ideas connecte</w:t>
      </w:r>
      <w:r>
        <w:t>d to posterity that are perhaps</w:t>
      </w:r>
      <w:r w:rsidRPr="00557178">
        <w:t xml:space="preserve"> less predictable. Even though it might be expected that all orations dedicated to Louis’s memory would be uniformly hyperbolic in their praise of him, in fact, the criticisms contained in some funeral orations represent in some way a response</w:t>
      </w:r>
      <w:r>
        <w:t xml:space="preserve"> to, or even a dialogue with,</w:t>
      </w:r>
      <w:r w:rsidRPr="00557178">
        <w:t xml:space="preserve"> the reaction on the street: for example, the expressions of frustration and cynicism at the awful cost to the people of various unsuccessful military campaigns that feature in so many songs from the time are referred to by both Ma</w:t>
      </w:r>
      <w:r>
        <w:t>ssillon and Beaujeu</w:t>
      </w:r>
      <w:r w:rsidRPr="00557178">
        <w:t xml:space="preserve">. Continuing the theme of monuments built in honour of the </w:t>
      </w:r>
      <w:r>
        <w:t>King</w:t>
      </w:r>
      <w:r w:rsidRPr="00557178">
        <w:t xml:space="preserve">, such as the Desjardins sculpture of Louis on a horse erected in the Place des Victoires in 1685, a version of which still stands there today, Massillon explicitly </w:t>
      </w:r>
      <w:r>
        <w:t xml:space="preserve">brings out </w:t>
      </w:r>
      <w:r w:rsidRPr="00557178">
        <w:t xml:space="preserve"> the </w:t>
      </w:r>
      <w:r>
        <w:t xml:space="preserve">questionable </w:t>
      </w:r>
      <w:r w:rsidRPr="00557178">
        <w:t>value of posterity within the context of Louis’s failed military campaigns:</w:t>
      </w:r>
    </w:p>
    <w:p w14:paraId="7FD113C2" w14:textId="63DB20CE" w:rsidR="00662343" w:rsidRPr="00557178" w:rsidRDefault="00662343" w:rsidP="000D2DF6">
      <w:pPr>
        <w:spacing w:line="480" w:lineRule="auto"/>
        <w:ind w:left="1134"/>
      </w:pPr>
      <w:r w:rsidRPr="00557178">
        <w:t xml:space="preserve">Mais hélas! triste  souvenir de nos victoires, que nous rappelez-vous? Monuments superbes élevés au milieu de nos places publiques, pour en immortaliser la mémoire, que rappellerez-vous à nos neveux, lorsqu’ils vous demanderont, comme autrefois les Israélites, ce que signifient vos masses pompeuses et énormes? </w:t>
      </w:r>
      <w:r w:rsidRPr="00D57572">
        <w:rPr>
          <w:lang w:val="de-DE"/>
        </w:rPr>
        <w:t xml:space="preserve">[…] Vous leur rappellerez un siècle entier d’horreur et de carnage […]. </w:t>
      </w:r>
      <w:r w:rsidRPr="00557178">
        <w:t>Vous leur rappellerez nos pertes, plutôt que nos conquêtes.</w:t>
      </w:r>
      <w:r w:rsidRPr="00557178">
        <w:rPr>
          <w:rStyle w:val="FootnoteReference"/>
        </w:rPr>
        <w:footnoteReference w:id="41"/>
      </w:r>
    </w:p>
    <w:p w14:paraId="1C1F1064" w14:textId="68866EC7" w:rsidR="00662343" w:rsidRPr="00557178" w:rsidRDefault="00662343" w:rsidP="00805A4B">
      <w:pPr>
        <w:spacing w:line="480" w:lineRule="auto"/>
      </w:pPr>
      <w:r w:rsidRPr="00557178">
        <w:t>Many people, reportedly even Louis himself,</w:t>
      </w:r>
      <w:r w:rsidRPr="00557178">
        <w:rPr>
          <w:rStyle w:val="FootnoteReference"/>
        </w:rPr>
        <w:footnoteReference w:id="42"/>
      </w:r>
      <w:r w:rsidRPr="00557178">
        <w:t xml:space="preserve"> were exercised by the inscription carved beneath his statue in the Place des Victoires – </w:t>
      </w:r>
      <w:r w:rsidRPr="00557178">
        <w:rPr>
          <w:i/>
        </w:rPr>
        <w:t>Viro immortali</w:t>
      </w:r>
      <w:r w:rsidRPr="00557178">
        <w:t xml:space="preserve"> -  to the immortal man, which indicates that in the latter years of the seventeenth and early years of the eighteenth centuries, notions of posterity and immortality, even where the Sun </w:t>
      </w:r>
      <w:r>
        <w:t>King</w:t>
      </w:r>
      <w:r w:rsidRPr="00557178">
        <w:t xml:space="preserve"> was concerned, were becoming increasingly fraught.</w:t>
      </w:r>
    </w:p>
    <w:p w14:paraId="04ACA4E6" w14:textId="0854B05F" w:rsidR="00662343" w:rsidRPr="00557178" w:rsidRDefault="00662343" w:rsidP="000D2DF6">
      <w:pPr>
        <w:spacing w:line="480" w:lineRule="auto"/>
        <w:ind w:firstLine="720"/>
      </w:pPr>
      <w:r w:rsidRPr="00557178">
        <w:lastRenderedPageBreak/>
        <w:t xml:space="preserve">Another popular theme from songs of the past, Louis’s youthful amorous indiscretions, are also evoked by both preachers. In the midst of an enumeration of the </w:t>
      </w:r>
      <w:r>
        <w:t>King</w:t>
      </w:r>
      <w:r w:rsidRPr="00557178">
        <w:t xml:space="preserve">’s many virtues, </w:t>
      </w:r>
      <w:r>
        <w:t>Beaujeu</w:t>
      </w:r>
      <w:r w:rsidRPr="00557178">
        <w:t xml:space="preserve"> is not afraid to insert some barbed criticisms:</w:t>
      </w:r>
    </w:p>
    <w:p w14:paraId="7758F167" w14:textId="33FEEB74" w:rsidR="00662343" w:rsidRPr="00557178" w:rsidRDefault="00662343" w:rsidP="000D2DF6">
      <w:pPr>
        <w:spacing w:line="480" w:lineRule="auto"/>
        <w:ind w:left="1134"/>
      </w:pPr>
      <w:r w:rsidRPr="00557178">
        <w:t>je vois un Prince à la fleur de son âge victorieux, Conquerant, cheri de ses Sujets, redouté de ses voisins, superieur à ses ennemis, tendre, foible, complaisant, sensible, engagé, maître de ses actions, esclave de ses desirs, encore plus esclave de ses desirs que maître de ses actions, autorisé par les detestables flateries des uns, par la t</w:t>
      </w:r>
      <w:r>
        <w:t>imide complaisance des autres</w:t>
      </w:r>
      <w:r w:rsidRPr="00557178">
        <w:t>…</w:t>
      </w:r>
      <w:r w:rsidRPr="00557178">
        <w:rPr>
          <w:rStyle w:val="FootnoteReference"/>
        </w:rPr>
        <w:footnoteReference w:id="43"/>
      </w:r>
    </w:p>
    <w:p w14:paraId="5B9B2729" w14:textId="6CE31AE9" w:rsidR="00662343" w:rsidRPr="00557178" w:rsidRDefault="00662343" w:rsidP="000D2DF6">
      <w:pPr>
        <w:spacing w:line="480" w:lineRule="auto"/>
        <w:ind w:firstLine="720"/>
      </w:pPr>
      <w:r>
        <w:t xml:space="preserve">If voices from the street seem likely to have </w:t>
      </w:r>
      <w:r w:rsidRPr="00557178">
        <w:t>affected the tone of the funeral orations</w:t>
      </w:r>
      <w:r>
        <w:t>,</w:t>
      </w:r>
      <w:r w:rsidRPr="00557178">
        <w:t xml:space="preserve"> dialogue can also be found in the opposite direction: many songs refer to </w:t>
      </w:r>
      <w:r>
        <w:t xml:space="preserve">current </w:t>
      </w:r>
      <w:r w:rsidRPr="00557178">
        <w:t>theological controversies, but in the case of a funeral oration, the best way for ordinary people</w:t>
      </w:r>
      <w:r>
        <w:t>,</w:t>
      </w:r>
      <w:r w:rsidRPr="00557178">
        <w:t xml:space="preserve"> and all those unable to attend t</w:t>
      </w:r>
      <w:r>
        <w:t>he ceremony,</w:t>
      </w:r>
      <w:r w:rsidRPr="00557178">
        <w:t xml:space="preserve"> to find out immediately </w:t>
      </w:r>
      <w:r>
        <w:t xml:space="preserve">about the content of the sermon </w:t>
      </w:r>
      <w:r w:rsidRPr="00557178">
        <w:t xml:space="preserve">was to rush to the Pont-Neuf or to a bar to hear the latest sung accounts. One song, set to the tune, </w:t>
      </w:r>
      <w:r>
        <w:t>‘</w:t>
      </w:r>
      <w:r w:rsidRPr="00557178">
        <w:t>M Le Prevost des Marchands</w:t>
      </w:r>
      <w:r>
        <w:t>’, refers directly to Beaujeu</w:t>
      </w:r>
      <w:r w:rsidRPr="00557178">
        <w:t>’</w:t>
      </w:r>
      <w:r>
        <w:t xml:space="preserve">s sermon and questions the preacher’s rhetorical flourishes, where he compares Louis to Christ, with added hyperbolic </w:t>
      </w:r>
      <w:r w:rsidRPr="00557178">
        <w:t>assertions like</w:t>
      </w:r>
      <w:r>
        <w:t>:</w:t>
      </w:r>
    </w:p>
    <w:p w14:paraId="57AFDCD1" w14:textId="5F8C4F95" w:rsidR="00662343" w:rsidRPr="00557178" w:rsidRDefault="00662343" w:rsidP="000D2DF6">
      <w:pPr>
        <w:spacing w:line="480" w:lineRule="auto"/>
        <w:ind w:left="1134"/>
      </w:pPr>
      <w:r w:rsidRPr="00557178">
        <w:t>tant il est vrai que le Roy des Rois veut élever LOUIS au-dessus des autres Rois!</w:t>
      </w:r>
      <w:r>
        <w:rPr>
          <w:rStyle w:val="FootnoteReference"/>
        </w:rPr>
        <w:footnoteReference w:id="44"/>
      </w:r>
      <w:r>
        <w:t xml:space="preserve"> </w:t>
      </w:r>
    </w:p>
    <w:p w14:paraId="5CCF5816" w14:textId="24D5F98C" w:rsidR="00662343" w:rsidRPr="00557178" w:rsidRDefault="00662343" w:rsidP="00805A4B">
      <w:pPr>
        <w:spacing w:line="480" w:lineRule="auto"/>
      </w:pPr>
      <w:r w:rsidRPr="00557178">
        <w:t xml:space="preserve">Such sentiments immediately caught the satirical ear of the song-writer, who decided to make her or his own analogy between the respective deaths of Christ and the French </w:t>
      </w:r>
      <w:r>
        <w:t>King, with the strong suggestion that many innocent and good people who had been wrongly imprisoned by the monarch would now be free. The arrangement of the song on the recording by the period instrument group Badinage is simple, with an</w:t>
      </w:r>
      <w:r w:rsidRPr="00557178">
        <w:t xml:space="preserve"> untrained voice, </w:t>
      </w:r>
      <w:r>
        <w:t xml:space="preserve">accompanied by a single plucked string instrument, designed to </w:t>
      </w:r>
      <w:r w:rsidRPr="00557178">
        <w:t>show</w:t>
      </w:r>
      <w:r>
        <w:t xml:space="preserve"> how easily a </w:t>
      </w:r>
      <w:r w:rsidRPr="00557178">
        <w:t xml:space="preserve">singer could set him or herself up </w:t>
      </w:r>
      <w:r w:rsidRPr="00557178">
        <w:lastRenderedPageBreak/>
        <w:t>on the Pont-Neuf and pe</w:t>
      </w:r>
      <w:r>
        <w:t>rform the latest news or gossip, with the capability to leave the bridge swiftly should the need arise</w:t>
      </w:r>
      <w:r w:rsidRPr="00557178">
        <w:t>:</w:t>
      </w:r>
      <w:r>
        <w:rPr>
          <w:rStyle w:val="FootnoteReference"/>
        </w:rPr>
        <w:footnoteReference w:id="45"/>
      </w:r>
      <w:r>
        <w:t xml:space="preserve"> </w:t>
      </w:r>
    </w:p>
    <w:p w14:paraId="1973330A" w14:textId="77777777" w:rsidR="00662343" w:rsidRPr="008F3F3C" w:rsidRDefault="00662343" w:rsidP="00805A4B">
      <w:pPr>
        <w:spacing w:line="480" w:lineRule="auto"/>
        <w:ind w:left="1134"/>
      </w:pPr>
      <w:r w:rsidRPr="008F3F3C">
        <w:rPr>
          <w:bCs/>
        </w:rPr>
        <w:t>Ce grand Prélat en Orateur,</w:t>
      </w:r>
    </w:p>
    <w:p w14:paraId="7379C173" w14:textId="77777777" w:rsidR="00662343" w:rsidRPr="008F3F3C" w:rsidRDefault="00662343" w:rsidP="00805A4B">
      <w:pPr>
        <w:spacing w:line="480" w:lineRule="auto"/>
        <w:ind w:left="1134"/>
      </w:pPr>
      <w:r w:rsidRPr="008F3F3C">
        <w:rPr>
          <w:bCs/>
        </w:rPr>
        <w:t>Qui dans le Stile adulateur,</w:t>
      </w:r>
    </w:p>
    <w:p w14:paraId="20FF492C" w14:textId="77777777" w:rsidR="00662343" w:rsidRPr="0017630A" w:rsidRDefault="00662343" w:rsidP="00805A4B">
      <w:pPr>
        <w:spacing w:line="480" w:lineRule="auto"/>
        <w:ind w:left="1134"/>
        <w:rPr>
          <w:lang w:val="de-DE"/>
        </w:rPr>
      </w:pPr>
      <w:r w:rsidRPr="0017630A">
        <w:rPr>
          <w:bCs/>
          <w:lang w:val="de-DE"/>
        </w:rPr>
        <w:t>Passe pour un homme célèbre,</w:t>
      </w:r>
    </w:p>
    <w:p w14:paraId="7CA6E224" w14:textId="77777777" w:rsidR="00662343" w:rsidRPr="008F3F3C" w:rsidRDefault="00662343" w:rsidP="00805A4B">
      <w:pPr>
        <w:spacing w:line="480" w:lineRule="auto"/>
        <w:ind w:left="1134"/>
      </w:pPr>
      <w:r w:rsidRPr="008F3F3C">
        <w:rPr>
          <w:bCs/>
        </w:rPr>
        <w:t>S’est fait siffler de l’auditeur,</w:t>
      </w:r>
    </w:p>
    <w:p w14:paraId="293E7205" w14:textId="77777777" w:rsidR="00662343" w:rsidRPr="008F3F3C" w:rsidRDefault="00662343" w:rsidP="00805A4B">
      <w:pPr>
        <w:spacing w:line="480" w:lineRule="auto"/>
        <w:ind w:left="1134"/>
      </w:pPr>
      <w:r w:rsidRPr="008F3F3C">
        <w:rPr>
          <w:bCs/>
        </w:rPr>
        <w:t>Dans sa longue Oraison funebre,</w:t>
      </w:r>
    </w:p>
    <w:p w14:paraId="5BA8F5DE" w14:textId="77777777" w:rsidR="00662343" w:rsidRPr="008F3F3C" w:rsidRDefault="00662343" w:rsidP="00805A4B">
      <w:pPr>
        <w:spacing w:line="480" w:lineRule="auto"/>
        <w:ind w:left="1134"/>
      </w:pPr>
      <w:r w:rsidRPr="008F3F3C">
        <w:rPr>
          <w:bCs/>
        </w:rPr>
        <w:t>Comparant Louis au Sauveur.</w:t>
      </w:r>
    </w:p>
    <w:p w14:paraId="7BED2D7F" w14:textId="77777777" w:rsidR="00662343" w:rsidRPr="008F3F3C" w:rsidRDefault="00662343" w:rsidP="00805A4B">
      <w:pPr>
        <w:spacing w:line="480" w:lineRule="auto"/>
        <w:ind w:left="1134"/>
      </w:pPr>
      <w:r w:rsidRPr="008F3F3C">
        <w:rPr>
          <w:bCs/>
        </w:rPr>
        <w:t> </w:t>
      </w:r>
    </w:p>
    <w:p w14:paraId="54F757E6" w14:textId="77777777" w:rsidR="00662343" w:rsidRPr="008F3F3C" w:rsidRDefault="00662343" w:rsidP="00805A4B">
      <w:pPr>
        <w:spacing w:line="480" w:lineRule="auto"/>
        <w:ind w:left="1134"/>
      </w:pPr>
      <w:r w:rsidRPr="008F3F3C">
        <w:rPr>
          <w:bCs/>
        </w:rPr>
        <w:t>Pour moy je trouve dans sa mort,</w:t>
      </w:r>
    </w:p>
    <w:p w14:paraId="2FF3E8A6" w14:textId="77777777" w:rsidR="00662343" w:rsidRPr="008F3F3C" w:rsidRDefault="00662343" w:rsidP="00805A4B">
      <w:pPr>
        <w:spacing w:line="480" w:lineRule="auto"/>
        <w:ind w:left="1134"/>
      </w:pPr>
      <w:r w:rsidRPr="008F3F3C">
        <w:rPr>
          <w:bCs/>
        </w:rPr>
        <w:t>Avec Jesus un grand raport;</w:t>
      </w:r>
    </w:p>
    <w:p w14:paraId="3B30F6D5" w14:textId="77777777" w:rsidR="00662343" w:rsidRPr="008F3F3C" w:rsidRDefault="00662343" w:rsidP="00805A4B">
      <w:pPr>
        <w:spacing w:line="480" w:lineRule="auto"/>
        <w:ind w:left="1134"/>
      </w:pPr>
      <w:r w:rsidRPr="008F3F3C">
        <w:rPr>
          <w:bCs/>
        </w:rPr>
        <w:t>Et le Censeur mérite blâme,</w:t>
      </w:r>
    </w:p>
    <w:p w14:paraId="607A0AA4" w14:textId="77777777" w:rsidR="00662343" w:rsidRPr="008F3F3C" w:rsidRDefault="00662343" w:rsidP="00805A4B">
      <w:pPr>
        <w:spacing w:line="480" w:lineRule="auto"/>
        <w:ind w:left="1134"/>
      </w:pPr>
      <w:r w:rsidRPr="008F3F3C">
        <w:rPr>
          <w:bCs/>
        </w:rPr>
        <w:t>De siffler la comparaison,</w:t>
      </w:r>
    </w:p>
    <w:p w14:paraId="44F7176F" w14:textId="77777777" w:rsidR="00662343" w:rsidRPr="008F3F3C" w:rsidRDefault="00662343" w:rsidP="00805A4B">
      <w:pPr>
        <w:spacing w:line="480" w:lineRule="auto"/>
        <w:ind w:left="1134"/>
      </w:pPr>
      <w:r w:rsidRPr="008F3F3C">
        <w:rPr>
          <w:bCs/>
        </w:rPr>
        <w:t>Puisqu’on voit plus d’une Ste Ame,</w:t>
      </w:r>
    </w:p>
    <w:p w14:paraId="1174E931" w14:textId="3FD33159" w:rsidR="00662343" w:rsidRPr="00557178" w:rsidRDefault="00662343" w:rsidP="000D2DF6">
      <w:pPr>
        <w:spacing w:line="480" w:lineRule="auto"/>
        <w:ind w:left="1134"/>
      </w:pPr>
      <w:r w:rsidRPr="008F3F3C">
        <w:rPr>
          <w:bCs/>
        </w:rPr>
        <w:t>A sa mort sortir de prison.</w:t>
      </w:r>
      <w:r>
        <w:rPr>
          <w:rStyle w:val="FootnoteReference"/>
          <w:bCs/>
        </w:rPr>
        <w:footnoteReference w:id="46"/>
      </w:r>
    </w:p>
    <w:p w14:paraId="4555F689" w14:textId="2418F3BB" w:rsidR="00662343" w:rsidRPr="00557178" w:rsidRDefault="00662343" w:rsidP="00805A4B">
      <w:pPr>
        <w:spacing w:line="480" w:lineRule="auto"/>
      </w:pPr>
      <w:r w:rsidRPr="00557178">
        <w:t>Yet the song also sugge</w:t>
      </w:r>
      <w:r>
        <w:t>sts that Beaujeu</w:t>
      </w:r>
      <w:r w:rsidRPr="00557178">
        <w:t xml:space="preserve">’s overlong </w:t>
      </w:r>
      <w:r w:rsidRPr="008B24F2">
        <w:rPr>
          <w:i/>
        </w:rPr>
        <w:t>oraison funèbre</w:t>
      </w:r>
      <w:r w:rsidRPr="00557178">
        <w:t xml:space="preserve"> was not received in respectful silence (the repetition of the verb ‘siffler’ vividly brings to mind the auditory context of both sermon and song). </w:t>
      </w:r>
      <w:r>
        <w:t xml:space="preserve">The word on the street about the failures of the occasion is echoed in other accounts of the funeral. </w:t>
      </w:r>
      <w:r w:rsidRPr="00557178">
        <w:t xml:space="preserve">Saint-Simon’s </w:t>
      </w:r>
      <w:r>
        <w:t>uncharacteristically terse narration</w:t>
      </w:r>
      <w:r w:rsidRPr="00557178">
        <w:t xml:space="preserve"> indicates that protocol on all levels was abandoned:</w:t>
      </w:r>
    </w:p>
    <w:p w14:paraId="5CBDCA38" w14:textId="6C4B22F3" w:rsidR="00662343" w:rsidRDefault="00662343" w:rsidP="000D2DF6">
      <w:pPr>
        <w:spacing w:line="480" w:lineRule="auto"/>
        <w:ind w:left="1134"/>
      </w:pPr>
      <w:r w:rsidRPr="00DC671E">
        <w:t xml:space="preserve">Le vendredi 25 octobre, les obsèques solennelles du feu Roi se firent à Saint-Denis, où tout se passa dans une confusion si grande, et d’une manière si éloignée de ce qui s’était pratiqué à celles de Louis XIII, d’Henri IV et de tous les </w:t>
      </w:r>
      <w:r w:rsidRPr="00DC671E">
        <w:lastRenderedPageBreak/>
        <w:t>prédecesseurs que je m’en épargnerai, qui ne pourrait se passer d’une longue dissertation.</w:t>
      </w:r>
      <w:r>
        <w:rPr>
          <w:rStyle w:val="FootnoteReference"/>
        </w:rPr>
        <w:footnoteReference w:id="47"/>
      </w:r>
    </w:p>
    <w:p w14:paraId="4274CB16" w14:textId="2E44226B" w:rsidR="00662343" w:rsidRDefault="00662343" w:rsidP="00805A4B">
      <w:pPr>
        <w:spacing w:line="480" w:lineRule="auto"/>
        <w:ind w:firstLine="720"/>
      </w:pPr>
      <w:r>
        <w:t xml:space="preserve">The sounds of two further pieces that were first performed at the time of Louis’s death are worth hearing. </w:t>
      </w:r>
      <w:r w:rsidRPr="00557178">
        <w:t xml:space="preserve">The first song surprises on a number of levels. Set to a melodic version of the </w:t>
      </w:r>
      <w:r w:rsidRPr="00557178">
        <w:rPr>
          <w:i/>
        </w:rPr>
        <w:t>Dies Irae</w:t>
      </w:r>
      <w:r w:rsidRPr="00557178">
        <w:t xml:space="preserve"> (and aided by the musical setting with a single voice here</w:t>
      </w:r>
      <w:r>
        <w:t>, with accompanying sound effects</w:t>
      </w:r>
      <w:r w:rsidRPr="00557178">
        <w:t>), the first two stanzas point to the possibility of a sincerely felt expression of grief for Louis’s passing, evo</w:t>
      </w:r>
      <w:r>
        <w:t>king</w:t>
      </w:r>
      <w:r w:rsidRPr="00557178">
        <w:t xml:space="preserve"> those closest to him at the time of his death, his wife Mme de Maintenon, Le Tellier (the </w:t>
      </w:r>
      <w:r>
        <w:t>King</w:t>
      </w:r>
      <w:r w:rsidRPr="00557178">
        <w:t xml:space="preserve">’s confessor) and Fagon (his physician). Only when Desmarets, the </w:t>
      </w:r>
      <w:r w:rsidRPr="00D50268">
        <w:rPr>
          <w:i/>
        </w:rPr>
        <w:t>Contrôleur général des finances</w:t>
      </w:r>
      <w:r w:rsidRPr="00557178">
        <w:t>, and Bourvalais, a royal financier, are mentioned in succeeding verses (here sung by a group of singers), does the parodic context of the song become clear, exacerbated by an explosion of violent anger in the fifth stanza. The song itself has a number o</w:t>
      </w:r>
      <w:r>
        <w:t>f other verses not included in the performed version</w:t>
      </w:r>
      <w:r w:rsidRPr="00557178">
        <w:t xml:space="preserve">, </w:t>
      </w:r>
      <w:r w:rsidRPr="00D50268">
        <w:t>with</w:t>
      </w:r>
      <w:r w:rsidRPr="00557178">
        <w:t xml:space="preserve"> the comment that the physician Fagon</w:t>
      </w:r>
      <w:r>
        <w:t xml:space="preserve"> (described as ‘cet ignorant médecin’)</w:t>
      </w:r>
      <w:r w:rsidRPr="00557178">
        <w:t xml:space="preserve"> should be recompensed for saving the </w:t>
      </w:r>
      <w:r>
        <w:t>king</w:t>
      </w:r>
      <w:r w:rsidRPr="00557178">
        <w:t xml:space="preserve">dom through his incompetence, as this royal ‘assassin’ has saved the people from further hardship. </w:t>
      </w:r>
      <w:r>
        <w:t>Le Tellier also (who as the king’s confessor was the person to both speak and listen to Louis the most frequently in the latter’s final days and who is ruthlessly satirized in many songs at the time</w:t>
      </w:r>
      <w:r>
        <w:rPr>
          <w:rStyle w:val="FootnoteReference"/>
        </w:rPr>
        <w:footnoteReference w:id="48"/>
      </w:r>
      <w:r>
        <w:t xml:space="preserve">) does not escape the opprobrium: those listening to the song are urged to silence the Jesuit prelate once and for all: ‘Mettez Le Tellier in pace’. </w:t>
      </w:r>
    </w:p>
    <w:p w14:paraId="309F221F" w14:textId="06E93E4A" w:rsidR="00662343" w:rsidRPr="00557178" w:rsidRDefault="00662343" w:rsidP="000D2DF6">
      <w:pPr>
        <w:spacing w:line="480" w:lineRule="auto"/>
        <w:ind w:firstLine="720"/>
      </w:pPr>
      <w:r w:rsidRPr="00557178">
        <w:t xml:space="preserve">However, just as one settles into an acceptance of the mordant satire of the piece, through a brilliant sleight of hand, the poet/singer (here again expressed by a single voice) </w:t>
      </w:r>
      <w:r w:rsidRPr="00557178">
        <w:lastRenderedPageBreak/>
        <w:t>returns to what can more convincingly be perceived as a genuine wish for a better future under the Regent and the young L</w:t>
      </w:r>
      <w:r>
        <w:t xml:space="preserve">ouis XV, with the hope that he will be </w:t>
      </w:r>
      <w:r w:rsidRPr="00557178">
        <w:t>‘juste, paisible, humain’, by implication the opposite of what the five-year-old boy’s great-grandfather represented:</w:t>
      </w:r>
      <w:r>
        <w:rPr>
          <w:rStyle w:val="FootnoteReference"/>
        </w:rPr>
        <w:footnoteReference w:id="49"/>
      </w:r>
    </w:p>
    <w:p w14:paraId="63ECDF8B" w14:textId="77777777" w:rsidR="00662343" w:rsidRPr="00BD683B" w:rsidRDefault="00662343" w:rsidP="00805A4B">
      <w:pPr>
        <w:spacing w:line="480" w:lineRule="auto"/>
        <w:ind w:left="1134"/>
      </w:pPr>
      <w:r w:rsidRPr="00BD683B">
        <w:rPr>
          <w:bCs/>
        </w:rPr>
        <w:t>Il est donc mort ce Grand Bourbon,</w:t>
      </w:r>
    </w:p>
    <w:p w14:paraId="1148C100" w14:textId="77777777" w:rsidR="00662343" w:rsidRPr="00BD683B" w:rsidRDefault="00662343" w:rsidP="00805A4B">
      <w:pPr>
        <w:spacing w:line="480" w:lineRule="auto"/>
        <w:ind w:left="1134"/>
      </w:pPr>
      <w:r w:rsidRPr="00BD683B">
        <w:rPr>
          <w:bCs/>
        </w:rPr>
        <w:t>Regretté de la Maintenon,</w:t>
      </w:r>
    </w:p>
    <w:p w14:paraId="2F20C6E3" w14:textId="77777777" w:rsidR="00662343" w:rsidRPr="0017630A" w:rsidRDefault="00662343" w:rsidP="00805A4B">
      <w:pPr>
        <w:spacing w:line="480" w:lineRule="auto"/>
        <w:ind w:left="1134"/>
        <w:rPr>
          <w:lang w:val="de-DE"/>
        </w:rPr>
      </w:pPr>
      <w:r w:rsidRPr="0017630A">
        <w:rPr>
          <w:bCs/>
          <w:lang w:val="de-DE"/>
        </w:rPr>
        <w:t>De le Tellier, et de Fagon.</w:t>
      </w:r>
    </w:p>
    <w:p w14:paraId="177ABA8C" w14:textId="77777777" w:rsidR="00662343" w:rsidRPr="0017630A" w:rsidRDefault="00662343" w:rsidP="00805A4B">
      <w:pPr>
        <w:spacing w:line="480" w:lineRule="auto"/>
        <w:ind w:left="1134"/>
        <w:rPr>
          <w:lang w:val="de-DE"/>
        </w:rPr>
      </w:pPr>
      <w:r w:rsidRPr="0017630A">
        <w:rPr>
          <w:bCs/>
          <w:lang w:val="de-DE"/>
        </w:rPr>
        <w:t> </w:t>
      </w:r>
    </w:p>
    <w:p w14:paraId="5A535CA8" w14:textId="77777777" w:rsidR="00662343" w:rsidRPr="00BD683B" w:rsidRDefault="00662343" w:rsidP="00805A4B">
      <w:pPr>
        <w:spacing w:line="480" w:lineRule="auto"/>
        <w:ind w:left="1134"/>
      </w:pPr>
      <w:r w:rsidRPr="00BD683B">
        <w:rPr>
          <w:bCs/>
        </w:rPr>
        <w:t>Vous ses sujets la larme à l’oeil</w:t>
      </w:r>
    </w:p>
    <w:p w14:paraId="4B168407" w14:textId="77777777" w:rsidR="00662343" w:rsidRPr="00BD683B" w:rsidRDefault="00662343" w:rsidP="00805A4B">
      <w:pPr>
        <w:spacing w:line="480" w:lineRule="auto"/>
        <w:ind w:left="1134"/>
      </w:pPr>
      <w:r w:rsidRPr="00BD683B">
        <w:rPr>
          <w:bCs/>
        </w:rPr>
        <w:t>Regardez ce Prince au Cercueil,</w:t>
      </w:r>
    </w:p>
    <w:p w14:paraId="39D3E912" w14:textId="77777777" w:rsidR="00662343" w:rsidRPr="0017630A" w:rsidRDefault="00662343" w:rsidP="00805A4B">
      <w:pPr>
        <w:spacing w:line="480" w:lineRule="auto"/>
        <w:ind w:left="1134"/>
        <w:rPr>
          <w:lang w:val="de-DE"/>
        </w:rPr>
      </w:pPr>
      <w:r w:rsidRPr="0017630A">
        <w:rPr>
          <w:bCs/>
          <w:lang w:val="de-DE"/>
        </w:rPr>
        <w:t>Et de sa mort portez le deuil.</w:t>
      </w:r>
    </w:p>
    <w:p w14:paraId="11A119EE" w14:textId="77777777" w:rsidR="00662343" w:rsidRPr="0017630A" w:rsidRDefault="00662343" w:rsidP="00805A4B">
      <w:pPr>
        <w:spacing w:line="480" w:lineRule="auto"/>
        <w:ind w:left="1134"/>
        <w:rPr>
          <w:bCs/>
          <w:lang w:val="de-DE"/>
        </w:rPr>
      </w:pPr>
    </w:p>
    <w:p w14:paraId="6C6C7063" w14:textId="77777777" w:rsidR="00662343" w:rsidRPr="00BD683B" w:rsidRDefault="00662343" w:rsidP="00805A4B">
      <w:pPr>
        <w:spacing w:line="480" w:lineRule="auto"/>
        <w:ind w:left="1134"/>
      </w:pPr>
      <w:r w:rsidRPr="00BD683B">
        <w:rPr>
          <w:bCs/>
        </w:rPr>
        <w:t>Il nous laisse à tous en mourant</w:t>
      </w:r>
    </w:p>
    <w:p w14:paraId="17207742" w14:textId="77777777" w:rsidR="00662343" w:rsidRPr="00BD683B" w:rsidRDefault="00662343" w:rsidP="00805A4B">
      <w:pPr>
        <w:spacing w:line="480" w:lineRule="auto"/>
        <w:ind w:left="1134"/>
      </w:pPr>
      <w:r w:rsidRPr="00BD683B">
        <w:rPr>
          <w:bCs/>
        </w:rPr>
        <w:t>De quoy plus amerement,</w:t>
      </w:r>
    </w:p>
    <w:p w14:paraId="538BEB07" w14:textId="77777777" w:rsidR="00662343" w:rsidRPr="00BD683B" w:rsidRDefault="00662343" w:rsidP="00805A4B">
      <w:pPr>
        <w:spacing w:line="480" w:lineRule="auto"/>
        <w:ind w:left="1134"/>
      </w:pPr>
      <w:r w:rsidRPr="00BD683B">
        <w:rPr>
          <w:bCs/>
        </w:rPr>
        <w:t>Puisqu’il nous laisse sans argent.</w:t>
      </w:r>
    </w:p>
    <w:p w14:paraId="39C45365" w14:textId="77777777" w:rsidR="00662343" w:rsidRPr="00BD683B" w:rsidRDefault="00662343" w:rsidP="00805A4B">
      <w:pPr>
        <w:spacing w:line="480" w:lineRule="auto"/>
        <w:ind w:left="1134"/>
      </w:pPr>
      <w:r w:rsidRPr="00BD683B">
        <w:rPr>
          <w:bCs/>
        </w:rPr>
        <w:t> </w:t>
      </w:r>
    </w:p>
    <w:p w14:paraId="3BC01A17" w14:textId="77777777" w:rsidR="00662343" w:rsidRPr="00BD683B" w:rsidRDefault="00662343" w:rsidP="00805A4B">
      <w:pPr>
        <w:spacing w:line="480" w:lineRule="auto"/>
        <w:ind w:left="1134"/>
      </w:pPr>
      <w:r w:rsidRPr="00BD683B">
        <w:rPr>
          <w:bCs/>
        </w:rPr>
        <w:t>Mais cherchez, vous entrouverez</w:t>
      </w:r>
    </w:p>
    <w:p w14:paraId="53B5BA5F" w14:textId="77777777" w:rsidR="00662343" w:rsidRPr="0017630A" w:rsidRDefault="00662343" w:rsidP="00805A4B">
      <w:pPr>
        <w:spacing w:line="480" w:lineRule="auto"/>
        <w:ind w:left="1134"/>
        <w:rPr>
          <w:lang w:val="de-DE"/>
        </w:rPr>
      </w:pPr>
      <w:r w:rsidRPr="0017630A">
        <w:rPr>
          <w:bCs/>
          <w:lang w:val="de-DE"/>
        </w:rPr>
        <w:t>Dans la bourse de des Maretz,</w:t>
      </w:r>
    </w:p>
    <w:p w14:paraId="7DBBBC6E" w14:textId="77777777" w:rsidR="00662343" w:rsidRPr="00BD683B" w:rsidRDefault="00662343" w:rsidP="00805A4B">
      <w:pPr>
        <w:spacing w:line="480" w:lineRule="auto"/>
        <w:ind w:left="1134"/>
      </w:pPr>
      <w:r w:rsidRPr="00BD683B">
        <w:rPr>
          <w:bCs/>
        </w:rPr>
        <w:t>Et de gens comme Bourvalais.</w:t>
      </w:r>
    </w:p>
    <w:p w14:paraId="2638B3B6" w14:textId="77777777" w:rsidR="00662343" w:rsidRPr="00BD683B" w:rsidRDefault="00662343" w:rsidP="00805A4B">
      <w:pPr>
        <w:spacing w:line="480" w:lineRule="auto"/>
        <w:ind w:left="1134"/>
        <w:rPr>
          <w:bCs/>
        </w:rPr>
      </w:pPr>
    </w:p>
    <w:p w14:paraId="68530862" w14:textId="77777777" w:rsidR="00662343" w:rsidRPr="00BD683B" w:rsidRDefault="00662343" w:rsidP="00805A4B">
      <w:pPr>
        <w:spacing w:line="480" w:lineRule="auto"/>
        <w:ind w:left="1134"/>
      </w:pPr>
      <w:r w:rsidRPr="00BD683B">
        <w:rPr>
          <w:bCs/>
        </w:rPr>
        <w:t>Faites de génereux efforts,</w:t>
      </w:r>
    </w:p>
    <w:p w14:paraId="54758B71" w14:textId="77777777" w:rsidR="00662343" w:rsidRPr="00BD683B" w:rsidRDefault="00662343" w:rsidP="00805A4B">
      <w:pPr>
        <w:spacing w:line="480" w:lineRule="auto"/>
        <w:ind w:left="1134"/>
      </w:pPr>
      <w:r w:rsidRPr="00BD683B">
        <w:rPr>
          <w:bCs/>
        </w:rPr>
        <w:t>Pour enfoncer leurs Coffres forts,</w:t>
      </w:r>
    </w:p>
    <w:p w14:paraId="3C7340D9" w14:textId="77777777" w:rsidR="00662343" w:rsidRPr="00BD683B" w:rsidRDefault="00662343" w:rsidP="00805A4B">
      <w:pPr>
        <w:spacing w:line="480" w:lineRule="auto"/>
        <w:ind w:left="1134"/>
      </w:pPr>
      <w:r w:rsidRPr="00BD683B">
        <w:rPr>
          <w:bCs/>
        </w:rPr>
        <w:t>Puis pendez au gibet leurs corps.</w:t>
      </w:r>
    </w:p>
    <w:p w14:paraId="2C8B93A8" w14:textId="77777777" w:rsidR="00662343" w:rsidRPr="00557178" w:rsidRDefault="00662343" w:rsidP="00805A4B">
      <w:pPr>
        <w:spacing w:line="480" w:lineRule="auto"/>
        <w:ind w:left="1134"/>
        <w:rPr>
          <w:b/>
          <w:bCs/>
        </w:rPr>
      </w:pPr>
    </w:p>
    <w:p w14:paraId="01AC712C" w14:textId="77777777" w:rsidR="00662343" w:rsidRPr="00BD683B" w:rsidRDefault="00662343" w:rsidP="00805A4B">
      <w:pPr>
        <w:spacing w:line="480" w:lineRule="auto"/>
        <w:ind w:left="1134"/>
      </w:pPr>
      <w:r w:rsidRPr="00BD683B">
        <w:rPr>
          <w:bCs/>
        </w:rPr>
        <w:lastRenderedPageBreak/>
        <w:t>Que le Régent doux et benin</w:t>
      </w:r>
    </w:p>
    <w:p w14:paraId="4F7E4FFE" w14:textId="77777777" w:rsidR="00662343" w:rsidRPr="00BD683B" w:rsidRDefault="00662343" w:rsidP="00805A4B">
      <w:pPr>
        <w:spacing w:line="480" w:lineRule="auto"/>
        <w:ind w:left="1134"/>
      </w:pPr>
      <w:r w:rsidRPr="00BD683B">
        <w:rPr>
          <w:bCs/>
        </w:rPr>
        <w:t>Inspire à son petit Cousin</w:t>
      </w:r>
    </w:p>
    <w:p w14:paraId="284C78E2" w14:textId="3D074113" w:rsidR="00662343" w:rsidRDefault="00662343" w:rsidP="000D2DF6">
      <w:pPr>
        <w:spacing w:line="480" w:lineRule="auto"/>
        <w:ind w:left="1134"/>
      </w:pPr>
      <w:r w:rsidRPr="00BD683B">
        <w:rPr>
          <w:bCs/>
        </w:rPr>
        <w:t>D’estre juste, paisible, humain.</w:t>
      </w:r>
      <w:r>
        <w:rPr>
          <w:rStyle w:val="FootnoteReference"/>
          <w:bCs/>
        </w:rPr>
        <w:footnoteReference w:id="50"/>
      </w:r>
    </w:p>
    <w:p w14:paraId="0743ECC6" w14:textId="291DC409" w:rsidR="00662343" w:rsidRPr="00557178" w:rsidRDefault="00662343" w:rsidP="000D2DF6">
      <w:pPr>
        <w:spacing w:line="480" w:lineRule="auto"/>
        <w:ind w:firstLine="720"/>
      </w:pPr>
      <w:r>
        <w:t>A final song, set to another popular</w:t>
      </w:r>
      <w:r w:rsidRPr="00557178">
        <w:t xml:space="preserve"> </w:t>
      </w:r>
      <w:r>
        <w:t>tune</w:t>
      </w:r>
      <w:r w:rsidRPr="00557178">
        <w:t xml:space="preserve"> of the time (</w:t>
      </w:r>
      <w:r>
        <w:t>‘</w:t>
      </w:r>
      <w:r w:rsidRPr="00557178">
        <w:t>la Joconde</w:t>
      </w:r>
      <w:r>
        <w:t>’), provides an appropriate conclusion to this article, as it explor</w:t>
      </w:r>
      <w:r w:rsidRPr="00557178">
        <w:t xml:space="preserve">es many of the </w:t>
      </w:r>
      <w:r>
        <w:t>elements relating to the sound worlds surrounding Louis XIV’s death that we have come across in the other accounts and songs. The singer stresses the advantage of the orality of song over the dangers</w:t>
      </w:r>
      <w:r w:rsidRPr="00557178">
        <w:t xml:space="preserve"> </w:t>
      </w:r>
      <w:r>
        <w:t>associated with writing down satirical words, vowing</w:t>
      </w:r>
      <w:r w:rsidRPr="00557178">
        <w:t xml:space="preserve"> not </w:t>
      </w:r>
      <w:r>
        <w:t xml:space="preserve">to </w:t>
      </w:r>
      <w:r w:rsidRPr="00557178">
        <w:t xml:space="preserve">commit to the posterity of print any subversive thoughts. </w:t>
      </w:r>
      <w:r>
        <w:t xml:space="preserve"> Like in so many of the other pieces, the true legacy of the king is questioned and contrasted with a strong sense of the present as those currently criticizing that legacy are evoked. </w:t>
      </w:r>
      <w:r w:rsidRPr="00557178">
        <w:t>The singer</w:t>
      </w:r>
      <w:r>
        <w:t>, moreover,</w:t>
      </w:r>
      <w:r w:rsidRPr="00557178">
        <w:t xml:space="preserve"> is able to distance herself from any direct criticism by drawing attention to what others say and what she will not be uttering (</w:t>
      </w:r>
      <w:r w:rsidRPr="00FF3A6C">
        <w:rPr>
          <w:i/>
        </w:rPr>
        <w:t>praeteritio</w:t>
      </w:r>
      <w:r>
        <w:t xml:space="preserve"> is not the domain of funeral orations alone):</w:t>
      </w:r>
      <w:r>
        <w:rPr>
          <w:rStyle w:val="FootnoteReference"/>
        </w:rPr>
        <w:footnoteReference w:id="51"/>
      </w:r>
      <w:r w:rsidRPr="00557178">
        <w:t xml:space="preserve"> </w:t>
      </w:r>
    </w:p>
    <w:p w14:paraId="53DF2811" w14:textId="77777777" w:rsidR="00662343" w:rsidRPr="00BD683B" w:rsidRDefault="00662343" w:rsidP="00805A4B">
      <w:pPr>
        <w:spacing w:line="480" w:lineRule="auto"/>
        <w:ind w:left="1134"/>
      </w:pPr>
      <w:r w:rsidRPr="00BD683B">
        <w:rPr>
          <w:bCs/>
        </w:rPr>
        <w:t>Pour paroître au grand Tribunal,</w:t>
      </w:r>
    </w:p>
    <w:p w14:paraId="33110099" w14:textId="77777777" w:rsidR="00662343" w:rsidRPr="002061A2" w:rsidRDefault="00662343" w:rsidP="00805A4B">
      <w:pPr>
        <w:spacing w:line="480" w:lineRule="auto"/>
        <w:ind w:left="1134"/>
        <w:rPr>
          <w:lang w:val="de-DE"/>
        </w:rPr>
      </w:pPr>
      <w:r w:rsidRPr="00BD683B">
        <w:rPr>
          <w:bCs/>
        </w:rPr>
        <w:tab/>
      </w:r>
      <w:r w:rsidRPr="002061A2">
        <w:rPr>
          <w:bCs/>
          <w:lang w:val="de-DE"/>
        </w:rPr>
        <w:t>Enfin Louis déloge,</w:t>
      </w:r>
    </w:p>
    <w:p w14:paraId="2E50C10E" w14:textId="77777777" w:rsidR="00662343" w:rsidRPr="002061A2" w:rsidRDefault="00662343" w:rsidP="00805A4B">
      <w:pPr>
        <w:spacing w:line="480" w:lineRule="auto"/>
        <w:ind w:left="1134"/>
        <w:rPr>
          <w:lang w:val="de-DE"/>
        </w:rPr>
      </w:pPr>
      <w:r w:rsidRPr="002061A2">
        <w:rPr>
          <w:bCs/>
          <w:lang w:val="de-DE"/>
        </w:rPr>
        <w:t>Bien des gens en disent du mal,</w:t>
      </w:r>
    </w:p>
    <w:p w14:paraId="6B0AF6E6" w14:textId="77777777" w:rsidR="00662343" w:rsidRPr="00BD683B" w:rsidRDefault="00662343" w:rsidP="00805A4B">
      <w:pPr>
        <w:spacing w:line="480" w:lineRule="auto"/>
        <w:ind w:left="1134"/>
      </w:pPr>
      <w:r w:rsidRPr="002061A2">
        <w:rPr>
          <w:bCs/>
          <w:lang w:val="de-DE"/>
        </w:rPr>
        <w:tab/>
      </w:r>
      <w:r w:rsidRPr="00BD683B">
        <w:rPr>
          <w:bCs/>
        </w:rPr>
        <w:t>Et peu font son éloge;</w:t>
      </w:r>
    </w:p>
    <w:p w14:paraId="1EAEB3F7" w14:textId="77777777" w:rsidR="00662343" w:rsidRPr="0017630A" w:rsidRDefault="00662343" w:rsidP="00805A4B">
      <w:pPr>
        <w:spacing w:line="480" w:lineRule="auto"/>
        <w:ind w:left="1134"/>
        <w:rPr>
          <w:lang w:val="de-DE"/>
        </w:rPr>
      </w:pPr>
      <w:r w:rsidRPr="0017630A">
        <w:rPr>
          <w:bCs/>
          <w:lang w:val="de-DE"/>
        </w:rPr>
        <w:t>Pour laisser ses mannes en paix</w:t>
      </w:r>
    </w:p>
    <w:p w14:paraId="2F3ADF7A" w14:textId="77777777" w:rsidR="00662343" w:rsidRPr="0017630A" w:rsidRDefault="00662343" w:rsidP="00805A4B">
      <w:pPr>
        <w:spacing w:line="480" w:lineRule="auto"/>
        <w:ind w:left="1134"/>
        <w:rPr>
          <w:lang w:val="de-DE"/>
        </w:rPr>
      </w:pPr>
      <w:r w:rsidRPr="0017630A">
        <w:rPr>
          <w:bCs/>
          <w:lang w:val="de-DE"/>
        </w:rPr>
        <w:tab/>
        <w:t>Je ne veux rien escrire,</w:t>
      </w:r>
    </w:p>
    <w:p w14:paraId="009C0F82" w14:textId="77777777" w:rsidR="00662343" w:rsidRPr="00BD683B" w:rsidRDefault="00662343" w:rsidP="00805A4B">
      <w:pPr>
        <w:spacing w:line="480" w:lineRule="auto"/>
        <w:ind w:left="1134"/>
      </w:pPr>
      <w:r w:rsidRPr="00BD683B">
        <w:rPr>
          <w:bCs/>
        </w:rPr>
        <w:t>L’honneste homme ne doit jamais</w:t>
      </w:r>
    </w:p>
    <w:p w14:paraId="20F674AB" w14:textId="75F64E87" w:rsidR="00662343" w:rsidRDefault="00662343" w:rsidP="000D2DF6">
      <w:pPr>
        <w:spacing w:line="480" w:lineRule="auto"/>
        <w:ind w:left="1134"/>
        <w:rPr>
          <w:b/>
          <w:bCs/>
        </w:rPr>
      </w:pPr>
      <w:r w:rsidRPr="00BD683B">
        <w:rPr>
          <w:bCs/>
        </w:rPr>
        <w:tab/>
        <w:t>Ni mentir ni médire.</w:t>
      </w:r>
      <w:r>
        <w:rPr>
          <w:rStyle w:val="FootnoteReference"/>
          <w:bCs/>
        </w:rPr>
        <w:footnoteReference w:id="52"/>
      </w:r>
    </w:p>
    <w:p w14:paraId="29E67E58" w14:textId="77777777" w:rsidR="00662343" w:rsidRDefault="00662343" w:rsidP="00805A4B">
      <w:pPr>
        <w:spacing w:line="480" w:lineRule="auto"/>
        <w:rPr>
          <w:bCs/>
        </w:rPr>
      </w:pPr>
      <w:r>
        <w:rPr>
          <w:bCs/>
        </w:rPr>
        <w:tab/>
        <w:t xml:space="preserve">It has been my contention in this article that the soundscapes that surround the monarch at the time before and after his death are particularly complex ones. As the royal </w:t>
      </w:r>
      <w:r>
        <w:rPr>
          <w:bCs/>
        </w:rPr>
        <w:lastRenderedPageBreak/>
        <w:t>body began to betray its mortal frailty, those in his circle paradoxically began to put the hope of posterity in the transience of his spoken words. The final moments in the life of the king, who himself drew increasing comfort from auditory rather than ocular pleasure, were sonic (sighs and hiccoughs) and not visual. The actual death of Louis was followed by a profusion of sound worlds, both adulatory and hostile, whether in churches or on the Pont-Neuf. Even though some of these sermons and songs have been written down and preserved in print, we should not forget that all were intended first and foremost to be heard. If it has been necessary to close our eyes momentarily to the visuality of Louis XIV’s death, it is hoped that as a result our ears have been opened to sounds that otherwise would have been lost forever.</w:t>
      </w:r>
    </w:p>
    <w:p w14:paraId="0A89AE9E" w14:textId="75BA911B" w:rsidR="00662343" w:rsidRDefault="00662343" w:rsidP="00805A4B">
      <w:pPr>
        <w:spacing w:line="480" w:lineRule="auto"/>
        <w:rPr>
          <w:bCs/>
        </w:rPr>
      </w:pPr>
    </w:p>
    <w:p w14:paraId="3FC6226F" w14:textId="77777777" w:rsidR="00055013" w:rsidRPr="00C964FF" w:rsidRDefault="00055013" w:rsidP="00055013">
      <w:pPr>
        <w:pStyle w:val="PSUPLetterDate"/>
        <w:jc w:val="left"/>
        <w:rPr>
          <w:rFonts w:ascii="Times New Roman" w:hAnsi="Times New Roman" w:cs="Times New Roman"/>
          <w:sz w:val="24"/>
          <w:szCs w:val="24"/>
        </w:rPr>
      </w:pPr>
      <w:r w:rsidRPr="00C964FF">
        <w:rPr>
          <w:rFonts w:ascii="Times New Roman" w:hAnsi="Times New Roman" w:cs="Times New Roman"/>
          <w:sz w:val="24"/>
          <w:szCs w:val="24"/>
        </w:rPr>
        <w:t xml:space="preserve">Nicholas Hammond is Professor of </w:t>
      </w:r>
      <w:r>
        <w:rPr>
          <w:rFonts w:ascii="Times New Roman" w:hAnsi="Times New Roman" w:cs="Times New Roman"/>
          <w:sz w:val="24"/>
          <w:szCs w:val="24"/>
        </w:rPr>
        <w:t>E</w:t>
      </w:r>
      <w:r w:rsidRPr="00C964FF">
        <w:rPr>
          <w:rFonts w:ascii="Times New Roman" w:hAnsi="Times New Roman" w:cs="Times New Roman"/>
          <w:sz w:val="24"/>
          <w:szCs w:val="24"/>
        </w:rPr>
        <w:t xml:space="preserve">arly </w:t>
      </w:r>
      <w:r>
        <w:rPr>
          <w:rFonts w:ascii="Times New Roman" w:hAnsi="Times New Roman" w:cs="Times New Roman"/>
          <w:sz w:val="24"/>
          <w:szCs w:val="24"/>
        </w:rPr>
        <w:t>M</w:t>
      </w:r>
      <w:r w:rsidRPr="00C964FF">
        <w:rPr>
          <w:rFonts w:ascii="Times New Roman" w:hAnsi="Times New Roman" w:cs="Times New Roman"/>
          <w:sz w:val="24"/>
          <w:szCs w:val="24"/>
        </w:rPr>
        <w:t xml:space="preserve">odern French </w:t>
      </w:r>
      <w:r>
        <w:rPr>
          <w:rFonts w:ascii="Times New Roman" w:hAnsi="Times New Roman" w:cs="Times New Roman"/>
          <w:sz w:val="24"/>
          <w:szCs w:val="24"/>
        </w:rPr>
        <w:t>Li</w:t>
      </w:r>
      <w:r w:rsidRPr="00C964FF">
        <w:rPr>
          <w:rFonts w:ascii="Times New Roman" w:hAnsi="Times New Roman" w:cs="Times New Roman"/>
          <w:sz w:val="24"/>
          <w:szCs w:val="24"/>
        </w:rPr>
        <w:t xml:space="preserve">terature and </w:t>
      </w:r>
      <w:r>
        <w:rPr>
          <w:rFonts w:ascii="Times New Roman" w:hAnsi="Times New Roman" w:cs="Times New Roman"/>
          <w:sz w:val="24"/>
          <w:szCs w:val="24"/>
        </w:rPr>
        <w:t>C</w:t>
      </w:r>
      <w:r w:rsidRPr="00C964FF">
        <w:rPr>
          <w:rFonts w:ascii="Times New Roman" w:hAnsi="Times New Roman" w:cs="Times New Roman"/>
          <w:sz w:val="24"/>
          <w:szCs w:val="24"/>
        </w:rPr>
        <w:t xml:space="preserve">ulture at </w:t>
      </w:r>
      <w:r>
        <w:rPr>
          <w:rFonts w:ascii="Times New Roman" w:hAnsi="Times New Roman" w:cs="Times New Roman"/>
          <w:sz w:val="24"/>
          <w:szCs w:val="24"/>
        </w:rPr>
        <w:t xml:space="preserve">the </w:t>
      </w:r>
      <w:r w:rsidRPr="00C964FF">
        <w:rPr>
          <w:rFonts w:ascii="Times New Roman" w:hAnsi="Times New Roman" w:cs="Times New Roman"/>
          <w:sz w:val="24"/>
          <w:szCs w:val="24"/>
        </w:rPr>
        <w:t xml:space="preserve">University </w:t>
      </w:r>
      <w:r>
        <w:rPr>
          <w:rFonts w:ascii="Times New Roman" w:hAnsi="Times New Roman" w:cs="Times New Roman"/>
          <w:sz w:val="24"/>
          <w:szCs w:val="24"/>
        </w:rPr>
        <w:t xml:space="preserve">of </w:t>
      </w:r>
      <w:r w:rsidRPr="00C964FF">
        <w:rPr>
          <w:rFonts w:ascii="Times New Roman" w:hAnsi="Times New Roman" w:cs="Times New Roman"/>
          <w:sz w:val="24"/>
          <w:szCs w:val="24"/>
        </w:rPr>
        <w:t xml:space="preserve">Cambridge. He is the author and editor of several books and articles on seventeenth-century French theatre, thought, poetry and culture, and is the co-editor of </w:t>
      </w:r>
      <w:r w:rsidRPr="00C964FF">
        <w:rPr>
          <w:rFonts w:ascii="Times New Roman" w:hAnsi="Times New Roman" w:cs="Times New Roman"/>
          <w:i/>
          <w:sz w:val="24"/>
          <w:szCs w:val="24"/>
        </w:rPr>
        <w:t>The Cambridge History of French Literature</w:t>
      </w:r>
      <w:r>
        <w:rPr>
          <w:rFonts w:ascii="Times New Roman" w:hAnsi="Times New Roman" w:cs="Times New Roman"/>
          <w:i/>
          <w:sz w:val="24"/>
          <w:szCs w:val="24"/>
        </w:rPr>
        <w:t xml:space="preserve"> </w:t>
      </w:r>
      <w:r>
        <w:rPr>
          <w:rFonts w:ascii="Times New Roman" w:hAnsi="Times New Roman" w:cs="Times New Roman"/>
          <w:sz w:val="24"/>
          <w:szCs w:val="24"/>
        </w:rPr>
        <w:t>(Cambridge: Cambridge University Press, 2011)</w:t>
      </w:r>
      <w:r w:rsidRPr="00C964FF">
        <w:rPr>
          <w:rFonts w:ascii="Times New Roman" w:hAnsi="Times New Roman" w:cs="Times New Roman"/>
          <w:sz w:val="24"/>
          <w:szCs w:val="24"/>
        </w:rPr>
        <w:t xml:space="preserve">. His most recent research focuses on the street songs and sonic cultures of early modern Paris, and a book on Parisian sound worlds under Louis XIV is due to be published in 2019 by Penn State University Press. A co-edited book on Racine’s </w:t>
      </w:r>
      <w:r w:rsidRPr="00C964FF">
        <w:rPr>
          <w:rFonts w:ascii="Times New Roman" w:hAnsi="Times New Roman" w:cs="Times New Roman"/>
          <w:i/>
          <w:sz w:val="24"/>
          <w:szCs w:val="24"/>
        </w:rPr>
        <w:t>Andromaque</w:t>
      </w:r>
      <w:r w:rsidRPr="00C964FF">
        <w:rPr>
          <w:rFonts w:ascii="Times New Roman" w:hAnsi="Times New Roman" w:cs="Times New Roman"/>
          <w:sz w:val="24"/>
          <w:szCs w:val="24"/>
        </w:rPr>
        <w:t xml:space="preserve"> will appear in 2020 with Brill.</w:t>
      </w:r>
    </w:p>
    <w:p w14:paraId="15C5B14B" w14:textId="77777777" w:rsidR="00CD5AAB" w:rsidRPr="006406F7" w:rsidRDefault="00CD5AAB" w:rsidP="00EA32E5">
      <w:pPr>
        <w:spacing w:line="480" w:lineRule="auto"/>
      </w:pPr>
      <w:bookmarkStart w:id="1" w:name="_GoBack"/>
      <w:bookmarkEnd w:id="1"/>
    </w:p>
    <w:sectPr w:rsidR="00CD5AAB" w:rsidRPr="006406F7" w:rsidSect="00CD5AAB">
      <w:footerReference w:type="even" r:id="rId10"/>
      <w:footerReference w:type="default" r:id="rId11"/>
      <w:footnotePr>
        <w:numRestart w:val="eachSect"/>
      </w:footnotePr>
      <w:pgSz w:w="11900" w:h="16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540EE3" w14:textId="77777777" w:rsidR="000574A4" w:rsidRDefault="000574A4" w:rsidP="00CD5AAB">
      <w:r>
        <w:separator/>
      </w:r>
    </w:p>
  </w:endnote>
  <w:endnote w:type="continuationSeparator" w:id="0">
    <w:p w14:paraId="60C8324F" w14:textId="77777777" w:rsidR="000574A4" w:rsidRDefault="000574A4" w:rsidP="00CD5A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Yu Mincho">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Body CS)">
    <w:altName w:val="Times New Roman"/>
    <w:charset w:val="00"/>
    <w:family w:val="roman"/>
    <w:pitch w:val="variable"/>
    <w:sig w:usb0="E0002AEF" w:usb1="C0007841" w:usb2="00000009" w:usb3="00000000" w:csb0="000001FF" w:csb1="00000000"/>
  </w:font>
  <w:font w:name="Yu Gothic Light">
    <w:panose1 w:val="00000000000000000000"/>
    <w:charset w:val="00"/>
    <w:family w:val="roman"/>
    <w:notTrueType/>
    <w:pitch w:val="default"/>
  </w:font>
  <w:font w:name="Helvetica">
    <w:panose1 w:val="020B0604020202020204"/>
    <w:charset w:val="00"/>
    <w:family w:val="auto"/>
    <w:pitch w:val="variable"/>
    <w:sig w:usb0="E00002FF" w:usb1="5000785B" w:usb2="00000000" w:usb3="00000000" w:csb0="0000019F" w:csb1="00000000"/>
  </w:font>
  <w:font w:name="ヒラギノ角ゴ Pro W3">
    <w:charset w:val="4E"/>
    <w:family w:val="auto"/>
    <w:pitch w:val="variable"/>
    <w:sig w:usb0="E00002FF" w:usb1="7AC7FFFF" w:usb2="00000012" w:usb3="00000000" w:csb0="0002000D" w:csb1="00000000"/>
  </w:font>
  <w:font w:name="Calibri Light">
    <w:panose1 w:val="020F0302020204030204"/>
    <w:charset w:val="00"/>
    <w:family w:val="swiss"/>
    <w:pitch w:val="variable"/>
    <w:sig w:usb0="A00002EF" w:usb1="4000207B" w:usb2="00000000" w:usb3="00000000" w:csb0="0000019F" w:csb1="00000000"/>
  </w:font>
  <w:font w:name="Lucida Grande">
    <w:charset w:val="00"/>
    <w:family w:val="auto"/>
    <w:pitch w:val="variable"/>
    <w:sig w:usb0="E1000AEF" w:usb1="5000A1FF" w:usb2="00000000" w:usb3="00000000" w:csb0="000001BF" w:csb1="00000000"/>
  </w:font>
  <w:font w:name="Courier">
    <w:panose1 w:val="02070409020205020404"/>
    <w:charset w:val="00"/>
    <w:family w:val="auto"/>
    <w:pitch w:val="variable"/>
    <w:sig w:usb0="00000003" w:usb1="00000000" w:usb2="00000000" w:usb3="00000000" w:csb0="00000001" w:csb1="00000000"/>
  </w:font>
  <w:font w:name="Helvetica Neue">
    <w:altName w:val="Malgun Gothic"/>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Adobe Jenson Pro">
    <w:altName w:val="Times New Roman"/>
    <w:panose1 w:val="00000000000000000000"/>
    <w:charset w:val="4D"/>
    <w:family w:val="roman"/>
    <w:notTrueType/>
    <w:pitch w:val="variable"/>
    <w:sig w:usb0="00000007" w:usb1="00000001" w:usb2="00000000" w:usb3="00000000" w:csb0="00000093" w:csb1="00000000"/>
  </w:font>
  <w:font w:name="MS Mincho">
    <w:altName w:val="ＭＳ 明朝"/>
    <w:panose1 w:val="02020609040205080304"/>
    <w:charset w:val="80"/>
    <w:family w:val="modern"/>
    <w:pitch w:val="fixed"/>
    <w:sig w:usb0="E00002FF" w:usb1="6AC7FDFB" w:usb2="00000012" w:usb3="00000000" w:csb0="0002009F" w:csb1="00000000"/>
  </w:font>
  <w:font w:name="AJensonPro-Regular">
    <w:altName w:val="Cambria"/>
    <w:panose1 w:val="00000000000000000000"/>
    <w:charset w:val="4D"/>
    <w:family w:val="roman"/>
    <w:notTrueType/>
    <w:pitch w:val="variable"/>
    <w:sig w:usb0="00000007" w:usb1="00000001"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833914407"/>
      <w:docPartObj>
        <w:docPartGallery w:val="Page Numbers (Bottom of Page)"/>
        <w:docPartUnique/>
      </w:docPartObj>
    </w:sdtPr>
    <w:sdtEndPr>
      <w:rPr>
        <w:rStyle w:val="PageNumber"/>
      </w:rPr>
    </w:sdtEndPr>
    <w:sdtContent>
      <w:p w14:paraId="05DCB544" w14:textId="77777777" w:rsidR="00E2648E" w:rsidRDefault="00E2648E" w:rsidP="0066234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F22A0D4" w14:textId="77777777" w:rsidR="00E2648E" w:rsidRDefault="00E2648E" w:rsidP="00CD5AA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777944926"/>
      <w:docPartObj>
        <w:docPartGallery w:val="Page Numbers (Bottom of Page)"/>
        <w:docPartUnique/>
      </w:docPartObj>
    </w:sdtPr>
    <w:sdtEndPr>
      <w:rPr>
        <w:rStyle w:val="PageNumber"/>
      </w:rPr>
    </w:sdtEndPr>
    <w:sdtContent>
      <w:p w14:paraId="63593655" w14:textId="05829A0A" w:rsidR="00E2648E" w:rsidRDefault="00E2648E" w:rsidP="0066234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EA32E5">
          <w:rPr>
            <w:rStyle w:val="PageNumber"/>
            <w:noProof/>
          </w:rPr>
          <w:t>2</w:t>
        </w:r>
        <w:r>
          <w:rPr>
            <w:rStyle w:val="PageNumber"/>
          </w:rPr>
          <w:fldChar w:fldCharType="end"/>
        </w:r>
      </w:p>
    </w:sdtContent>
  </w:sdt>
  <w:p w14:paraId="708639CF" w14:textId="77777777" w:rsidR="00E2648E" w:rsidRDefault="00E2648E" w:rsidP="00CD5AA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05D977" w14:textId="77777777" w:rsidR="000574A4" w:rsidRDefault="000574A4" w:rsidP="00CD5AAB">
      <w:r>
        <w:separator/>
      </w:r>
    </w:p>
  </w:footnote>
  <w:footnote w:type="continuationSeparator" w:id="0">
    <w:p w14:paraId="5F43D782" w14:textId="77777777" w:rsidR="000574A4" w:rsidRDefault="000574A4" w:rsidP="00CD5AAB">
      <w:r>
        <w:continuationSeparator/>
      </w:r>
    </w:p>
  </w:footnote>
  <w:footnote w:id="1">
    <w:p w14:paraId="7D0A1489" w14:textId="4B7A4391" w:rsidR="00E2648E" w:rsidRPr="00805A4B" w:rsidRDefault="00E2648E" w:rsidP="006406F7">
      <w:pPr>
        <w:pStyle w:val="FootnoteText"/>
        <w:rPr>
          <w:rFonts w:cs="Times New Roman"/>
        </w:rPr>
      </w:pPr>
      <w:r w:rsidRPr="00805A4B">
        <w:rPr>
          <w:rStyle w:val="FootnoteReference"/>
        </w:rPr>
        <w:footnoteRef/>
      </w:r>
      <w:r w:rsidRPr="00805A4B">
        <w:t xml:space="preserve"> </w:t>
      </w:r>
      <w:r>
        <w:rPr>
          <w:rFonts w:cs="Times New Roman"/>
        </w:rPr>
        <w:t>P.</w:t>
      </w:r>
      <w:r w:rsidRPr="00805A4B">
        <w:rPr>
          <w:rFonts w:cs="Times New Roman"/>
        </w:rPr>
        <w:t xml:space="preserve"> de Courcillon, marquis de Dangeau, </w:t>
      </w:r>
      <w:r w:rsidRPr="00805A4B">
        <w:rPr>
          <w:rFonts w:cs="Times New Roman"/>
          <w:i/>
        </w:rPr>
        <w:t>Mémoires sur la mort de Louis XIV</w:t>
      </w:r>
      <w:r w:rsidRPr="00805A4B">
        <w:rPr>
          <w:rFonts w:cs="Times New Roman"/>
        </w:rPr>
        <w:t xml:space="preserve"> (Paris: Firmin-Didot, 1858), p. 13.</w:t>
      </w:r>
    </w:p>
  </w:footnote>
  <w:footnote w:id="2">
    <w:p w14:paraId="06C2C635" w14:textId="3A2B93D9" w:rsidR="00E2648E" w:rsidRPr="00805A4B" w:rsidRDefault="00E2648E" w:rsidP="006406F7">
      <w:pPr>
        <w:pStyle w:val="FootnoteText"/>
        <w:rPr>
          <w:rFonts w:cs="Times New Roman"/>
        </w:rPr>
      </w:pPr>
      <w:r w:rsidRPr="00805A4B">
        <w:rPr>
          <w:rStyle w:val="FootnoteReference"/>
        </w:rPr>
        <w:footnoteRef/>
      </w:r>
      <w:r w:rsidRPr="00805A4B">
        <w:t xml:space="preserve"> </w:t>
      </w:r>
      <w:r>
        <w:rPr>
          <w:rFonts w:cs="Times New Roman"/>
        </w:rPr>
        <w:t>J.</w:t>
      </w:r>
      <w:r w:rsidRPr="00805A4B">
        <w:rPr>
          <w:rFonts w:cs="Times New Roman"/>
        </w:rPr>
        <w:t>-M</w:t>
      </w:r>
      <w:r>
        <w:rPr>
          <w:rFonts w:cs="Times New Roman"/>
        </w:rPr>
        <w:t>.</w:t>
      </w:r>
      <w:r w:rsidRPr="00805A4B">
        <w:rPr>
          <w:rFonts w:cs="Times New Roman"/>
        </w:rPr>
        <w:t xml:space="preserve"> Apostolidès, </w:t>
      </w:r>
      <w:r w:rsidRPr="00805A4B">
        <w:rPr>
          <w:rFonts w:cs="Times New Roman"/>
          <w:i/>
        </w:rPr>
        <w:t>Le Roi-Machine: spectacle et politique au temps de Louis XIV</w:t>
      </w:r>
      <w:r w:rsidRPr="00805A4B">
        <w:rPr>
          <w:rFonts w:cs="Times New Roman"/>
        </w:rPr>
        <w:t xml:space="preserve"> (Paris: Éditions de Minuit, 1981), p. 152.</w:t>
      </w:r>
    </w:p>
  </w:footnote>
  <w:footnote w:id="3">
    <w:p w14:paraId="793A8B3C" w14:textId="22293F4B" w:rsidR="00E2648E" w:rsidRPr="00805A4B" w:rsidRDefault="00E2648E" w:rsidP="006406F7">
      <w:pPr>
        <w:pStyle w:val="FootnoteText"/>
        <w:rPr>
          <w:rFonts w:cs="Times New Roman"/>
        </w:rPr>
      </w:pPr>
      <w:r w:rsidRPr="00805A4B">
        <w:rPr>
          <w:rStyle w:val="FootnoteReference"/>
        </w:rPr>
        <w:footnoteRef/>
      </w:r>
      <w:r w:rsidRPr="00805A4B">
        <w:t xml:space="preserve"> </w:t>
      </w:r>
      <w:r>
        <w:rPr>
          <w:rFonts w:cs="Times New Roman"/>
        </w:rPr>
        <w:t>L.</w:t>
      </w:r>
      <w:r w:rsidRPr="00805A4B">
        <w:rPr>
          <w:rFonts w:cs="Times New Roman"/>
        </w:rPr>
        <w:t xml:space="preserve"> Marin, </w:t>
      </w:r>
      <w:r w:rsidRPr="00805A4B">
        <w:rPr>
          <w:rFonts w:cs="Times New Roman"/>
          <w:i/>
        </w:rPr>
        <w:t xml:space="preserve">Le Portrait du Roi </w:t>
      </w:r>
      <w:r w:rsidRPr="00805A4B">
        <w:rPr>
          <w:rFonts w:cs="Times New Roman"/>
        </w:rPr>
        <w:t>(Paris: Éditions de Minuit, 1981), p. 147.</w:t>
      </w:r>
    </w:p>
  </w:footnote>
  <w:footnote w:id="4">
    <w:p w14:paraId="55FC6E89"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These are all aspects that I discuss in my forthcoming book, </w:t>
      </w:r>
      <w:r w:rsidRPr="00805A4B">
        <w:rPr>
          <w:rFonts w:cs="Times New Roman"/>
          <w:i/>
        </w:rPr>
        <w:t>Early Modern Parisian Sound Worlds</w:t>
      </w:r>
      <w:r w:rsidRPr="00805A4B">
        <w:rPr>
          <w:rFonts w:cs="Times New Roman"/>
        </w:rPr>
        <w:t xml:space="preserve"> (Pennsylvania: Penn State University Press, 2019), focusing particularly in chapter 3 on the years 1661-2, the time that Louis assumed full power, that Bossuet first preached to the royal court, and that the King’s finance minister Nicolas Fouquet was arrested and put on trial.</w:t>
      </w:r>
    </w:p>
  </w:footnote>
  <w:footnote w:id="5">
    <w:p w14:paraId="502973C8" w14:textId="4E605CF5" w:rsidR="00E2648E" w:rsidRPr="00805A4B" w:rsidRDefault="00E2648E" w:rsidP="006406F7">
      <w:pPr>
        <w:pStyle w:val="FootnoteText"/>
        <w:rPr>
          <w:rFonts w:cs="Times New Roman"/>
        </w:rPr>
      </w:pPr>
      <w:r w:rsidRPr="00805A4B">
        <w:rPr>
          <w:rStyle w:val="FootnoteReference"/>
        </w:rPr>
        <w:footnoteRef/>
      </w:r>
      <w:r w:rsidRPr="00805A4B">
        <w:t xml:space="preserve"> </w:t>
      </w:r>
      <w:r>
        <w:rPr>
          <w:rFonts w:cs="Times New Roman"/>
        </w:rPr>
        <w:t>S.</w:t>
      </w:r>
      <w:r w:rsidRPr="00805A4B">
        <w:rPr>
          <w:rFonts w:cs="Times New Roman"/>
        </w:rPr>
        <w:t xml:space="preserve"> Perez, </w:t>
      </w:r>
      <w:r w:rsidRPr="00805A4B">
        <w:rPr>
          <w:rFonts w:cs="Times New Roman"/>
          <w:i/>
        </w:rPr>
        <w:t>Le Corps du Roi: incarner l’État de Philippe Auguste à Louis-Philippe</w:t>
      </w:r>
      <w:r w:rsidRPr="00805A4B">
        <w:rPr>
          <w:rFonts w:cs="Times New Roman"/>
        </w:rPr>
        <w:t xml:space="preserve"> (Paris: Perrin, 2018), p. 292.</w:t>
      </w:r>
    </w:p>
  </w:footnote>
  <w:footnote w:id="6">
    <w:p w14:paraId="614B9CB7" w14:textId="03E90008"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Abbé de Choisy, </w:t>
      </w:r>
      <w:r w:rsidRPr="00805A4B">
        <w:rPr>
          <w:rFonts w:cs="Times New Roman"/>
          <w:i/>
        </w:rPr>
        <w:t>Mémoires pour servir à l’histoire de Louis XIV</w:t>
      </w:r>
      <w:r w:rsidRPr="00805A4B">
        <w:rPr>
          <w:rFonts w:cs="Times New Roman"/>
        </w:rPr>
        <w:t xml:space="preserve"> (Paris: Mercure de France, 1966), p. 254. See Perez, </w:t>
      </w:r>
      <w:r w:rsidRPr="00805A4B">
        <w:rPr>
          <w:rFonts w:cs="Times New Roman"/>
          <w:i/>
        </w:rPr>
        <w:t>Le Corps du Roi</w:t>
      </w:r>
      <w:r w:rsidRPr="00805A4B">
        <w:rPr>
          <w:rFonts w:cs="Times New Roman"/>
        </w:rPr>
        <w:t xml:space="preserve">, for a more detailed analyis of the king’s illness in 1686. See also </w:t>
      </w:r>
      <w:r>
        <w:rPr>
          <w:rFonts w:cs="Times New Roman"/>
        </w:rPr>
        <w:t>S.</w:t>
      </w:r>
      <w:r w:rsidRPr="00805A4B">
        <w:rPr>
          <w:rFonts w:cs="Times New Roman"/>
        </w:rPr>
        <w:t xml:space="preserve"> Perez, </w:t>
      </w:r>
      <w:r w:rsidRPr="00805A4B">
        <w:rPr>
          <w:rFonts w:cs="Times New Roman"/>
          <w:i/>
        </w:rPr>
        <w:t>La Santé de Louis XIV</w:t>
      </w:r>
      <w:r w:rsidRPr="00805A4B">
        <w:rPr>
          <w:rFonts w:cs="Times New Roman"/>
        </w:rPr>
        <w:t xml:space="preserve"> (Paris: Champ Vallon, 2007), especially pp. 341-372 on ‘Représenter le corps du roi malade’.</w:t>
      </w:r>
    </w:p>
  </w:footnote>
  <w:footnote w:id="7">
    <w:p w14:paraId="2CC80940"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See </w:t>
      </w:r>
      <w:r w:rsidRPr="00805A4B">
        <w:rPr>
          <w:rFonts w:cs="Times New Roman"/>
          <w:i/>
        </w:rPr>
        <w:t>Chansonnier Maurepas</w:t>
      </w:r>
      <w:r w:rsidRPr="00805A4B">
        <w:rPr>
          <w:rFonts w:cs="Times New Roman"/>
        </w:rPr>
        <w:t>, vol. 6, pp. 11 (for a positive portrayal of the king) and 13 (for a more questioning stance). Transcriptions of the original manuscripts and a link to the original manuscripts can be found on the Early Modern Parisian Soundscapes website: https://www.parisiansoundscapes.org</w:t>
      </w:r>
    </w:p>
  </w:footnote>
  <w:footnote w:id="8">
    <w:p w14:paraId="11179DE4" w14:textId="3ED3F48D"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i/>
        </w:rPr>
        <w:t>Chansonnier Maurepas</w:t>
      </w:r>
      <w:r w:rsidRPr="00805A4B">
        <w:rPr>
          <w:rFonts w:cs="Times New Roman"/>
        </w:rPr>
        <w:t xml:space="preserve">, vol. 13, p. 104. </w:t>
      </w:r>
    </w:p>
  </w:footnote>
  <w:footnote w:id="9">
    <w:p w14:paraId="5210EBCC" w14:textId="56AABC65" w:rsidR="00E2648E" w:rsidRPr="00805A4B" w:rsidRDefault="00E2648E" w:rsidP="006406F7">
      <w:pPr>
        <w:pStyle w:val="EndnoteText"/>
        <w:rPr>
          <w:rFonts w:ascii="Times New Roman" w:hAnsi="Times New Roman" w:cs="Times New Roman"/>
          <w:sz w:val="20"/>
        </w:rPr>
      </w:pPr>
      <w:r w:rsidRPr="00805A4B">
        <w:rPr>
          <w:rStyle w:val="FootnoteReference"/>
          <w:sz w:val="20"/>
        </w:rPr>
        <w:footnoteRef/>
      </w:r>
      <w:r w:rsidRPr="00805A4B">
        <w:rPr>
          <w:sz w:val="20"/>
        </w:rPr>
        <w:t xml:space="preserve"> </w:t>
      </w:r>
      <w:r>
        <w:rPr>
          <w:rFonts w:ascii="Times New Roman" w:hAnsi="Times New Roman" w:cs="Times New Roman"/>
          <w:sz w:val="20"/>
        </w:rPr>
        <w:t>N.</w:t>
      </w:r>
      <w:r w:rsidRPr="00805A4B">
        <w:rPr>
          <w:rFonts w:ascii="Times New Roman" w:hAnsi="Times New Roman" w:cs="Times New Roman"/>
          <w:sz w:val="20"/>
        </w:rPr>
        <w:t xml:space="preserve"> de la Mare, </w:t>
      </w:r>
      <w:r w:rsidRPr="00805A4B">
        <w:rPr>
          <w:rFonts w:ascii="Times New Roman" w:hAnsi="Times New Roman" w:cs="Times New Roman"/>
          <w:i/>
          <w:sz w:val="20"/>
        </w:rPr>
        <w:t>Traité de la Police</w:t>
      </w:r>
      <w:r w:rsidRPr="00805A4B">
        <w:rPr>
          <w:rFonts w:ascii="Times New Roman" w:hAnsi="Times New Roman" w:cs="Times New Roman"/>
          <w:sz w:val="20"/>
        </w:rPr>
        <w:t xml:space="preserve"> (Paris: Jean et Pierre Cot, 1705), 2 volumes, vol. 1, p. 122.</w:t>
      </w:r>
      <w:r w:rsidRPr="00805A4B">
        <w:rPr>
          <w:rFonts w:ascii="Times New Roman" w:hAnsi="Times New Roman" w:cs="Times New Roman"/>
          <w:i/>
          <w:sz w:val="20"/>
        </w:rPr>
        <w:t xml:space="preserve"> </w:t>
      </w:r>
      <w:r w:rsidRPr="00805A4B">
        <w:rPr>
          <w:rFonts w:ascii="Times New Roman" w:hAnsi="Times New Roman" w:cs="Times New Roman"/>
          <w:sz w:val="20"/>
        </w:rPr>
        <w:t xml:space="preserve">De la Mare mentions the police’s role in la discipline des moeurs after the 1685 Revocation of the Edict of Nantes, acting against </w:t>
      </w:r>
      <w:r>
        <w:rPr>
          <w:rFonts w:ascii="Times New Roman" w:hAnsi="Times New Roman" w:cs="Times New Roman"/>
          <w:sz w:val="20"/>
        </w:rPr>
        <w:t>‘</w:t>
      </w:r>
      <w:r w:rsidRPr="00805A4B">
        <w:rPr>
          <w:rFonts w:ascii="Times New Roman" w:hAnsi="Times New Roman" w:cs="Times New Roman"/>
          <w:sz w:val="20"/>
        </w:rPr>
        <w:t>les chansons ou libelles di</w:t>
      </w:r>
      <w:r>
        <w:rPr>
          <w:rFonts w:ascii="Times New Roman" w:hAnsi="Times New Roman" w:cs="Times New Roman"/>
          <w:sz w:val="20"/>
        </w:rPr>
        <w:t>ssolus’</w:t>
      </w:r>
      <w:r w:rsidRPr="00805A4B">
        <w:rPr>
          <w:rFonts w:ascii="Times New Roman" w:hAnsi="Times New Roman" w:cs="Times New Roman"/>
          <w:sz w:val="20"/>
        </w:rPr>
        <w:t xml:space="preserve">, p. 202. See also Joseph le Floc’h, </w:t>
      </w:r>
      <w:r>
        <w:rPr>
          <w:rFonts w:ascii="Times New Roman" w:hAnsi="Times New Roman" w:cs="Times New Roman"/>
          <w:sz w:val="20"/>
        </w:rPr>
        <w:t>‘</w:t>
      </w:r>
      <w:r w:rsidRPr="00805A4B">
        <w:rPr>
          <w:rFonts w:ascii="Times New Roman" w:hAnsi="Times New Roman" w:cs="Times New Roman"/>
          <w:sz w:val="20"/>
        </w:rPr>
        <w:t>Chanteurs Cha</w:t>
      </w:r>
      <w:r>
        <w:rPr>
          <w:rFonts w:ascii="Times New Roman" w:hAnsi="Times New Roman" w:cs="Times New Roman"/>
          <w:sz w:val="20"/>
        </w:rPr>
        <w:t>nsonniers sous l’Ancien Régime’,</w:t>
      </w:r>
      <w:r w:rsidRPr="00805A4B">
        <w:rPr>
          <w:rFonts w:ascii="Times New Roman" w:hAnsi="Times New Roman" w:cs="Times New Roman"/>
          <w:sz w:val="20"/>
        </w:rPr>
        <w:t xml:space="preserve"> in </w:t>
      </w:r>
      <w:r w:rsidRPr="00805A4B">
        <w:rPr>
          <w:rFonts w:ascii="Times New Roman" w:hAnsi="Times New Roman" w:cs="Times New Roman"/>
          <w:i/>
          <w:sz w:val="20"/>
        </w:rPr>
        <w:t>Musiciens des Rues de Paris</w:t>
      </w:r>
      <w:r>
        <w:rPr>
          <w:rFonts w:ascii="Times New Roman" w:hAnsi="Times New Roman" w:cs="Times New Roman"/>
          <w:sz w:val="20"/>
        </w:rPr>
        <w:t>, ed. by</w:t>
      </w:r>
      <w:r w:rsidRPr="00805A4B">
        <w:rPr>
          <w:rFonts w:ascii="Times New Roman" w:hAnsi="Times New Roman" w:cs="Times New Roman"/>
          <w:sz w:val="20"/>
        </w:rPr>
        <w:t xml:space="preserve"> Florenc</w:t>
      </w:r>
      <w:r>
        <w:rPr>
          <w:rFonts w:ascii="Times New Roman" w:hAnsi="Times New Roman" w:cs="Times New Roman"/>
          <w:sz w:val="20"/>
        </w:rPr>
        <w:t>e Gétreau and Michel Colardelle</w:t>
      </w:r>
      <w:r w:rsidRPr="00805A4B">
        <w:rPr>
          <w:rFonts w:ascii="Times New Roman" w:hAnsi="Times New Roman" w:cs="Times New Roman"/>
          <w:sz w:val="20"/>
        </w:rPr>
        <w:t xml:space="preserve"> (Paris: Éditions de la Réunion des musées nationaux, 1997), 34-40, p. 34.</w:t>
      </w:r>
    </w:p>
  </w:footnote>
  <w:footnote w:id="10">
    <w:p w14:paraId="6E32E53F" w14:textId="65E6FD43"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For later examples of the lengths to which the police would try to track down the authors of songsheets, see </w:t>
      </w:r>
      <w:r>
        <w:rPr>
          <w:rFonts w:cs="Times New Roman"/>
        </w:rPr>
        <w:t>R.</w:t>
      </w:r>
      <w:r w:rsidRPr="00805A4B">
        <w:rPr>
          <w:rFonts w:cs="Times New Roman"/>
        </w:rPr>
        <w:t xml:space="preserve"> Darnton, </w:t>
      </w:r>
      <w:r w:rsidRPr="00805A4B">
        <w:rPr>
          <w:rFonts w:cs="Times New Roman"/>
          <w:i/>
        </w:rPr>
        <w:t>Poetry and the Police: communication networks in eighteenth-century Paris</w:t>
      </w:r>
      <w:r w:rsidRPr="00805A4B">
        <w:rPr>
          <w:rFonts w:cs="Times New Roman"/>
        </w:rPr>
        <w:t xml:space="preserve"> (Cambridge, Mass.: Harvard University Press, 2010).</w:t>
      </w:r>
    </w:p>
  </w:footnote>
  <w:footnote w:id="11">
    <w:p w14:paraId="3191908F" w14:textId="77777777" w:rsidR="00E2648E" w:rsidRPr="00805A4B" w:rsidRDefault="00E2648E" w:rsidP="006406F7">
      <w:pPr>
        <w:widowControl w:val="0"/>
        <w:autoSpaceDE w:val="0"/>
        <w:autoSpaceDN w:val="0"/>
        <w:adjustRightInd w:val="0"/>
        <w:rPr>
          <w:color w:val="121212"/>
          <w:sz w:val="20"/>
        </w:rPr>
      </w:pPr>
      <w:r w:rsidRPr="00805A4B">
        <w:rPr>
          <w:rStyle w:val="FootnoteReference"/>
          <w:sz w:val="20"/>
        </w:rPr>
        <w:footnoteRef/>
      </w:r>
      <w:r w:rsidRPr="00805A4B">
        <w:rPr>
          <w:sz w:val="20"/>
        </w:rPr>
        <w:t xml:space="preserve"> See, for example, the comment by D’Ormesson in his journal during the trial of Fouquet: ‘</w:t>
      </w:r>
      <w:r w:rsidRPr="00805A4B">
        <w:rPr>
          <w:color w:val="121212"/>
          <w:sz w:val="20"/>
        </w:rPr>
        <w:t>L’on me dit que l’on avoit fait une chanson contre le roy, dont</w:t>
      </w:r>
    </w:p>
    <w:p w14:paraId="38637C5E" w14:textId="62D3D8EE" w:rsidR="00E2648E" w:rsidRPr="00805A4B" w:rsidRDefault="00E2648E" w:rsidP="006406F7">
      <w:pPr>
        <w:widowControl w:val="0"/>
        <w:autoSpaceDE w:val="0"/>
        <w:autoSpaceDN w:val="0"/>
        <w:adjustRightInd w:val="0"/>
        <w:rPr>
          <w:color w:val="121212"/>
          <w:sz w:val="20"/>
        </w:rPr>
      </w:pPr>
      <w:r w:rsidRPr="00805A4B">
        <w:rPr>
          <w:color w:val="121212"/>
          <w:sz w:val="20"/>
        </w:rPr>
        <w:t xml:space="preserve">il estoit fort offensé, et offroit bien de l’argent à celuy qui luy en descouvriroit l’auteur, par laquelle on luy reprochoit qu’il n’aimoit que luy, opprimoit grands et petits et ne consideroit que Colbert’, </w:t>
      </w:r>
      <w:r>
        <w:rPr>
          <w:color w:val="121212"/>
          <w:sz w:val="20"/>
        </w:rPr>
        <w:t>O.</w:t>
      </w:r>
      <w:r w:rsidRPr="00805A4B">
        <w:rPr>
          <w:color w:val="121212"/>
          <w:sz w:val="20"/>
        </w:rPr>
        <w:t xml:space="preserve"> Lefèvre d’Ormesson, </w:t>
      </w:r>
      <w:r w:rsidRPr="00805A4B">
        <w:rPr>
          <w:i/>
          <w:color w:val="121212"/>
          <w:sz w:val="20"/>
        </w:rPr>
        <w:t>Journal, et extraits des mémoires d’André Lefèvre d’Ormesson</w:t>
      </w:r>
      <w:r w:rsidRPr="00805A4B">
        <w:rPr>
          <w:color w:val="121212"/>
          <w:sz w:val="20"/>
        </w:rPr>
        <w:t>, ed. Adolphe Chéruel (Paris: Imprimerie Impériale, 1856) 2 volumes, vol. 2, p. 117.</w:t>
      </w:r>
    </w:p>
  </w:footnote>
  <w:footnote w:id="12">
    <w:p w14:paraId="5BA6E163" w14:textId="19F1ACFD" w:rsidR="00E2648E" w:rsidRPr="00805A4B" w:rsidRDefault="00E2648E" w:rsidP="006406F7">
      <w:pPr>
        <w:rPr>
          <w:sz w:val="20"/>
        </w:rPr>
      </w:pPr>
      <w:r w:rsidRPr="00805A4B">
        <w:rPr>
          <w:rStyle w:val="FootnoteReference"/>
          <w:sz w:val="20"/>
        </w:rPr>
        <w:footnoteRef/>
      </w:r>
      <w:r w:rsidRPr="00805A4B">
        <w:rPr>
          <w:sz w:val="20"/>
        </w:rPr>
        <w:t xml:space="preserve"> </w:t>
      </w:r>
      <w:r>
        <w:rPr>
          <w:sz w:val="20"/>
        </w:rPr>
        <w:t>M.</w:t>
      </w:r>
      <w:r w:rsidRPr="00805A4B">
        <w:rPr>
          <w:sz w:val="20"/>
        </w:rPr>
        <w:t xml:space="preserve"> Marais, </w:t>
      </w:r>
      <w:r w:rsidRPr="00805A4B">
        <w:rPr>
          <w:i/>
          <w:color w:val="171717"/>
          <w:sz w:val="20"/>
        </w:rPr>
        <w:t>Journal et Mémoires</w:t>
      </w:r>
      <w:r w:rsidRPr="00805A4B">
        <w:rPr>
          <w:color w:val="171717"/>
          <w:sz w:val="20"/>
        </w:rPr>
        <w:t>, ed. M. de Lescure (Geneva: Slatkine Reprints, 1967, 1866-8 edition) 2 volumes, vol. 1, p. 204.</w:t>
      </w:r>
    </w:p>
  </w:footnote>
  <w:footnote w:id="13">
    <w:p w14:paraId="2C21787F" w14:textId="77777777" w:rsidR="00E2648E" w:rsidRPr="002061A2" w:rsidRDefault="00E2648E" w:rsidP="006406F7">
      <w:pPr>
        <w:pStyle w:val="FootnoteText"/>
        <w:rPr>
          <w:lang w:val="de-DE"/>
        </w:rPr>
      </w:pPr>
      <w:r w:rsidRPr="00805A4B">
        <w:rPr>
          <w:rStyle w:val="FootnoteReference"/>
        </w:rPr>
        <w:footnoteRef/>
      </w:r>
      <w:r w:rsidRPr="002061A2">
        <w:rPr>
          <w:lang w:val="de-DE"/>
        </w:rPr>
        <w:t xml:space="preserve"> </w:t>
      </w:r>
      <w:r w:rsidRPr="002061A2">
        <w:rPr>
          <w:rFonts w:cs="Times New Roman"/>
          <w:i/>
          <w:lang w:val="de-DE"/>
        </w:rPr>
        <w:t>Chansonnier Maurepas</w:t>
      </w:r>
      <w:r w:rsidRPr="002061A2">
        <w:rPr>
          <w:rFonts w:cs="Times New Roman"/>
          <w:lang w:val="de-DE"/>
        </w:rPr>
        <w:t xml:space="preserve">, vol. 13, p. 131. </w:t>
      </w:r>
    </w:p>
  </w:footnote>
  <w:footnote w:id="14">
    <w:p w14:paraId="1B185856" w14:textId="77777777" w:rsidR="00E2648E" w:rsidRPr="002061A2" w:rsidRDefault="00E2648E" w:rsidP="006406F7">
      <w:pPr>
        <w:pStyle w:val="FootnoteText"/>
        <w:rPr>
          <w:lang w:val="de-DE"/>
        </w:rPr>
      </w:pPr>
      <w:r w:rsidRPr="00805A4B">
        <w:rPr>
          <w:rStyle w:val="FootnoteReference"/>
        </w:rPr>
        <w:footnoteRef/>
      </w:r>
      <w:r w:rsidRPr="002061A2">
        <w:rPr>
          <w:lang w:val="de-DE"/>
        </w:rPr>
        <w:t xml:space="preserve"> </w:t>
      </w:r>
      <w:r w:rsidRPr="002061A2">
        <w:rPr>
          <w:rFonts w:cs="Times New Roman"/>
          <w:i/>
          <w:lang w:val="de-DE"/>
        </w:rPr>
        <w:t>Chansonnier Maurepas</w:t>
      </w:r>
      <w:r w:rsidRPr="002061A2">
        <w:rPr>
          <w:rFonts w:cs="Times New Roman"/>
          <w:lang w:val="de-DE"/>
        </w:rPr>
        <w:t>, vol. 13, p. 135.</w:t>
      </w:r>
    </w:p>
  </w:footnote>
  <w:footnote w:id="15">
    <w:p w14:paraId="10019790"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See Joan DeJean, </w:t>
      </w:r>
      <w:r w:rsidRPr="00805A4B">
        <w:rPr>
          <w:rFonts w:cs="Times New Roman"/>
          <w:i/>
        </w:rPr>
        <w:t>How Paris became Paris: the invention of the modern city</w:t>
      </w:r>
      <w:r w:rsidRPr="00805A4B">
        <w:rPr>
          <w:rFonts w:cs="Times New Roman"/>
        </w:rPr>
        <w:t xml:space="preserve"> (New York: Bloomsbury, 2014), pp. 27-31.</w:t>
      </w:r>
    </w:p>
  </w:footnote>
  <w:footnote w:id="16">
    <w:p w14:paraId="28202B42" w14:textId="77777777" w:rsidR="00E2648E" w:rsidRPr="00805A4B" w:rsidRDefault="00E2648E" w:rsidP="006406F7">
      <w:pPr>
        <w:pStyle w:val="FootnoteText"/>
        <w:rPr>
          <w:rFonts w:cs="Times New Roman"/>
        </w:rPr>
      </w:pPr>
      <w:r w:rsidRPr="00805A4B">
        <w:rPr>
          <w:rStyle w:val="FootnoteReference"/>
          <w:rFonts w:cs="Times New Roman"/>
        </w:rPr>
        <w:footnoteRef/>
      </w:r>
      <w:r w:rsidRPr="00805A4B">
        <w:rPr>
          <w:rFonts w:cs="Times New Roman"/>
        </w:rPr>
        <w:t xml:space="preserve"> Mme de Sévigné, 6</w:t>
      </w:r>
      <w:r w:rsidRPr="00805A4B">
        <w:rPr>
          <w:rFonts w:cs="Times New Roman"/>
          <w:vertAlign w:val="superscript"/>
        </w:rPr>
        <w:t>th</w:t>
      </w:r>
      <w:r w:rsidRPr="00805A4B">
        <w:rPr>
          <w:rFonts w:cs="Times New Roman"/>
        </w:rPr>
        <w:t xml:space="preserve"> April 1672, </w:t>
      </w:r>
      <w:r w:rsidRPr="00805A4B">
        <w:rPr>
          <w:rFonts w:cs="Times New Roman"/>
          <w:i/>
        </w:rPr>
        <w:t>Correspondance</w:t>
      </w:r>
      <w:r w:rsidRPr="00805A4B">
        <w:rPr>
          <w:rFonts w:cs="Times New Roman"/>
        </w:rPr>
        <w:t xml:space="preserve"> (Paris: Pléiade, 1972-8), 3 volumes, vol. 1, p. 470.</w:t>
      </w:r>
    </w:p>
  </w:footnote>
  <w:footnote w:id="17">
    <w:p w14:paraId="75284270" w14:textId="77777777" w:rsidR="00E2648E" w:rsidRPr="00805A4B" w:rsidRDefault="00E2648E" w:rsidP="006406F7">
      <w:pPr>
        <w:pStyle w:val="FootnoteText"/>
        <w:rPr>
          <w:rFonts w:cs="Times New Roman"/>
        </w:rPr>
      </w:pPr>
      <w:r w:rsidRPr="00805A4B">
        <w:rPr>
          <w:rStyle w:val="FootnoteReference"/>
          <w:rFonts w:cs="Times New Roman"/>
        </w:rPr>
        <w:footnoteRef/>
      </w:r>
      <w:r w:rsidRPr="00805A4B">
        <w:rPr>
          <w:rFonts w:cs="Times New Roman"/>
        </w:rPr>
        <w:t xml:space="preserve"> Philippot le Savoyard, </w:t>
      </w:r>
      <w:r w:rsidRPr="000D2DF6">
        <w:rPr>
          <w:rFonts w:cs="Times New Roman"/>
          <w:i/>
          <w:szCs w:val="24"/>
        </w:rPr>
        <w:t>Recueil des Chansons du Savoyard</w:t>
      </w:r>
      <w:r w:rsidRPr="00805A4B">
        <w:rPr>
          <w:rFonts w:cs="Times New Roman"/>
        </w:rPr>
        <w:t xml:space="preserve"> (Paris: Jules Gay, 1862), </w:t>
      </w:r>
      <w:r w:rsidRPr="000D2DF6">
        <w:rPr>
          <w:rFonts w:cs="Times New Roman"/>
          <w:szCs w:val="24"/>
        </w:rPr>
        <w:t xml:space="preserve">ed. </w:t>
      </w:r>
      <w:r w:rsidRPr="00805A4B">
        <w:rPr>
          <w:rFonts w:cs="Times New Roman"/>
        </w:rPr>
        <w:t xml:space="preserve">M.A. Percheron, </w:t>
      </w:r>
      <w:r w:rsidRPr="000D2DF6">
        <w:rPr>
          <w:rFonts w:cs="Times New Roman"/>
          <w:szCs w:val="24"/>
        </w:rPr>
        <w:t>p. 114.</w:t>
      </w:r>
    </w:p>
  </w:footnote>
  <w:footnote w:id="18">
    <w:p w14:paraId="2489BD1F" w14:textId="69661C57" w:rsidR="00E2648E" w:rsidRPr="00805A4B" w:rsidRDefault="00E2648E" w:rsidP="006406F7">
      <w:pPr>
        <w:pStyle w:val="FootnoteText"/>
        <w:rPr>
          <w:rFonts w:cs="Times New Roman"/>
        </w:rPr>
      </w:pPr>
      <w:r w:rsidRPr="00805A4B">
        <w:rPr>
          <w:rStyle w:val="FootnoteReference"/>
          <w:rFonts w:cs="Times New Roman"/>
        </w:rPr>
        <w:footnoteRef/>
      </w:r>
      <w:r w:rsidRPr="00805A4B">
        <w:rPr>
          <w:rFonts w:cs="Times New Roman"/>
        </w:rPr>
        <w:t xml:space="preserve"> See, for example, </w:t>
      </w:r>
      <w:r>
        <w:rPr>
          <w:rFonts w:cs="Times New Roman"/>
        </w:rPr>
        <w:t>J.</w:t>
      </w:r>
      <w:r w:rsidRPr="00805A4B">
        <w:rPr>
          <w:rFonts w:cs="Times New Roman"/>
        </w:rPr>
        <w:t xml:space="preserve"> Cornette, </w:t>
      </w:r>
      <w:r w:rsidRPr="00805A4B">
        <w:rPr>
          <w:rFonts w:cs="Times New Roman"/>
          <w:i/>
        </w:rPr>
        <w:t>La Mort de Louis XIV: apogée et crépuscule de la royauté</w:t>
      </w:r>
      <w:r w:rsidRPr="00805A4B">
        <w:rPr>
          <w:rFonts w:cs="Times New Roman"/>
        </w:rPr>
        <w:t xml:space="preserve"> (Paris: Gallimard, 2015); Assaf, </w:t>
      </w:r>
      <w:r w:rsidRPr="00805A4B">
        <w:rPr>
          <w:rFonts w:cs="Times New Roman"/>
          <w:i/>
        </w:rPr>
        <w:t>La Mort du Roi</w:t>
      </w:r>
      <w:r>
        <w:rPr>
          <w:rFonts w:cs="Times New Roman"/>
        </w:rPr>
        <w:t>; P.</w:t>
      </w:r>
      <w:r w:rsidRPr="00805A4B">
        <w:rPr>
          <w:rFonts w:cs="Times New Roman"/>
        </w:rPr>
        <w:t xml:space="preserve"> Burke, </w:t>
      </w:r>
      <w:r w:rsidRPr="00805A4B">
        <w:rPr>
          <w:rFonts w:cs="Times New Roman"/>
          <w:i/>
        </w:rPr>
        <w:t>The Fabrication of Louis XIV</w:t>
      </w:r>
      <w:r w:rsidRPr="00805A4B">
        <w:rPr>
          <w:rFonts w:cs="Times New Roman"/>
        </w:rPr>
        <w:t xml:space="preserve"> (New Haven and London: Yale University Press, 1992).</w:t>
      </w:r>
    </w:p>
  </w:footnote>
  <w:footnote w:id="19">
    <w:p w14:paraId="5329209B" w14:textId="1D5010FE" w:rsidR="00E2648E" w:rsidRPr="00805A4B" w:rsidRDefault="00E2648E" w:rsidP="006406F7">
      <w:pPr>
        <w:pStyle w:val="FootnoteText"/>
        <w:rPr>
          <w:rFonts w:cs="Times New Roman"/>
          <w:vertAlign w:val="superscript"/>
        </w:rPr>
      </w:pPr>
      <w:r w:rsidRPr="00805A4B">
        <w:rPr>
          <w:rStyle w:val="FootnoteReference"/>
          <w:rFonts w:cs="Times New Roman"/>
        </w:rPr>
        <w:footnoteRef/>
      </w:r>
      <w:r w:rsidRPr="00805A4B">
        <w:rPr>
          <w:rFonts w:cs="Times New Roman"/>
        </w:rPr>
        <w:t xml:space="preserve"> E.g. </w:t>
      </w:r>
      <w:r>
        <w:rPr>
          <w:rFonts w:cs="Times New Roman"/>
        </w:rPr>
        <w:t>N.</w:t>
      </w:r>
      <w:r w:rsidRPr="00805A4B">
        <w:rPr>
          <w:rFonts w:cs="Times New Roman"/>
        </w:rPr>
        <w:t xml:space="preserve"> Ferrier-Caverivière, </w:t>
      </w:r>
      <w:r w:rsidRPr="00805A4B">
        <w:rPr>
          <w:rFonts w:cs="Times New Roman"/>
          <w:i/>
        </w:rPr>
        <w:t>Le Grand Roi à l’aube des Lumières</w:t>
      </w:r>
      <w:r w:rsidRPr="00805A4B">
        <w:rPr>
          <w:rFonts w:cs="Times New Roman"/>
        </w:rPr>
        <w:t xml:space="preserve"> (Paris: Presses Univeritaires de France, 1984).</w:t>
      </w:r>
    </w:p>
  </w:footnote>
  <w:footnote w:id="20">
    <w:p w14:paraId="6BD4CC0C" w14:textId="5F5E008F" w:rsidR="00E2648E" w:rsidRPr="00805A4B" w:rsidRDefault="00E2648E" w:rsidP="006406F7">
      <w:pPr>
        <w:pStyle w:val="FootnoteText"/>
        <w:rPr>
          <w:rFonts w:cs="Times New Roman"/>
        </w:rPr>
      </w:pPr>
      <w:r w:rsidRPr="00805A4B">
        <w:rPr>
          <w:rStyle w:val="FootnoteReference"/>
          <w:rFonts w:cs="Times New Roman"/>
        </w:rPr>
        <w:footnoteRef/>
      </w:r>
      <w:r w:rsidRPr="00805A4B">
        <w:rPr>
          <w:rFonts w:cs="Times New Roman"/>
        </w:rPr>
        <w:t xml:space="preserve"> See </w:t>
      </w:r>
      <w:r>
        <w:rPr>
          <w:rFonts w:cs="Times New Roman"/>
        </w:rPr>
        <w:t>P.</w:t>
      </w:r>
      <w:r w:rsidRPr="00805A4B">
        <w:rPr>
          <w:rFonts w:cs="Times New Roman"/>
        </w:rPr>
        <w:t xml:space="preserve"> Bonnet, ‘Une Poétique Politique de l’Événement: formes et sens des poèmes satiriques diffusés à la mort de Louis XIV’, </w:t>
      </w:r>
      <w:r w:rsidRPr="00805A4B">
        <w:rPr>
          <w:rFonts w:cs="Times New Roman"/>
          <w:i/>
        </w:rPr>
        <w:t>XVIIe siècle</w:t>
      </w:r>
      <w:r w:rsidRPr="00805A4B">
        <w:rPr>
          <w:rFonts w:cs="Times New Roman"/>
        </w:rPr>
        <w:t xml:space="preserve"> 2015/4 no. 269, 599-622.</w:t>
      </w:r>
    </w:p>
  </w:footnote>
  <w:footnote w:id="21">
    <w:p w14:paraId="5DA4DE38"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rPr>
        <w:t xml:space="preserve">All the words of the songs about Louis’s death can be found in the same volume, at </w:t>
      </w:r>
      <w:hyperlink r:id="rId1" w:history="1">
        <w:r w:rsidRPr="00805A4B">
          <w:rPr>
            <w:rStyle w:val="Hyperlink"/>
            <w:rFonts w:cs="Times New Roman"/>
          </w:rPr>
          <w:t>https://www.parisiansoundscapes.org/jobs/Vol13</w:t>
        </w:r>
      </w:hyperlink>
      <w:r w:rsidRPr="00805A4B">
        <w:rPr>
          <w:rFonts w:cs="Times New Roman"/>
        </w:rPr>
        <w:t>. Links to individual performed pieces will be given in footnotes.</w:t>
      </w:r>
    </w:p>
  </w:footnote>
  <w:footnote w:id="22">
    <w:p w14:paraId="18EDFFE9" w14:textId="0F16B3F5"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Many books have been written detailing Louis’s death, the most interesting of which are: </w:t>
      </w:r>
      <w:r>
        <w:rPr>
          <w:rFonts w:cs="Times New Roman"/>
        </w:rPr>
        <w:t>F.</w:t>
      </w:r>
      <w:r w:rsidRPr="00805A4B">
        <w:rPr>
          <w:rFonts w:cs="Times New Roman"/>
        </w:rPr>
        <w:t xml:space="preserve"> B. Assaf, </w:t>
      </w:r>
      <w:r w:rsidRPr="00805A4B">
        <w:rPr>
          <w:rFonts w:cs="Times New Roman"/>
          <w:i/>
        </w:rPr>
        <w:t>La Mort du Roi: une thanatographie de Louis XIV</w:t>
      </w:r>
      <w:r w:rsidRPr="00805A4B">
        <w:rPr>
          <w:rFonts w:cs="Times New Roman"/>
        </w:rPr>
        <w:t xml:space="preserve"> (Tübingen: Gunter Narr, 1999); Cornette, </w:t>
      </w:r>
      <w:r>
        <w:rPr>
          <w:rFonts w:cs="Times New Roman"/>
          <w:i/>
        </w:rPr>
        <w:t>La Mort de Louis XIV</w:t>
      </w:r>
      <w:r w:rsidRPr="00805A4B">
        <w:rPr>
          <w:rFonts w:cs="Times New Roman"/>
        </w:rPr>
        <w:t xml:space="preserve">; and </w:t>
      </w:r>
      <w:r>
        <w:rPr>
          <w:rFonts w:cs="Times New Roman"/>
        </w:rPr>
        <w:t>A.</w:t>
      </w:r>
      <w:r w:rsidRPr="00805A4B">
        <w:rPr>
          <w:rFonts w:cs="Times New Roman"/>
        </w:rPr>
        <w:t xml:space="preserve"> Maral, </w:t>
      </w:r>
      <w:r w:rsidRPr="00805A4B">
        <w:rPr>
          <w:rFonts w:cs="Times New Roman"/>
          <w:i/>
        </w:rPr>
        <w:t>Les Derniers Jours de Louis XIV</w:t>
      </w:r>
      <w:r w:rsidRPr="00805A4B">
        <w:rPr>
          <w:rFonts w:cs="Times New Roman"/>
        </w:rPr>
        <w:t xml:space="preserve"> (Paris: Perrin, 2014).</w:t>
      </w:r>
    </w:p>
  </w:footnote>
  <w:footnote w:id="23">
    <w:p w14:paraId="7D7F40E4"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See Cornette, </w:t>
      </w:r>
      <w:r w:rsidRPr="00805A4B">
        <w:rPr>
          <w:rFonts w:cs="Times New Roman"/>
          <w:i/>
        </w:rPr>
        <w:t>La Mort de Louis XIV</w:t>
      </w:r>
      <w:r w:rsidRPr="00805A4B">
        <w:rPr>
          <w:rFonts w:cs="Times New Roman"/>
        </w:rPr>
        <w:t>, pp. 13-14.</w:t>
      </w:r>
    </w:p>
  </w:footnote>
  <w:footnote w:id="24">
    <w:p w14:paraId="15E97453"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See Cornette, </w:t>
      </w:r>
      <w:r w:rsidRPr="00805A4B">
        <w:rPr>
          <w:rFonts w:cs="Times New Roman"/>
          <w:i/>
        </w:rPr>
        <w:t>La Mort de Louis XIV</w:t>
      </w:r>
      <w:r w:rsidRPr="00805A4B">
        <w:rPr>
          <w:rFonts w:cs="Times New Roman"/>
        </w:rPr>
        <w:t>, for a summary of the many accounts of Louis’s words to his great-grandson, pp. 27-37.</w:t>
      </w:r>
    </w:p>
  </w:footnote>
  <w:footnote w:id="25">
    <w:p w14:paraId="3820539E" w14:textId="6459964C"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The full text of both journals by Jacques Antoine (upon Louis XIII’s death) and his sons Jean and François (upon Louis XIV’s death) are available in a new edition by Francis Assaf, </w:t>
      </w:r>
      <w:r w:rsidRPr="00805A4B">
        <w:rPr>
          <w:rFonts w:cs="Times New Roman"/>
          <w:i/>
        </w:rPr>
        <w:t>Quand les Rois Meurent: les journaux de Jacques Antoine et de Jean et François Antoine et autres documents sur la maladie et la mort de Louis XIII et de Louis XIV</w:t>
      </w:r>
      <w:r w:rsidRPr="00805A4B">
        <w:rPr>
          <w:rFonts w:cs="Times New Roman"/>
        </w:rPr>
        <w:t xml:space="preserve"> (Tübingen: Gunter Narr, 2018). All references to the Antoine brothers’ writings will be from this edition. I am very grateful to Professor Assaf and Reiner Zaiser (from Gunter Narr) for giving me advance access to the text.</w:t>
      </w:r>
    </w:p>
  </w:footnote>
  <w:footnote w:id="26">
    <w:p w14:paraId="4B34A878"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rPr>
        <w:t xml:space="preserve">Assaf, </w:t>
      </w:r>
      <w:r w:rsidRPr="00805A4B">
        <w:rPr>
          <w:rFonts w:cs="Times New Roman"/>
          <w:i/>
        </w:rPr>
        <w:t>Quand les Rois Meurent</w:t>
      </w:r>
      <w:r w:rsidRPr="00805A4B">
        <w:rPr>
          <w:rFonts w:cs="Times New Roman"/>
        </w:rPr>
        <w:t>, p. 1.</w:t>
      </w:r>
    </w:p>
  </w:footnote>
  <w:footnote w:id="27">
    <w:p w14:paraId="3E2FD5CA"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rPr>
        <w:t xml:space="preserve">J and F. Antoine, in Assaf, </w:t>
      </w:r>
      <w:r w:rsidRPr="00805A4B">
        <w:rPr>
          <w:rFonts w:cs="Times New Roman"/>
          <w:i/>
        </w:rPr>
        <w:t>Quand les Rois Meurent</w:t>
      </w:r>
      <w:r w:rsidRPr="00805A4B">
        <w:rPr>
          <w:rFonts w:cs="Times New Roman"/>
        </w:rPr>
        <w:t>, p. 256. Assaf has preserved the eccentric spelling and syntax of the Antoine brothers.</w:t>
      </w:r>
    </w:p>
  </w:footnote>
  <w:footnote w:id="28">
    <w:p w14:paraId="4C298A30"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rPr>
        <w:t xml:space="preserve">J and F. Antoine, in Assaf, </w:t>
      </w:r>
      <w:r w:rsidRPr="00805A4B">
        <w:rPr>
          <w:rFonts w:cs="Times New Roman"/>
          <w:i/>
        </w:rPr>
        <w:t>Quand les Rois Meurent</w:t>
      </w:r>
      <w:r w:rsidRPr="00805A4B">
        <w:rPr>
          <w:rFonts w:cs="Times New Roman"/>
        </w:rPr>
        <w:t>, p. 262.</w:t>
      </w:r>
    </w:p>
  </w:footnote>
  <w:footnote w:id="29">
    <w:p w14:paraId="70A72B2D" w14:textId="77777777" w:rsidR="00E2648E" w:rsidRPr="002061A2" w:rsidRDefault="00E2648E" w:rsidP="006406F7">
      <w:pPr>
        <w:pStyle w:val="FootnoteText"/>
        <w:rPr>
          <w:rFonts w:cs="Times New Roman"/>
          <w:lang w:val="de-DE"/>
        </w:rPr>
      </w:pPr>
      <w:r w:rsidRPr="00805A4B">
        <w:rPr>
          <w:rStyle w:val="FootnoteReference"/>
        </w:rPr>
        <w:footnoteRef/>
      </w:r>
      <w:r w:rsidRPr="002061A2">
        <w:rPr>
          <w:lang w:val="de-DE"/>
        </w:rPr>
        <w:t xml:space="preserve"> </w:t>
      </w:r>
      <w:r w:rsidRPr="002061A2">
        <w:rPr>
          <w:rFonts w:cs="Times New Roman"/>
          <w:i/>
          <w:lang w:val="de-DE"/>
        </w:rPr>
        <w:t>Chansonnier Maurepas</w:t>
      </w:r>
      <w:r w:rsidRPr="002061A2">
        <w:rPr>
          <w:rFonts w:cs="Times New Roman"/>
          <w:lang w:val="de-DE"/>
        </w:rPr>
        <w:t>, vol. 13, p. 117.</w:t>
      </w:r>
    </w:p>
  </w:footnote>
  <w:footnote w:id="30">
    <w:p w14:paraId="58305216" w14:textId="77777777" w:rsidR="00E2648E" w:rsidRPr="002061A2" w:rsidRDefault="00E2648E" w:rsidP="006406F7">
      <w:pPr>
        <w:pStyle w:val="FootnoteText"/>
        <w:rPr>
          <w:lang w:val="de-DE"/>
        </w:rPr>
      </w:pPr>
      <w:r w:rsidRPr="00805A4B">
        <w:rPr>
          <w:rStyle w:val="FootnoteReference"/>
        </w:rPr>
        <w:footnoteRef/>
      </w:r>
      <w:r w:rsidRPr="002061A2">
        <w:rPr>
          <w:lang w:val="de-DE"/>
        </w:rPr>
        <w:t xml:space="preserve"> </w:t>
      </w:r>
      <w:r w:rsidRPr="002061A2">
        <w:rPr>
          <w:rFonts w:cs="Times New Roman"/>
          <w:i/>
          <w:lang w:val="de-DE"/>
        </w:rPr>
        <w:t>Chansonnier Maurepas</w:t>
      </w:r>
      <w:r w:rsidRPr="002061A2">
        <w:rPr>
          <w:rFonts w:cs="Times New Roman"/>
          <w:lang w:val="de-DE"/>
        </w:rPr>
        <w:t>, vol. 13, pp. 171-2.</w:t>
      </w:r>
    </w:p>
  </w:footnote>
  <w:footnote w:id="31">
    <w:p w14:paraId="50C9EFD5"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The document has been reproduced in Mme de Maintenon, Mme de Caylus, Mme de Dangeau, </w:t>
      </w:r>
      <w:r w:rsidRPr="00805A4B">
        <w:rPr>
          <w:rFonts w:cs="Times New Roman"/>
          <w:i/>
        </w:rPr>
        <w:t>L’Estime et la Tendresse</w:t>
      </w:r>
      <w:r w:rsidRPr="00805A4B">
        <w:rPr>
          <w:rFonts w:cs="Times New Roman"/>
        </w:rPr>
        <w:t>, ed. Pierre-E. Leroy and Marcel Loyau (Paris: Albin Michel, 1998), pp. 257-8.</w:t>
      </w:r>
    </w:p>
  </w:footnote>
  <w:footnote w:id="32">
    <w:p w14:paraId="6E02900C"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rPr>
        <w:t xml:space="preserve">Maintenon, Caylus, Dangeau, </w:t>
      </w:r>
      <w:r w:rsidRPr="00805A4B">
        <w:rPr>
          <w:rFonts w:cs="Times New Roman"/>
          <w:i/>
        </w:rPr>
        <w:t>L’Estime et la Tendresse</w:t>
      </w:r>
      <w:r w:rsidRPr="00805A4B">
        <w:rPr>
          <w:rFonts w:cs="Times New Roman"/>
        </w:rPr>
        <w:t>, p. 258.</w:t>
      </w:r>
    </w:p>
  </w:footnote>
  <w:footnote w:id="33">
    <w:p w14:paraId="735D1C1C"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rPr>
        <w:t xml:space="preserve">See, for example, Dangeau, </w:t>
      </w:r>
      <w:r w:rsidRPr="00805A4B">
        <w:rPr>
          <w:rFonts w:cs="Times New Roman"/>
          <w:i/>
        </w:rPr>
        <w:t>Mémoires sur la mort de Louis XIV</w:t>
      </w:r>
      <w:r w:rsidRPr="00805A4B">
        <w:rPr>
          <w:rFonts w:cs="Times New Roman"/>
        </w:rPr>
        <w:t xml:space="preserve">, pp. 15, </w:t>
      </w:r>
    </w:p>
  </w:footnote>
  <w:footnote w:id="34">
    <w:p w14:paraId="560C52D6"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J and F. Antoine, in Assaf, </w:t>
      </w:r>
      <w:r w:rsidRPr="00805A4B">
        <w:rPr>
          <w:rFonts w:cs="Times New Roman"/>
          <w:i/>
        </w:rPr>
        <w:t>Quand les Rois Meurent</w:t>
      </w:r>
      <w:r w:rsidRPr="00805A4B">
        <w:rPr>
          <w:rFonts w:cs="Times New Roman"/>
        </w:rPr>
        <w:t>, p. 244.</w:t>
      </w:r>
    </w:p>
  </w:footnote>
  <w:footnote w:id="35">
    <w:p w14:paraId="31D2AE8A"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rPr>
        <w:t xml:space="preserve">J and F. Antoine, in Assaf, </w:t>
      </w:r>
      <w:r w:rsidRPr="00805A4B">
        <w:rPr>
          <w:rFonts w:cs="Times New Roman"/>
          <w:i/>
        </w:rPr>
        <w:t>Quand les Rois Meurent</w:t>
      </w:r>
      <w:r w:rsidRPr="00805A4B">
        <w:rPr>
          <w:rFonts w:cs="Times New Roman"/>
        </w:rPr>
        <w:t>, p. 266</w:t>
      </w:r>
      <w:r w:rsidRPr="00805A4B">
        <w:t>.</w:t>
      </w:r>
    </w:p>
  </w:footnote>
  <w:footnote w:id="36">
    <w:p w14:paraId="7A7EB2F4"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J and F. Antoine, in Assaf, </w:t>
      </w:r>
      <w:r w:rsidRPr="00805A4B">
        <w:rPr>
          <w:rFonts w:cs="Times New Roman"/>
          <w:i/>
        </w:rPr>
        <w:t>Quand les Rois Meurent</w:t>
      </w:r>
      <w:r w:rsidRPr="00805A4B">
        <w:rPr>
          <w:rFonts w:cs="Times New Roman"/>
        </w:rPr>
        <w:t>, p. 267.</w:t>
      </w:r>
    </w:p>
  </w:footnote>
  <w:footnote w:id="37">
    <w:p w14:paraId="69A43E23"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Steven Connor, </w:t>
      </w:r>
      <w:r w:rsidRPr="00805A4B">
        <w:rPr>
          <w:rFonts w:cs="Times New Roman"/>
          <w:i/>
        </w:rPr>
        <w:t>Beyond Words: sobs, hums, stutters and other vocalizations</w:t>
      </w:r>
      <w:r w:rsidRPr="00805A4B">
        <w:rPr>
          <w:rFonts w:cs="Times New Roman"/>
        </w:rPr>
        <w:t xml:space="preserve"> (London: Reaktion Books, 2014), pp. 13-14.</w:t>
      </w:r>
    </w:p>
  </w:footnote>
  <w:footnote w:id="38">
    <w:p w14:paraId="5CF0BC86"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See Assaf, </w:t>
      </w:r>
      <w:r w:rsidRPr="00805A4B">
        <w:rPr>
          <w:rFonts w:cs="Times New Roman"/>
          <w:i/>
        </w:rPr>
        <w:t>La Mort du Roi</w:t>
      </w:r>
      <w:r w:rsidRPr="00805A4B">
        <w:rPr>
          <w:rFonts w:cs="Times New Roman"/>
        </w:rPr>
        <w:t>, pp. 89-154, for discussion of the different funeral orations in France and beyond.</w:t>
      </w:r>
    </w:p>
  </w:footnote>
  <w:footnote w:id="39">
    <w:p w14:paraId="1A7D4B88" w14:textId="4F4D0139" w:rsidR="00E2648E" w:rsidRPr="00805A4B" w:rsidRDefault="00E2648E" w:rsidP="006406F7">
      <w:pPr>
        <w:pStyle w:val="FootnoteText"/>
        <w:rPr>
          <w:rFonts w:cs="Times New Roman"/>
        </w:rPr>
      </w:pPr>
      <w:r w:rsidRPr="00805A4B">
        <w:rPr>
          <w:rStyle w:val="FootnoteReference"/>
        </w:rPr>
        <w:footnoteRef/>
      </w:r>
      <w:r w:rsidRPr="00805A4B">
        <w:t xml:space="preserve"> </w:t>
      </w:r>
      <w:r>
        <w:rPr>
          <w:rFonts w:cs="Times New Roman"/>
        </w:rPr>
        <w:t>H.</w:t>
      </w:r>
      <w:r w:rsidRPr="00805A4B">
        <w:rPr>
          <w:rFonts w:cs="Times New Roman"/>
        </w:rPr>
        <w:t xml:space="preserve"> de Quiqueran de Beaujeu, </w:t>
      </w:r>
      <w:r w:rsidRPr="00805A4B">
        <w:rPr>
          <w:rFonts w:cs="Times New Roman"/>
          <w:i/>
        </w:rPr>
        <w:t>Oraison funèbre de Très-Haut, Très-Puissant et Très-Excellent Prince Louis XIV Roi de France et de Navarre, prononcée en l’Eglise de l’Abbaye Royale de Saint-Denys le 23 octobre 1715</w:t>
      </w:r>
      <w:r w:rsidRPr="00805A4B">
        <w:rPr>
          <w:rFonts w:cs="Times New Roman"/>
        </w:rPr>
        <w:t xml:space="preserve"> (Paris: Etienne Papillon, 1715), p. 39.</w:t>
      </w:r>
    </w:p>
  </w:footnote>
  <w:footnote w:id="40">
    <w:p w14:paraId="53C754A1" w14:textId="1D68D66F" w:rsidR="00E2648E" w:rsidRPr="00805A4B" w:rsidRDefault="00E2648E" w:rsidP="006406F7">
      <w:pPr>
        <w:pStyle w:val="FootnoteText"/>
        <w:rPr>
          <w:rFonts w:cs="Times New Roman"/>
        </w:rPr>
      </w:pPr>
      <w:r w:rsidRPr="00805A4B">
        <w:rPr>
          <w:rStyle w:val="FootnoteReference"/>
        </w:rPr>
        <w:footnoteRef/>
      </w:r>
      <w:r w:rsidRPr="00805A4B">
        <w:t xml:space="preserve"> </w:t>
      </w:r>
      <w:r>
        <w:rPr>
          <w:rFonts w:cs="Times New Roman"/>
        </w:rPr>
        <w:t>B.</w:t>
      </w:r>
      <w:r w:rsidRPr="00805A4B">
        <w:rPr>
          <w:rFonts w:cs="Times New Roman"/>
        </w:rPr>
        <w:t xml:space="preserve"> Labelle, </w:t>
      </w:r>
      <w:r w:rsidRPr="00805A4B">
        <w:rPr>
          <w:rFonts w:cs="Times New Roman"/>
          <w:i/>
        </w:rPr>
        <w:t>Acoustic Territories: sound culture and everyday life</w:t>
      </w:r>
      <w:r w:rsidRPr="00805A4B">
        <w:rPr>
          <w:rFonts w:cs="Times New Roman"/>
        </w:rPr>
        <w:t xml:space="preserve"> (New York/London: Bloomsbury, 2010),</w:t>
      </w:r>
      <w:r w:rsidRPr="00805A4B">
        <w:rPr>
          <w:rFonts w:cs="Times New Roman"/>
          <w:i/>
        </w:rPr>
        <w:t xml:space="preserve"> </w:t>
      </w:r>
      <w:r w:rsidRPr="00805A4B">
        <w:rPr>
          <w:rFonts w:cs="Times New Roman"/>
        </w:rPr>
        <w:t>p. xxvi.</w:t>
      </w:r>
    </w:p>
  </w:footnote>
  <w:footnote w:id="41">
    <w:p w14:paraId="2106957B" w14:textId="6870FFCC" w:rsidR="00E2648E" w:rsidRPr="00805A4B" w:rsidRDefault="00E2648E" w:rsidP="006406F7">
      <w:pPr>
        <w:pStyle w:val="FootnoteText"/>
        <w:rPr>
          <w:rFonts w:cs="Times New Roman"/>
        </w:rPr>
      </w:pPr>
      <w:r w:rsidRPr="00805A4B">
        <w:rPr>
          <w:rStyle w:val="FootnoteReference"/>
        </w:rPr>
        <w:footnoteRef/>
      </w:r>
      <w:r w:rsidRPr="00805A4B">
        <w:t xml:space="preserve"> </w:t>
      </w:r>
      <w:r>
        <w:rPr>
          <w:rFonts w:cs="Times New Roman"/>
        </w:rPr>
        <w:t>F.</w:t>
      </w:r>
      <w:r w:rsidRPr="00805A4B">
        <w:rPr>
          <w:rFonts w:cs="Times New Roman"/>
        </w:rPr>
        <w:t xml:space="preserve"> Massillon, </w:t>
      </w:r>
      <w:r w:rsidRPr="00805A4B">
        <w:rPr>
          <w:rFonts w:cs="Times New Roman"/>
          <w:i/>
        </w:rPr>
        <w:t>Oraison funèbre de Louis XIV</w:t>
      </w:r>
      <w:r w:rsidRPr="00805A4B">
        <w:rPr>
          <w:rFonts w:cs="Times New Roman"/>
        </w:rPr>
        <w:t xml:space="preserve"> (Grenoble: Éditions Jérôme Millon, 2004), pp. 55-6. Beaujeu mentions the current wars but attributes them to ‘la divine Justice’ rather than to royal failings, </w:t>
      </w:r>
      <w:r w:rsidRPr="00805A4B">
        <w:rPr>
          <w:rFonts w:cs="Times New Roman"/>
          <w:i/>
        </w:rPr>
        <w:t>Oraison funèbre</w:t>
      </w:r>
      <w:r w:rsidRPr="00805A4B">
        <w:rPr>
          <w:rFonts w:cs="Times New Roman"/>
        </w:rPr>
        <w:t>, p. 27.</w:t>
      </w:r>
    </w:p>
  </w:footnote>
  <w:footnote w:id="42">
    <w:p w14:paraId="14A1663B" w14:textId="5BE7C09E"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See Maral, </w:t>
      </w:r>
      <w:r w:rsidRPr="00805A4B">
        <w:rPr>
          <w:rFonts w:cs="Times New Roman"/>
          <w:i/>
        </w:rPr>
        <w:t>Les Derniers Jours de Louis XIV</w:t>
      </w:r>
      <w:r w:rsidRPr="00805A4B">
        <w:rPr>
          <w:rFonts w:cs="Times New Roman"/>
        </w:rPr>
        <w:t>, p. 1.</w:t>
      </w:r>
    </w:p>
  </w:footnote>
  <w:footnote w:id="43">
    <w:p w14:paraId="0EDB910C"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Beaujeu, </w:t>
      </w:r>
      <w:r w:rsidRPr="00805A4B">
        <w:rPr>
          <w:rFonts w:cs="Times New Roman"/>
          <w:i/>
        </w:rPr>
        <w:t>Oraison funèbre</w:t>
      </w:r>
      <w:r w:rsidRPr="00805A4B">
        <w:rPr>
          <w:rFonts w:cs="Times New Roman"/>
        </w:rPr>
        <w:t>, p. 18.</w:t>
      </w:r>
    </w:p>
  </w:footnote>
  <w:footnote w:id="44">
    <w:p w14:paraId="185821E6"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rPr>
        <w:t xml:space="preserve">Beaujeu, </w:t>
      </w:r>
      <w:r w:rsidRPr="00805A4B">
        <w:rPr>
          <w:rFonts w:cs="Times New Roman"/>
          <w:i/>
        </w:rPr>
        <w:t>Oraison funèbre</w:t>
      </w:r>
      <w:r w:rsidRPr="00805A4B">
        <w:rPr>
          <w:rFonts w:cs="Times New Roman"/>
        </w:rPr>
        <w:t>, p. 30.</w:t>
      </w:r>
    </w:p>
  </w:footnote>
  <w:footnote w:id="45">
    <w:p w14:paraId="0819324D"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 xml:space="preserve">For a performance of the song by Jonathan Rees, go to: </w:t>
      </w:r>
      <w:hyperlink r:id="rId2" w:history="1">
        <w:r w:rsidRPr="00805A4B">
          <w:rPr>
            <w:rStyle w:val="Hyperlink"/>
            <w:rFonts w:cs="Times New Roman"/>
          </w:rPr>
          <w:t>https://soundcloud.com/eerw2/ce-grand-prelat-final-1</w:t>
        </w:r>
      </w:hyperlink>
    </w:p>
  </w:footnote>
  <w:footnote w:id="46">
    <w:p w14:paraId="49AB5ADC" w14:textId="73805AD6"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i/>
        </w:rPr>
        <w:t>Chansonnier Maurepas</w:t>
      </w:r>
      <w:r w:rsidRPr="00805A4B">
        <w:rPr>
          <w:rFonts w:cs="Times New Roman"/>
        </w:rPr>
        <w:t>, vol. 13, p.</w:t>
      </w:r>
      <w:r w:rsidRPr="00805A4B">
        <w:rPr>
          <w:rFonts w:cs="Times New Roman"/>
          <w:i/>
        </w:rPr>
        <w:t xml:space="preserve"> </w:t>
      </w:r>
      <w:r w:rsidRPr="00805A4B">
        <w:rPr>
          <w:rFonts w:cs="Times New Roman"/>
        </w:rPr>
        <w:t xml:space="preserve">142. </w:t>
      </w:r>
    </w:p>
  </w:footnote>
  <w:footnote w:id="47">
    <w:p w14:paraId="4DC98E2D" w14:textId="77777777" w:rsidR="00E2648E" w:rsidRPr="00805A4B" w:rsidRDefault="00E2648E" w:rsidP="006406F7">
      <w:pPr>
        <w:pStyle w:val="FootnoteText"/>
      </w:pPr>
      <w:r w:rsidRPr="00805A4B">
        <w:rPr>
          <w:rStyle w:val="FootnoteReference"/>
        </w:rPr>
        <w:footnoteRef/>
      </w:r>
      <w:r w:rsidRPr="00805A4B">
        <w:t xml:space="preserve"> Saint-Simon, </w:t>
      </w:r>
      <w:r w:rsidRPr="00805A4B">
        <w:rPr>
          <w:i/>
        </w:rPr>
        <w:t>Mémoires</w:t>
      </w:r>
      <w:r w:rsidRPr="00805A4B">
        <w:t>, ed. Didier Hallépée</w:t>
      </w:r>
      <w:r w:rsidRPr="00805A4B">
        <w:rPr>
          <w:i/>
        </w:rPr>
        <w:t xml:space="preserve"> </w:t>
      </w:r>
      <w:r w:rsidRPr="00805A4B">
        <w:t>vol. 7, p. 579</w:t>
      </w:r>
    </w:p>
  </w:footnote>
  <w:footnote w:id="48">
    <w:p w14:paraId="2D0C76C8" w14:textId="730F8B5D" w:rsidR="00E2648E" w:rsidRPr="00805A4B" w:rsidRDefault="00E2648E" w:rsidP="000D2DF6">
      <w:r w:rsidRPr="00805A4B">
        <w:rPr>
          <w:rStyle w:val="FootnoteReference"/>
          <w:sz w:val="20"/>
        </w:rPr>
        <w:footnoteRef/>
      </w:r>
      <w:r w:rsidRPr="00805A4B">
        <w:rPr>
          <w:sz w:val="20"/>
        </w:rPr>
        <w:t xml:space="preserve"> See, for example, </w:t>
      </w:r>
      <w:r w:rsidRPr="00805A4B">
        <w:rPr>
          <w:i/>
          <w:sz w:val="20"/>
        </w:rPr>
        <w:t>Chansonnier Maurepas</w:t>
      </w:r>
      <w:r w:rsidRPr="00805A4B">
        <w:rPr>
          <w:sz w:val="20"/>
        </w:rPr>
        <w:t xml:space="preserve">, vol. 13, pp. 1, 13, 15, 16, 33, 44, 97, 110, 122, 123, 131, 146, 150, 157, 159, 161, 221, 364, 366. In </w:t>
      </w:r>
      <w:r w:rsidRPr="00805A4B">
        <w:rPr>
          <w:i/>
          <w:sz w:val="20"/>
        </w:rPr>
        <w:t>Le Siecle de Louis XIV</w:t>
      </w:r>
      <w:r w:rsidRPr="00805A4B">
        <w:rPr>
          <w:sz w:val="20"/>
        </w:rPr>
        <w:t xml:space="preserve">, Voltaire, who was only twenty at the time of Louis’s funeral, attributes much of the public joy expressed at the king’s death to the end of Le Tellier’s influence: ‘J’ai vu de petites tentes dressées sur le chemin de Saint-Denis. On y buvait, on y chantait, on y riait. Les sentiments des citoyens de Paris avaient passé jusqu’à la populace. Le jésuite Le Tellier était la principalecause de cette joie universelle. J’entendis plusieurs spectateurs dire qu’il fallait mettre le feu aux maisons des jésuites avec les flambeaux qui éclairaient la pompe funèbre’, </w:t>
      </w:r>
      <w:r w:rsidRPr="00805A4B">
        <w:rPr>
          <w:i/>
          <w:sz w:val="20"/>
        </w:rPr>
        <w:t>Le Siècle de Louis XIV</w:t>
      </w:r>
      <w:r w:rsidRPr="00805A4B">
        <w:rPr>
          <w:sz w:val="20"/>
        </w:rPr>
        <w:t xml:space="preserve">, ed. </w:t>
      </w:r>
      <w:r>
        <w:rPr>
          <w:sz w:val="20"/>
        </w:rPr>
        <w:t xml:space="preserve">by </w:t>
      </w:r>
      <w:r w:rsidRPr="00805A4B">
        <w:rPr>
          <w:sz w:val="20"/>
        </w:rPr>
        <w:t>Antoine Adam (Paris: Garnier Flammarion, 1966), 2 volumes, vol. 1, p. 366.</w:t>
      </w:r>
    </w:p>
  </w:footnote>
  <w:footnote w:id="49">
    <w:p w14:paraId="5235B298"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rPr>
        <w:t>For a performance of the song by Katie Bray and Badinage, go to: https://soundcloud.com/eerw2/il-est-donc-mort-final-1</w:t>
      </w:r>
    </w:p>
  </w:footnote>
  <w:footnote w:id="50">
    <w:p w14:paraId="7111462F" w14:textId="4684A689"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i/>
        </w:rPr>
        <w:t>Chansonnier Maurepas</w:t>
      </w:r>
      <w:r w:rsidRPr="00805A4B">
        <w:rPr>
          <w:rFonts w:cs="Times New Roman"/>
        </w:rPr>
        <w:t>, vol. 13, p.</w:t>
      </w:r>
      <w:r w:rsidRPr="00805A4B">
        <w:rPr>
          <w:rFonts w:cs="Times New Roman"/>
          <w:i/>
        </w:rPr>
        <w:t xml:space="preserve"> </w:t>
      </w:r>
      <w:r w:rsidRPr="00805A4B">
        <w:rPr>
          <w:rFonts w:cs="Times New Roman"/>
        </w:rPr>
        <w:t xml:space="preserve">108. </w:t>
      </w:r>
    </w:p>
  </w:footnote>
  <w:footnote w:id="51">
    <w:p w14:paraId="3EBE7887" w14:textId="77777777" w:rsidR="00E2648E" w:rsidRPr="00805A4B" w:rsidRDefault="00E2648E" w:rsidP="006406F7">
      <w:pPr>
        <w:pStyle w:val="FootnoteText"/>
        <w:rPr>
          <w:rFonts w:cs="Times New Roman"/>
        </w:rPr>
      </w:pPr>
      <w:r w:rsidRPr="00805A4B">
        <w:rPr>
          <w:rStyle w:val="FootnoteReference"/>
        </w:rPr>
        <w:footnoteRef/>
      </w:r>
      <w:r w:rsidRPr="00805A4B">
        <w:t xml:space="preserve"> </w:t>
      </w:r>
      <w:r w:rsidRPr="00805A4B">
        <w:rPr>
          <w:rFonts w:cs="Times New Roman"/>
        </w:rPr>
        <w:t>For a performance of the song by Katie Bray and Badinage, go to: https://soundcloud.com/eerw2/pour-paroitre-final-1</w:t>
      </w:r>
    </w:p>
  </w:footnote>
  <w:footnote w:id="52">
    <w:p w14:paraId="2C22ABD6" w14:textId="77777777" w:rsidR="00E2648E" w:rsidRPr="00805A4B" w:rsidRDefault="00E2648E" w:rsidP="006406F7">
      <w:pPr>
        <w:pStyle w:val="FootnoteText"/>
      </w:pPr>
      <w:r w:rsidRPr="00805A4B">
        <w:rPr>
          <w:rStyle w:val="FootnoteReference"/>
        </w:rPr>
        <w:footnoteRef/>
      </w:r>
      <w:r w:rsidRPr="00805A4B">
        <w:t xml:space="preserve"> </w:t>
      </w:r>
      <w:r w:rsidRPr="00805A4B">
        <w:rPr>
          <w:rFonts w:cs="Times New Roman"/>
          <w:i/>
        </w:rPr>
        <w:t>Chansonnier Maurepas</w:t>
      </w:r>
      <w:r w:rsidRPr="00805A4B">
        <w:rPr>
          <w:rFonts w:cs="Times New Roman"/>
        </w:rPr>
        <w:t>, vol. 13, p.</w:t>
      </w:r>
      <w:r w:rsidRPr="00805A4B">
        <w:rPr>
          <w:rFonts w:cs="Times New Roman"/>
          <w:i/>
        </w:rPr>
        <w:t xml:space="preserve"> </w:t>
      </w:r>
      <w:r w:rsidRPr="00805A4B">
        <w:rPr>
          <w:rFonts w:cs="Times New Roman"/>
        </w:rPr>
        <w:t>106.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C7963"/>
    <w:multiLevelType w:val="multilevel"/>
    <w:tmpl w:val="3FDE7E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387D71"/>
    <w:multiLevelType w:val="multilevel"/>
    <w:tmpl w:val="3A809B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B4A29B9"/>
    <w:multiLevelType w:val="hybridMultilevel"/>
    <w:tmpl w:val="5CFA3D4E"/>
    <w:lvl w:ilvl="0" w:tplc="B5E80280">
      <w:numFmt w:val="bullet"/>
      <w:lvlText w:val="-"/>
      <w:lvlJc w:val="left"/>
      <w:pPr>
        <w:ind w:left="1494" w:hanging="360"/>
      </w:pPr>
      <w:rPr>
        <w:rFonts w:ascii="Times New Roman" w:eastAsiaTheme="minorEastAsia" w:hAnsi="Times New Roman" w:cs="Times New Roman" w:hint="default"/>
      </w:rPr>
    </w:lvl>
    <w:lvl w:ilvl="1" w:tplc="04090003" w:tentative="1">
      <w:start w:val="1"/>
      <w:numFmt w:val="bullet"/>
      <w:lvlText w:val="o"/>
      <w:lvlJc w:val="left"/>
      <w:pPr>
        <w:ind w:left="2214" w:hanging="360"/>
      </w:pPr>
      <w:rPr>
        <w:rFonts w:ascii="Courier New" w:hAnsi="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3" w15:restartNumberingAfterBreak="0">
    <w:nsid w:val="71A46DD2"/>
    <w:multiLevelType w:val="hybridMultilevel"/>
    <w:tmpl w:val="33C80DC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6"/>
  <w:activeWritingStyle w:appName="MSWord" w:lang="fr-FR" w:vendorID="64" w:dllVersion="131078" w:nlCheck="1" w:checkStyle="0"/>
  <w:activeWritingStyle w:appName="MSWord" w:lang="en-US" w:vendorID="64" w:dllVersion="131078" w:nlCheck="1" w:checkStyle="1"/>
  <w:activeWritingStyle w:appName="MSWord" w:lang="en-GB" w:vendorID="64" w:dllVersion="131078" w:nlCheck="1" w:checkStyle="1"/>
  <w:defaultTabStop w:val="720"/>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AAB"/>
    <w:rsid w:val="00055013"/>
    <w:rsid w:val="000574A4"/>
    <w:rsid w:val="000B55EB"/>
    <w:rsid w:val="000C2DE8"/>
    <w:rsid w:val="000D2DF6"/>
    <w:rsid w:val="00100847"/>
    <w:rsid w:val="001178B4"/>
    <w:rsid w:val="00127D87"/>
    <w:rsid w:val="0013064A"/>
    <w:rsid w:val="00135BB3"/>
    <w:rsid w:val="00160E39"/>
    <w:rsid w:val="00162891"/>
    <w:rsid w:val="0017143B"/>
    <w:rsid w:val="0017630A"/>
    <w:rsid w:val="00193A2B"/>
    <w:rsid w:val="00194D1B"/>
    <w:rsid w:val="001A7F72"/>
    <w:rsid w:val="001D0842"/>
    <w:rsid w:val="002061A2"/>
    <w:rsid w:val="002230BB"/>
    <w:rsid w:val="00242C14"/>
    <w:rsid w:val="002B7202"/>
    <w:rsid w:val="00364E07"/>
    <w:rsid w:val="00365B51"/>
    <w:rsid w:val="003906FF"/>
    <w:rsid w:val="003E1EFE"/>
    <w:rsid w:val="00447C1F"/>
    <w:rsid w:val="004675AA"/>
    <w:rsid w:val="00487CD4"/>
    <w:rsid w:val="004C001C"/>
    <w:rsid w:val="0051494A"/>
    <w:rsid w:val="00547345"/>
    <w:rsid w:val="00563EF3"/>
    <w:rsid w:val="00565EDE"/>
    <w:rsid w:val="00576A2B"/>
    <w:rsid w:val="005D0CC1"/>
    <w:rsid w:val="005E1F98"/>
    <w:rsid w:val="005F64ED"/>
    <w:rsid w:val="00612605"/>
    <w:rsid w:val="006406F7"/>
    <w:rsid w:val="00662343"/>
    <w:rsid w:val="006650E8"/>
    <w:rsid w:val="006B38DA"/>
    <w:rsid w:val="006C749A"/>
    <w:rsid w:val="00754153"/>
    <w:rsid w:val="0079073C"/>
    <w:rsid w:val="007B0C6A"/>
    <w:rsid w:val="00805A4B"/>
    <w:rsid w:val="0083214E"/>
    <w:rsid w:val="00856FC1"/>
    <w:rsid w:val="0088321E"/>
    <w:rsid w:val="008A6ED4"/>
    <w:rsid w:val="008A7436"/>
    <w:rsid w:val="008B0B57"/>
    <w:rsid w:val="00952AED"/>
    <w:rsid w:val="0099598A"/>
    <w:rsid w:val="009A4BC0"/>
    <w:rsid w:val="009D01BE"/>
    <w:rsid w:val="009D15AA"/>
    <w:rsid w:val="00A12A3E"/>
    <w:rsid w:val="00AB75E9"/>
    <w:rsid w:val="00AE25DF"/>
    <w:rsid w:val="00B57884"/>
    <w:rsid w:val="00B6001B"/>
    <w:rsid w:val="00B92A62"/>
    <w:rsid w:val="00BC74AC"/>
    <w:rsid w:val="00BE1793"/>
    <w:rsid w:val="00C00F0C"/>
    <w:rsid w:val="00C10A28"/>
    <w:rsid w:val="00C53A16"/>
    <w:rsid w:val="00C65664"/>
    <w:rsid w:val="00C67AFB"/>
    <w:rsid w:val="00C9284C"/>
    <w:rsid w:val="00C964FF"/>
    <w:rsid w:val="00CA396A"/>
    <w:rsid w:val="00CB37CB"/>
    <w:rsid w:val="00CC298C"/>
    <w:rsid w:val="00CD1FE1"/>
    <w:rsid w:val="00CD5AAB"/>
    <w:rsid w:val="00D37DD0"/>
    <w:rsid w:val="00D46DF7"/>
    <w:rsid w:val="00D56C79"/>
    <w:rsid w:val="00D57572"/>
    <w:rsid w:val="00D60028"/>
    <w:rsid w:val="00DB4463"/>
    <w:rsid w:val="00DC7B6A"/>
    <w:rsid w:val="00DD7E76"/>
    <w:rsid w:val="00DE3698"/>
    <w:rsid w:val="00DE7E4A"/>
    <w:rsid w:val="00DF69D8"/>
    <w:rsid w:val="00E009A6"/>
    <w:rsid w:val="00E04A7D"/>
    <w:rsid w:val="00E2648E"/>
    <w:rsid w:val="00E40684"/>
    <w:rsid w:val="00E4152C"/>
    <w:rsid w:val="00E8663D"/>
    <w:rsid w:val="00E913D7"/>
    <w:rsid w:val="00EA32E5"/>
    <w:rsid w:val="00EA3945"/>
    <w:rsid w:val="00EC3431"/>
    <w:rsid w:val="00EC3D6F"/>
    <w:rsid w:val="00F957EE"/>
    <w:rsid w:val="00FE30A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27144B8"/>
  <w14:defaultImageDpi w14:val="32767"/>
  <w15:docId w15:val="{A642BD36-7303-4C3A-A9AD-C79641A35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Body CS)"/>
        <w:color w:val="222222"/>
        <w:sz w:val="24"/>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61A2"/>
    <w:rPr>
      <w:rFonts w:eastAsia="Times New Roman" w:cs="Times New Roman"/>
      <w:color w:val="auto"/>
      <w:szCs w:val="24"/>
    </w:rPr>
  </w:style>
  <w:style w:type="paragraph" w:styleId="Heading1">
    <w:name w:val="heading 1"/>
    <w:basedOn w:val="Normal"/>
    <w:next w:val="Normal"/>
    <w:link w:val="Heading1Char"/>
    <w:autoRedefine/>
    <w:uiPriority w:val="9"/>
    <w:qFormat/>
    <w:rsid w:val="006406F7"/>
    <w:pPr>
      <w:keepNext/>
      <w:keepLines/>
      <w:spacing w:before="240" w:line="480" w:lineRule="auto"/>
      <w:jc w:val="center"/>
      <w:outlineLvl w:val="0"/>
    </w:pPr>
    <w:rPr>
      <w:rFonts w:eastAsiaTheme="majorEastAsia"/>
      <w:b/>
      <w:color w:val="000000" w:themeColor="text1"/>
    </w:rPr>
  </w:style>
  <w:style w:type="paragraph" w:styleId="Heading2">
    <w:name w:val="heading 2"/>
    <w:basedOn w:val="Normal"/>
    <w:next w:val="Normal"/>
    <w:link w:val="Heading2Char"/>
    <w:uiPriority w:val="9"/>
    <w:unhideWhenUsed/>
    <w:qFormat/>
    <w:rsid w:val="00B92A62"/>
    <w:pPr>
      <w:keepNext/>
      <w:keepLines/>
      <w:spacing w:before="120" w:line="480" w:lineRule="auto"/>
      <w:jc w:val="center"/>
      <w:outlineLvl w:val="1"/>
    </w:pPr>
    <w:rPr>
      <w:rFonts w:eastAsiaTheme="majorEastAsia" w:cstheme="majorBidi"/>
      <w:color w:val="000000" w:themeColor="text1"/>
      <w:szCs w:val="26"/>
    </w:rPr>
  </w:style>
  <w:style w:type="paragraph" w:styleId="Heading3">
    <w:name w:val="heading 3"/>
    <w:basedOn w:val="Normal"/>
    <w:next w:val="Normal"/>
    <w:link w:val="Heading3Char"/>
    <w:uiPriority w:val="9"/>
    <w:unhideWhenUsed/>
    <w:qFormat/>
    <w:rsid w:val="00B92A62"/>
    <w:pPr>
      <w:keepNext/>
      <w:keepLines/>
      <w:spacing w:before="120"/>
      <w:ind w:left="720"/>
      <w:outlineLvl w:val="2"/>
    </w:pPr>
    <w:rPr>
      <w:rFonts w:eastAsiaTheme="majorEastAsia" w:cstheme="majorBidi"/>
      <w: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autoRedefine/>
    <w:uiPriority w:val="99"/>
    <w:unhideWhenUsed/>
    <w:qFormat/>
    <w:rsid w:val="00364E07"/>
    <w:rPr>
      <w:rFonts w:eastAsiaTheme="minorHAnsi" w:cs="Times New Roman (Body CS)"/>
      <w:color w:val="222222"/>
      <w:sz w:val="20"/>
      <w:szCs w:val="22"/>
    </w:rPr>
  </w:style>
  <w:style w:type="character" w:customStyle="1" w:styleId="FootnoteTextChar">
    <w:name w:val="Footnote Text Char"/>
    <w:basedOn w:val="DefaultParagraphFont"/>
    <w:link w:val="FootnoteText"/>
    <w:uiPriority w:val="99"/>
    <w:rsid w:val="00364E07"/>
    <w:rPr>
      <w:sz w:val="20"/>
    </w:rPr>
  </w:style>
  <w:style w:type="paragraph" w:customStyle="1" w:styleId="Style1">
    <w:name w:val="Style1"/>
    <w:basedOn w:val="FootnoteText"/>
    <w:qFormat/>
    <w:rsid w:val="00364E07"/>
  </w:style>
  <w:style w:type="character" w:customStyle="1" w:styleId="Heading1Char">
    <w:name w:val="Heading 1 Char"/>
    <w:basedOn w:val="DefaultParagraphFont"/>
    <w:link w:val="Heading1"/>
    <w:uiPriority w:val="9"/>
    <w:rsid w:val="006406F7"/>
    <w:rPr>
      <w:rFonts w:eastAsiaTheme="majorEastAsia" w:cs="Times New Roman"/>
      <w:b/>
      <w:color w:val="000000" w:themeColor="text1"/>
      <w:szCs w:val="24"/>
    </w:rPr>
  </w:style>
  <w:style w:type="character" w:customStyle="1" w:styleId="Heading2Char">
    <w:name w:val="Heading 2 Char"/>
    <w:basedOn w:val="DefaultParagraphFont"/>
    <w:link w:val="Heading2"/>
    <w:uiPriority w:val="9"/>
    <w:rsid w:val="00B92A62"/>
    <w:rPr>
      <w:rFonts w:eastAsiaTheme="majorEastAsia" w:cstheme="majorBidi"/>
      <w:color w:val="000000" w:themeColor="text1"/>
      <w:szCs w:val="26"/>
    </w:rPr>
  </w:style>
  <w:style w:type="character" w:customStyle="1" w:styleId="Heading3Char">
    <w:name w:val="Heading 3 Char"/>
    <w:basedOn w:val="DefaultParagraphFont"/>
    <w:link w:val="Heading3"/>
    <w:uiPriority w:val="9"/>
    <w:rsid w:val="00B92A62"/>
    <w:rPr>
      <w:rFonts w:eastAsiaTheme="majorEastAsia" w:cstheme="majorBidi"/>
      <w:i/>
      <w:color w:val="000000" w:themeColor="text1"/>
      <w:szCs w:val="24"/>
    </w:rPr>
  </w:style>
  <w:style w:type="character" w:styleId="Hyperlink">
    <w:name w:val="Hyperlink"/>
    <w:basedOn w:val="DefaultParagraphFont"/>
    <w:uiPriority w:val="99"/>
    <w:unhideWhenUsed/>
    <w:rsid w:val="00CD5AAB"/>
    <w:rPr>
      <w:color w:val="0563C1" w:themeColor="hyperlink"/>
      <w:u w:val="single"/>
    </w:rPr>
  </w:style>
  <w:style w:type="character" w:customStyle="1" w:styleId="UnresolvedMention1">
    <w:name w:val="Unresolved Mention1"/>
    <w:basedOn w:val="DefaultParagraphFont"/>
    <w:uiPriority w:val="99"/>
    <w:rsid w:val="00CD5AAB"/>
    <w:rPr>
      <w:color w:val="605E5C"/>
      <w:shd w:val="clear" w:color="auto" w:fill="E1DFDD"/>
    </w:rPr>
  </w:style>
  <w:style w:type="paragraph" w:styleId="Footer">
    <w:name w:val="footer"/>
    <w:basedOn w:val="Normal"/>
    <w:link w:val="FooterChar"/>
    <w:uiPriority w:val="99"/>
    <w:unhideWhenUsed/>
    <w:rsid w:val="00CD5AAB"/>
    <w:pPr>
      <w:tabs>
        <w:tab w:val="center" w:pos="4513"/>
        <w:tab w:val="right" w:pos="9026"/>
      </w:tabs>
    </w:pPr>
    <w:rPr>
      <w:rFonts w:eastAsiaTheme="minorHAnsi" w:cs="Times New Roman (Body CS)"/>
      <w:color w:val="222222"/>
      <w:szCs w:val="22"/>
    </w:rPr>
  </w:style>
  <w:style w:type="character" w:customStyle="1" w:styleId="FooterChar">
    <w:name w:val="Footer Char"/>
    <w:basedOn w:val="DefaultParagraphFont"/>
    <w:link w:val="Footer"/>
    <w:uiPriority w:val="99"/>
    <w:rsid w:val="00CD5AAB"/>
  </w:style>
  <w:style w:type="character" w:styleId="PageNumber">
    <w:name w:val="page number"/>
    <w:basedOn w:val="DefaultParagraphFont"/>
    <w:uiPriority w:val="99"/>
    <w:semiHidden/>
    <w:unhideWhenUsed/>
    <w:rsid w:val="00CD5AAB"/>
  </w:style>
  <w:style w:type="paragraph" w:customStyle="1" w:styleId="Body">
    <w:name w:val="Body"/>
    <w:rsid w:val="00D46DF7"/>
    <w:rPr>
      <w:rFonts w:ascii="Helvetica" w:eastAsia="ヒラギノ角ゴ Pro W3" w:hAnsi="Helvetica" w:cs="Times New Roman"/>
      <w:color w:val="000000"/>
      <w:szCs w:val="20"/>
      <w:lang w:val="en-US"/>
    </w:rPr>
  </w:style>
  <w:style w:type="paragraph" w:customStyle="1" w:styleId="FootnoteText1">
    <w:name w:val="Footnote Text1"/>
    <w:rsid w:val="00D46DF7"/>
    <w:rPr>
      <w:rFonts w:ascii="Helvetica" w:eastAsia="ヒラギノ角ゴ Pro W3" w:hAnsi="Helvetica" w:cs="Times New Roman"/>
      <w:color w:val="000000"/>
      <w:sz w:val="20"/>
      <w:szCs w:val="20"/>
      <w:lang w:val="en-US"/>
    </w:rPr>
  </w:style>
  <w:style w:type="paragraph" w:customStyle="1" w:styleId="FreeForm">
    <w:name w:val="Free Form"/>
    <w:rsid w:val="00D46DF7"/>
    <w:rPr>
      <w:rFonts w:ascii="Helvetica" w:eastAsia="ヒラギノ角ゴ Pro W3" w:hAnsi="Helvetica" w:cs="Times New Roman"/>
      <w:color w:val="000000"/>
      <w:szCs w:val="20"/>
      <w:lang w:val="en-US"/>
    </w:rPr>
  </w:style>
  <w:style w:type="paragraph" w:styleId="Title">
    <w:name w:val="Title"/>
    <w:basedOn w:val="Normal"/>
    <w:next w:val="Normal"/>
    <w:link w:val="TitleChar"/>
    <w:uiPriority w:val="10"/>
    <w:qFormat/>
    <w:rsid w:val="00D46DF7"/>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6DF7"/>
    <w:rPr>
      <w:rFonts w:asciiTheme="majorHAnsi" w:eastAsiaTheme="majorEastAsia" w:hAnsiTheme="majorHAnsi" w:cstheme="majorBidi"/>
      <w:color w:val="auto"/>
      <w:spacing w:val="-10"/>
      <w:kern w:val="28"/>
      <w:sz w:val="56"/>
      <w:szCs w:val="56"/>
    </w:rPr>
  </w:style>
  <w:style w:type="paragraph" w:styleId="BalloonText">
    <w:name w:val="Balloon Text"/>
    <w:basedOn w:val="Normal"/>
    <w:link w:val="BalloonTextChar"/>
    <w:uiPriority w:val="99"/>
    <w:semiHidden/>
    <w:unhideWhenUsed/>
    <w:rsid w:val="00D46DF7"/>
    <w:rPr>
      <w:rFonts w:ascii="Lucida Grande" w:eastAsiaTheme="minorHAnsi" w:hAnsi="Lucida Grande" w:cs="Lucida Grande"/>
      <w:color w:val="222222"/>
      <w:sz w:val="18"/>
      <w:szCs w:val="18"/>
    </w:rPr>
  </w:style>
  <w:style w:type="character" w:customStyle="1" w:styleId="BalloonTextChar">
    <w:name w:val="Balloon Text Char"/>
    <w:basedOn w:val="DefaultParagraphFont"/>
    <w:link w:val="BalloonText"/>
    <w:uiPriority w:val="99"/>
    <w:semiHidden/>
    <w:rsid w:val="00D46DF7"/>
    <w:rPr>
      <w:rFonts w:ascii="Lucida Grande" w:hAnsi="Lucida Grande" w:cs="Lucida Grande"/>
      <w:sz w:val="18"/>
      <w:szCs w:val="18"/>
    </w:rPr>
  </w:style>
  <w:style w:type="character" w:styleId="FootnoteReference">
    <w:name w:val="footnote reference"/>
    <w:uiPriority w:val="99"/>
    <w:unhideWhenUsed/>
    <w:qFormat/>
    <w:rsid w:val="00D46DF7"/>
    <w:rPr>
      <w:vertAlign w:val="superscript"/>
    </w:rPr>
  </w:style>
  <w:style w:type="character" w:styleId="Emphasis">
    <w:name w:val="Emphasis"/>
    <w:basedOn w:val="DefaultParagraphFont"/>
    <w:uiPriority w:val="20"/>
    <w:qFormat/>
    <w:rsid w:val="00D46DF7"/>
    <w:rPr>
      <w:i/>
      <w:iCs/>
    </w:rPr>
  </w:style>
  <w:style w:type="character" w:styleId="CommentReference">
    <w:name w:val="annotation reference"/>
    <w:basedOn w:val="DefaultParagraphFont"/>
    <w:uiPriority w:val="99"/>
    <w:semiHidden/>
    <w:unhideWhenUsed/>
    <w:rsid w:val="00D46DF7"/>
    <w:rPr>
      <w:sz w:val="16"/>
      <w:szCs w:val="16"/>
    </w:rPr>
  </w:style>
  <w:style w:type="paragraph" w:styleId="CommentText">
    <w:name w:val="annotation text"/>
    <w:basedOn w:val="Normal"/>
    <w:link w:val="CommentTextChar"/>
    <w:uiPriority w:val="99"/>
    <w:unhideWhenUsed/>
    <w:rsid w:val="00D46DF7"/>
    <w:rPr>
      <w:rFonts w:eastAsiaTheme="minorHAnsi" w:cs="Times New Roman (Body CS)"/>
      <w:color w:val="222222"/>
      <w:sz w:val="20"/>
      <w:szCs w:val="20"/>
    </w:rPr>
  </w:style>
  <w:style w:type="character" w:customStyle="1" w:styleId="CommentTextChar">
    <w:name w:val="Comment Text Char"/>
    <w:basedOn w:val="DefaultParagraphFont"/>
    <w:link w:val="CommentText"/>
    <w:uiPriority w:val="99"/>
    <w:rsid w:val="00D46DF7"/>
    <w:rPr>
      <w:sz w:val="20"/>
      <w:szCs w:val="20"/>
    </w:rPr>
  </w:style>
  <w:style w:type="paragraph" w:styleId="CommentSubject">
    <w:name w:val="annotation subject"/>
    <w:basedOn w:val="CommentText"/>
    <w:next w:val="CommentText"/>
    <w:link w:val="CommentSubjectChar"/>
    <w:uiPriority w:val="99"/>
    <w:semiHidden/>
    <w:unhideWhenUsed/>
    <w:rsid w:val="00D46DF7"/>
    <w:rPr>
      <w:b/>
      <w:bCs/>
    </w:rPr>
  </w:style>
  <w:style w:type="character" w:customStyle="1" w:styleId="CommentSubjectChar">
    <w:name w:val="Comment Subject Char"/>
    <w:basedOn w:val="CommentTextChar"/>
    <w:link w:val="CommentSubject"/>
    <w:uiPriority w:val="99"/>
    <w:semiHidden/>
    <w:rsid w:val="00D46DF7"/>
    <w:rPr>
      <w:b/>
      <w:bCs/>
      <w:sz w:val="20"/>
      <w:szCs w:val="20"/>
    </w:rPr>
  </w:style>
  <w:style w:type="character" w:styleId="HTMLCite">
    <w:name w:val="HTML Cite"/>
    <w:basedOn w:val="DefaultParagraphFont"/>
    <w:uiPriority w:val="99"/>
    <w:semiHidden/>
    <w:unhideWhenUsed/>
    <w:rsid w:val="00D46DF7"/>
    <w:rPr>
      <w:i/>
      <w:iCs/>
    </w:rPr>
  </w:style>
  <w:style w:type="character" w:customStyle="1" w:styleId="tlid-translation">
    <w:name w:val="tlid-translation"/>
    <w:basedOn w:val="DefaultParagraphFont"/>
    <w:rsid w:val="00D46DF7"/>
  </w:style>
  <w:style w:type="character" w:styleId="FollowedHyperlink">
    <w:name w:val="FollowedHyperlink"/>
    <w:basedOn w:val="DefaultParagraphFont"/>
    <w:uiPriority w:val="99"/>
    <w:semiHidden/>
    <w:unhideWhenUsed/>
    <w:rsid w:val="00D46DF7"/>
    <w:rPr>
      <w:color w:val="954F72" w:themeColor="followedHyperlink"/>
      <w:u w:val="single"/>
    </w:rPr>
  </w:style>
  <w:style w:type="paragraph" w:styleId="HTMLPreformatted">
    <w:name w:val="HTML Preformatted"/>
    <w:basedOn w:val="Normal"/>
    <w:link w:val="HTMLPreformattedChar"/>
    <w:uiPriority w:val="99"/>
    <w:unhideWhenUsed/>
    <w:rsid w:val="00D46D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Theme="minorEastAsia" w:hAnsi="Courier" w:cs="Courier"/>
      <w:sz w:val="20"/>
      <w:szCs w:val="20"/>
      <w:lang w:val="fr-FR" w:eastAsia="fr-FR"/>
    </w:rPr>
  </w:style>
  <w:style w:type="character" w:customStyle="1" w:styleId="HTMLPreformattedChar">
    <w:name w:val="HTML Preformatted Char"/>
    <w:basedOn w:val="DefaultParagraphFont"/>
    <w:link w:val="HTMLPreformatted"/>
    <w:uiPriority w:val="99"/>
    <w:rsid w:val="00D46DF7"/>
    <w:rPr>
      <w:rFonts w:ascii="Courier" w:eastAsiaTheme="minorEastAsia" w:hAnsi="Courier" w:cs="Courier"/>
      <w:color w:val="auto"/>
      <w:sz w:val="20"/>
      <w:szCs w:val="20"/>
      <w:lang w:val="fr-FR" w:eastAsia="fr-FR"/>
    </w:rPr>
  </w:style>
  <w:style w:type="paragraph" w:customStyle="1" w:styleId="Default">
    <w:name w:val="Default"/>
    <w:rsid w:val="00662343"/>
    <w:pPr>
      <w:pBdr>
        <w:top w:val="nil"/>
        <w:left w:val="nil"/>
        <w:bottom w:val="nil"/>
        <w:right w:val="nil"/>
        <w:between w:val="nil"/>
        <w:bar w:val="nil"/>
      </w:pBdr>
    </w:pPr>
    <w:rPr>
      <w:rFonts w:ascii="Helvetica Neue" w:eastAsia="Arial Unicode MS" w:hAnsi="Helvetica Neue" w:cs="Arial Unicode MS"/>
      <w:color w:val="000000"/>
      <w:sz w:val="22"/>
      <w:bdr w:val="nil"/>
      <w:lang w:val="en-US"/>
    </w:rPr>
  </w:style>
  <w:style w:type="character" w:customStyle="1" w:styleId="Hyperlink0">
    <w:name w:val="Hyperlink.0"/>
    <w:basedOn w:val="Hyperlink"/>
    <w:rsid w:val="00662343"/>
    <w:rPr>
      <w:color w:val="0563C1" w:themeColor="hyperlink"/>
      <w:u w:val="single"/>
    </w:rPr>
  </w:style>
  <w:style w:type="paragraph" w:styleId="NormalWeb">
    <w:name w:val="Normal (Web)"/>
    <w:basedOn w:val="Normal"/>
    <w:uiPriority w:val="99"/>
    <w:unhideWhenUsed/>
    <w:rsid w:val="00662343"/>
    <w:pPr>
      <w:spacing w:before="100" w:beforeAutospacing="1" w:after="100" w:afterAutospacing="1"/>
    </w:pPr>
    <w:rPr>
      <w:rFonts w:eastAsiaTheme="minorEastAsia"/>
      <w:sz w:val="20"/>
      <w:szCs w:val="20"/>
    </w:rPr>
  </w:style>
  <w:style w:type="paragraph" w:styleId="ListParagraph">
    <w:name w:val="List Paragraph"/>
    <w:basedOn w:val="Normal"/>
    <w:uiPriority w:val="34"/>
    <w:qFormat/>
    <w:rsid w:val="00662343"/>
    <w:pPr>
      <w:ind w:left="720"/>
      <w:contextualSpacing/>
    </w:pPr>
    <w:rPr>
      <w:rFonts w:asciiTheme="minorHAnsi" w:eastAsiaTheme="minorEastAsia" w:hAnsiTheme="minorHAnsi" w:cstheme="minorBidi"/>
      <w:lang w:val="en-US"/>
    </w:rPr>
  </w:style>
  <w:style w:type="paragraph" w:styleId="EndnoteText">
    <w:name w:val="endnote text"/>
    <w:basedOn w:val="Normal"/>
    <w:link w:val="EndnoteTextChar"/>
    <w:uiPriority w:val="99"/>
    <w:unhideWhenUsed/>
    <w:rsid w:val="00662343"/>
    <w:rPr>
      <w:rFonts w:asciiTheme="minorHAnsi" w:eastAsiaTheme="minorEastAsia" w:hAnsiTheme="minorHAnsi" w:cstheme="minorBidi"/>
      <w:lang w:val="en-US"/>
    </w:rPr>
  </w:style>
  <w:style w:type="character" w:customStyle="1" w:styleId="EndnoteTextChar">
    <w:name w:val="Endnote Text Char"/>
    <w:basedOn w:val="DefaultParagraphFont"/>
    <w:link w:val="EndnoteText"/>
    <w:uiPriority w:val="99"/>
    <w:rsid w:val="00662343"/>
    <w:rPr>
      <w:rFonts w:asciiTheme="minorHAnsi" w:eastAsiaTheme="minorEastAsia" w:hAnsiTheme="minorHAnsi" w:cstheme="minorBidi"/>
      <w:color w:val="auto"/>
      <w:szCs w:val="24"/>
      <w:lang w:val="en-US"/>
    </w:rPr>
  </w:style>
  <w:style w:type="paragraph" w:styleId="TOC1">
    <w:name w:val="toc 1"/>
    <w:basedOn w:val="Normal"/>
    <w:next w:val="Normal"/>
    <w:autoRedefine/>
    <w:uiPriority w:val="39"/>
    <w:unhideWhenUsed/>
    <w:rsid w:val="006406F7"/>
    <w:pPr>
      <w:spacing w:after="100"/>
    </w:pPr>
    <w:rPr>
      <w:rFonts w:eastAsiaTheme="minorHAnsi" w:cs="Times New Roman (Body CS)"/>
      <w:color w:val="222222"/>
      <w:szCs w:val="22"/>
    </w:rPr>
  </w:style>
  <w:style w:type="character" w:customStyle="1" w:styleId="UnresolvedMention2">
    <w:name w:val="Unresolved Mention2"/>
    <w:basedOn w:val="DefaultParagraphFont"/>
    <w:uiPriority w:val="99"/>
    <w:semiHidden/>
    <w:unhideWhenUsed/>
    <w:rsid w:val="00160E39"/>
    <w:rPr>
      <w:color w:val="605E5C"/>
      <w:shd w:val="clear" w:color="auto" w:fill="E1DFDD"/>
    </w:rPr>
  </w:style>
  <w:style w:type="character" w:customStyle="1" w:styleId="apple-converted-space">
    <w:name w:val="apple-converted-space"/>
    <w:basedOn w:val="DefaultParagraphFont"/>
    <w:rsid w:val="00E2648E"/>
  </w:style>
  <w:style w:type="paragraph" w:customStyle="1" w:styleId="PSUPLetterDate">
    <w:name w:val="PSUP Letter Date"/>
    <w:basedOn w:val="Normal"/>
    <w:qFormat/>
    <w:rsid w:val="00C964FF"/>
    <w:pPr>
      <w:widowControl w:val="0"/>
      <w:tabs>
        <w:tab w:val="left" w:pos="360"/>
      </w:tabs>
      <w:autoSpaceDE w:val="0"/>
      <w:autoSpaceDN w:val="0"/>
      <w:adjustRightInd w:val="0"/>
      <w:spacing w:line="288" w:lineRule="auto"/>
      <w:jc w:val="right"/>
      <w:textAlignment w:val="center"/>
    </w:pPr>
    <w:rPr>
      <w:rFonts w:ascii="Adobe Jenson Pro" w:eastAsia="MS Mincho" w:hAnsi="Adobe Jenson Pro" w:cs="AJensonPro-Regular"/>
      <w:color w:val="000000"/>
      <w:sz w:val="22"/>
      <w:szCs w:val="22"/>
      <w:lang w:val="en-US"/>
    </w:rPr>
  </w:style>
  <w:style w:type="paragraph" w:styleId="Header">
    <w:name w:val="header"/>
    <w:basedOn w:val="Normal"/>
    <w:link w:val="HeaderChar"/>
    <w:uiPriority w:val="99"/>
    <w:unhideWhenUsed/>
    <w:rsid w:val="00563EF3"/>
    <w:pPr>
      <w:tabs>
        <w:tab w:val="center" w:pos="4680"/>
        <w:tab w:val="right" w:pos="9360"/>
      </w:tabs>
    </w:pPr>
  </w:style>
  <w:style w:type="character" w:customStyle="1" w:styleId="HeaderChar">
    <w:name w:val="Header Char"/>
    <w:basedOn w:val="DefaultParagraphFont"/>
    <w:link w:val="Header"/>
    <w:uiPriority w:val="99"/>
    <w:rsid w:val="00563EF3"/>
    <w:rPr>
      <w:rFonts w:eastAsia="Times New Roman" w:cs="Times New Roman"/>
      <w:color w:val="auto"/>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797109">
      <w:bodyDiv w:val="1"/>
      <w:marLeft w:val="0"/>
      <w:marRight w:val="0"/>
      <w:marTop w:val="0"/>
      <w:marBottom w:val="0"/>
      <w:divBdr>
        <w:top w:val="none" w:sz="0" w:space="0" w:color="auto"/>
        <w:left w:val="none" w:sz="0" w:space="0" w:color="auto"/>
        <w:bottom w:val="none" w:sz="0" w:space="0" w:color="auto"/>
        <w:right w:val="none" w:sz="0" w:space="0" w:color="auto"/>
      </w:divBdr>
    </w:div>
    <w:div w:id="1249579145">
      <w:bodyDiv w:val="1"/>
      <w:marLeft w:val="0"/>
      <w:marRight w:val="0"/>
      <w:marTop w:val="0"/>
      <w:marBottom w:val="0"/>
      <w:divBdr>
        <w:top w:val="none" w:sz="0" w:space="0" w:color="auto"/>
        <w:left w:val="none" w:sz="0" w:space="0" w:color="auto"/>
        <w:bottom w:val="none" w:sz="0" w:space="0" w:color="auto"/>
        <w:right w:val="none" w:sz="0" w:space="0" w:color="auto"/>
      </w:divBdr>
    </w:div>
    <w:div w:id="2146769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gh20@cam.ac.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arisiansoundscapes.org"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soundcloud.com/eerw2/ce-grand-prelat-final-1" TargetMode="External"/><Relationship Id="rId1" Type="http://schemas.openxmlformats.org/officeDocument/2006/relationships/hyperlink" Target="https://www.parisiansoundscapes.org/jobs/Vol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CAEFFC-A4F2-43AC-9E52-1F644EC5D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21</Pages>
  <Words>4815</Words>
  <Characters>27446</Characters>
  <Application>Microsoft Office Word</Application>
  <DocSecurity>0</DocSecurity>
  <Lines>228</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HAMILTON, TOM B.</dc:creator>
  <cp:keywords/>
  <dc:description/>
  <cp:lastModifiedBy>Elena Varela Fuentes</cp:lastModifiedBy>
  <cp:revision>3</cp:revision>
  <dcterms:created xsi:type="dcterms:W3CDTF">2019-02-11T11:05:00Z</dcterms:created>
  <dcterms:modified xsi:type="dcterms:W3CDTF">2019-02-21T17:20:00Z</dcterms:modified>
</cp:coreProperties>
</file>