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080A29" w14:textId="5840120E" w:rsidR="00E21E9B" w:rsidRPr="00602915" w:rsidRDefault="00E21E9B" w:rsidP="00582CE9">
      <w:pPr>
        <w:spacing w:after="0" w:line="240" w:lineRule="auto"/>
        <w:outlineLvl w:val="0"/>
        <w:rPr>
          <w:rFonts w:ascii="Arial" w:eastAsia="Times New Roman" w:hAnsi="Arial" w:cs="Arial"/>
          <w:b/>
          <w:kern w:val="36"/>
          <w:sz w:val="20"/>
          <w:szCs w:val="20"/>
          <w:lang w:val="en-GB" w:eastAsia="en-GB"/>
        </w:rPr>
      </w:pPr>
      <w:r w:rsidRPr="00602915">
        <w:rPr>
          <w:rFonts w:ascii="Arial" w:eastAsia="Times New Roman" w:hAnsi="Arial" w:cs="Arial"/>
          <w:b/>
          <w:kern w:val="36"/>
          <w:sz w:val="20"/>
          <w:szCs w:val="20"/>
          <w:lang w:val="en-GB" w:eastAsia="en-GB"/>
        </w:rPr>
        <w:t>Parkinson</w:t>
      </w:r>
      <w:r w:rsidR="00D35E6D" w:rsidRPr="00602915">
        <w:rPr>
          <w:rFonts w:ascii="Arial" w:eastAsia="Times New Roman" w:hAnsi="Arial" w:cs="Arial"/>
          <w:b/>
          <w:kern w:val="36"/>
          <w:sz w:val="20"/>
          <w:szCs w:val="20"/>
          <w:lang w:val="en-GB" w:eastAsia="en-GB"/>
        </w:rPr>
        <w:t>’</w:t>
      </w:r>
      <w:r w:rsidRPr="00602915">
        <w:rPr>
          <w:rFonts w:ascii="Arial" w:eastAsia="Times New Roman" w:hAnsi="Arial" w:cs="Arial"/>
          <w:b/>
          <w:kern w:val="36"/>
          <w:sz w:val="20"/>
          <w:szCs w:val="20"/>
          <w:lang w:val="en-GB" w:eastAsia="en-GB"/>
        </w:rPr>
        <w:t>s disease</w:t>
      </w:r>
      <w:r w:rsidR="00FF3815" w:rsidRPr="00602915">
        <w:rPr>
          <w:rFonts w:ascii="Arial" w:eastAsia="Times New Roman" w:hAnsi="Arial" w:cs="Arial"/>
          <w:b/>
          <w:kern w:val="36"/>
          <w:sz w:val="20"/>
          <w:szCs w:val="20"/>
          <w:lang w:val="en-GB" w:eastAsia="en-GB"/>
        </w:rPr>
        <w:t xml:space="preserve"> </w:t>
      </w:r>
    </w:p>
    <w:p w14:paraId="78C387B9" w14:textId="3D5489AD" w:rsidR="00582CE9" w:rsidRPr="00602915" w:rsidRDefault="00582CE9" w:rsidP="00582CE9">
      <w:pPr>
        <w:spacing w:after="0" w:line="240" w:lineRule="auto"/>
        <w:rPr>
          <w:rFonts w:ascii="Arial" w:eastAsia="Times New Roman" w:hAnsi="Arial" w:cs="Arial"/>
          <w:sz w:val="20"/>
          <w:szCs w:val="20"/>
          <w:bdr w:val="none" w:sz="0" w:space="0" w:color="auto" w:frame="1"/>
          <w:lang w:val="en-GB" w:eastAsia="en-GB"/>
        </w:rPr>
      </w:pPr>
    </w:p>
    <w:p w14:paraId="2C9462DF" w14:textId="1FFE1817" w:rsidR="00582CE9" w:rsidRPr="00602915" w:rsidRDefault="00E21E9B" w:rsidP="00582CE9">
      <w:pPr>
        <w:spacing w:after="0" w:line="240" w:lineRule="auto"/>
        <w:rPr>
          <w:rFonts w:ascii="Arial" w:eastAsia="Times New Roman" w:hAnsi="Arial" w:cs="Arial"/>
          <w:sz w:val="20"/>
          <w:szCs w:val="20"/>
          <w:lang w:val="en-GB" w:eastAsia="en-GB"/>
        </w:rPr>
      </w:pPr>
      <w:bookmarkStart w:id="0" w:name="bau1"/>
      <w:r w:rsidRPr="00602915">
        <w:rPr>
          <w:rFonts w:ascii="Arial" w:eastAsia="Times New Roman" w:hAnsi="Arial" w:cs="Arial"/>
          <w:sz w:val="20"/>
          <w:szCs w:val="20"/>
          <w:lang w:val="en-GB" w:eastAsia="en-GB"/>
        </w:rPr>
        <w:t>Caroline H</w:t>
      </w:r>
      <w:r w:rsidR="00582CE9" w:rsidRPr="00602915">
        <w:rPr>
          <w:rFonts w:ascii="Arial" w:eastAsia="Times New Roman" w:hAnsi="Arial" w:cs="Arial"/>
          <w:sz w:val="20"/>
          <w:szCs w:val="20"/>
          <w:lang w:val="en-GB" w:eastAsia="en-GB"/>
        </w:rPr>
        <w:t xml:space="preserve"> </w:t>
      </w:r>
      <w:r w:rsidR="00161136" w:rsidRPr="00602915">
        <w:rPr>
          <w:rFonts w:ascii="Arial" w:eastAsia="Times New Roman" w:hAnsi="Arial" w:cs="Arial"/>
          <w:sz w:val="20"/>
          <w:szCs w:val="20"/>
          <w:lang w:val="en-GB" w:eastAsia="en-GB"/>
        </w:rPr>
        <w:t>Will</w:t>
      </w:r>
      <w:r w:rsidRPr="00602915">
        <w:rPr>
          <w:rFonts w:ascii="Arial" w:eastAsia="Times New Roman" w:hAnsi="Arial" w:cs="Arial"/>
          <w:sz w:val="20"/>
          <w:szCs w:val="20"/>
          <w:lang w:val="en-GB" w:eastAsia="en-GB"/>
        </w:rPr>
        <w:t>iams-Gray</w:t>
      </w:r>
      <w:bookmarkStart w:id="1" w:name="bau2"/>
      <w:bookmarkEnd w:id="0"/>
    </w:p>
    <w:p w14:paraId="777A8FF2" w14:textId="5435F0A8"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Paul F</w:t>
      </w:r>
      <w:r w:rsidR="00582CE9" w:rsidRPr="00602915">
        <w:rPr>
          <w:rFonts w:ascii="Arial" w:eastAsia="Times New Roman" w:hAnsi="Arial" w:cs="Arial"/>
          <w:sz w:val="20"/>
          <w:szCs w:val="20"/>
          <w:lang w:val="en-GB" w:eastAsia="en-GB"/>
        </w:rPr>
        <w:t xml:space="preserve"> </w:t>
      </w:r>
      <w:r w:rsidRPr="00602915">
        <w:rPr>
          <w:rFonts w:ascii="Arial" w:eastAsia="Times New Roman" w:hAnsi="Arial" w:cs="Arial"/>
          <w:sz w:val="20"/>
          <w:szCs w:val="20"/>
          <w:lang w:val="en-GB" w:eastAsia="en-GB"/>
        </w:rPr>
        <w:t>Worth</w:t>
      </w:r>
      <w:bookmarkEnd w:id="1"/>
    </w:p>
    <w:p w14:paraId="33F13AF0" w14:textId="77777777" w:rsidR="0071075B" w:rsidRPr="00602915" w:rsidRDefault="0071075B" w:rsidP="00582CE9">
      <w:pPr>
        <w:spacing w:after="0" w:line="240" w:lineRule="auto"/>
        <w:rPr>
          <w:rFonts w:ascii="Arial" w:hAnsi="Arial" w:cs="Arial"/>
          <w:sz w:val="20"/>
          <w:szCs w:val="20"/>
          <w:lang w:val="en-GB"/>
        </w:rPr>
      </w:pPr>
    </w:p>
    <w:p w14:paraId="54108A62" w14:textId="77A21D36" w:rsidR="00582CE9" w:rsidRPr="00602915" w:rsidRDefault="00E21E9B" w:rsidP="00582CE9">
      <w:pPr>
        <w:spacing w:after="0" w:line="240" w:lineRule="auto"/>
        <w:rPr>
          <w:rFonts w:ascii="Arial" w:hAnsi="Arial" w:cs="Arial"/>
          <w:sz w:val="20"/>
          <w:szCs w:val="20"/>
          <w:lang w:val="en-GB"/>
        </w:rPr>
      </w:pPr>
      <w:r w:rsidRPr="00BB6E09">
        <w:rPr>
          <w:rFonts w:ascii="Arial" w:hAnsi="Arial" w:cs="Arial"/>
          <w:b/>
          <w:bCs/>
          <w:sz w:val="20"/>
          <w:szCs w:val="20"/>
          <w:lang w:val="en-GB"/>
        </w:rPr>
        <w:t xml:space="preserve">Caroline H </w:t>
      </w:r>
      <w:r w:rsidR="00161136" w:rsidRPr="00602915">
        <w:rPr>
          <w:rFonts w:ascii="Arial" w:hAnsi="Arial" w:cs="Arial"/>
          <w:b/>
          <w:bCs/>
          <w:sz w:val="20"/>
          <w:szCs w:val="20"/>
          <w:lang w:val="en-GB"/>
        </w:rPr>
        <w:t>Will</w:t>
      </w:r>
      <w:r w:rsidRPr="00BB6E09">
        <w:rPr>
          <w:rFonts w:ascii="Arial" w:hAnsi="Arial" w:cs="Arial"/>
          <w:b/>
          <w:bCs/>
          <w:sz w:val="20"/>
          <w:szCs w:val="20"/>
          <w:lang w:val="en-GB"/>
        </w:rPr>
        <w:t>iams-Gray BM</w:t>
      </w:r>
      <w:r w:rsidR="009F2909" w:rsidRPr="00602915">
        <w:rPr>
          <w:rFonts w:ascii="Arial" w:hAnsi="Arial" w:cs="Arial"/>
          <w:b/>
          <w:sz w:val="20"/>
          <w:szCs w:val="20"/>
        </w:rPr>
        <w:t> </w:t>
      </w:r>
      <w:r w:rsidRPr="00BB6E09">
        <w:rPr>
          <w:rFonts w:ascii="Arial" w:hAnsi="Arial" w:cs="Arial"/>
          <w:b/>
          <w:bCs/>
          <w:sz w:val="20"/>
          <w:szCs w:val="20"/>
          <w:lang w:val="en-GB"/>
        </w:rPr>
        <w:t>BCh MRCP PhD</w:t>
      </w:r>
      <w:r w:rsidRPr="00602915">
        <w:rPr>
          <w:rFonts w:ascii="Arial" w:hAnsi="Arial" w:cs="Arial"/>
          <w:sz w:val="20"/>
          <w:szCs w:val="20"/>
          <w:lang w:val="en-GB"/>
        </w:rPr>
        <w:t xml:space="preserve"> is </w:t>
      </w:r>
      <w:r w:rsidR="006D10FC" w:rsidRPr="00602915">
        <w:rPr>
          <w:rFonts w:ascii="Arial" w:hAnsi="Arial" w:cs="Arial"/>
          <w:sz w:val="20"/>
          <w:szCs w:val="20"/>
          <w:lang w:val="en-GB"/>
        </w:rPr>
        <w:t>Senior Clinical Research Associate at the University of Cambridge and Honorary Consultant Neurologist</w:t>
      </w:r>
      <w:r w:rsidR="003C71FC" w:rsidRPr="00602915">
        <w:rPr>
          <w:rFonts w:ascii="Arial" w:hAnsi="Arial" w:cs="Arial"/>
          <w:sz w:val="20"/>
          <w:szCs w:val="20"/>
          <w:lang w:val="en-GB"/>
        </w:rPr>
        <w:t xml:space="preserve"> at</w:t>
      </w:r>
      <w:r w:rsidR="006D10FC" w:rsidRPr="00602915">
        <w:rPr>
          <w:rFonts w:ascii="Arial" w:hAnsi="Arial" w:cs="Arial"/>
          <w:sz w:val="20"/>
          <w:szCs w:val="20"/>
          <w:lang w:val="en-GB"/>
        </w:rPr>
        <w:t xml:space="preserve"> </w:t>
      </w:r>
      <w:r w:rsidRPr="00602915">
        <w:rPr>
          <w:rFonts w:ascii="Arial" w:hAnsi="Arial" w:cs="Arial"/>
          <w:sz w:val="20"/>
          <w:szCs w:val="20"/>
          <w:lang w:val="en-GB"/>
        </w:rPr>
        <w:t>Cambridge University Hospitals, UK. Her research interests include cognitive problems and dementia in Parkinson</w:t>
      </w:r>
      <w:r w:rsidR="00D35E6D" w:rsidRPr="00602915">
        <w:rPr>
          <w:rFonts w:ascii="Arial" w:hAnsi="Arial" w:cs="Arial"/>
          <w:sz w:val="20"/>
          <w:szCs w:val="20"/>
          <w:lang w:val="en-GB"/>
        </w:rPr>
        <w:t>’</w:t>
      </w:r>
      <w:r w:rsidRPr="00602915">
        <w:rPr>
          <w:rFonts w:ascii="Arial" w:hAnsi="Arial" w:cs="Arial"/>
          <w:sz w:val="20"/>
          <w:szCs w:val="20"/>
          <w:lang w:val="en-GB"/>
        </w:rPr>
        <w:t>s disease, and the role of the immune system in driving progression of Parkinson</w:t>
      </w:r>
      <w:r w:rsidR="00D35E6D" w:rsidRPr="00602915">
        <w:rPr>
          <w:rFonts w:ascii="Arial" w:hAnsi="Arial" w:cs="Arial"/>
          <w:sz w:val="20"/>
          <w:szCs w:val="20"/>
          <w:lang w:val="en-GB"/>
        </w:rPr>
        <w:t>’</w:t>
      </w:r>
      <w:r w:rsidRPr="00602915">
        <w:rPr>
          <w:rFonts w:ascii="Arial" w:hAnsi="Arial" w:cs="Arial"/>
          <w:sz w:val="20"/>
          <w:szCs w:val="20"/>
          <w:lang w:val="en-GB"/>
        </w:rPr>
        <w:t>s disease. Competing interests: C</w:t>
      </w:r>
      <w:r w:rsidR="008A63B8" w:rsidRPr="00602915">
        <w:rPr>
          <w:rFonts w:ascii="Arial" w:hAnsi="Arial" w:cs="Arial"/>
          <w:sz w:val="20"/>
          <w:szCs w:val="20"/>
          <w:lang w:val="en-GB"/>
        </w:rPr>
        <w:t>H</w:t>
      </w:r>
      <w:r w:rsidRPr="00602915">
        <w:rPr>
          <w:rFonts w:ascii="Arial" w:hAnsi="Arial" w:cs="Arial"/>
          <w:sz w:val="20"/>
          <w:szCs w:val="20"/>
          <w:lang w:val="en-GB"/>
        </w:rPr>
        <w:t xml:space="preserve">W-G has received honoraria from Lundbeck and </w:t>
      </w:r>
      <w:r w:rsidR="006D10FC" w:rsidRPr="00602915">
        <w:rPr>
          <w:rFonts w:ascii="Arial" w:hAnsi="Arial" w:cs="Arial"/>
          <w:sz w:val="20"/>
          <w:szCs w:val="20"/>
          <w:lang w:val="en-GB"/>
        </w:rPr>
        <w:t>Pro</w:t>
      </w:r>
      <w:r w:rsidR="00766E5B" w:rsidRPr="00602915">
        <w:rPr>
          <w:rFonts w:ascii="Arial" w:hAnsi="Arial" w:cs="Arial"/>
          <w:sz w:val="20"/>
          <w:szCs w:val="20"/>
          <w:lang w:val="en-GB"/>
        </w:rPr>
        <w:t>file Pharma Limited, consultancy</w:t>
      </w:r>
      <w:r w:rsidR="006D10FC" w:rsidRPr="00602915">
        <w:rPr>
          <w:rFonts w:ascii="Arial" w:hAnsi="Arial" w:cs="Arial"/>
          <w:sz w:val="20"/>
          <w:szCs w:val="20"/>
          <w:lang w:val="en-GB"/>
        </w:rPr>
        <w:t xml:space="preserve"> fees from Modus Outcomes and </w:t>
      </w:r>
      <w:r w:rsidRPr="00602915">
        <w:rPr>
          <w:rFonts w:ascii="Arial" w:hAnsi="Arial" w:cs="Arial"/>
          <w:sz w:val="20"/>
          <w:szCs w:val="20"/>
          <w:lang w:val="en-GB"/>
        </w:rPr>
        <w:t xml:space="preserve">an educational grant from UCB Pharma. </w:t>
      </w:r>
    </w:p>
    <w:p w14:paraId="3752DFB9" w14:textId="77777777" w:rsidR="00582CE9" w:rsidRPr="00602915" w:rsidRDefault="00582CE9" w:rsidP="00582CE9">
      <w:pPr>
        <w:spacing w:after="0" w:line="240" w:lineRule="auto"/>
        <w:rPr>
          <w:rFonts w:ascii="Arial" w:hAnsi="Arial" w:cs="Arial"/>
          <w:sz w:val="20"/>
          <w:szCs w:val="20"/>
          <w:lang w:val="en-GB"/>
        </w:rPr>
      </w:pPr>
    </w:p>
    <w:p w14:paraId="486EE520" w14:textId="7A275CF1" w:rsidR="00E21E9B" w:rsidRPr="00602915" w:rsidRDefault="00E21E9B" w:rsidP="00582CE9">
      <w:pPr>
        <w:spacing w:after="0" w:line="240" w:lineRule="auto"/>
        <w:rPr>
          <w:rFonts w:ascii="Arial" w:hAnsi="Arial" w:cs="Arial"/>
          <w:sz w:val="20"/>
          <w:szCs w:val="20"/>
          <w:lang w:val="en-GB"/>
        </w:rPr>
      </w:pPr>
      <w:r w:rsidRPr="00BB6E09">
        <w:rPr>
          <w:rFonts w:ascii="Arial" w:hAnsi="Arial" w:cs="Arial"/>
          <w:b/>
          <w:bCs/>
          <w:sz w:val="20"/>
          <w:szCs w:val="20"/>
          <w:lang w:val="en-GB"/>
        </w:rPr>
        <w:t>Paul F Worth BM</w:t>
      </w:r>
      <w:r w:rsidR="009F2909" w:rsidRPr="00602915">
        <w:rPr>
          <w:rFonts w:ascii="Arial" w:hAnsi="Arial" w:cs="Arial"/>
          <w:b/>
          <w:sz w:val="20"/>
          <w:szCs w:val="20"/>
        </w:rPr>
        <w:t> </w:t>
      </w:r>
      <w:r w:rsidRPr="00BB6E09">
        <w:rPr>
          <w:rFonts w:ascii="Arial" w:hAnsi="Arial" w:cs="Arial"/>
          <w:b/>
          <w:bCs/>
          <w:sz w:val="20"/>
          <w:szCs w:val="20"/>
          <w:lang w:val="en-GB"/>
        </w:rPr>
        <w:t>BCh PhD FRCP</w:t>
      </w:r>
      <w:r w:rsidRPr="00602915">
        <w:rPr>
          <w:rFonts w:ascii="Arial" w:hAnsi="Arial" w:cs="Arial"/>
          <w:sz w:val="20"/>
          <w:szCs w:val="20"/>
          <w:lang w:val="en-GB"/>
        </w:rPr>
        <w:t xml:space="preserve"> is a Consultant Neurologist at Addenbrooke</w:t>
      </w:r>
      <w:r w:rsidR="00D35E6D" w:rsidRPr="00602915">
        <w:rPr>
          <w:rFonts w:ascii="Arial" w:hAnsi="Arial" w:cs="Arial"/>
          <w:sz w:val="20"/>
          <w:szCs w:val="20"/>
          <w:lang w:val="en-GB"/>
        </w:rPr>
        <w:t>’</w:t>
      </w:r>
      <w:r w:rsidRPr="00602915">
        <w:rPr>
          <w:rFonts w:ascii="Arial" w:hAnsi="Arial" w:cs="Arial"/>
          <w:sz w:val="20"/>
          <w:szCs w:val="20"/>
          <w:lang w:val="en-GB"/>
        </w:rPr>
        <w:t xml:space="preserve">s Hospital, Cambridge, UK. He specializes in movement disorders with particular interests in </w:t>
      </w:r>
      <w:r w:rsidR="00A47253" w:rsidRPr="00602915">
        <w:rPr>
          <w:rFonts w:ascii="Arial" w:hAnsi="Arial" w:cs="Arial"/>
          <w:sz w:val="20"/>
          <w:szCs w:val="20"/>
          <w:lang w:val="en-GB"/>
        </w:rPr>
        <w:t xml:space="preserve">non-oral </w:t>
      </w:r>
      <w:r w:rsidRPr="00602915">
        <w:rPr>
          <w:rFonts w:ascii="Arial" w:hAnsi="Arial" w:cs="Arial"/>
          <w:sz w:val="20"/>
          <w:szCs w:val="20"/>
          <w:lang w:val="en-GB"/>
        </w:rPr>
        <w:t>therapy for Parkinson’s disease. Competing interests: P</w:t>
      </w:r>
      <w:r w:rsidR="008A63B8" w:rsidRPr="00602915">
        <w:rPr>
          <w:rFonts w:ascii="Arial" w:hAnsi="Arial" w:cs="Arial"/>
          <w:sz w:val="20"/>
          <w:szCs w:val="20"/>
          <w:lang w:val="en-GB"/>
        </w:rPr>
        <w:t>F</w:t>
      </w:r>
      <w:r w:rsidRPr="00602915">
        <w:rPr>
          <w:rFonts w:ascii="Arial" w:hAnsi="Arial" w:cs="Arial"/>
          <w:sz w:val="20"/>
          <w:szCs w:val="20"/>
          <w:lang w:val="en-GB"/>
        </w:rPr>
        <w:t xml:space="preserve">W has received honoraria and consultancy fees from UCB Pharma, </w:t>
      </w:r>
      <w:r w:rsidR="00A47253" w:rsidRPr="00602915">
        <w:rPr>
          <w:rFonts w:ascii="Arial" w:hAnsi="Arial" w:cs="Arial"/>
          <w:sz w:val="20"/>
          <w:szCs w:val="20"/>
          <w:lang w:val="en-GB"/>
        </w:rPr>
        <w:t xml:space="preserve">Bial Pharma, Zambon, </w:t>
      </w:r>
      <w:r w:rsidRPr="00602915">
        <w:rPr>
          <w:rFonts w:ascii="Arial" w:hAnsi="Arial" w:cs="Arial"/>
          <w:sz w:val="20"/>
          <w:szCs w:val="20"/>
          <w:lang w:val="en-GB"/>
        </w:rPr>
        <w:t>Britannia, Abbvie, Boehringer Ingelheim and Medtronic.</w:t>
      </w:r>
    </w:p>
    <w:p w14:paraId="526976CC" w14:textId="32FF5C6B" w:rsidR="00582CE9" w:rsidRPr="00602915" w:rsidRDefault="00582CE9" w:rsidP="00582CE9">
      <w:pPr>
        <w:spacing w:after="0" w:line="240" w:lineRule="auto"/>
        <w:rPr>
          <w:rFonts w:ascii="Arial" w:hAnsi="Arial" w:cs="Arial"/>
          <w:sz w:val="20"/>
          <w:szCs w:val="20"/>
          <w:lang w:val="en-GB"/>
        </w:rPr>
      </w:pPr>
    </w:p>
    <w:p w14:paraId="09895109" w14:textId="77777777" w:rsidR="00582CE9" w:rsidRPr="00602915" w:rsidRDefault="00582CE9" w:rsidP="00582CE9">
      <w:pPr>
        <w:spacing w:after="0" w:line="240" w:lineRule="auto"/>
        <w:rPr>
          <w:rFonts w:ascii="Arial" w:hAnsi="Arial" w:cs="Arial"/>
          <w:sz w:val="20"/>
          <w:szCs w:val="20"/>
          <w:lang w:val="en-GB"/>
        </w:rPr>
      </w:pPr>
    </w:p>
    <w:p w14:paraId="6158D198" w14:textId="77777777" w:rsidR="00E21E9B" w:rsidRPr="00602915" w:rsidRDefault="00E21E9B" w:rsidP="00582CE9">
      <w:pPr>
        <w:pStyle w:val="Heading2"/>
        <w:spacing w:before="0" w:line="240" w:lineRule="auto"/>
        <w:rPr>
          <w:rFonts w:ascii="Arial" w:hAnsi="Arial" w:cs="Arial"/>
          <w:b/>
          <w:color w:val="4F81BD" w:themeColor="accent1"/>
          <w:sz w:val="20"/>
          <w:szCs w:val="20"/>
          <w:lang w:val="en-GB"/>
        </w:rPr>
      </w:pPr>
      <w:r w:rsidRPr="00602915">
        <w:rPr>
          <w:rFonts w:ascii="Arial" w:hAnsi="Arial" w:cs="Arial"/>
          <w:b/>
          <w:color w:val="4F81BD" w:themeColor="accent1"/>
          <w:sz w:val="20"/>
          <w:szCs w:val="20"/>
          <w:lang w:val="en-GB"/>
        </w:rPr>
        <w:t>Abstract</w:t>
      </w:r>
    </w:p>
    <w:p w14:paraId="276D8D4F" w14:textId="42908A72" w:rsidR="00E21E9B" w:rsidRPr="00602915" w:rsidRDefault="00E21E9B" w:rsidP="00582CE9">
      <w:pPr>
        <w:spacing w:after="0" w:line="240" w:lineRule="auto"/>
        <w:rPr>
          <w:rFonts w:ascii="Arial" w:hAnsi="Arial" w:cs="Arial"/>
          <w:sz w:val="20"/>
          <w:szCs w:val="20"/>
          <w:lang w:val="en-GB"/>
        </w:rPr>
      </w:pPr>
      <w:r w:rsidRPr="00602915">
        <w:rPr>
          <w:rFonts w:ascii="Arial" w:hAnsi="Arial" w:cs="Arial"/>
          <w:sz w:val="20"/>
          <w:szCs w:val="20"/>
          <w:lang w:val="en-GB"/>
        </w:rPr>
        <w:t xml:space="preserve">Parkinson's disease (PD) is a common neurodegenerative condition, affecting 2–3% of </w:t>
      </w:r>
      <w:r w:rsidR="002C34A3" w:rsidRPr="00602915">
        <w:rPr>
          <w:rFonts w:ascii="Arial" w:hAnsi="Arial" w:cs="Arial"/>
          <w:sz w:val="20"/>
          <w:szCs w:val="20"/>
          <w:lang w:val="en-GB"/>
        </w:rPr>
        <w:t xml:space="preserve">individuals </w:t>
      </w:r>
      <w:r w:rsidRPr="00602915">
        <w:rPr>
          <w:rFonts w:ascii="Arial" w:hAnsi="Arial" w:cs="Arial"/>
          <w:sz w:val="20"/>
          <w:szCs w:val="20"/>
          <w:lang w:val="en-GB"/>
        </w:rPr>
        <w:t xml:space="preserve">&gt;65 years of age. Although it is defined as a movement disorder, patients also experience a range of non-motor symptoms, reflecting pathology that is more widespread than originally thought </w:t>
      </w:r>
      <w:r w:rsidR="00FA5A5A" w:rsidRPr="00602915">
        <w:rPr>
          <w:rFonts w:ascii="Arial" w:hAnsi="Arial" w:cs="Arial"/>
          <w:sz w:val="20"/>
          <w:szCs w:val="20"/>
          <w:lang w:val="en-GB"/>
        </w:rPr>
        <w:t xml:space="preserve">in </w:t>
      </w:r>
      <w:r w:rsidRPr="00602915">
        <w:rPr>
          <w:rFonts w:ascii="Arial" w:hAnsi="Arial" w:cs="Arial"/>
          <w:sz w:val="20"/>
          <w:szCs w:val="20"/>
          <w:lang w:val="en-GB"/>
        </w:rPr>
        <w:t xml:space="preserve">the peripheral and autonomic nervous system as well as the brainstem and cortex. Some non-motor symptoms </w:t>
      </w:r>
      <w:r w:rsidR="00FA5A5A" w:rsidRPr="00602915">
        <w:rPr>
          <w:rFonts w:ascii="Arial" w:hAnsi="Arial" w:cs="Arial"/>
          <w:sz w:val="20"/>
          <w:szCs w:val="20"/>
          <w:lang w:val="en-GB"/>
        </w:rPr>
        <w:t xml:space="preserve">emerge </w:t>
      </w:r>
      <w:r w:rsidRPr="00602915">
        <w:rPr>
          <w:rFonts w:ascii="Arial" w:hAnsi="Arial" w:cs="Arial"/>
          <w:sz w:val="20"/>
          <w:szCs w:val="20"/>
          <w:lang w:val="en-GB"/>
        </w:rPr>
        <w:t>years before motor problems</w:t>
      </w:r>
      <w:r w:rsidR="00FA5A5A" w:rsidRPr="00602915">
        <w:rPr>
          <w:rFonts w:ascii="Arial" w:hAnsi="Arial" w:cs="Arial"/>
          <w:sz w:val="20"/>
          <w:szCs w:val="20"/>
          <w:lang w:val="en-GB"/>
        </w:rPr>
        <w:t xml:space="preserve">. This </w:t>
      </w:r>
      <w:r w:rsidR="00F35D32" w:rsidRPr="00602915">
        <w:rPr>
          <w:rFonts w:ascii="Arial" w:hAnsi="Arial" w:cs="Arial"/>
          <w:sz w:val="20"/>
          <w:szCs w:val="20"/>
          <w:lang w:val="en-GB"/>
        </w:rPr>
        <w:t xml:space="preserve">prodromal stage of PD </w:t>
      </w:r>
      <w:r w:rsidR="00161136" w:rsidRPr="00602915">
        <w:rPr>
          <w:rFonts w:ascii="Arial" w:hAnsi="Arial" w:cs="Arial"/>
          <w:sz w:val="20"/>
          <w:szCs w:val="20"/>
          <w:lang w:val="en-GB"/>
        </w:rPr>
        <w:t>may</w:t>
      </w:r>
      <w:r w:rsidR="00F35D32" w:rsidRPr="00602915">
        <w:rPr>
          <w:rFonts w:ascii="Arial" w:hAnsi="Arial" w:cs="Arial"/>
          <w:sz w:val="20"/>
          <w:szCs w:val="20"/>
          <w:lang w:val="en-GB"/>
        </w:rPr>
        <w:t xml:space="preserve"> represent </w:t>
      </w:r>
      <w:r w:rsidR="00FA5A5A" w:rsidRPr="00602915">
        <w:rPr>
          <w:rFonts w:ascii="Arial" w:hAnsi="Arial" w:cs="Arial"/>
          <w:sz w:val="20"/>
          <w:szCs w:val="20"/>
          <w:lang w:val="en-GB"/>
        </w:rPr>
        <w:t>the</w:t>
      </w:r>
      <w:r w:rsidR="00F35D32" w:rsidRPr="00602915">
        <w:rPr>
          <w:rFonts w:ascii="Arial" w:hAnsi="Arial" w:cs="Arial"/>
          <w:sz w:val="20"/>
          <w:szCs w:val="20"/>
          <w:lang w:val="en-GB"/>
        </w:rPr>
        <w:t xml:space="preserve"> optimal </w:t>
      </w:r>
      <w:r w:rsidR="00FA5A5A" w:rsidRPr="00602915">
        <w:rPr>
          <w:rFonts w:ascii="Arial" w:hAnsi="Arial" w:cs="Arial"/>
          <w:sz w:val="20"/>
          <w:szCs w:val="20"/>
          <w:lang w:val="en-GB"/>
        </w:rPr>
        <w:t>time</w:t>
      </w:r>
      <w:r w:rsidR="00F35D32" w:rsidRPr="00602915">
        <w:rPr>
          <w:rFonts w:ascii="Arial" w:hAnsi="Arial" w:cs="Arial"/>
          <w:sz w:val="20"/>
          <w:szCs w:val="20"/>
          <w:lang w:val="en-GB"/>
        </w:rPr>
        <w:t xml:space="preserve"> for intervention with </w:t>
      </w:r>
      <w:r w:rsidRPr="00602915">
        <w:rPr>
          <w:rFonts w:ascii="Arial" w:hAnsi="Arial" w:cs="Arial"/>
          <w:sz w:val="20"/>
          <w:szCs w:val="20"/>
          <w:lang w:val="en-GB"/>
        </w:rPr>
        <w:t xml:space="preserve">future disease-modifying therapies. Patients differ in the extent of non-motor and motor symptoms at presentation, and in the speed </w:t>
      </w:r>
      <w:r w:rsidR="00FA5A5A" w:rsidRPr="00602915">
        <w:rPr>
          <w:rFonts w:ascii="Arial" w:hAnsi="Arial" w:cs="Arial"/>
          <w:sz w:val="20"/>
          <w:szCs w:val="20"/>
          <w:lang w:val="en-GB"/>
        </w:rPr>
        <w:t>of</w:t>
      </w:r>
      <w:r w:rsidRPr="00602915">
        <w:rPr>
          <w:rFonts w:ascii="Arial" w:hAnsi="Arial" w:cs="Arial"/>
          <w:sz w:val="20"/>
          <w:szCs w:val="20"/>
          <w:lang w:val="en-GB"/>
        </w:rPr>
        <w:t xml:space="preserve"> </w:t>
      </w:r>
      <w:r w:rsidR="00FA5A5A" w:rsidRPr="00602915">
        <w:rPr>
          <w:rFonts w:ascii="Arial" w:hAnsi="Arial" w:cs="Arial"/>
          <w:sz w:val="20"/>
          <w:szCs w:val="20"/>
          <w:lang w:val="en-GB"/>
        </w:rPr>
        <w:t>evolution</w:t>
      </w:r>
      <w:r w:rsidRPr="00602915">
        <w:rPr>
          <w:rFonts w:ascii="Arial" w:hAnsi="Arial" w:cs="Arial"/>
          <w:sz w:val="20"/>
          <w:szCs w:val="20"/>
          <w:lang w:val="en-GB"/>
        </w:rPr>
        <w:t xml:space="preserve">. This is partly because of genetic factors and is to some extent predictable in early disease. </w:t>
      </w:r>
      <w:r w:rsidR="003C2DD1" w:rsidRPr="00602915">
        <w:rPr>
          <w:rFonts w:ascii="Arial" w:hAnsi="Arial" w:cs="Arial"/>
          <w:sz w:val="20"/>
          <w:szCs w:val="20"/>
          <w:lang w:val="en-GB"/>
        </w:rPr>
        <w:t>Her</w:t>
      </w:r>
      <w:r w:rsidRPr="00602915">
        <w:rPr>
          <w:rFonts w:ascii="Arial" w:hAnsi="Arial" w:cs="Arial"/>
          <w:sz w:val="20"/>
          <w:szCs w:val="20"/>
          <w:lang w:val="en-GB"/>
        </w:rPr>
        <w:t>e, we discuss the natural history of PD and provide an update on its genetic and pathological basis before reviewing motor and non-motor symptomatology. We discuss currently available therapies and their complications, before review</w:t>
      </w:r>
      <w:r w:rsidR="003C2DD1" w:rsidRPr="00602915">
        <w:rPr>
          <w:rFonts w:ascii="Arial" w:hAnsi="Arial" w:cs="Arial"/>
          <w:sz w:val="20"/>
          <w:szCs w:val="20"/>
          <w:lang w:val="en-GB"/>
        </w:rPr>
        <w:t>ing</w:t>
      </w:r>
      <w:r w:rsidRPr="00602915">
        <w:rPr>
          <w:rFonts w:ascii="Arial" w:hAnsi="Arial" w:cs="Arial"/>
          <w:sz w:val="20"/>
          <w:szCs w:val="20"/>
          <w:lang w:val="en-GB"/>
        </w:rPr>
        <w:t xml:space="preserve"> new therapeutic developments and the need to target these precisely to particular disease subtypes that are now better defined at an early disease stage.</w:t>
      </w:r>
    </w:p>
    <w:p w14:paraId="30D2E86A" w14:textId="77777777" w:rsidR="00E21E9B" w:rsidRPr="00602915" w:rsidRDefault="00E21E9B" w:rsidP="00582CE9">
      <w:pPr>
        <w:spacing w:after="0" w:line="240" w:lineRule="auto"/>
        <w:rPr>
          <w:rFonts w:ascii="Arial" w:hAnsi="Arial" w:cs="Arial"/>
          <w:sz w:val="20"/>
          <w:szCs w:val="20"/>
          <w:lang w:val="en-GB"/>
        </w:rPr>
      </w:pPr>
    </w:p>
    <w:p w14:paraId="262B06BF" w14:textId="77777777" w:rsidR="00E21E9B" w:rsidRPr="00602915" w:rsidRDefault="00E21E9B" w:rsidP="00582CE9">
      <w:pPr>
        <w:spacing w:after="0" w:line="240" w:lineRule="auto"/>
        <w:rPr>
          <w:rFonts w:ascii="Arial" w:hAnsi="Arial" w:cs="Arial"/>
          <w:b/>
          <w:color w:val="4F81BD" w:themeColor="accent1"/>
          <w:sz w:val="20"/>
          <w:szCs w:val="20"/>
          <w:lang w:val="en-GB"/>
        </w:rPr>
      </w:pPr>
    </w:p>
    <w:p w14:paraId="5BAE97DD" w14:textId="1F3ECB49" w:rsidR="00E21E9B" w:rsidRPr="00602915" w:rsidRDefault="00E21E9B" w:rsidP="00582CE9">
      <w:pPr>
        <w:pStyle w:val="Heading2"/>
        <w:spacing w:before="0" w:line="240" w:lineRule="auto"/>
        <w:rPr>
          <w:rFonts w:ascii="Arial" w:hAnsi="Arial" w:cs="Arial"/>
          <w:b/>
          <w:color w:val="4F81BD" w:themeColor="accent1"/>
          <w:sz w:val="20"/>
          <w:szCs w:val="20"/>
          <w:lang w:val="en-GB"/>
        </w:rPr>
      </w:pPr>
      <w:r w:rsidRPr="00602915">
        <w:rPr>
          <w:rFonts w:ascii="Arial" w:hAnsi="Arial" w:cs="Arial"/>
          <w:b/>
          <w:color w:val="4F81BD" w:themeColor="accent1"/>
          <w:sz w:val="20"/>
          <w:szCs w:val="20"/>
          <w:lang w:val="en-GB"/>
        </w:rPr>
        <w:t>Keywords</w:t>
      </w:r>
    </w:p>
    <w:p w14:paraId="6A63CA07" w14:textId="1BB3EC1F" w:rsidR="00E21E9B" w:rsidRPr="00602915" w:rsidRDefault="00E21E9B" w:rsidP="00582CE9">
      <w:pPr>
        <w:spacing w:after="0" w:line="240" w:lineRule="auto"/>
        <w:rPr>
          <w:rFonts w:ascii="Arial" w:hAnsi="Arial" w:cs="Arial"/>
          <w:sz w:val="20"/>
          <w:szCs w:val="20"/>
          <w:lang w:val="en-GB"/>
        </w:rPr>
      </w:pPr>
      <w:r w:rsidRPr="00602915">
        <w:rPr>
          <w:rFonts w:ascii="Arial" w:hAnsi="Arial" w:cs="Arial"/>
          <w:sz w:val="20"/>
          <w:szCs w:val="20"/>
          <w:lang w:val="en-GB"/>
        </w:rPr>
        <w:t>Genetics</w:t>
      </w:r>
      <w:r w:rsidR="005B4191" w:rsidRPr="00602915">
        <w:rPr>
          <w:rFonts w:ascii="Arial" w:hAnsi="Arial" w:cs="Arial"/>
          <w:sz w:val="20"/>
          <w:szCs w:val="20"/>
          <w:lang w:val="en-GB"/>
        </w:rPr>
        <w:t xml:space="preserve">; </w:t>
      </w:r>
      <w:r w:rsidRPr="00602915">
        <w:rPr>
          <w:rFonts w:ascii="Arial" w:hAnsi="Arial" w:cs="Arial"/>
          <w:sz w:val="20"/>
          <w:szCs w:val="20"/>
          <w:lang w:val="en-GB"/>
        </w:rPr>
        <w:t>heterogeneity</w:t>
      </w:r>
      <w:r w:rsidR="005B4191" w:rsidRPr="00602915">
        <w:rPr>
          <w:rFonts w:ascii="Arial" w:hAnsi="Arial" w:cs="Arial"/>
          <w:sz w:val="20"/>
          <w:szCs w:val="20"/>
          <w:lang w:val="en-GB"/>
        </w:rPr>
        <w:t xml:space="preserve">; </w:t>
      </w:r>
      <w:r w:rsidRPr="00602915">
        <w:rPr>
          <w:rFonts w:ascii="Arial" w:hAnsi="Arial" w:cs="Arial"/>
          <w:sz w:val="20"/>
          <w:szCs w:val="20"/>
          <w:lang w:val="en-GB"/>
        </w:rPr>
        <w:t>Lewy bodies</w:t>
      </w:r>
      <w:r w:rsidR="005B4191" w:rsidRPr="00602915">
        <w:rPr>
          <w:rFonts w:ascii="Arial" w:hAnsi="Arial" w:cs="Arial"/>
          <w:sz w:val="20"/>
          <w:szCs w:val="20"/>
          <w:lang w:val="en-GB"/>
        </w:rPr>
        <w:t xml:space="preserve">; </w:t>
      </w:r>
      <w:r w:rsidRPr="00602915">
        <w:rPr>
          <w:rFonts w:ascii="Arial" w:hAnsi="Arial" w:cs="Arial"/>
          <w:sz w:val="20"/>
          <w:szCs w:val="20"/>
          <w:lang w:val="en-GB"/>
        </w:rPr>
        <w:t>Parkinson</w:t>
      </w:r>
      <w:r w:rsidR="00D35E6D" w:rsidRPr="00602915">
        <w:rPr>
          <w:rFonts w:ascii="Arial" w:hAnsi="Arial" w:cs="Arial"/>
          <w:sz w:val="20"/>
          <w:szCs w:val="20"/>
          <w:lang w:val="en-GB"/>
        </w:rPr>
        <w:t>’</w:t>
      </w:r>
      <w:r w:rsidRPr="00602915">
        <w:rPr>
          <w:rFonts w:ascii="Arial" w:hAnsi="Arial" w:cs="Arial"/>
          <w:sz w:val="20"/>
          <w:szCs w:val="20"/>
          <w:lang w:val="en-GB"/>
        </w:rPr>
        <w:t>s disease</w:t>
      </w:r>
      <w:r w:rsidR="005B4191" w:rsidRPr="00602915">
        <w:rPr>
          <w:rFonts w:ascii="Arial" w:hAnsi="Arial" w:cs="Arial"/>
          <w:sz w:val="20"/>
          <w:szCs w:val="20"/>
          <w:lang w:val="en-GB"/>
        </w:rPr>
        <w:t xml:space="preserve">; </w:t>
      </w:r>
      <w:r w:rsidRPr="00602915">
        <w:rPr>
          <w:rFonts w:ascii="Arial" w:hAnsi="Arial" w:cs="Arial"/>
          <w:sz w:val="20"/>
          <w:szCs w:val="20"/>
          <w:lang w:val="en-GB"/>
        </w:rPr>
        <w:t>therapy</w:t>
      </w:r>
    </w:p>
    <w:p w14:paraId="114A5CFE" w14:textId="2EC47C9E" w:rsidR="00E21E9B" w:rsidRPr="00602915" w:rsidRDefault="00E21E9B" w:rsidP="00FB3568">
      <w:pPr>
        <w:spacing w:after="0" w:line="240" w:lineRule="auto"/>
        <w:rPr>
          <w:rFonts w:ascii="Arial" w:hAnsi="Arial" w:cs="Arial"/>
          <w:sz w:val="20"/>
          <w:szCs w:val="20"/>
          <w:lang w:val="en-GB"/>
        </w:rPr>
      </w:pPr>
    </w:p>
    <w:p w14:paraId="34C8986D" w14:textId="77777777" w:rsidR="00FB3568" w:rsidRPr="00602915" w:rsidRDefault="00FB3568" w:rsidP="00FB3568">
      <w:pPr>
        <w:spacing w:after="0" w:line="240" w:lineRule="auto"/>
        <w:rPr>
          <w:rFonts w:ascii="Arial" w:hAnsi="Arial" w:cs="Arial"/>
          <w:sz w:val="20"/>
          <w:szCs w:val="20"/>
          <w:lang w:val="en-GB"/>
        </w:rPr>
      </w:pPr>
    </w:p>
    <w:p w14:paraId="42B0F6F2" w14:textId="77777777" w:rsidR="00FB3568" w:rsidRPr="00602915" w:rsidRDefault="00FB3568" w:rsidP="00FB3568">
      <w:pPr>
        <w:spacing w:after="0" w:line="240" w:lineRule="auto"/>
        <w:outlineLvl w:val="2"/>
        <w:rPr>
          <w:rFonts w:ascii="Arial" w:eastAsia="Times New Roman" w:hAnsi="Arial" w:cs="Arial"/>
          <w:b/>
          <w:color w:val="4F81BD" w:themeColor="accent1"/>
          <w:sz w:val="20"/>
          <w:szCs w:val="20"/>
          <w:lang w:val="en-GB" w:eastAsia="en-GB"/>
        </w:rPr>
      </w:pPr>
      <w:r w:rsidRPr="00602915">
        <w:rPr>
          <w:rFonts w:ascii="Arial" w:eastAsia="Times New Roman" w:hAnsi="Arial" w:cs="Arial"/>
          <w:b/>
          <w:color w:val="4F81BD" w:themeColor="accent1"/>
          <w:sz w:val="20"/>
          <w:szCs w:val="20"/>
          <w:lang w:val="en-GB" w:eastAsia="en-GB"/>
        </w:rPr>
        <w:t>Key points</w:t>
      </w:r>
    </w:p>
    <w:p w14:paraId="19FE6FD8" w14:textId="538FD626" w:rsidR="00FB3568" w:rsidRPr="00602915" w:rsidRDefault="00FB3568" w:rsidP="00FB3568">
      <w:pPr>
        <w:spacing w:after="0" w:line="240" w:lineRule="auto"/>
        <w:ind w:right="30"/>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•Parkinson</w:t>
      </w:r>
      <w:r w:rsidR="00D35E6D" w:rsidRPr="00602915">
        <w:rPr>
          <w:rFonts w:ascii="Arial" w:eastAsia="Times New Roman" w:hAnsi="Arial" w:cs="Arial"/>
          <w:sz w:val="20"/>
          <w:szCs w:val="20"/>
          <w:lang w:val="en-GB" w:eastAsia="en-GB"/>
        </w:rPr>
        <w:t>’</w:t>
      </w:r>
      <w:r w:rsidRPr="00602915">
        <w:rPr>
          <w:rFonts w:ascii="Arial" w:eastAsia="Times New Roman" w:hAnsi="Arial" w:cs="Arial"/>
          <w:sz w:val="20"/>
          <w:szCs w:val="20"/>
          <w:lang w:val="en-GB" w:eastAsia="en-GB"/>
        </w:rPr>
        <w:t xml:space="preserve">s disease (PD) is a multisystem disorder with prominent non-motor features, some of which occur as a prodrome to the motor symptoms; eliciting these </w:t>
      </w:r>
      <w:r w:rsidR="00BE6911" w:rsidRPr="00602915">
        <w:rPr>
          <w:rFonts w:ascii="Arial" w:eastAsia="Times New Roman" w:hAnsi="Arial" w:cs="Arial"/>
          <w:sz w:val="20"/>
          <w:szCs w:val="20"/>
          <w:lang w:val="en-GB" w:eastAsia="en-GB"/>
        </w:rPr>
        <w:t>can</w:t>
      </w:r>
      <w:r w:rsidRPr="00602915">
        <w:rPr>
          <w:rFonts w:ascii="Arial" w:eastAsia="Times New Roman" w:hAnsi="Arial" w:cs="Arial"/>
          <w:sz w:val="20"/>
          <w:szCs w:val="20"/>
          <w:lang w:val="en-GB" w:eastAsia="en-GB"/>
        </w:rPr>
        <w:t xml:space="preserve"> facilitate earlier diagnosis</w:t>
      </w:r>
    </w:p>
    <w:p w14:paraId="51156159" w14:textId="50175BC7" w:rsidR="00FB3568" w:rsidRPr="00602915" w:rsidRDefault="00FB3568" w:rsidP="00FB3568">
      <w:pPr>
        <w:spacing w:after="0" w:line="240" w:lineRule="auto"/>
        <w:ind w:right="30"/>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•PD is clinically heterogeneous, which at least partly relates to inherited genetic factors</w:t>
      </w:r>
    </w:p>
    <w:p w14:paraId="3C446FCB" w14:textId="11C7D02B" w:rsidR="00FB3568" w:rsidRPr="00602915" w:rsidRDefault="00FB3568" w:rsidP="00FB3568">
      <w:pPr>
        <w:spacing w:after="0" w:line="240" w:lineRule="auto"/>
        <w:ind w:right="30"/>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•Levodopa remains the most effective and best tolerated oral therapy for the motor symptoms of PD, despite its long-term complications</w:t>
      </w:r>
    </w:p>
    <w:p w14:paraId="51EF9BD9" w14:textId="254D64E5" w:rsidR="00741B13" w:rsidRPr="00602915" w:rsidRDefault="00741B13" w:rsidP="00FB3568">
      <w:pPr>
        <w:spacing w:after="0" w:line="240" w:lineRule="auto"/>
        <w:ind w:right="30"/>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 xml:space="preserve">•Advanced therapies for patients with motor complications include subcutaneous apomorphine infusion, jejunal levodopa gel infusion </w:t>
      </w:r>
      <w:r w:rsidR="009517F3" w:rsidRPr="00602915">
        <w:rPr>
          <w:rFonts w:ascii="Arial" w:eastAsia="Times New Roman" w:hAnsi="Arial" w:cs="Arial"/>
          <w:sz w:val="20"/>
          <w:szCs w:val="20"/>
          <w:lang w:val="en-GB" w:eastAsia="en-GB"/>
        </w:rPr>
        <w:t>and</w:t>
      </w:r>
      <w:r w:rsidRPr="00602915">
        <w:rPr>
          <w:rFonts w:ascii="Arial" w:eastAsia="Times New Roman" w:hAnsi="Arial" w:cs="Arial"/>
          <w:sz w:val="20"/>
          <w:szCs w:val="20"/>
          <w:lang w:val="en-GB" w:eastAsia="en-GB"/>
        </w:rPr>
        <w:t xml:space="preserve"> deep brain stimulation; cell-based transplantation therapies and gene therapies to directly replace striatal dopamine are </w:t>
      </w:r>
      <w:r w:rsidR="006D19BD" w:rsidRPr="00602915">
        <w:rPr>
          <w:rFonts w:ascii="Arial" w:eastAsia="Times New Roman" w:hAnsi="Arial" w:cs="Arial"/>
          <w:sz w:val="20"/>
          <w:szCs w:val="20"/>
          <w:lang w:val="en-GB" w:eastAsia="en-GB"/>
        </w:rPr>
        <w:t xml:space="preserve">under </w:t>
      </w:r>
      <w:r w:rsidR="00E86034" w:rsidRPr="00602915">
        <w:rPr>
          <w:rFonts w:ascii="Arial" w:eastAsia="Times New Roman" w:hAnsi="Arial" w:cs="Arial"/>
          <w:sz w:val="20"/>
          <w:szCs w:val="20"/>
          <w:lang w:val="en-GB" w:eastAsia="en-GB"/>
        </w:rPr>
        <w:t>investigation</w:t>
      </w:r>
    </w:p>
    <w:p w14:paraId="698C7CE8" w14:textId="0596DE65" w:rsidR="00BD0852" w:rsidRPr="00602915" w:rsidRDefault="00FB3568" w:rsidP="00BD0852">
      <w:pPr>
        <w:spacing w:after="0" w:line="240" w:lineRule="auto"/>
        <w:ind w:right="30"/>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w:t>
      </w:r>
      <w:r w:rsidR="00766E5B" w:rsidRPr="00602915">
        <w:rPr>
          <w:rFonts w:ascii="Arial" w:eastAsia="Times New Roman" w:hAnsi="Arial" w:cs="Arial"/>
          <w:sz w:val="20"/>
          <w:szCs w:val="20"/>
          <w:lang w:val="en-GB" w:eastAsia="en-GB"/>
        </w:rPr>
        <w:t>There are no</w:t>
      </w:r>
      <w:r w:rsidR="00BD0852" w:rsidRPr="00602915">
        <w:rPr>
          <w:rFonts w:ascii="Arial" w:eastAsia="Times New Roman" w:hAnsi="Arial" w:cs="Arial"/>
          <w:sz w:val="20"/>
          <w:szCs w:val="20"/>
          <w:lang w:val="en-GB" w:eastAsia="en-GB"/>
        </w:rPr>
        <w:t xml:space="preserve"> disease</w:t>
      </w:r>
      <w:r w:rsidR="00BE6911" w:rsidRPr="00602915">
        <w:rPr>
          <w:rFonts w:ascii="Arial" w:eastAsia="Times New Roman" w:hAnsi="Arial" w:cs="Arial"/>
          <w:sz w:val="20"/>
          <w:szCs w:val="20"/>
          <w:lang w:val="en-GB" w:eastAsia="en-GB"/>
        </w:rPr>
        <w:t>-</w:t>
      </w:r>
      <w:r w:rsidR="00BD0852" w:rsidRPr="00602915">
        <w:rPr>
          <w:rFonts w:ascii="Arial" w:eastAsia="Times New Roman" w:hAnsi="Arial" w:cs="Arial"/>
          <w:sz w:val="20"/>
          <w:szCs w:val="20"/>
          <w:lang w:val="en-GB" w:eastAsia="en-GB"/>
        </w:rPr>
        <w:t xml:space="preserve">modifying therapies for PD, but </w:t>
      </w:r>
      <w:r w:rsidR="00741B13" w:rsidRPr="00602915">
        <w:rPr>
          <w:rFonts w:ascii="Arial" w:eastAsia="Times New Roman" w:hAnsi="Arial" w:cs="Arial"/>
          <w:sz w:val="20"/>
          <w:szCs w:val="20"/>
          <w:lang w:val="en-GB" w:eastAsia="en-GB"/>
        </w:rPr>
        <w:t>clinical trials are underway of</w:t>
      </w:r>
      <w:r w:rsidR="00C95B2E">
        <w:rPr>
          <w:rFonts w:ascii="Arial" w:eastAsia="Times New Roman" w:hAnsi="Arial" w:cs="Arial"/>
          <w:sz w:val="20"/>
          <w:szCs w:val="20"/>
          <w:lang w:val="en-GB" w:eastAsia="en-GB"/>
        </w:rPr>
        <w:t xml:space="preserve"> </w:t>
      </w:r>
      <w:r w:rsidR="00741B13" w:rsidRPr="00602915">
        <w:rPr>
          <w:rFonts w:ascii="Arial" w:eastAsia="Times New Roman" w:hAnsi="Arial" w:cs="Arial"/>
          <w:sz w:val="20"/>
          <w:szCs w:val="20"/>
          <w:lang w:val="en-GB" w:eastAsia="en-GB"/>
        </w:rPr>
        <w:t xml:space="preserve">a number of </w:t>
      </w:r>
      <w:r w:rsidR="00D35E6D" w:rsidRPr="00602915">
        <w:rPr>
          <w:rFonts w:ascii="Arial" w:eastAsia="Times New Roman" w:hAnsi="Arial" w:cs="Arial"/>
          <w:sz w:val="20"/>
          <w:szCs w:val="20"/>
          <w:lang w:val="en-GB" w:eastAsia="en-GB"/>
        </w:rPr>
        <w:t>‘</w:t>
      </w:r>
      <w:r w:rsidR="00741B13" w:rsidRPr="00602915">
        <w:rPr>
          <w:rFonts w:ascii="Arial" w:eastAsia="Times New Roman" w:hAnsi="Arial" w:cs="Arial"/>
          <w:sz w:val="20"/>
          <w:szCs w:val="20"/>
          <w:lang w:val="en-GB" w:eastAsia="en-GB"/>
        </w:rPr>
        <w:t xml:space="preserve">repositioned’ drugs targeting neuronal dysfunction and </w:t>
      </w:r>
      <w:r w:rsidR="00BD0852" w:rsidRPr="00602915">
        <w:rPr>
          <w:rFonts w:ascii="Arial" w:eastAsia="Times New Roman" w:hAnsi="Arial" w:cs="Arial"/>
          <w:sz w:val="20"/>
          <w:szCs w:val="20"/>
          <w:lang w:val="en-GB" w:eastAsia="en-GB"/>
        </w:rPr>
        <w:t>immune pathways,</w:t>
      </w:r>
      <w:r w:rsidRPr="00602915">
        <w:rPr>
          <w:rFonts w:ascii="Arial" w:eastAsia="Times New Roman" w:hAnsi="Arial" w:cs="Arial"/>
          <w:sz w:val="20"/>
          <w:szCs w:val="20"/>
          <w:lang w:val="en-GB" w:eastAsia="en-GB"/>
        </w:rPr>
        <w:t xml:space="preserve"> a</w:t>
      </w:r>
      <w:r w:rsidR="006D19BD" w:rsidRPr="00602915">
        <w:rPr>
          <w:rFonts w:ascii="Arial" w:eastAsia="Times New Roman" w:hAnsi="Arial" w:cs="Arial"/>
          <w:sz w:val="20"/>
          <w:szCs w:val="20"/>
          <w:lang w:val="en-GB" w:eastAsia="en-GB"/>
        </w:rPr>
        <w:t xml:space="preserve">s well as </w:t>
      </w:r>
      <w:r w:rsidRPr="00602915">
        <w:rPr>
          <w:rFonts w:ascii="Arial" w:eastAsia="Times New Roman" w:hAnsi="Arial" w:cs="Arial"/>
          <w:sz w:val="20"/>
          <w:szCs w:val="20"/>
          <w:lang w:val="en-GB" w:eastAsia="en-GB"/>
        </w:rPr>
        <w:t>vaccine therapies to prevent the spread of α-synuclein aggregates through the brain</w:t>
      </w:r>
    </w:p>
    <w:p w14:paraId="6CDE25B5" w14:textId="7780B48E" w:rsidR="00E21E9B" w:rsidRPr="00602915" w:rsidRDefault="00E21E9B" w:rsidP="00FB3568">
      <w:pPr>
        <w:spacing w:after="0" w:line="240" w:lineRule="auto"/>
        <w:rPr>
          <w:rFonts w:ascii="Arial" w:hAnsi="Arial" w:cs="Arial"/>
          <w:b/>
          <w:color w:val="4F81BD" w:themeColor="accent1"/>
          <w:sz w:val="20"/>
          <w:szCs w:val="20"/>
          <w:lang w:val="en-GB"/>
        </w:rPr>
      </w:pPr>
    </w:p>
    <w:p w14:paraId="1F9B9589" w14:textId="77777777" w:rsidR="00FB3568" w:rsidRPr="00602915" w:rsidRDefault="00FB3568" w:rsidP="00582CE9">
      <w:pPr>
        <w:spacing w:after="0" w:line="240" w:lineRule="auto"/>
        <w:rPr>
          <w:rFonts w:ascii="Arial" w:hAnsi="Arial" w:cs="Arial"/>
          <w:b/>
          <w:color w:val="4F81BD" w:themeColor="accent1"/>
          <w:sz w:val="20"/>
          <w:szCs w:val="20"/>
          <w:lang w:val="en-GB"/>
        </w:rPr>
      </w:pPr>
    </w:p>
    <w:p w14:paraId="21597BC1" w14:textId="77777777" w:rsidR="00E21E9B" w:rsidRPr="00602915" w:rsidRDefault="00E21E9B" w:rsidP="00582CE9">
      <w:pPr>
        <w:pStyle w:val="Heading2"/>
        <w:spacing w:before="0" w:line="240" w:lineRule="auto"/>
        <w:rPr>
          <w:rFonts w:ascii="Arial" w:hAnsi="Arial" w:cs="Arial"/>
          <w:b/>
          <w:color w:val="4F81BD" w:themeColor="accent1"/>
          <w:sz w:val="20"/>
          <w:szCs w:val="20"/>
          <w:lang w:val="en-GB"/>
        </w:rPr>
      </w:pPr>
      <w:r w:rsidRPr="00602915">
        <w:rPr>
          <w:rFonts w:ascii="Arial" w:hAnsi="Arial" w:cs="Arial"/>
          <w:b/>
          <w:color w:val="4F81BD" w:themeColor="accent1"/>
          <w:sz w:val="20"/>
          <w:szCs w:val="20"/>
          <w:lang w:val="en-GB"/>
        </w:rPr>
        <w:t>Introduction</w:t>
      </w:r>
    </w:p>
    <w:p w14:paraId="00ED5D47" w14:textId="374646EE" w:rsidR="00E21E9B" w:rsidRPr="00602915" w:rsidRDefault="00E21E9B" w:rsidP="00582CE9">
      <w:pPr>
        <w:spacing w:after="0" w:line="240" w:lineRule="auto"/>
        <w:rPr>
          <w:rFonts w:ascii="Arial" w:hAnsi="Arial" w:cs="Arial"/>
          <w:sz w:val="20"/>
          <w:szCs w:val="20"/>
          <w:lang w:val="en-GB"/>
        </w:rPr>
      </w:pPr>
      <w:r w:rsidRPr="00602915">
        <w:rPr>
          <w:rFonts w:ascii="Arial" w:hAnsi="Arial" w:cs="Arial"/>
          <w:sz w:val="20"/>
          <w:szCs w:val="20"/>
          <w:lang w:val="en-GB"/>
        </w:rPr>
        <w:t>Parkinson</w:t>
      </w:r>
      <w:r w:rsidR="00D35E6D" w:rsidRPr="00602915">
        <w:rPr>
          <w:rFonts w:ascii="Arial" w:hAnsi="Arial" w:cs="Arial"/>
          <w:sz w:val="20"/>
          <w:szCs w:val="20"/>
          <w:lang w:val="en-GB"/>
        </w:rPr>
        <w:t>’</w:t>
      </w:r>
      <w:r w:rsidRPr="00602915">
        <w:rPr>
          <w:rFonts w:ascii="Arial" w:hAnsi="Arial" w:cs="Arial"/>
          <w:sz w:val="20"/>
          <w:szCs w:val="20"/>
          <w:lang w:val="en-GB"/>
        </w:rPr>
        <w:t xml:space="preserve">s disease (PD) is defined as a movement disorder caused by a loss of dopamine-producing cells in the substantia nigra. </w:t>
      </w:r>
      <w:r w:rsidR="00E86034" w:rsidRPr="00602915">
        <w:rPr>
          <w:rFonts w:ascii="Arial" w:hAnsi="Arial" w:cs="Arial"/>
          <w:sz w:val="20"/>
          <w:szCs w:val="20"/>
          <w:lang w:val="en-GB"/>
        </w:rPr>
        <w:t>I</w:t>
      </w:r>
      <w:r w:rsidRPr="00602915">
        <w:rPr>
          <w:rFonts w:ascii="Arial" w:hAnsi="Arial" w:cs="Arial"/>
          <w:sz w:val="20"/>
          <w:szCs w:val="20"/>
          <w:lang w:val="en-GB"/>
        </w:rPr>
        <w:t>t is</w:t>
      </w:r>
      <w:r w:rsidR="009E6BEA" w:rsidRPr="00602915">
        <w:rPr>
          <w:rFonts w:ascii="Arial" w:hAnsi="Arial" w:cs="Arial"/>
          <w:sz w:val="20"/>
          <w:szCs w:val="20"/>
          <w:lang w:val="en-GB"/>
        </w:rPr>
        <w:t>, however</w:t>
      </w:r>
      <w:r w:rsidRPr="00602915">
        <w:rPr>
          <w:rFonts w:ascii="Arial" w:hAnsi="Arial" w:cs="Arial"/>
          <w:sz w:val="20"/>
          <w:szCs w:val="20"/>
          <w:lang w:val="en-GB"/>
        </w:rPr>
        <w:t xml:space="preserve"> more complex than this, both clinically and pathologically. </w:t>
      </w:r>
      <w:r w:rsidR="00E86034" w:rsidRPr="00602915">
        <w:rPr>
          <w:rFonts w:ascii="Arial" w:hAnsi="Arial" w:cs="Arial"/>
          <w:sz w:val="20"/>
          <w:szCs w:val="20"/>
          <w:lang w:val="en-GB"/>
        </w:rPr>
        <w:t>As well as</w:t>
      </w:r>
      <w:r w:rsidRPr="00602915">
        <w:rPr>
          <w:rFonts w:ascii="Arial" w:hAnsi="Arial" w:cs="Arial"/>
          <w:sz w:val="20"/>
          <w:szCs w:val="20"/>
          <w:lang w:val="en-GB"/>
        </w:rPr>
        <w:t xml:space="preserve"> motor features of bradykinesia, rigidity, tremor and postural instability, non-motor features including cognitive impairment, depression, hallucinations, autonomic features and sleep problems </w:t>
      </w:r>
      <w:r w:rsidR="00E86034" w:rsidRPr="00602915">
        <w:rPr>
          <w:rFonts w:ascii="Arial" w:hAnsi="Arial" w:cs="Arial"/>
          <w:sz w:val="20"/>
          <w:szCs w:val="20"/>
          <w:lang w:val="en-GB"/>
        </w:rPr>
        <w:t xml:space="preserve">are </w:t>
      </w:r>
      <w:r w:rsidRPr="00602915">
        <w:rPr>
          <w:rFonts w:ascii="Arial" w:hAnsi="Arial" w:cs="Arial"/>
          <w:sz w:val="20"/>
          <w:szCs w:val="20"/>
          <w:lang w:val="en-GB"/>
        </w:rPr>
        <w:t xml:space="preserve">a </w:t>
      </w:r>
      <w:r w:rsidRPr="00602915">
        <w:rPr>
          <w:rFonts w:ascii="Arial" w:hAnsi="Arial" w:cs="Arial"/>
          <w:sz w:val="20"/>
          <w:szCs w:val="20"/>
          <w:lang w:val="en-GB"/>
        </w:rPr>
        <w:lastRenderedPageBreak/>
        <w:t>significant burden. The</w:t>
      </w:r>
      <w:r w:rsidR="00E86034" w:rsidRPr="00602915">
        <w:rPr>
          <w:rFonts w:ascii="Arial" w:hAnsi="Arial" w:cs="Arial"/>
          <w:sz w:val="20"/>
          <w:szCs w:val="20"/>
          <w:lang w:val="en-GB"/>
        </w:rPr>
        <w:t>se</w:t>
      </w:r>
      <w:r w:rsidRPr="00602915">
        <w:rPr>
          <w:rFonts w:ascii="Arial" w:hAnsi="Arial" w:cs="Arial"/>
          <w:sz w:val="20"/>
          <w:szCs w:val="20"/>
          <w:lang w:val="en-GB"/>
        </w:rPr>
        <w:t xml:space="preserve"> non-motor </w:t>
      </w:r>
      <w:r w:rsidR="00C95B2E">
        <w:rPr>
          <w:rFonts w:ascii="Arial" w:hAnsi="Arial" w:cs="Arial"/>
          <w:sz w:val="20"/>
          <w:szCs w:val="20"/>
          <w:lang w:val="en-GB"/>
        </w:rPr>
        <w:t xml:space="preserve">symptoms </w:t>
      </w:r>
      <w:r w:rsidR="00E86034" w:rsidRPr="00602915">
        <w:rPr>
          <w:rFonts w:ascii="Arial" w:hAnsi="Arial" w:cs="Arial"/>
          <w:sz w:val="20"/>
          <w:szCs w:val="20"/>
          <w:lang w:val="en-GB"/>
        </w:rPr>
        <w:t>are</w:t>
      </w:r>
      <w:r w:rsidRPr="00602915">
        <w:rPr>
          <w:rFonts w:ascii="Arial" w:hAnsi="Arial" w:cs="Arial"/>
          <w:sz w:val="20"/>
          <w:szCs w:val="20"/>
          <w:lang w:val="en-GB"/>
        </w:rPr>
        <w:t xml:space="preserve"> acknowledged in the newly developed Movement Disorder Society clinical diagnostic criteria for PD, </w:t>
      </w:r>
      <w:r w:rsidR="00C95B2E">
        <w:rPr>
          <w:rFonts w:ascii="Arial" w:hAnsi="Arial" w:cs="Arial"/>
          <w:sz w:val="20"/>
          <w:szCs w:val="20"/>
          <w:lang w:val="en-GB"/>
        </w:rPr>
        <w:t xml:space="preserve">with </w:t>
      </w:r>
      <w:r w:rsidR="009E6BEA" w:rsidRPr="00602915">
        <w:rPr>
          <w:rFonts w:ascii="Arial" w:hAnsi="Arial" w:cs="Arial"/>
          <w:sz w:val="20"/>
          <w:szCs w:val="20"/>
          <w:lang w:val="en-GB"/>
        </w:rPr>
        <w:t>a</w:t>
      </w:r>
      <w:r w:rsidR="00910835" w:rsidRPr="00602915">
        <w:rPr>
          <w:rFonts w:ascii="Arial" w:hAnsi="Arial" w:cs="Arial"/>
          <w:sz w:val="20"/>
          <w:szCs w:val="20"/>
          <w:lang w:val="en-GB"/>
        </w:rPr>
        <w:t>n</w:t>
      </w:r>
      <w:r w:rsidR="009E6BEA" w:rsidRPr="00602915">
        <w:rPr>
          <w:rFonts w:ascii="Arial" w:hAnsi="Arial" w:cs="Arial"/>
          <w:sz w:val="20"/>
          <w:szCs w:val="20"/>
          <w:lang w:val="en-GB"/>
        </w:rPr>
        <w:t xml:space="preserve"> </w:t>
      </w:r>
      <w:r w:rsidRPr="00602915">
        <w:rPr>
          <w:rFonts w:ascii="Arial" w:hAnsi="Arial" w:cs="Arial"/>
          <w:sz w:val="20"/>
          <w:szCs w:val="20"/>
          <w:lang w:val="en-GB"/>
        </w:rPr>
        <w:t xml:space="preserve">absence of non-motor features within the first 5 years </w:t>
      </w:r>
      <w:r w:rsidR="00910835" w:rsidRPr="00602915">
        <w:rPr>
          <w:rFonts w:ascii="Arial" w:hAnsi="Arial" w:cs="Arial"/>
          <w:sz w:val="20"/>
          <w:szCs w:val="20"/>
          <w:lang w:val="en-GB"/>
        </w:rPr>
        <w:t xml:space="preserve">being </w:t>
      </w:r>
      <w:r w:rsidRPr="00602915">
        <w:rPr>
          <w:rFonts w:ascii="Arial" w:hAnsi="Arial" w:cs="Arial"/>
          <w:sz w:val="20"/>
          <w:szCs w:val="20"/>
          <w:lang w:val="en-GB"/>
        </w:rPr>
        <w:t>a ‘red flag’ against the diagnosis.</w:t>
      </w:r>
      <w:bookmarkStart w:id="2" w:name="bbib1"/>
      <w:r w:rsidRPr="00602915">
        <w:rPr>
          <w:rFonts w:ascii="Arial" w:hAnsi="Arial" w:cs="Arial"/>
          <w:sz w:val="20"/>
          <w:szCs w:val="20"/>
          <w:vertAlign w:val="superscript"/>
          <w:lang w:val="en-GB"/>
        </w:rPr>
        <w:t>1</w:t>
      </w:r>
      <w:bookmarkEnd w:id="2"/>
    </w:p>
    <w:p w14:paraId="2D202F2E" w14:textId="74082D03" w:rsidR="00E21E9B" w:rsidRPr="00602915" w:rsidRDefault="00E86034" w:rsidP="00582CE9">
      <w:pPr>
        <w:spacing w:after="0" w:line="240" w:lineRule="auto"/>
        <w:ind w:firstLine="720"/>
        <w:rPr>
          <w:rFonts w:ascii="Arial" w:hAnsi="Arial" w:cs="Arial"/>
          <w:sz w:val="20"/>
          <w:szCs w:val="20"/>
          <w:lang w:val="en-GB"/>
        </w:rPr>
      </w:pPr>
      <w:r w:rsidRPr="00602915">
        <w:rPr>
          <w:rFonts w:ascii="Arial" w:hAnsi="Arial" w:cs="Arial"/>
          <w:sz w:val="20"/>
          <w:szCs w:val="20"/>
          <w:lang w:val="en-GB"/>
        </w:rPr>
        <w:t>W</w:t>
      </w:r>
      <w:r w:rsidR="00E21E9B" w:rsidRPr="00602915">
        <w:rPr>
          <w:rFonts w:ascii="Arial" w:hAnsi="Arial" w:cs="Arial"/>
          <w:sz w:val="20"/>
          <w:szCs w:val="20"/>
          <w:lang w:val="en-GB"/>
        </w:rPr>
        <w:t>e discuss the typical motor and non-motor symptoms of PD</w:t>
      </w:r>
      <w:r w:rsidRPr="00602915">
        <w:rPr>
          <w:rFonts w:ascii="Arial" w:hAnsi="Arial" w:cs="Arial"/>
          <w:sz w:val="20"/>
          <w:szCs w:val="20"/>
          <w:lang w:val="en-GB"/>
        </w:rPr>
        <w:t>,</w:t>
      </w:r>
      <w:r w:rsidR="00E21E9B" w:rsidRPr="00602915">
        <w:rPr>
          <w:rFonts w:ascii="Arial" w:hAnsi="Arial" w:cs="Arial"/>
          <w:sz w:val="20"/>
          <w:szCs w:val="20"/>
          <w:lang w:val="en-GB"/>
        </w:rPr>
        <w:t xml:space="preserve"> their pathological basis and treatment. There is considerable variability in these symptoms</w:t>
      </w:r>
      <w:r w:rsidRPr="00602915">
        <w:rPr>
          <w:rFonts w:ascii="Arial" w:hAnsi="Arial" w:cs="Arial"/>
          <w:sz w:val="20"/>
          <w:szCs w:val="20"/>
          <w:lang w:val="en-GB"/>
        </w:rPr>
        <w:t>,</w:t>
      </w:r>
      <w:r w:rsidR="00E21E9B" w:rsidRPr="00602915">
        <w:rPr>
          <w:rFonts w:ascii="Arial" w:hAnsi="Arial" w:cs="Arial"/>
          <w:sz w:val="20"/>
          <w:szCs w:val="20"/>
          <w:lang w:val="en-GB"/>
        </w:rPr>
        <w:t xml:space="preserve"> their evolution and </w:t>
      </w:r>
      <w:r w:rsidR="00C95B2E">
        <w:rPr>
          <w:rFonts w:ascii="Arial" w:hAnsi="Arial" w:cs="Arial"/>
          <w:sz w:val="20"/>
          <w:szCs w:val="20"/>
          <w:lang w:val="en-GB"/>
        </w:rPr>
        <w:t xml:space="preserve">underlying </w:t>
      </w:r>
      <w:r w:rsidR="00E21E9B" w:rsidRPr="00602915">
        <w:rPr>
          <w:rFonts w:ascii="Arial" w:hAnsi="Arial" w:cs="Arial"/>
          <w:sz w:val="20"/>
          <w:szCs w:val="20"/>
          <w:lang w:val="en-GB"/>
        </w:rPr>
        <w:t xml:space="preserve">pathological </w:t>
      </w:r>
      <w:r w:rsidR="007C6158">
        <w:rPr>
          <w:rFonts w:ascii="Arial" w:hAnsi="Arial" w:cs="Arial"/>
          <w:sz w:val="20"/>
          <w:szCs w:val="20"/>
          <w:lang w:val="en-GB"/>
        </w:rPr>
        <w:t>factors</w:t>
      </w:r>
      <w:r w:rsidRPr="00602915">
        <w:rPr>
          <w:rFonts w:ascii="Arial" w:hAnsi="Arial" w:cs="Arial"/>
          <w:sz w:val="20"/>
          <w:szCs w:val="20"/>
          <w:lang w:val="en-GB"/>
        </w:rPr>
        <w:t>. This</w:t>
      </w:r>
      <w:r w:rsidR="00E21E9B" w:rsidRPr="00602915">
        <w:rPr>
          <w:rFonts w:ascii="Arial" w:hAnsi="Arial" w:cs="Arial"/>
          <w:sz w:val="20"/>
          <w:szCs w:val="20"/>
          <w:lang w:val="en-GB"/>
        </w:rPr>
        <w:t xml:space="preserve"> has important implications for </w:t>
      </w:r>
      <w:r w:rsidR="002255F6" w:rsidRPr="00602915">
        <w:rPr>
          <w:rFonts w:ascii="Arial" w:hAnsi="Arial" w:cs="Arial"/>
          <w:sz w:val="20"/>
          <w:szCs w:val="20"/>
          <w:lang w:val="en-GB"/>
        </w:rPr>
        <w:t>develop</w:t>
      </w:r>
      <w:r w:rsidR="0048478A" w:rsidRPr="00602915">
        <w:rPr>
          <w:rFonts w:ascii="Arial" w:hAnsi="Arial" w:cs="Arial"/>
          <w:sz w:val="20"/>
          <w:szCs w:val="20"/>
          <w:lang w:val="en-GB"/>
        </w:rPr>
        <w:t>ing</w:t>
      </w:r>
      <w:r w:rsidR="002255F6" w:rsidRPr="00602915">
        <w:rPr>
          <w:rFonts w:ascii="Arial" w:hAnsi="Arial" w:cs="Arial"/>
          <w:sz w:val="20"/>
          <w:szCs w:val="20"/>
          <w:lang w:val="en-GB"/>
        </w:rPr>
        <w:t xml:space="preserve"> new</w:t>
      </w:r>
      <w:r w:rsidR="00E21E9B" w:rsidRPr="00602915">
        <w:rPr>
          <w:rFonts w:ascii="Arial" w:hAnsi="Arial" w:cs="Arial"/>
          <w:sz w:val="20"/>
          <w:szCs w:val="20"/>
          <w:lang w:val="en-GB"/>
        </w:rPr>
        <w:t xml:space="preserve"> therapies </w:t>
      </w:r>
      <w:r w:rsidR="002255F6" w:rsidRPr="00602915">
        <w:rPr>
          <w:rFonts w:ascii="Arial" w:hAnsi="Arial" w:cs="Arial"/>
          <w:sz w:val="20"/>
          <w:szCs w:val="20"/>
          <w:lang w:val="en-GB"/>
        </w:rPr>
        <w:t xml:space="preserve">better </w:t>
      </w:r>
      <w:r w:rsidR="00E21E9B" w:rsidRPr="00602915">
        <w:rPr>
          <w:rFonts w:ascii="Arial" w:hAnsi="Arial" w:cs="Arial"/>
          <w:sz w:val="20"/>
          <w:szCs w:val="20"/>
          <w:lang w:val="en-GB"/>
        </w:rPr>
        <w:t>targeted to disease subtype.</w:t>
      </w:r>
    </w:p>
    <w:p w14:paraId="08C8D6EA" w14:textId="77777777" w:rsidR="00582CE9" w:rsidRPr="00602915" w:rsidRDefault="00582CE9" w:rsidP="00582CE9">
      <w:pPr>
        <w:spacing w:after="0" w:line="240" w:lineRule="auto"/>
        <w:rPr>
          <w:rFonts w:ascii="Arial" w:hAnsi="Arial" w:cs="Arial"/>
          <w:sz w:val="20"/>
          <w:szCs w:val="20"/>
          <w:lang w:val="en-GB"/>
        </w:rPr>
      </w:pPr>
    </w:p>
    <w:p w14:paraId="46BECF01" w14:textId="77777777" w:rsidR="00E21E9B" w:rsidRPr="00602915" w:rsidRDefault="00E21E9B" w:rsidP="00582CE9">
      <w:pPr>
        <w:pStyle w:val="Heading2"/>
        <w:spacing w:before="0" w:line="240" w:lineRule="auto"/>
        <w:rPr>
          <w:rFonts w:ascii="Arial" w:hAnsi="Arial" w:cs="Arial"/>
          <w:b/>
          <w:color w:val="4F81BD" w:themeColor="accent1"/>
          <w:sz w:val="20"/>
          <w:szCs w:val="20"/>
          <w:lang w:val="en-GB"/>
        </w:rPr>
      </w:pPr>
      <w:r w:rsidRPr="00602915">
        <w:rPr>
          <w:rFonts w:ascii="Arial" w:hAnsi="Arial" w:cs="Arial"/>
          <w:b/>
          <w:color w:val="4F81BD" w:themeColor="accent1"/>
          <w:sz w:val="20"/>
          <w:szCs w:val="20"/>
          <w:lang w:val="en-GB"/>
        </w:rPr>
        <w:t>Epidemiology and natural history</w:t>
      </w:r>
    </w:p>
    <w:p w14:paraId="21182FCC" w14:textId="78B3CC4A" w:rsidR="00E21E9B" w:rsidRPr="00602915" w:rsidRDefault="00E21E9B" w:rsidP="00582CE9">
      <w:pPr>
        <w:spacing w:after="0" w:line="240" w:lineRule="auto"/>
        <w:rPr>
          <w:rFonts w:ascii="Arial" w:hAnsi="Arial" w:cs="Arial"/>
          <w:sz w:val="20"/>
          <w:szCs w:val="20"/>
          <w:lang w:val="en-GB"/>
        </w:rPr>
      </w:pPr>
      <w:r w:rsidRPr="00602915">
        <w:rPr>
          <w:rFonts w:ascii="Arial" w:hAnsi="Arial" w:cs="Arial"/>
          <w:sz w:val="20"/>
          <w:szCs w:val="20"/>
          <w:lang w:val="en-GB"/>
        </w:rPr>
        <w:t>PD has an incidence of 13 per 100,000 person–years. It is most prevalent in older people, affecting 2–3% of those &gt;65 years of age, but can begin as early as the third or fourth decade, particularly in inherited cases (see below).</w:t>
      </w:r>
    </w:p>
    <w:p w14:paraId="46C0FF3A" w14:textId="35A2FE39" w:rsidR="0036065A" w:rsidRPr="00602915" w:rsidRDefault="00E86034" w:rsidP="00582CE9">
      <w:pPr>
        <w:spacing w:after="0" w:line="240" w:lineRule="auto"/>
        <w:ind w:firstLine="720"/>
        <w:rPr>
          <w:rFonts w:ascii="Arial" w:hAnsi="Arial" w:cs="Arial"/>
          <w:sz w:val="20"/>
          <w:szCs w:val="20"/>
          <w:lang w:val="en-GB"/>
        </w:rPr>
      </w:pPr>
      <w:r w:rsidRPr="00602915">
        <w:rPr>
          <w:rFonts w:ascii="Arial" w:hAnsi="Arial" w:cs="Arial"/>
          <w:sz w:val="20"/>
          <w:szCs w:val="20"/>
          <w:lang w:val="en-GB"/>
        </w:rPr>
        <w:t>M</w:t>
      </w:r>
      <w:r w:rsidR="00E21E9B" w:rsidRPr="00602915">
        <w:rPr>
          <w:rFonts w:ascii="Arial" w:hAnsi="Arial" w:cs="Arial"/>
          <w:sz w:val="20"/>
          <w:szCs w:val="20"/>
          <w:lang w:val="en-GB"/>
        </w:rPr>
        <w:t xml:space="preserve">any symptoms </w:t>
      </w:r>
      <w:r w:rsidRPr="00602915">
        <w:rPr>
          <w:rFonts w:ascii="Arial" w:hAnsi="Arial" w:cs="Arial"/>
          <w:sz w:val="20"/>
          <w:szCs w:val="20"/>
          <w:lang w:val="en-GB"/>
        </w:rPr>
        <w:t>are</w:t>
      </w:r>
      <w:r w:rsidR="00E21E9B" w:rsidRPr="00602915">
        <w:rPr>
          <w:rFonts w:ascii="Arial" w:hAnsi="Arial" w:cs="Arial"/>
          <w:sz w:val="20"/>
          <w:szCs w:val="20"/>
          <w:lang w:val="en-GB"/>
        </w:rPr>
        <w:t xml:space="preserve"> effectively </w:t>
      </w:r>
      <w:r w:rsidR="0048478A" w:rsidRPr="00602915">
        <w:rPr>
          <w:rFonts w:ascii="Arial" w:hAnsi="Arial" w:cs="Arial"/>
          <w:sz w:val="20"/>
          <w:szCs w:val="20"/>
          <w:lang w:val="en-GB"/>
        </w:rPr>
        <w:t xml:space="preserve">controlled </w:t>
      </w:r>
      <w:r w:rsidR="00E21E9B" w:rsidRPr="00602915">
        <w:rPr>
          <w:rFonts w:ascii="Arial" w:hAnsi="Arial" w:cs="Arial"/>
          <w:sz w:val="20"/>
          <w:szCs w:val="20"/>
          <w:lang w:val="en-GB"/>
        </w:rPr>
        <w:t xml:space="preserve">with dopaminergic medications for the first few years after diagnosis, </w:t>
      </w:r>
      <w:r w:rsidRPr="00602915">
        <w:rPr>
          <w:rFonts w:ascii="Arial" w:hAnsi="Arial" w:cs="Arial"/>
          <w:sz w:val="20"/>
          <w:szCs w:val="20"/>
          <w:lang w:val="en-GB"/>
        </w:rPr>
        <w:t xml:space="preserve">but </w:t>
      </w:r>
      <w:r w:rsidR="00E21E9B" w:rsidRPr="00602915">
        <w:rPr>
          <w:rFonts w:ascii="Arial" w:hAnsi="Arial" w:cs="Arial"/>
          <w:sz w:val="20"/>
          <w:szCs w:val="20"/>
          <w:lang w:val="en-GB"/>
        </w:rPr>
        <w:t>non-dopa-responsive symptoms emerge as the disease progresses</w:t>
      </w:r>
      <w:r w:rsidRPr="00602915">
        <w:rPr>
          <w:rFonts w:ascii="Arial" w:hAnsi="Arial" w:cs="Arial"/>
          <w:sz w:val="20"/>
          <w:szCs w:val="20"/>
          <w:lang w:val="en-GB"/>
        </w:rPr>
        <w:t>. T</w:t>
      </w:r>
      <w:r w:rsidR="00E21E9B" w:rsidRPr="00602915">
        <w:rPr>
          <w:rFonts w:ascii="Arial" w:hAnsi="Arial" w:cs="Arial"/>
          <w:sz w:val="20"/>
          <w:szCs w:val="20"/>
          <w:lang w:val="en-GB"/>
        </w:rPr>
        <w:t>hese are generally irreversible and have a major impact on quality of life. Two such key milestones in the natural history of PD are postural instability and dementia, with average times to onset of approximately 5 and 10 years from diagnosis, respectively</w:t>
      </w:r>
      <w:r w:rsidR="00105D42" w:rsidRPr="00602915">
        <w:rPr>
          <w:rFonts w:ascii="Arial" w:hAnsi="Arial" w:cs="Arial"/>
          <w:sz w:val="20"/>
          <w:szCs w:val="20"/>
          <w:lang w:val="en-GB"/>
        </w:rPr>
        <w:t>, although this is highly variable. Early clinical predictors of a</w:t>
      </w:r>
      <w:r w:rsidRPr="00602915">
        <w:rPr>
          <w:rFonts w:ascii="Arial" w:hAnsi="Arial" w:cs="Arial"/>
          <w:sz w:val="20"/>
          <w:szCs w:val="20"/>
          <w:lang w:val="en-GB"/>
        </w:rPr>
        <w:t>n aggressive</w:t>
      </w:r>
      <w:r w:rsidR="00105D42" w:rsidRPr="00602915">
        <w:rPr>
          <w:rFonts w:ascii="Arial" w:hAnsi="Arial" w:cs="Arial"/>
          <w:sz w:val="20"/>
          <w:szCs w:val="20"/>
          <w:lang w:val="en-GB"/>
        </w:rPr>
        <w:t xml:space="preserve">, rapidly progressive phenotype include early gait and balance problems and deficits </w:t>
      </w:r>
      <w:r w:rsidR="007C6158">
        <w:rPr>
          <w:rFonts w:ascii="Arial" w:hAnsi="Arial" w:cs="Arial"/>
          <w:sz w:val="20"/>
          <w:szCs w:val="20"/>
          <w:lang w:val="en-GB"/>
        </w:rPr>
        <w:t>o</w:t>
      </w:r>
      <w:r w:rsidR="00105D42" w:rsidRPr="00602915">
        <w:rPr>
          <w:rFonts w:ascii="Arial" w:hAnsi="Arial" w:cs="Arial"/>
          <w:sz w:val="20"/>
          <w:szCs w:val="20"/>
          <w:lang w:val="en-GB"/>
        </w:rPr>
        <w:t>n posterior cortically based neuropsychological tests</w:t>
      </w:r>
      <w:r w:rsidR="00F57797" w:rsidRPr="00602915">
        <w:rPr>
          <w:rFonts w:ascii="Arial" w:hAnsi="Arial" w:cs="Arial"/>
          <w:sz w:val="20"/>
          <w:szCs w:val="20"/>
          <w:lang w:val="en-GB"/>
        </w:rPr>
        <w:t>,</w:t>
      </w:r>
      <w:r w:rsidR="00105D42" w:rsidRPr="00602915">
        <w:rPr>
          <w:rFonts w:ascii="Arial" w:hAnsi="Arial" w:cs="Arial"/>
          <w:sz w:val="20"/>
          <w:szCs w:val="20"/>
          <w:lang w:val="en-GB"/>
        </w:rPr>
        <w:t xml:space="preserve"> including pentagon copying and semantic fluency. </w:t>
      </w:r>
      <w:r w:rsidR="00E21E9B" w:rsidRPr="00602915">
        <w:rPr>
          <w:rFonts w:ascii="Arial" w:hAnsi="Arial" w:cs="Arial"/>
          <w:sz w:val="20"/>
          <w:szCs w:val="20"/>
          <w:lang w:val="en-GB"/>
        </w:rPr>
        <w:t xml:space="preserve">Some patients have a </w:t>
      </w:r>
      <w:r w:rsidR="00105D42" w:rsidRPr="00602915">
        <w:rPr>
          <w:rFonts w:ascii="Arial" w:hAnsi="Arial" w:cs="Arial"/>
          <w:sz w:val="20"/>
          <w:szCs w:val="20"/>
          <w:lang w:val="en-GB"/>
        </w:rPr>
        <w:t>more</w:t>
      </w:r>
      <w:r w:rsidR="00E21E9B" w:rsidRPr="00602915">
        <w:rPr>
          <w:rFonts w:ascii="Arial" w:hAnsi="Arial" w:cs="Arial"/>
          <w:sz w:val="20"/>
          <w:szCs w:val="20"/>
          <w:lang w:val="en-GB"/>
        </w:rPr>
        <w:t xml:space="preserve"> benign course, </w:t>
      </w:r>
      <w:r w:rsidR="007C6158">
        <w:rPr>
          <w:rFonts w:ascii="Arial" w:hAnsi="Arial" w:cs="Arial"/>
          <w:sz w:val="20"/>
          <w:szCs w:val="20"/>
          <w:lang w:val="en-GB"/>
        </w:rPr>
        <w:t xml:space="preserve">with </w:t>
      </w:r>
      <w:r w:rsidR="00E21E9B" w:rsidRPr="00602915">
        <w:rPr>
          <w:rFonts w:ascii="Arial" w:hAnsi="Arial" w:cs="Arial"/>
          <w:sz w:val="20"/>
          <w:szCs w:val="20"/>
          <w:lang w:val="en-GB"/>
        </w:rPr>
        <w:t>approximately a quarter surviving without postural instability or dementia 10 years into their illness.</w:t>
      </w:r>
      <w:bookmarkStart w:id="3" w:name="bbib2"/>
      <w:r w:rsidR="00E21E9B" w:rsidRPr="00602915">
        <w:rPr>
          <w:rFonts w:ascii="Arial" w:hAnsi="Arial" w:cs="Arial"/>
          <w:sz w:val="20"/>
          <w:szCs w:val="20"/>
          <w:vertAlign w:val="superscript"/>
          <w:lang w:val="en-GB"/>
        </w:rPr>
        <w:t>2</w:t>
      </w:r>
      <w:r w:rsidR="00E21E9B" w:rsidRPr="00602915">
        <w:rPr>
          <w:rFonts w:ascii="Arial" w:hAnsi="Arial" w:cs="Arial"/>
          <w:sz w:val="20"/>
          <w:szCs w:val="20"/>
          <w:lang w:val="en-GB"/>
        </w:rPr>
        <w:t xml:space="preserve"> </w:t>
      </w:r>
    </w:p>
    <w:p w14:paraId="37EE5969" w14:textId="1E988E3A" w:rsidR="00E21E9B" w:rsidRPr="00602915" w:rsidRDefault="00E21E9B" w:rsidP="00582CE9">
      <w:pPr>
        <w:spacing w:after="0" w:line="240" w:lineRule="auto"/>
        <w:ind w:firstLine="720"/>
        <w:rPr>
          <w:rFonts w:ascii="Arial" w:hAnsi="Arial" w:cs="Arial"/>
          <w:sz w:val="20"/>
          <w:szCs w:val="20"/>
          <w:lang w:val="en-GB"/>
        </w:rPr>
      </w:pPr>
      <w:r w:rsidRPr="00602915">
        <w:rPr>
          <w:rFonts w:ascii="Arial" w:hAnsi="Arial" w:cs="Arial"/>
          <w:sz w:val="20"/>
          <w:szCs w:val="20"/>
          <w:lang w:val="en-GB"/>
        </w:rPr>
        <w:t xml:space="preserve">Mortality in PD is </w:t>
      </w:r>
      <w:r w:rsidR="00E86034" w:rsidRPr="00602915">
        <w:rPr>
          <w:rFonts w:ascii="Arial" w:hAnsi="Arial" w:cs="Arial"/>
          <w:sz w:val="20"/>
          <w:szCs w:val="20"/>
          <w:lang w:val="en-GB"/>
        </w:rPr>
        <w:t xml:space="preserve">often </w:t>
      </w:r>
      <w:r w:rsidRPr="00602915">
        <w:rPr>
          <w:rFonts w:ascii="Arial" w:hAnsi="Arial" w:cs="Arial"/>
          <w:sz w:val="20"/>
          <w:szCs w:val="20"/>
          <w:lang w:val="en-GB"/>
        </w:rPr>
        <w:t xml:space="preserve">reported </w:t>
      </w:r>
      <w:r w:rsidR="00E86034" w:rsidRPr="00602915">
        <w:rPr>
          <w:rFonts w:ascii="Arial" w:hAnsi="Arial" w:cs="Arial"/>
          <w:sz w:val="20"/>
          <w:szCs w:val="20"/>
          <w:lang w:val="en-GB"/>
        </w:rPr>
        <w:t xml:space="preserve">as </w:t>
      </w:r>
      <w:r w:rsidRPr="00602915">
        <w:rPr>
          <w:rFonts w:ascii="Arial" w:hAnsi="Arial" w:cs="Arial"/>
          <w:sz w:val="20"/>
          <w:szCs w:val="20"/>
          <w:lang w:val="en-GB"/>
        </w:rPr>
        <w:t xml:space="preserve">slightly higher than expected for age, but not all studies concur. Pneumonia is the most common cause of death, </w:t>
      </w:r>
      <w:r w:rsidR="007F3384" w:rsidRPr="00602915">
        <w:rPr>
          <w:rFonts w:ascii="Arial" w:hAnsi="Arial" w:cs="Arial"/>
          <w:sz w:val="20"/>
          <w:szCs w:val="20"/>
          <w:lang w:val="en-GB"/>
        </w:rPr>
        <w:t>possibly</w:t>
      </w:r>
      <w:r w:rsidRPr="00602915">
        <w:rPr>
          <w:rFonts w:ascii="Arial" w:hAnsi="Arial" w:cs="Arial"/>
          <w:sz w:val="20"/>
          <w:szCs w:val="20"/>
          <w:lang w:val="en-GB"/>
        </w:rPr>
        <w:t xml:space="preserve"> related to aspiration secondary to swallowing difficulties. </w:t>
      </w:r>
      <w:r w:rsidR="00E86034" w:rsidRPr="00602915">
        <w:rPr>
          <w:rFonts w:ascii="Arial" w:hAnsi="Arial" w:cs="Arial"/>
          <w:sz w:val="20"/>
          <w:szCs w:val="20"/>
          <w:lang w:val="en-GB"/>
        </w:rPr>
        <w:t>I</w:t>
      </w:r>
      <w:r w:rsidRPr="00602915">
        <w:rPr>
          <w:rFonts w:ascii="Arial" w:hAnsi="Arial" w:cs="Arial"/>
          <w:sz w:val="20"/>
          <w:szCs w:val="20"/>
          <w:lang w:val="en-GB"/>
        </w:rPr>
        <w:t>n most patients dying with PD, the cause of death is not directly related to PD.</w:t>
      </w:r>
      <w:r w:rsidRPr="00602915">
        <w:rPr>
          <w:rFonts w:ascii="Arial" w:hAnsi="Arial" w:cs="Arial"/>
          <w:sz w:val="20"/>
          <w:szCs w:val="20"/>
          <w:vertAlign w:val="superscript"/>
          <w:lang w:val="en-GB"/>
        </w:rPr>
        <w:t>2</w:t>
      </w:r>
      <w:bookmarkEnd w:id="3"/>
    </w:p>
    <w:p w14:paraId="6922B680" w14:textId="77777777" w:rsidR="00582CE9" w:rsidRPr="00602915" w:rsidRDefault="00582CE9" w:rsidP="00582CE9">
      <w:pPr>
        <w:pStyle w:val="Heading2"/>
        <w:spacing w:before="0" w:line="240" w:lineRule="auto"/>
        <w:rPr>
          <w:rFonts w:ascii="Arial" w:hAnsi="Arial" w:cs="Arial"/>
          <w:b/>
          <w:color w:val="4F81BD" w:themeColor="accent1"/>
          <w:sz w:val="20"/>
          <w:szCs w:val="20"/>
          <w:lang w:val="en-GB"/>
        </w:rPr>
      </w:pPr>
    </w:p>
    <w:p w14:paraId="4DE8E2BE" w14:textId="3330D38C" w:rsidR="00E21E9B" w:rsidRPr="00602915" w:rsidRDefault="00E21E9B" w:rsidP="00582CE9">
      <w:pPr>
        <w:pStyle w:val="Heading2"/>
        <w:spacing w:before="0" w:line="240" w:lineRule="auto"/>
        <w:rPr>
          <w:rFonts w:ascii="Arial" w:hAnsi="Arial" w:cs="Arial"/>
          <w:b/>
          <w:color w:val="4F81BD" w:themeColor="accent1"/>
          <w:sz w:val="20"/>
          <w:szCs w:val="20"/>
          <w:lang w:val="en-GB"/>
        </w:rPr>
      </w:pPr>
      <w:r w:rsidRPr="00602915">
        <w:rPr>
          <w:rFonts w:ascii="Arial" w:hAnsi="Arial" w:cs="Arial"/>
          <w:b/>
          <w:color w:val="4F81BD" w:themeColor="accent1"/>
          <w:sz w:val="20"/>
          <w:szCs w:val="20"/>
          <w:lang w:val="en-GB"/>
        </w:rPr>
        <w:t>Genetic basis</w:t>
      </w:r>
    </w:p>
    <w:p w14:paraId="7A4F6571" w14:textId="7C684595" w:rsidR="00E21E9B" w:rsidRPr="00602915" w:rsidRDefault="0011292C" w:rsidP="00582CE9">
      <w:pPr>
        <w:spacing w:after="0" w:line="240" w:lineRule="auto"/>
        <w:rPr>
          <w:rFonts w:ascii="Arial" w:hAnsi="Arial" w:cs="Arial"/>
          <w:sz w:val="20"/>
          <w:szCs w:val="20"/>
          <w:lang w:val="en-GB"/>
        </w:rPr>
      </w:pPr>
      <w:r w:rsidRPr="00602915">
        <w:rPr>
          <w:rFonts w:ascii="Arial" w:hAnsi="Arial" w:cs="Arial"/>
          <w:sz w:val="20"/>
          <w:szCs w:val="20"/>
          <w:lang w:val="en-GB"/>
        </w:rPr>
        <w:t xml:space="preserve">Up to </w:t>
      </w:r>
      <w:r w:rsidR="00E21E9B" w:rsidRPr="00602915">
        <w:rPr>
          <w:rFonts w:ascii="Arial" w:hAnsi="Arial" w:cs="Arial"/>
          <w:sz w:val="20"/>
          <w:szCs w:val="20"/>
          <w:lang w:val="en-GB"/>
        </w:rPr>
        <w:t>5% of sporadic PD cases are caused by a single genetic variant</w:t>
      </w:r>
      <w:r w:rsidR="001A52E5" w:rsidRPr="00602915">
        <w:rPr>
          <w:rStyle w:val="Hyperlink"/>
          <w:rFonts w:ascii="Arial" w:hAnsi="Arial" w:cs="Arial"/>
          <w:color w:val="auto"/>
          <w:sz w:val="20"/>
          <w:szCs w:val="20"/>
          <w:lang w:val="en-GB"/>
        </w:rPr>
        <w:t xml:space="preserve">, with at least 14 variants identified </w:t>
      </w:r>
      <w:r w:rsidR="005517ED" w:rsidRPr="00602915">
        <w:rPr>
          <w:rFonts w:ascii="Arial" w:hAnsi="Arial" w:cs="Arial"/>
          <w:sz w:val="20"/>
          <w:szCs w:val="20"/>
          <w:lang w:val="en-GB"/>
        </w:rPr>
        <w:t>(Table 1)</w:t>
      </w:r>
      <w:r w:rsidR="00FC55C7" w:rsidRPr="00602915">
        <w:rPr>
          <w:rFonts w:ascii="Arial" w:hAnsi="Arial" w:cs="Arial"/>
          <w:sz w:val="20"/>
          <w:szCs w:val="20"/>
          <w:lang w:val="en-GB"/>
        </w:rPr>
        <w:t xml:space="preserve">. </w:t>
      </w:r>
      <w:r w:rsidR="007C6158">
        <w:rPr>
          <w:rFonts w:ascii="Arial" w:hAnsi="Arial" w:cs="Arial"/>
          <w:sz w:val="20"/>
          <w:szCs w:val="20"/>
          <w:lang w:val="en-GB"/>
        </w:rPr>
        <w:t>M</w:t>
      </w:r>
      <w:r w:rsidR="001A52E5" w:rsidRPr="00602915">
        <w:rPr>
          <w:rFonts w:ascii="Arial" w:hAnsi="Arial" w:cs="Arial"/>
          <w:sz w:val="20"/>
          <w:szCs w:val="20"/>
          <w:lang w:val="en-GB"/>
        </w:rPr>
        <w:t>onogenic</w:t>
      </w:r>
      <w:r w:rsidR="00FC55C7" w:rsidRPr="00602915">
        <w:rPr>
          <w:rFonts w:ascii="Arial" w:hAnsi="Arial" w:cs="Arial"/>
          <w:sz w:val="20"/>
          <w:szCs w:val="20"/>
          <w:lang w:val="en-GB"/>
        </w:rPr>
        <w:t xml:space="preserve"> cause</w:t>
      </w:r>
      <w:r w:rsidR="007C6158">
        <w:rPr>
          <w:rFonts w:ascii="Arial" w:hAnsi="Arial" w:cs="Arial"/>
          <w:sz w:val="20"/>
          <w:szCs w:val="20"/>
          <w:lang w:val="en-GB"/>
        </w:rPr>
        <w:t>s are more frequently identified in</w:t>
      </w:r>
      <w:r w:rsidR="001A52E5" w:rsidRPr="00602915">
        <w:rPr>
          <w:rFonts w:ascii="Arial" w:hAnsi="Arial" w:cs="Arial"/>
          <w:sz w:val="20"/>
          <w:szCs w:val="20"/>
          <w:lang w:val="en-GB"/>
        </w:rPr>
        <w:t xml:space="preserve"> younger onset cases</w:t>
      </w:r>
      <w:r w:rsidR="00237F67" w:rsidRPr="00602915">
        <w:rPr>
          <w:rFonts w:ascii="Arial" w:hAnsi="Arial" w:cs="Arial"/>
          <w:sz w:val="20"/>
          <w:szCs w:val="20"/>
          <w:lang w:val="en-GB"/>
        </w:rPr>
        <w:t>,</w:t>
      </w:r>
      <w:r w:rsidR="001A52E5" w:rsidRPr="00602915">
        <w:rPr>
          <w:rFonts w:ascii="Arial" w:hAnsi="Arial" w:cs="Arial"/>
          <w:sz w:val="20"/>
          <w:szCs w:val="20"/>
          <w:lang w:val="en-GB"/>
        </w:rPr>
        <w:t xml:space="preserve"> </w:t>
      </w:r>
      <w:r w:rsidR="00D3198F" w:rsidRPr="00602915">
        <w:rPr>
          <w:rFonts w:ascii="Arial" w:hAnsi="Arial" w:cs="Arial"/>
          <w:sz w:val="20"/>
          <w:szCs w:val="20"/>
          <w:lang w:val="en-GB"/>
        </w:rPr>
        <w:t xml:space="preserve">with </w:t>
      </w:r>
      <w:r w:rsidR="007F3384" w:rsidRPr="00602915">
        <w:rPr>
          <w:rFonts w:ascii="Arial" w:hAnsi="Arial" w:cs="Arial"/>
          <w:sz w:val="20"/>
          <w:szCs w:val="20"/>
          <w:lang w:val="en-GB"/>
        </w:rPr>
        <w:t xml:space="preserve">a causative gene found in 40% </w:t>
      </w:r>
      <w:r w:rsidR="00237F67" w:rsidRPr="00602915">
        <w:rPr>
          <w:rFonts w:ascii="Arial" w:hAnsi="Arial" w:cs="Arial"/>
          <w:sz w:val="20"/>
          <w:szCs w:val="20"/>
          <w:lang w:val="en-GB"/>
        </w:rPr>
        <w:t>aged &lt;</w:t>
      </w:r>
      <w:r w:rsidR="00D3198F" w:rsidRPr="00602915">
        <w:rPr>
          <w:rFonts w:ascii="Arial" w:hAnsi="Arial" w:cs="Arial"/>
          <w:sz w:val="20"/>
          <w:szCs w:val="20"/>
          <w:lang w:val="en-GB"/>
        </w:rPr>
        <w:t>30 years</w:t>
      </w:r>
      <w:r w:rsidR="001A52E5" w:rsidRPr="00602915">
        <w:rPr>
          <w:rFonts w:ascii="Arial" w:hAnsi="Arial" w:cs="Arial"/>
          <w:sz w:val="20"/>
          <w:szCs w:val="20"/>
          <w:lang w:val="en-GB"/>
        </w:rPr>
        <w:t xml:space="preserve">. </w:t>
      </w:r>
      <w:r w:rsidR="007F3384" w:rsidRPr="00602915">
        <w:rPr>
          <w:rFonts w:ascii="Arial" w:hAnsi="Arial" w:cs="Arial"/>
          <w:sz w:val="20"/>
          <w:szCs w:val="20"/>
          <w:lang w:val="en-GB"/>
        </w:rPr>
        <w:t>Most</w:t>
      </w:r>
      <w:r w:rsidR="00E21E9B" w:rsidRPr="00602915">
        <w:rPr>
          <w:rFonts w:ascii="Arial" w:hAnsi="Arial" w:cs="Arial"/>
          <w:sz w:val="20"/>
          <w:szCs w:val="20"/>
          <w:lang w:val="en-GB"/>
        </w:rPr>
        <w:t xml:space="preserve"> PD cases </w:t>
      </w:r>
      <w:r w:rsidR="00D3198F" w:rsidRPr="00602915">
        <w:rPr>
          <w:rFonts w:ascii="Arial" w:hAnsi="Arial" w:cs="Arial"/>
          <w:sz w:val="20"/>
          <w:szCs w:val="20"/>
          <w:lang w:val="en-GB"/>
        </w:rPr>
        <w:t xml:space="preserve">diagnosed </w:t>
      </w:r>
      <w:r w:rsidR="00237F67" w:rsidRPr="00602915">
        <w:rPr>
          <w:rFonts w:ascii="Arial" w:hAnsi="Arial" w:cs="Arial"/>
          <w:sz w:val="20"/>
          <w:szCs w:val="20"/>
          <w:lang w:val="en-GB"/>
        </w:rPr>
        <w:t>at</w:t>
      </w:r>
      <w:r w:rsidR="00D3198F" w:rsidRPr="00602915">
        <w:rPr>
          <w:rFonts w:ascii="Arial" w:hAnsi="Arial" w:cs="Arial"/>
          <w:sz w:val="20"/>
          <w:szCs w:val="20"/>
          <w:lang w:val="en-GB"/>
        </w:rPr>
        <w:t xml:space="preserve"> </w:t>
      </w:r>
      <w:r w:rsidR="00237F67" w:rsidRPr="00602915">
        <w:rPr>
          <w:rFonts w:ascii="Arial" w:hAnsi="Arial" w:cs="Arial"/>
          <w:sz w:val="20"/>
          <w:szCs w:val="20"/>
          <w:lang w:val="en-GB"/>
        </w:rPr>
        <w:t>&gt;</w:t>
      </w:r>
      <w:r w:rsidR="00D3198F" w:rsidRPr="00602915">
        <w:rPr>
          <w:rFonts w:ascii="Arial" w:hAnsi="Arial" w:cs="Arial"/>
          <w:sz w:val="20"/>
          <w:szCs w:val="20"/>
          <w:lang w:val="en-GB"/>
        </w:rPr>
        <w:t>50</w:t>
      </w:r>
      <w:r w:rsidR="00237F67" w:rsidRPr="00602915">
        <w:rPr>
          <w:rFonts w:ascii="Arial" w:hAnsi="Arial" w:cs="Arial"/>
          <w:sz w:val="20"/>
          <w:szCs w:val="20"/>
          <w:lang w:val="en-GB"/>
        </w:rPr>
        <w:t xml:space="preserve"> years old</w:t>
      </w:r>
      <w:r w:rsidR="00D3198F" w:rsidRPr="00602915">
        <w:rPr>
          <w:rFonts w:ascii="Arial" w:hAnsi="Arial" w:cs="Arial"/>
          <w:sz w:val="20"/>
          <w:szCs w:val="20"/>
          <w:lang w:val="en-GB"/>
        </w:rPr>
        <w:t xml:space="preserve"> </w:t>
      </w:r>
      <w:r w:rsidR="00E21E9B" w:rsidRPr="00602915">
        <w:rPr>
          <w:rFonts w:ascii="Arial" w:hAnsi="Arial" w:cs="Arial"/>
          <w:sz w:val="20"/>
          <w:szCs w:val="20"/>
          <w:lang w:val="en-GB"/>
        </w:rPr>
        <w:t xml:space="preserve">are ‘idiopathic’, </w:t>
      </w:r>
      <w:r w:rsidR="007F3384" w:rsidRPr="00602915">
        <w:rPr>
          <w:rFonts w:ascii="Arial" w:hAnsi="Arial" w:cs="Arial"/>
          <w:sz w:val="20"/>
          <w:szCs w:val="20"/>
          <w:lang w:val="en-GB"/>
        </w:rPr>
        <w:t xml:space="preserve">but </w:t>
      </w:r>
      <w:r w:rsidR="00E21E9B" w:rsidRPr="00602915">
        <w:rPr>
          <w:rFonts w:ascii="Arial" w:hAnsi="Arial" w:cs="Arial"/>
          <w:sz w:val="20"/>
          <w:szCs w:val="20"/>
          <w:lang w:val="en-GB"/>
        </w:rPr>
        <w:t>genome-wide association studies have identified numerous susceptibility genes and loci (</w:t>
      </w:r>
      <w:r w:rsidR="00C3573E" w:rsidRPr="00602915">
        <w:rPr>
          <w:rFonts w:ascii="Arial" w:hAnsi="Arial" w:cs="Arial"/>
          <w:sz w:val="20"/>
          <w:szCs w:val="20"/>
          <w:lang w:val="en-GB"/>
        </w:rPr>
        <w:t>approximately 90 to date</w:t>
      </w:r>
      <w:r w:rsidR="00E21E9B" w:rsidRPr="00602915">
        <w:rPr>
          <w:rFonts w:ascii="Arial" w:hAnsi="Arial" w:cs="Arial"/>
          <w:sz w:val="20"/>
          <w:szCs w:val="20"/>
          <w:lang w:val="en-GB"/>
        </w:rPr>
        <w:t>)</w:t>
      </w:r>
      <w:r w:rsidR="005517ED" w:rsidRPr="00602915">
        <w:rPr>
          <w:rFonts w:ascii="Arial" w:hAnsi="Arial" w:cs="Arial"/>
          <w:sz w:val="20"/>
          <w:szCs w:val="20"/>
          <w:lang w:val="en-GB"/>
        </w:rPr>
        <w:t xml:space="preserve">, each making a small </w:t>
      </w:r>
      <w:r w:rsidR="00E21E9B" w:rsidRPr="00602915">
        <w:rPr>
          <w:rFonts w:ascii="Arial" w:hAnsi="Arial" w:cs="Arial"/>
          <w:sz w:val="20"/>
          <w:szCs w:val="20"/>
          <w:lang w:val="en-GB"/>
        </w:rPr>
        <w:t>contribut</w:t>
      </w:r>
      <w:r w:rsidR="005517ED" w:rsidRPr="00602915">
        <w:rPr>
          <w:rFonts w:ascii="Arial" w:hAnsi="Arial" w:cs="Arial"/>
          <w:sz w:val="20"/>
          <w:szCs w:val="20"/>
          <w:lang w:val="en-GB"/>
        </w:rPr>
        <w:t>ion</w:t>
      </w:r>
      <w:r w:rsidR="00E21E9B" w:rsidRPr="00602915">
        <w:rPr>
          <w:rFonts w:ascii="Arial" w:hAnsi="Arial" w:cs="Arial"/>
          <w:sz w:val="20"/>
          <w:szCs w:val="20"/>
          <w:lang w:val="en-GB"/>
        </w:rPr>
        <w:t xml:space="preserve"> to disease risk</w:t>
      </w:r>
      <w:r w:rsidR="005517ED" w:rsidRPr="00602915">
        <w:rPr>
          <w:rFonts w:ascii="Arial" w:hAnsi="Arial" w:cs="Arial"/>
          <w:sz w:val="20"/>
          <w:szCs w:val="20"/>
          <w:lang w:val="en-GB"/>
        </w:rPr>
        <w:t>, and overall PD has a</w:t>
      </w:r>
      <w:r w:rsidR="007F3384" w:rsidRPr="00602915">
        <w:rPr>
          <w:rFonts w:ascii="Arial" w:hAnsi="Arial" w:cs="Arial"/>
          <w:sz w:val="20"/>
          <w:szCs w:val="20"/>
          <w:lang w:val="en-GB"/>
        </w:rPr>
        <w:t xml:space="preserve"> </w:t>
      </w:r>
      <w:r w:rsidR="005517ED" w:rsidRPr="00602915">
        <w:rPr>
          <w:rFonts w:ascii="Arial" w:hAnsi="Arial" w:cs="Arial"/>
          <w:sz w:val="20"/>
          <w:szCs w:val="20"/>
          <w:lang w:val="en-GB"/>
        </w:rPr>
        <w:t>heritability of</w:t>
      </w:r>
      <w:r w:rsidR="00D3198F" w:rsidRPr="00602915">
        <w:rPr>
          <w:rFonts w:ascii="Arial" w:hAnsi="Arial" w:cs="Arial"/>
          <w:sz w:val="20"/>
          <w:szCs w:val="20"/>
          <w:lang w:val="en-GB"/>
        </w:rPr>
        <w:t xml:space="preserve"> approximately</w:t>
      </w:r>
      <w:r w:rsidR="00D91D2A" w:rsidRPr="00602915">
        <w:rPr>
          <w:rFonts w:ascii="Arial" w:hAnsi="Arial" w:cs="Arial"/>
          <w:sz w:val="20"/>
          <w:szCs w:val="20"/>
          <w:lang w:val="en-GB"/>
        </w:rPr>
        <w:t xml:space="preserve"> 35</w:t>
      </w:r>
      <w:r w:rsidR="005517ED" w:rsidRPr="00602915">
        <w:rPr>
          <w:rFonts w:ascii="Arial" w:hAnsi="Arial" w:cs="Arial"/>
          <w:sz w:val="20"/>
          <w:szCs w:val="20"/>
          <w:lang w:val="en-GB"/>
        </w:rPr>
        <w:t>%. T</w:t>
      </w:r>
      <w:r w:rsidR="00E21E9B" w:rsidRPr="00602915">
        <w:rPr>
          <w:rFonts w:ascii="Arial" w:hAnsi="Arial" w:cs="Arial"/>
          <w:sz w:val="20"/>
          <w:szCs w:val="20"/>
          <w:lang w:val="en-GB"/>
        </w:rPr>
        <w:t xml:space="preserve">hese </w:t>
      </w:r>
      <w:r w:rsidR="005517ED" w:rsidRPr="00602915">
        <w:rPr>
          <w:rFonts w:ascii="Arial" w:hAnsi="Arial" w:cs="Arial"/>
          <w:sz w:val="20"/>
          <w:szCs w:val="20"/>
          <w:lang w:val="en-GB"/>
        </w:rPr>
        <w:t xml:space="preserve">genetic </w:t>
      </w:r>
      <w:r w:rsidR="007F3384" w:rsidRPr="00602915">
        <w:rPr>
          <w:rFonts w:ascii="Arial" w:hAnsi="Arial" w:cs="Arial"/>
          <w:sz w:val="20"/>
          <w:szCs w:val="20"/>
          <w:lang w:val="en-GB"/>
        </w:rPr>
        <w:t xml:space="preserve">factors </w:t>
      </w:r>
      <w:r w:rsidR="005517ED" w:rsidRPr="00602915">
        <w:rPr>
          <w:rFonts w:ascii="Arial" w:hAnsi="Arial" w:cs="Arial"/>
          <w:sz w:val="20"/>
          <w:szCs w:val="20"/>
          <w:lang w:val="en-GB"/>
        </w:rPr>
        <w:t>implicate</w:t>
      </w:r>
      <w:r w:rsidR="007C6158">
        <w:rPr>
          <w:rFonts w:ascii="Arial" w:hAnsi="Arial" w:cs="Arial"/>
          <w:sz w:val="20"/>
          <w:szCs w:val="20"/>
          <w:lang w:val="en-GB"/>
        </w:rPr>
        <w:t xml:space="preserve"> </w:t>
      </w:r>
      <w:r w:rsidR="005517ED" w:rsidRPr="00602915">
        <w:rPr>
          <w:rFonts w:ascii="Arial" w:hAnsi="Arial" w:cs="Arial"/>
          <w:sz w:val="20"/>
          <w:szCs w:val="20"/>
          <w:lang w:val="en-GB"/>
        </w:rPr>
        <w:t xml:space="preserve">mitochondrial </w:t>
      </w:r>
      <w:r w:rsidR="007F3384" w:rsidRPr="00602915">
        <w:rPr>
          <w:rFonts w:ascii="Arial" w:hAnsi="Arial" w:cs="Arial"/>
          <w:sz w:val="20"/>
          <w:szCs w:val="20"/>
          <w:lang w:val="en-GB"/>
        </w:rPr>
        <w:t xml:space="preserve">and </w:t>
      </w:r>
      <w:r w:rsidR="005517ED" w:rsidRPr="00602915">
        <w:rPr>
          <w:rFonts w:ascii="Arial" w:hAnsi="Arial" w:cs="Arial"/>
          <w:sz w:val="20"/>
          <w:szCs w:val="20"/>
          <w:lang w:val="en-GB"/>
        </w:rPr>
        <w:t>autophagy</w:t>
      </w:r>
      <w:r w:rsidR="00D91D2A" w:rsidRPr="00602915">
        <w:rPr>
          <w:rFonts w:ascii="Arial" w:hAnsi="Arial" w:cs="Arial"/>
          <w:sz w:val="20"/>
          <w:szCs w:val="20"/>
          <w:lang w:val="en-GB"/>
        </w:rPr>
        <w:t>/lysosomal dysfunction</w:t>
      </w:r>
      <w:r w:rsidR="00D3198F" w:rsidRPr="00602915">
        <w:rPr>
          <w:rFonts w:ascii="Arial" w:hAnsi="Arial" w:cs="Arial"/>
          <w:sz w:val="20"/>
          <w:szCs w:val="20"/>
          <w:lang w:val="en-GB"/>
        </w:rPr>
        <w:t xml:space="preserve">, </w:t>
      </w:r>
      <w:r w:rsidR="005517ED" w:rsidRPr="00602915">
        <w:rPr>
          <w:rFonts w:ascii="Arial" w:hAnsi="Arial" w:cs="Arial"/>
          <w:sz w:val="20"/>
          <w:szCs w:val="20"/>
          <w:lang w:val="en-GB"/>
        </w:rPr>
        <w:t>dopamine metabolism and the immune system as important mechanistic pathways</w:t>
      </w:r>
      <w:r w:rsidR="00E21E9B" w:rsidRPr="00602915">
        <w:rPr>
          <w:rFonts w:ascii="Arial" w:hAnsi="Arial" w:cs="Arial"/>
          <w:sz w:val="20"/>
          <w:szCs w:val="20"/>
          <w:lang w:val="en-GB"/>
        </w:rPr>
        <w:t xml:space="preserve"> in the disease process.</w:t>
      </w:r>
      <w:r w:rsidR="00894CF5" w:rsidRPr="00602915">
        <w:rPr>
          <w:rFonts w:ascii="Arial" w:hAnsi="Arial" w:cs="Arial"/>
          <w:sz w:val="20"/>
          <w:szCs w:val="20"/>
          <w:vertAlign w:val="superscript"/>
          <w:lang w:val="en-GB"/>
        </w:rPr>
        <w:t>3</w:t>
      </w:r>
    </w:p>
    <w:p w14:paraId="166DDFB7" w14:textId="2AA2A050" w:rsidR="00E21E9B" w:rsidRPr="00602915" w:rsidRDefault="000C5EE4" w:rsidP="00582CE9">
      <w:pPr>
        <w:spacing w:after="0" w:line="240" w:lineRule="auto"/>
        <w:ind w:firstLine="720"/>
        <w:rPr>
          <w:rFonts w:ascii="Arial" w:hAnsi="Arial" w:cs="Arial"/>
          <w:sz w:val="20"/>
          <w:szCs w:val="20"/>
          <w:lang w:val="en-GB"/>
        </w:rPr>
      </w:pPr>
      <w:r w:rsidRPr="00602915">
        <w:rPr>
          <w:rFonts w:ascii="Arial" w:hAnsi="Arial" w:cs="Arial"/>
          <w:sz w:val="20"/>
          <w:szCs w:val="20"/>
          <w:lang w:val="en-GB"/>
        </w:rPr>
        <w:t>The most common</w:t>
      </w:r>
      <w:r w:rsidR="00E21E9B" w:rsidRPr="00602915">
        <w:rPr>
          <w:rFonts w:ascii="Arial" w:hAnsi="Arial" w:cs="Arial"/>
          <w:sz w:val="20"/>
          <w:szCs w:val="20"/>
          <w:lang w:val="en-GB"/>
        </w:rPr>
        <w:t xml:space="preserve"> </w:t>
      </w:r>
      <w:r w:rsidRPr="00602915">
        <w:rPr>
          <w:rFonts w:ascii="Arial" w:hAnsi="Arial" w:cs="Arial"/>
          <w:sz w:val="20"/>
          <w:szCs w:val="20"/>
          <w:lang w:val="en-GB"/>
        </w:rPr>
        <w:t xml:space="preserve">genetic cause </w:t>
      </w:r>
      <w:r w:rsidR="00E21E9B" w:rsidRPr="00602915">
        <w:rPr>
          <w:rFonts w:ascii="Arial" w:hAnsi="Arial" w:cs="Arial"/>
          <w:sz w:val="20"/>
          <w:szCs w:val="20"/>
          <w:lang w:val="en-GB"/>
        </w:rPr>
        <w:t xml:space="preserve">of </w:t>
      </w:r>
      <w:r w:rsidRPr="00602915">
        <w:rPr>
          <w:rFonts w:ascii="Arial" w:hAnsi="Arial" w:cs="Arial"/>
          <w:sz w:val="20"/>
          <w:szCs w:val="20"/>
          <w:lang w:val="en-GB"/>
        </w:rPr>
        <w:t xml:space="preserve">PD identified to date </w:t>
      </w:r>
      <w:r w:rsidR="00E21E9B" w:rsidRPr="00602915">
        <w:rPr>
          <w:rFonts w:ascii="Arial" w:hAnsi="Arial" w:cs="Arial"/>
          <w:sz w:val="20"/>
          <w:szCs w:val="20"/>
          <w:lang w:val="en-GB"/>
        </w:rPr>
        <w:t>is</w:t>
      </w:r>
      <w:r w:rsidRPr="00602915">
        <w:rPr>
          <w:rFonts w:ascii="Arial" w:hAnsi="Arial" w:cs="Arial"/>
          <w:sz w:val="20"/>
          <w:szCs w:val="20"/>
          <w:lang w:val="en-GB"/>
        </w:rPr>
        <w:t xml:space="preserve"> mutation within</w:t>
      </w:r>
      <w:r w:rsidR="00E21E9B" w:rsidRPr="00602915">
        <w:rPr>
          <w:rFonts w:ascii="Arial" w:hAnsi="Arial" w:cs="Arial"/>
          <w:sz w:val="20"/>
          <w:szCs w:val="20"/>
          <w:lang w:val="en-GB"/>
        </w:rPr>
        <w:t xml:space="preserve"> </w:t>
      </w:r>
      <w:r w:rsidR="00E21E9B" w:rsidRPr="00602915">
        <w:rPr>
          <w:rStyle w:val="Emphasis"/>
          <w:rFonts w:ascii="Arial" w:hAnsi="Arial" w:cs="Arial"/>
          <w:sz w:val="20"/>
          <w:szCs w:val="20"/>
          <w:lang w:val="en-GB"/>
        </w:rPr>
        <w:t>GBA</w:t>
      </w:r>
      <w:r w:rsidR="00E21E9B" w:rsidRPr="00602915">
        <w:rPr>
          <w:rFonts w:ascii="Arial" w:hAnsi="Arial" w:cs="Arial"/>
          <w:sz w:val="20"/>
          <w:szCs w:val="20"/>
          <w:lang w:val="en-GB"/>
        </w:rPr>
        <w:t xml:space="preserve"> (the glucocerebrosidase gene). Homozygous mutations in this gene cause the lysosomal storage disorder Gaucher</w:t>
      </w:r>
      <w:r w:rsidR="00D35E6D" w:rsidRPr="00602915">
        <w:rPr>
          <w:rFonts w:ascii="Arial" w:hAnsi="Arial" w:cs="Arial"/>
          <w:sz w:val="20"/>
          <w:szCs w:val="20"/>
          <w:lang w:val="en-GB"/>
        </w:rPr>
        <w:t>’</w:t>
      </w:r>
      <w:r w:rsidR="00E21E9B" w:rsidRPr="00602915">
        <w:rPr>
          <w:rFonts w:ascii="Arial" w:hAnsi="Arial" w:cs="Arial"/>
          <w:sz w:val="20"/>
          <w:szCs w:val="20"/>
          <w:lang w:val="en-GB"/>
        </w:rPr>
        <w:t>s disease</w:t>
      </w:r>
      <w:r w:rsidRPr="00602915">
        <w:rPr>
          <w:rFonts w:ascii="Arial" w:hAnsi="Arial" w:cs="Arial"/>
          <w:sz w:val="20"/>
          <w:szCs w:val="20"/>
          <w:lang w:val="en-GB"/>
        </w:rPr>
        <w:t>. H</w:t>
      </w:r>
      <w:r w:rsidR="00E21E9B" w:rsidRPr="00602915">
        <w:rPr>
          <w:rFonts w:ascii="Arial" w:hAnsi="Arial" w:cs="Arial"/>
          <w:sz w:val="20"/>
          <w:szCs w:val="20"/>
          <w:lang w:val="en-GB"/>
        </w:rPr>
        <w:t xml:space="preserve">eterozygous mutations occur in 3–4% of </w:t>
      </w:r>
      <w:r w:rsidRPr="00602915">
        <w:rPr>
          <w:rFonts w:ascii="Arial" w:hAnsi="Arial" w:cs="Arial"/>
          <w:sz w:val="20"/>
          <w:szCs w:val="20"/>
          <w:lang w:val="en-GB"/>
        </w:rPr>
        <w:t xml:space="preserve">PD </w:t>
      </w:r>
      <w:r w:rsidR="00E21E9B" w:rsidRPr="00602915">
        <w:rPr>
          <w:rFonts w:ascii="Arial" w:hAnsi="Arial" w:cs="Arial"/>
          <w:sz w:val="20"/>
          <w:szCs w:val="20"/>
          <w:lang w:val="en-GB"/>
        </w:rPr>
        <w:t xml:space="preserve">patients compared with only 1% of controls, </w:t>
      </w:r>
      <w:r w:rsidR="00966708" w:rsidRPr="00602915">
        <w:rPr>
          <w:rFonts w:ascii="Arial" w:hAnsi="Arial" w:cs="Arial"/>
          <w:sz w:val="20"/>
          <w:szCs w:val="20"/>
          <w:lang w:val="en-GB"/>
        </w:rPr>
        <w:t>which</w:t>
      </w:r>
      <w:r w:rsidR="00E21E9B" w:rsidRPr="00602915">
        <w:rPr>
          <w:rFonts w:ascii="Arial" w:hAnsi="Arial" w:cs="Arial"/>
          <w:sz w:val="20"/>
          <w:szCs w:val="20"/>
          <w:lang w:val="en-GB"/>
        </w:rPr>
        <w:t xml:space="preserve"> has </w:t>
      </w:r>
      <w:r w:rsidRPr="00602915">
        <w:rPr>
          <w:rFonts w:ascii="Arial" w:hAnsi="Arial" w:cs="Arial"/>
          <w:sz w:val="20"/>
          <w:szCs w:val="20"/>
          <w:lang w:val="en-GB"/>
        </w:rPr>
        <w:t>prompted</w:t>
      </w:r>
      <w:r w:rsidR="00E21E9B" w:rsidRPr="00602915">
        <w:rPr>
          <w:rFonts w:ascii="Arial" w:hAnsi="Arial" w:cs="Arial"/>
          <w:sz w:val="20"/>
          <w:szCs w:val="20"/>
          <w:lang w:val="en-GB"/>
        </w:rPr>
        <w:t xml:space="preserve"> interest in the role of lysosomal dysfunction in PD. </w:t>
      </w:r>
      <w:r w:rsidR="00E21E9B" w:rsidRPr="00602915">
        <w:rPr>
          <w:rStyle w:val="Emphasis"/>
          <w:rFonts w:ascii="Arial" w:hAnsi="Arial" w:cs="Arial"/>
          <w:sz w:val="20"/>
          <w:szCs w:val="20"/>
          <w:lang w:val="en-GB"/>
        </w:rPr>
        <w:t>GBA</w:t>
      </w:r>
      <w:r w:rsidR="00E21E9B" w:rsidRPr="00602915">
        <w:rPr>
          <w:rFonts w:ascii="Arial" w:hAnsi="Arial" w:cs="Arial"/>
          <w:sz w:val="20"/>
          <w:szCs w:val="20"/>
          <w:lang w:val="en-GB"/>
        </w:rPr>
        <w:t xml:space="preserve">-associated cases progress rapidly with early cognitive decline. Other </w:t>
      </w:r>
      <w:r w:rsidR="00837D2C" w:rsidRPr="00602915">
        <w:rPr>
          <w:rFonts w:ascii="Arial" w:hAnsi="Arial" w:cs="Arial"/>
          <w:sz w:val="20"/>
          <w:szCs w:val="20"/>
          <w:lang w:val="en-GB"/>
        </w:rPr>
        <w:t xml:space="preserve">common </w:t>
      </w:r>
      <w:r w:rsidR="00E21E9B" w:rsidRPr="00602915">
        <w:rPr>
          <w:rFonts w:ascii="Arial" w:hAnsi="Arial" w:cs="Arial"/>
          <w:sz w:val="20"/>
          <w:szCs w:val="20"/>
          <w:lang w:val="en-GB"/>
        </w:rPr>
        <w:t xml:space="preserve">genetic </w:t>
      </w:r>
      <w:r w:rsidR="00837D2C" w:rsidRPr="00602915">
        <w:rPr>
          <w:rFonts w:ascii="Arial" w:hAnsi="Arial" w:cs="Arial"/>
          <w:sz w:val="20"/>
          <w:szCs w:val="20"/>
          <w:lang w:val="en-GB"/>
        </w:rPr>
        <w:t>variant</w:t>
      </w:r>
      <w:r w:rsidR="00E21E9B" w:rsidRPr="00602915">
        <w:rPr>
          <w:rFonts w:ascii="Arial" w:hAnsi="Arial" w:cs="Arial"/>
          <w:sz w:val="20"/>
          <w:szCs w:val="20"/>
          <w:lang w:val="en-GB"/>
        </w:rPr>
        <w:t xml:space="preserve">s </w:t>
      </w:r>
      <w:r w:rsidR="007F3384" w:rsidRPr="00602915">
        <w:rPr>
          <w:rFonts w:ascii="Arial" w:hAnsi="Arial" w:cs="Arial"/>
          <w:sz w:val="20"/>
          <w:szCs w:val="20"/>
          <w:lang w:val="en-GB"/>
        </w:rPr>
        <w:t xml:space="preserve">contributing </w:t>
      </w:r>
      <w:r w:rsidR="00E21E9B" w:rsidRPr="00602915">
        <w:rPr>
          <w:rFonts w:ascii="Arial" w:hAnsi="Arial" w:cs="Arial"/>
          <w:sz w:val="20"/>
          <w:szCs w:val="20"/>
          <w:lang w:val="en-GB"/>
        </w:rPr>
        <w:t>to phenotypic heterogeneity in PD include the catechol-</w:t>
      </w:r>
      <w:r w:rsidR="00E21E9B" w:rsidRPr="00602915">
        <w:rPr>
          <w:rStyle w:val="Emphasis"/>
          <w:rFonts w:ascii="Arial" w:hAnsi="Arial" w:cs="Arial"/>
          <w:sz w:val="20"/>
          <w:szCs w:val="20"/>
          <w:lang w:val="en-GB"/>
        </w:rPr>
        <w:t>O</w:t>
      </w:r>
      <w:r w:rsidR="00E21E9B" w:rsidRPr="00602915">
        <w:rPr>
          <w:rFonts w:ascii="Arial" w:hAnsi="Arial" w:cs="Arial"/>
          <w:sz w:val="20"/>
          <w:szCs w:val="20"/>
          <w:lang w:val="en-GB"/>
        </w:rPr>
        <w:t>-methyltransferase (</w:t>
      </w:r>
      <w:r w:rsidR="00E21E9B" w:rsidRPr="00721011">
        <w:rPr>
          <w:rFonts w:ascii="Arial" w:hAnsi="Arial" w:cs="Arial"/>
          <w:i/>
          <w:iCs/>
          <w:sz w:val="20"/>
          <w:szCs w:val="20"/>
          <w:lang w:val="en-GB"/>
        </w:rPr>
        <w:t>COMT</w:t>
      </w:r>
      <w:r w:rsidR="00E21E9B" w:rsidRPr="00602915">
        <w:rPr>
          <w:rFonts w:ascii="Arial" w:hAnsi="Arial" w:cs="Arial"/>
          <w:sz w:val="20"/>
          <w:szCs w:val="20"/>
          <w:lang w:val="en-GB"/>
        </w:rPr>
        <w:t>) Val</w:t>
      </w:r>
      <w:r w:rsidR="00E21E9B" w:rsidRPr="001B79C1">
        <w:rPr>
          <w:rFonts w:ascii="Arial" w:hAnsi="Arial" w:cs="Arial"/>
          <w:sz w:val="20"/>
          <w:szCs w:val="20"/>
          <w:vertAlign w:val="superscript"/>
          <w:lang w:val="en-GB"/>
        </w:rPr>
        <w:t>158</w:t>
      </w:r>
      <w:r w:rsidR="00E21E9B" w:rsidRPr="00602915">
        <w:rPr>
          <w:rFonts w:ascii="Arial" w:hAnsi="Arial" w:cs="Arial"/>
          <w:sz w:val="20"/>
          <w:szCs w:val="20"/>
          <w:lang w:val="en-GB"/>
        </w:rPr>
        <w:t>Met polymorphism, which influences executive cognitive function, and the microtubule-associated protein tau (</w:t>
      </w:r>
      <w:r w:rsidR="00E21E9B" w:rsidRPr="00721011">
        <w:rPr>
          <w:rFonts w:ascii="Arial" w:hAnsi="Arial" w:cs="Arial"/>
          <w:i/>
          <w:iCs/>
          <w:sz w:val="20"/>
          <w:szCs w:val="20"/>
          <w:lang w:val="en-GB"/>
        </w:rPr>
        <w:t>MAPT</w:t>
      </w:r>
      <w:r w:rsidR="00E21E9B" w:rsidRPr="00602915">
        <w:rPr>
          <w:rFonts w:ascii="Arial" w:hAnsi="Arial" w:cs="Arial"/>
          <w:sz w:val="20"/>
          <w:szCs w:val="20"/>
          <w:lang w:val="en-GB"/>
        </w:rPr>
        <w:t>) H1/H1 genotype and apolipoprotein E (</w:t>
      </w:r>
      <w:r w:rsidR="00E21E9B" w:rsidRPr="00721011">
        <w:rPr>
          <w:rFonts w:ascii="Arial" w:hAnsi="Arial" w:cs="Arial"/>
          <w:i/>
          <w:iCs/>
          <w:sz w:val="20"/>
          <w:szCs w:val="20"/>
          <w:lang w:val="en-GB"/>
        </w:rPr>
        <w:t>APOE</w:t>
      </w:r>
      <w:r w:rsidR="00E21E9B" w:rsidRPr="00602915">
        <w:rPr>
          <w:rFonts w:ascii="Arial" w:hAnsi="Arial" w:cs="Arial"/>
          <w:sz w:val="20"/>
          <w:szCs w:val="20"/>
          <w:lang w:val="en-GB"/>
        </w:rPr>
        <w:t>)-ɛ4 carrier status, both associated with earlier dementia.</w:t>
      </w:r>
    </w:p>
    <w:p w14:paraId="7A7ED2B4" w14:textId="77777777" w:rsidR="00582CE9" w:rsidRPr="00602915" w:rsidRDefault="00582CE9" w:rsidP="00582CE9">
      <w:pPr>
        <w:spacing w:after="0" w:line="240" w:lineRule="auto"/>
        <w:ind w:firstLine="720"/>
        <w:rPr>
          <w:rFonts w:ascii="Arial" w:hAnsi="Arial" w:cs="Arial"/>
          <w:b/>
          <w:color w:val="4F81BD" w:themeColor="accent1"/>
          <w:sz w:val="20"/>
          <w:szCs w:val="20"/>
          <w:lang w:val="en-GB"/>
        </w:rPr>
      </w:pPr>
    </w:p>
    <w:p w14:paraId="102C3A7D" w14:textId="77777777" w:rsidR="00E21E9B" w:rsidRPr="00602915" w:rsidRDefault="00E21E9B" w:rsidP="00582CE9">
      <w:pPr>
        <w:pStyle w:val="Heading2"/>
        <w:spacing w:before="0" w:line="240" w:lineRule="auto"/>
        <w:rPr>
          <w:rFonts w:ascii="Arial" w:hAnsi="Arial" w:cs="Arial"/>
          <w:b/>
          <w:color w:val="4F81BD" w:themeColor="accent1"/>
          <w:sz w:val="20"/>
          <w:szCs w:val="20"/>
          <w:lang w:val="en-GB"/>
        </w:rPr>
      </w:pPr>
      <w:r w:rsidRPr="00602915">
        <w:rPr>
          <w:rFonts w:ascii="Arial" w:hAnsi="Arial" w:cs="Arial"/>
          <w:b/>
          <w:color w:val="4F81BD" w:themeColor="accent1"/>
          <w:sz w:val="20"/>
          <w:szCs w:val="20"/>
          <w:lang w:val="en-GB"/>
        </w:rPr>
        <w:t>Pathology</w:t>
      </w:r>
    </w:p>
    <w:p w14:paraId="0BCC7A12" w14:textId="0808C571" w:rsidR="00E21E9B" w:rsidRPr="00602915" w:rsidRDefault="00E21E9B" w:rsidP="00582CE9">
      <w:pPr>
        <w:spacing w:after="0" w:line="240" w:lineRule="auto"/>
        <w:rPr>
          <w:rFonts w:ascii="Arial" w:hAnsi="Arial" w:cs="Arial"/>
          <w:sz w:val="20"/>
          <w:szCs w:val="20"/>
          <w:lang w:val="en-GB"/>
        </w:rPr>
      </w:pPr>
      <w:r w:rsidRPr="00602915">
        <w:rPr>
          <w:rFonts w:ascii="Arial" w:hAnsi="Arial" w:cs="Arial"/>
          <w:sz w:val="20"/>
          <w:szCs w:val="20"/>
          <w:lang w:val="en-GB"/>
        </w:rPr>
        <w:t xml:space="preserve">Pathologically, PD is defined as a loss of dopaminergic cells in the substantia nigra with the deposition of intraneuronal aggregates of α-synuclein in so-called Lewy neurites and Lewy bodies. Lewy pathology in PD involves not only dopaminergic cells, but also cholinergic, noradrenergic, serotonergic, histaminergic and glutaminergic cells, accounting for </w:t>
      </w:r>
      <w:r w:rsidR="00901E66" w:rsidRPr="00602915">
        <w:rPr>
          <w:rFonts w:ascii="Arial" w:hAnsi="Arial" w:cs="Arial"/>
          <w:sz w:val="20"/>
          <w:szCs w:val="20"/>
          <w:lang w:val="en-GB"/>
        </w:rPr>
        <w:t xml:space="preserve">its </w:t>
      </w:r>
      <w:r w:rsidRPr="00602915">
        <w:rPr>
          <w:rFonts w:ascii="Arial" w:hAnsi="Arial" w:cs="Arial"/>
          <w:sz w:val="20"/>
          <w:szCs w:val="20"/>
          <w:lang w:val="en-GB"/>
        </w:rPr>
        <w:t xml:space="preserve">wide clinical spectrum. </w:t>
      </w:r>
      <w:r w:rsidR="00D3198F" w:rsidRPr="00602915">
        <w:rPr>
          <w:rFonts w:ascii="Arial" w:hAnsi="Arial" w:cs="Arial"/>
          <w:sz w:val="20"/>
          <w:szCs w:val="20"/>
          <w:lang w:val="en-GB"/>
        </w:rPr>
        <w:t xml:space="preserve">It has been proposed that </w:t>
      </w:r>
      <w:r w:rsidRPr="00602915">
        <w:rPr>
          <w:rFonts w:ascii="Arial" w:hAnsi="Arial" w:cs="Arial"/>
          <w:sz w:val="20"/>
          <w:szCs w:val="20"/>
          <w:lang w:val="en-GB"/>
        </w:rPr>
        <w:t>Lewy pathology develops along a stereotyped trajectory through the brain, beginning in the olfactory bulb and dorsal motor nucleus of the vagus, and spreading rostrocaudally through the brainstem into the midbrain tegmental nuclei</w:t>
      </w:r>
      <w:r w:rsidR="007F3384" w:rsidRPr="00602915">
        <w:rPr>
          <w:rFonts w:ascii="Arial" w:hAnsi="Arial" w:cs="Arial"/>
          <w:sz w:val="20"/>
          <w:szCs w:val="20"/>
          <w:lang w:val="en-GB"/>
        </w:rPr>
        <w:t xml:space="preserve">, </w:t>
      </w:r>
      <w:r w:rsidRPr="00602915">
        <w:rPr>
          <w:rFonts w:ascii="Arial" w:hAnsi="Arial" w:cs="Arial"/>
          <w:sz w:val="20"/>
          <w:szCs w:val="20"/>
          <w:lang w:val="en-GB"/>
        </w:rPr>
        <w:t xml:space="preserve">then to forebrain structures before reaching the anteromedial temporal cortex and finally more widespread regions of the neocortex. </w:t>
      </w:r>
      <w:r w:rsidR="007F3384" w:rsidRPr="00602915">
        <w:rPr>
          <w:rFonts w:ascii="Arial" w:hAnsi="Arial" w:cs="Arial"/>
          <w:sz w:val="20"/>
          <w:szCs w:val="20"/>
          <w:lang w:val="en-GB"/>
        </w:rPr>
        <w:t>T</w:t>
      </w:r>
      <w:r w:rsidR="00817C63" w:rsidRPr="00602915">
        <w:rPr>
          <w:rFonts w:ascii="Arial" w:hAnsi="Arial" w:cs="Arial"/>
          <w:sz w:val="20"/>
          <w:szCs w:val="20"/>
          <w:lang w:val="en-GB"/>
        </w:rPr>
        <w:t>his ‘Braak hypothesis’ of spreading pathology has</w:t>
      </w:r>
      <w:r w:rsidR="00020FBC" w:rsidRPr="00602915">
        <w:rPr>
          <w:rFonts w:ascii="Arial" w:hAnsi="Arial" w:cs="Arial"/>
          <w:sz w:val="20"/>
          <w:szCs w:val="20"/>
          <w:lang w:val="en-GB"/>
        </w:rPr>
        <w:t>, however,</w:t>
      </w:r>
      <w:r w:rsidR="00817C63" w:rsidRPr="00602915">
        <w:rPr>
          <w:rFonts w:ascii="Arial" w:hAnsi="Arial" w:cs="Arial"/>
          <w:sz w:val="20"/>
          <w:szCs w:val="20"/>
          <w:lang w:val="en-GB"/>
        </w:rPr>
        <w:t xml:space="preserve"> been </w:t>
      </w:r>
      <w:r w:rsidR="00837D2C" w:rsidRPr="00602915">
        <w:rPr>
          <w:rFonts w:ascii="Arial" w:hAnsi="Arial" w:cs="Arial"/>
          <w:sz w:val="20"/>
          <w:szCs w:val="20"/>
          <w:lang w:val="en-GB"/>
        </w:rPr>
        <w:t>chall</w:t>
      </w:r>
      <w:r w:rsidR="007F3384" w:rsidRPr="00602915">
        <w:rPr>
          <w:rFonts w:ascii="Arial" w:hAnsi="Arial" w:cs="Arial"/>
          <w:sz w:val="20"/>
          <w:szCs w:val="20"/>
          <w:lang w:val="en-GB"/>
        </w:rPr>
        <w:t>e</w:t>
      </w:r>
      <w:r w:rsidR="00837D2C" w:rsidRPr="00602915">
        <w:rPr>
          <w:rFonts w:ascii="Arial" w:hAnsi="Arial" w:cs="Arial"/>
          <w:sz w:val="20"/>
          <w:szCs w:val="20"/>
          <w:lang w:val="en-GB"/>
        </w:rPr>
        <w:t>nged,</w:t>
      </w:r>
      <w:r w:rsidR="00817C63" w:rsidRPr="00602915">
        <w:rPr>
          <w:rFonts w:ascii="Arial" w:hAnsi="Arial" w:cs="Arial"/>
          <w:sz w:val="20"/>
          <w:szCs w:val="20"/>
          <w:lang w:val="en-GB"/>
        </w:rPr>
        <w:t xml:space="preserve"> as the neuropathology does not </w:t>
      </w:r>
      <w:r w:rsidR="007F3384" w:rsidRPr="00602915">
        <w:rPr>
          <w:rFonts w:ascii="Arial" w:hAnsi="Arial" w:cs="Arial"/>
          <w:sz w:val="20"/>
          <w:szCs w:val="20"/>
          <w:lang w:val="en-GB"/>
        </w:rPr>
        <w:t xml:space="preserve">always </w:t>
      </w:r>
      <w:r w:rsidR="00817C63" w:rsidRPr="00602915">
        <w:rPr>
          <w:rFonts w:ascii="Arial" w:hAnsi="Arial" w:cs="Arial"/>
          <w:sz w:val="20"/>
          <w:szCs w:val="20"/>
          <w:lang w:val="en-GB"/>
        </w:rPr>
        <w:t xml:space="preserve">follow this pattern. </w:t>
      </w:r>
      <w:r w:rsidR="00A30A93" w:rsidRPr="00602915">
        <w:rPr>
          <w:rFonts w:ascii="Arial" w:hAnsi="Arial" w:cs="Arial"/>
          <w:sz w:val="20"/>
          <w:szCs w:val="20"/>
          <w:lang w:val="en-GB"/>
        </w:rPr>
        <w:t xml:space="preserve"> </w:t>
      </w:r>
    </w:p>
    <w:p w14:paraId="3E73C1E8" w14:textId="0315CF99" w:rsidR="00E21E9B" w:rsidRPr="00602915" w:rsidRDefault="00E21E9B" w:rsidP="00582CE9">
      <w:pPr>
        <w:spacing w:after="0" w:line="240" w:lineRule="auto"/>
        <w:ind w:firstLine="720"/>
        <w:rPr>
          <w:rFonts w:ascii="Arial" w:hAnsi="Arial" w:cs="Arial"/>
          <w:sz w:val="20"/>
          <w:szCs w:val="20"/>
          <w:lang w:val="en-GB"/>
        </w:rPr>
      </w:pPr>
      <w:r w:rsidRPr="00602915">
        <w:rPr>
          <w:rFonts w:ascii="Arial" w:hAnsi="Arial" w:cs="Arial"/>
          <w:sz w:val="20"/>
          <w:szCs w:val="20"/>
          <w:lang w:val="en-GB"/>
        </w:rPr>
        <w:t>The mechanisms driving th</w:t>
      </w:r>
      <w:r w:rsidR="00817C63" w:rsidRPr="00602915">
        <w:rPr>
          <w:rFonts w:ascii="Arial" w:hAnsi="Arial" w:cs="Arial"/>
          <w:sz w:val="20"/>
          <w:szCs w:val="20"/>
          <w:lang w:val="en-GB"/>
        </w:rPr>
        <w:t>e</w:t>
      </w:r>
      <w:r w:rsidRPr="00602915">
        <w:rPr>
          <w:rFonts w:ascii="Arial" w:hAnsi="Arial" w:cs="Arial"/>
          <w:sz w:val="20"/>
          <w:szCs w:val="20"/>
          <w:lang w:val="en-GB"/>
        </w:rPr>
        <w:t xml:space="preserve"> spread of pathology </w:t>
      </w:r>
      <w:r w:rsidR="00817C63" w:rsidRPr="00602915">
        <w:rPr>
          <w:rFonts w:ascii="Arial" w:hAnsi="Arial" w:cs="Arial"/>
          <w:sz w:val="20"/>
          <w:szCs w:val="20"/>
          <w:lang w:val="en-GB"/>
        </w:rPr>
        <w:t xml:space="preserve">in PD </w:t>
      </w:r>
      <w:r w:rsidRPr="00602915">
        <w:rPr>
          <w:rFonts w:ascii="Arial" w:hAnsi="Arial" w:cs="Arial"/>
          <w:sz w:val="20"/>
          <w:szCs w:val="20"/>
          <w:lang w:val="en-GB"/>
        </w:rPr>
        <w:t xml:space="preserve">and </w:t>
      </w:r>
      <w:r w:rsidR="007F3384" w:rsidRPr="00602915">
        <w:rPr>
          <w:rFonts w:ascii="Arial" w:hAnsi="Arial" w:cs="Arial"/>
          <w:sz w:val="20"/>
          <w:szCs w:val="20"/>
          <w:lang w:val="en-GB"/>
        </w:rPr>
        <w:t>why</w:t>
      </w:r>
      <w:r w:rsidRPr="00602915">
        <w:rPr>
          <w:rFonts w:ascii="Arial" w:hAnsi="Arial" w:cs="Arial"/>
          <w:sz w:val="20"/>
          <w:szCs w:val="20"/>
          <w:lang w:val="en-GB"/>
        </w:rPr>
        <w:t xml:space="preserve"> this occurs at different rates are still unclear. The </w:t>
      </w:r>
      <w:r w:rsidR="008F3E38" w:rsidRPr="00602915">
        <w:rPr>
          <w:rFonts w:ascii="Arial" w:hAnsi="Arial" w:cs="Arial"/>
          <w:sz w:val="20"/>
          <w:szCs w:val="20"/>
          <w:lang w:val="en-GB"/>
        </w:rPr>
        <w:t xml:space="preserve">initiating events </w:t>
      </w:r>
      <w:r w:rsidRPr="00602915">
        <w:rPr>
          <w:rFonts w:ascii="Arial" w:hAnsi="Arial" w:cs="Arial"/>
          <w:sz w:val="20"/>
          <w:szCs w:val="20"/>
          <w:lang w:val="en-GB"/>
        </w:rPr>
        <w:t>are also not fully determined</w:t>
      </w:r>
      <w:r w:rsidR="008F3E38" w:rsidRPr="00602915">
        <w:rPr>
          <w:rFonts w:ascii="Arial" w:hAnsi="Arial" w:cs="Arial"/>
          <w:sz w:val="20"/>
          <w:szCs w:val="20"/>
          <w:lang w:val="en-GB"/>
        </w:rPr>
        <w:t xml:space="preserve">. </w:t>
      </w:r>
      <w:r w:rsidR="007F3384" w:rsidRPr="00602915">
        <w:rPr>
          <w:rFonts w:ascii="Arial" w:hAnsi="Arial" w:cs="Arial"/>
          <w:sz w:val="20"/>
          <w:szCs w:val="20"/>
          <w:lang w:val="en-GB"/>
        </w:rPr>
        <w:t>O</w:t>
      </w:r>
      <w:r w:rsidRPr="00602915">
        <w:rPr>
          <w:rFonts w:ascii="Arial" w:hAnsi="Arial" w:cs="Arial"/>
          <w:sz w:val="20"/>
          <w:szCs w:val="20"/>
          <w:lang w:val="en-GB"/>
        </w:rPr>
        <w:t xml:space="preserve">bservations of early pathology in the gastrointestinal tract as well as the olfactory bulb in prodromal PD cases suggest that an environmental </w:t>
      </w:r>
      <w:r w:rsidRPr="00602915">
        <w:rPr>
          <w:rFonts w:ascii="Arial" w:hAnsi="Arial" w:cs="Arial"/>
          <w:sz w:val="20"/>
          <w:szCs w:val="20"/>
          <w:lang w:val="en-GB"/>
        </w:rPr>
        <w:lastRenderedPageBreak/>
        <w:t>pathogen might trigger the first conformational change in α-synuclein in these regions</w:t>
      </w:r>
      <w:r w:rsidR="002F6F9E" w:rsidRPr="00602915">
        <w:rPr>
          <w:rFonts w:ascii="Arial" w:hAnsi="Arial" w:cs="Arial"/>
          <w:sz w:val="20"/>
          <w:szCs w:val="20"/>
          <w:lang w:val="en-GB"/>
        </w:rPr>
        <w:t>.</w:t>
      </w:r>
      <w:r w:rsidR="00817C63" w:rsidRPr="00602915">
        <w:rPr>
          <w:rFonts w:ascii="Arial" w:hAnsi="Arial" w:cs="Arial"/>
          <w:sz w:val="20"/>
          <w:szCs w:val="20"/>
          <w:lang w:val="en-GB"/>
        </w:rPr>
        <w:t xml:space="preserve"> </w:t>
      </w:r>
      <w:r w:rsidR="002F6F9E" w:rsidRPr="00602915">
        <w:rPr>
          <w:rFonts w:ascii="Arial" w:hAnsi="Arial" w:cs="Arial"/>
          <w:sz w:val="20"/>
          <w:szCs w:val="20"/>
          <w:lang w:val="en-GB"/>
        </w:rPr>
        <w:t xml:space="preserve">Immune </w:t>
      </w:r>
      <w:r w:rsidR="00817C63" w:rsidRPr="00602915">
        <w:rPr>
          <w:rFonts w:ascii="Arial" w:hAnsi="Arial" w:cs="Arial"/>
          <w:sz w:val="20"/>
          <w:szCs w:val="20"/>
          <w:lang w:val="en-GB"/>
        </w:rPr>
        <w:t xml:space="preserve">changes </w:t>
      </w:r>
      <w:r w:rsidR="00161136" w:rsidRPr="00602915">
        <w:rPr>
          <w:rFonts w:ascii="Arial" w:hAnsi="Arial" w:cs="Arial"/>
          <w:sz w:val="20"/>
          <w:szCs w:val="20"/>
          <w:lang w:val="en-GB"/>
        </w:rPr>
        <w:t>may</w:t>
      </w:r>
      <w:r w:rsidR="007F3384" w:rsidRPr="00602915">
        <w:rPr>
          <w:rFonts w:ascii="Arial" w:hAnsi="Arial" w:cs="Arial"/>
          <w:sz w:val="20"/>
          <w:szCs w:val="20"/>
          <w:lang w:val="en-GB"/>
        </w:rPr>
        <w:t xml:space="preserve"> </w:t>
      </w:r>
      <w:r w:rsidR="00D91D2A" w:rsidRPr="00602915">
        <w:rPr>
          <w:rFonts w:ascii="Arial" w:hAnsi="Arial" w:cs="Arial"/>
          <w:sz w:val="20"/>
          <w:szCs w:val="20"/>
          <w:lang w:val="en-GB"/>
        </w:rPr>
        <w:t>p</w:t>
      </w:r>
      <w:r w:rsidR="008F3E38" w:rsidRPr="00602915">
        <w:rPr>
          <w:rFonts w:ascii="Arial" w:hAnsi="Arial" w:cs="Arial"/>
          <w:sz w:val="20"/>
          <w:szCs w:val="20"/>
          <w:lang w:val="en-GB"/>
        </w:rPr>
        <w:t xml:space="preserve">lay an early role in </w:t>
      </w:r>
      <w:r w:rsidR="005B4191" w:rsidRPr="00602915">
        <w:rPr>
          <w:rFonts w:ascii="Arial" w:hAnsi="Arial" w:cs="Arial"/>
          <w:sz w:val="20"/>
          <w:szCs w:val="20"/>
          <w:lang w:val="en-GB"/>
        </w:rPr>
        <w:t>worsening</w:t>
      </w:r>
      <w:r w:rsidR="008F3E38" w:rsidRPr="00602915">
        <w:rPr>
          <w:rFonts w:ascii="Arial" w:hAnsi="Arial" w:cs="Arial"/>
          <w:sz w:val="20"/>
          <w:szCs w:val="20"/>
          <w:lang w:val="en-GB"/>
        </w:rPr>
        <w:t xml:space="preserve"> neuronal damage.</w:t>
      </w:r>
      <w:bookmarkStart w:id="4" w:name="bbib3"/>
      <w:r w:rsidR="008F3E38" w:rsidRPr="00602915" w:rsidDel="008F3E38">
        <w:rPr>
          <w:rFonts w:ascii="Arial" w:hAnsi="Arial" w:cs="Arial"/>
          <w:sz w:val="20"/>
          <w:szCs w:val="20"/>
          <w:lang w:val="en-GB"/>
        </w:rPr>
        <w:t xml:space="preserve"> </w:t>
      </w:r>
      <w:bookmarkEnd w:id="4"/>
    </w:p>
    <w:p w14:paraId="622B07C2" w14:textId="77777777" w:rsidR="00582CE9" w:rsidRPr="00602915" w:rsidRDefault="00582CE9" w:rsidP="00582CE9">
      <w:pPr>
        <w:spacing w:after="0" w:line="240" w:lineRule="auto"/>
        <w:ind w:firstLine="720"/>
        <w:rPr>
          <w:rFonts w:ascii="Arial" w:hAnsi="Arial" w:cs="Arial"/>
          <w:sz w:val="20"/>
          <w:szCs w:val="20"/>
          <w:lang w:val="en-GB"/>
        </w:rPr>
      </w:pPr>
    </w:p>
    <w:p w14:paraId="79E2B20D" w14:textId="77777777" w:rsidR="00E21E9B" w:rsidRPr="00602915" w:rsidRDefault="00E21E9B" w:rsidP="00582CE9">
      <w:pPr>
        <w:pStyle w:val="Heading2"/>
        <w:spacing w:before="0" w:line="240" w:lineRule="auto"/>
        <w:rPr>
          <w:rFonts w:ascii="Arial" w:hAnsi="Arial" w:cs="Arial"/>
          <w:b/>
          <w:color w:val="4F81BD" w:themeColor="accent1"/>
          <w:sz w:val="20"/>
          <w:szCs w:val="20"/>
          <w:lang w:val="en-GB"/>
        </w:rPr>
      </w:pPr>
      <w:r w:rsidRPr="00602915">
        <w:rPr>
          <w:rFonts w:ascii="Arial" w:hAnsi="Arial" w:cs="Arial"/>
          <w:b/>
          <w:color w:val="4F81BD" w:themeColor="accent1"/>
          <w:sz w:val="20"/>
          <w:szCs w:val="20"/>
          <w:lang w:val="en-GB"/>
        </w:rPr>
        <w:t>Clinical features</w:t>
      </w:r>
    </w:p>
    <w:p w14:paraId="08D59596" w14:textId="77777777" w:rsidR="00E21E9B" w:rsidRPr="00602915" w:rsidRDefault="00E21E9B" w:rsidP="00582CE9">
      <w:pPr>
        <w:pStyle w:val="Heading3"/>
        <w:spacing w:before="0" w:line="240" w:lineRule="auto"/>
        <w:rPr>
          <w:rFonts w:ascii="Arial" w:hAnsi="Arial" w:cs="Arial"/>
          <w:b/>
          <w:color w:val="auto"/>
          <w:sz w:val="20"/>
          <w:szCs w:val="20"/>
          <w:lang w:val="en-GB"/>
        </w:rPr>
      </w:pPr>
      <w:r w:rsidRPr="00602915">
        <w:rPr>
          <w:rFonts w:ascii="Arial" w:hAnsi="Arial" w:cs="Arial"/>
          <w:b/>
          <w:color w:val="auto"/>
          <w:sz w:val="20"/>
          <w:szCs w:val="20"/>
          <w:lang w:val="en-GB"/>
        </w:rPr>
        <w:t>Prodromal PD</w:t>
      </w:r>
    </w:p>
    <w:p w14:paraId="04D84E86" w14:textId="5074F3AB" w:rsidR="00E21E9B" w:rsidRPr="00602915" w:rsidRDefault="00E21E9B" w:rsidP="00582CE9">
      <w:pPr>
        <w:spacing w:after="0" w:line="240" w:lineRule="auto"/>
        <w:rPr>
          <w:rFonts w:ascii="Arial" w:hAnsi="Arial" w:cs="Arial"/>
          <w:sz w:val="20"/>
          <w:szCs w:val="20"/>
          <w:lang w:val="en-GB"/>
        </w:rPr>
      </w:pPr>
      <w:r w:rsidRPr="00602915">
        <w:rPr>
          <w:rFonts w:ascii="Arial" w:hAnsi="Arial" w:cs="Arial"/>
          <w:sz w:val="20"/>
          <w:szCs w:val="20"/>
          <w:lang w:val="en-GB"/>
        </w:rPr>
        <w:t xml:space="preserve">The nigrostriatal degeneration that underlies the typical motor features of PD </w:t>
      </w:r>
      <w:r w:rsidR="00412076" w:rsidRPr="00602915">
        <w:rPr>
          <w:rFonts w:ascii="Arial" w:hAnsi="Arial" w:cs="Arial"/>
          <w:sz w:val="20"/>
          <w:szCs w:val="20"/>
          <w:lang w:val="en-GB"/>
        </w:rPr>
        <w:t>can</w:t>
      </w:r>
      <w:r w:rsidRPr="00602915">
        <w:rPr>
          <w:rFonts w:ascii="Arial" w:hAnsi="Arial" w:cs="Arial"/>
          <w:sz w:val="20"/>
          <w:szCs w:val="20"/>
          <w:lang w:val="en-GB"/>
        </w:rPr>
        <w:t xml:space="preserve"> be preceded for many years by changes in the olfactory bulb, brainstem and peripheral enteric nervous system. </w:t>
      </w:r>
      <w:r w:rsidR="007F3384" w:rsidRPr="00602915">
        <w:rPr>
          <w:rFonts w:ascii="Arial" w:hAnsi="Arial" w:cs="Arial"/>
          <w:sz w:val="20"/>
          <w:szCs w:val="20"/>
          <w:lang w:val="en-GB"/>
        </w:rPr>
        <w:t>Predictably,</w:t>
      </w:r>
      <w:r w:rsidR="00B24C30">
        <w:rPr>
          <w:rFonts w:ascii="Arial" w:hAnsi="Arial" w:cs="Arial"/>
          <w:sz w:val="20"/>
          <w:szCs w:val="20"/>
          <w:lang w:val="en-GB"/>
        </w:rPr>
        <w:t xml:space="preserve"> therefore,</w:t>
      </w:r>
      <w:r w:rsidRPr="00602915">
        <w:rPr>
          <w:rFonts w:ascii="Arial" w:hAnsi="Arial" w:cs="Arial"/>
          <w:sz w:val="20"/>
          <w:szCs w:val="20"/>
          <w:lang w:val="en-GB"/>
        </w:rPr>
        <w:t xml:space="preserve"> some patients </w:t>
      </w:r>
      <w:r w:rsidR="007F3384" w:rsidRPr="00602915">
        <w:rPr>
          <w:rFonts w:ascii="Arial" w:hAnsi="Arial" w:cs="Arial"/>
          <w:sz w:val="20"/>
          <w:szCs w:val="20"/>
          <w:lang w:val="en-GB"/>
        </w:rPr>
        <w:t xml:space="preserve">have </w:t>
      </w:r>
      <w:r w:rsidRPr="00602915">
        <w:rPr>
          <w:rFonts w:ascii="Arial" w:hAnsi="Arial" w:cs="Arial"/>
          <w:sz w:val="20"/>
          <w:szCs w:val="20"/>
          <w:lang w:val="en-GB"/>
        </w:rPr>
        <w:t xml:space="preserve">prodromal symptoms </w:t>
      </w:r>
      <w:r w:rsidR="007F3384" w:rsidRPr="00602915">
        <w:rPr>
          <w:rFonts w:ascii="Arial" w:hAnsi="Arial" w:cs="Arial"/>
          <w:sz w:val="20"/>
          <w:szCs w:val="20"/>
          <w:lang w:val="en-GB"/>
        </w:rPr>
        <w:t xml:space="preserve">for </w:t>
      </w:r>
      <w:r w:rsidRPr="00602915">
        <w:rPr>
          <w:rFonts w:ascii="Arial" w:hAnsi="Arial" w:cs="Arial"/>
          <w:sz w:val="20"/>
          <w:szCs w:val="20"/>
          <w:lang w:val="en-GB"/>
        </w:rPr>
        <w:t xml:space="preserve">years before the </w:t>
      </w:r>
      <w:r w:rsidR="00B24C30">
        <w:rPr>
          <w:rFonts w:ascii="Arial" w:hAnsi="Arial" w:cs="Arial"/>
          <w:sz w:val="20"/>
          <w:szCs w:val="20"/>
          <w:lang w:val="en-GB"/>
        </w:rPr>
        <w:t xml:space="preserve">onset of </w:t>
      </w:r>
      <w:r w:rsidRPr="00602915">
        <w:rPr>
          <w:rFonts w:ascii="Arial" w:hAnsi="Arial" w:cs="Arial"/>
          <w:sz w:val="20"/>
          <w:szCs w:val="20"/>
          <w:lang w:val="en-GB"/>
        </w:rPr>
        <w:t xml:space="preserve">typical parkinsonian motor features. These include loss of sense of smell, constipation, rapid eye movement (REM) sleep behaviour disorder and mood changes, and their presence </w:t>
      </w:r>
      <w:r w:rsidR="00161136" w:rsidRPr="00602915">
        <w:rPr>
          <w:rFonts w:ascii="Arial" w:hAnsi="Arial" w:cs="Arial"/>
          <w:sz w:val="20"/>
          <w:szCs w:val="20"/>
          <w:lang w:val="en-GB"/>
        </w:rPr>
        <w:t>may</w:t>
      </w:r>
      <w:r w:rsidRPr="00602915">
        <w:rPr>
          <w:rFonts w:ascii="Arial" w:hAnsi="Arial" w:cs="Arial"/>
          <w:sz w:val="20"/>
          <w:szCs w:val="20"/>
          <w:lang w:val="en-GB"/>
        </w:rPr>
        <w:t xml:space="preserve"> support a clinical diagnosis of PD. </w:t>
      </w:r>
      <w:r w:rsidR="00526821" w:rsidRPr="00602915">
        <w:rPr>
          <w:rFonts w:ascii="Arial" w:hAnsi="Arial" w:cs="Arial"/>
          <w:sz w:val="20"/>
          <w:szCs w:val="20"/>
          <w:lang w:val="en-GB"/>
        </w:rPr>
        <w:t>New research criteria for ‘prodromal PD’</w:t>
      </w:r>
      <w:r w:rsidR="00B24C30">
        <w:rPr>
          <w:rFonts w:ascii="Arial" w:hAnsi="Arial" w:cs="Arial"/>
          <w:sz w:val="20"/>
          <w:szCs w:val="20"/>
          <w:lang w:val="en-GB"/>
        </w:rPr>
        <w:t xml:space="preserve"> allow estimation of the probability of conversion to PD</w:t>
      </w:r>
      <w:r w:rsidR="00FB744A">
        <w:rPr>
          <w:rFonts w:ascii="Arial" w:hAnsi="Arial" w:cs="Arial"/>
          <w:sz w:val="20"/>
          <w:szCs w:val="20"/>
          <w:lang w:val="en-GB"/>
        </w:rPr>
        <w:t xml:space="preserve"> based on these clinical features</w:t>
      </w:r>
      <w:r w:rsidR="00B24C30">
        <w:rPr>
          <w:rFonts w:ascii="Arial" w:hAnsi="Arial" w:cs="Arial"/>
          <w:sz w:val="20"/>
          <w:szCs w:val="20"/>
          <w:lang w:val="en-GB"/>
        </w:rPr>
        <w:t>,</w:t>
      </w:r>
      <w:r w:rsidRPr="00602915">
        <w:rPr>
          <w:rFonts w:ascii="Arial" w:hAnsi="Arial" w:cs="Arial"/>
          <w:sz w:val="20"/>
          <w:szCs w:val="20"/>
          <w:lang w:val="en-GB"/>
        </w:rPr>
        <w:t xml:space="preserve">, </w:t>
      </w:r>
      <w:r w:rsidR="00526821" w:rsidRPr="00602915">
        <w:rPr>
          <w:rFonts w:ascii="Arial" w:hAnsi="Arial" w:cs="Arial"/>
          <w:sz w:val="20"/>
          <w:szCs w:val="20"/>
          <w:lang w:val="en-GB"/>
        </w:rPr>
        <w:t xml:space="preserve">with </w:t>
      </w:r>
      <w:r w:rsidRPr="00602915">
        <w:rPr>
          <w:rFonts w:ascii="Arial" w:hAnsi="Arial" w:cs="Arial"/>
          <w:sz w:val="20"/>
          <w:szCs w:val="20"/>
          <w:lang w:val="en-GB"/>
        </w:rPr>
        <w:t>dopamine transporter single-photon emission computed tomography (SPECT) scanning</w:t>
      </w:r>
      <w:r w:rsidR="00526821" w:rsidRPr="00602915">
        <w:rPr>
          <w:rFonts w:ascii="Arial" w:hAnsi="Arial" w:cs="Arial"/>
          <w:sz w:val="20"/>
          <w:szCs w:val="20"/>
          <w:lang w:val="en-GB"/>
        </w:rPr>
        <w:t xml:space="preserve"> </w:t>
      </w:r>
      <w:r w:rsidR="00B24C30">
        <w:rPr>
          <w:rFonts w:ascii="Arial" w:hAnsi="Arial" w:cs="Arial"/>
          <w:sz w:val="20"/>
          <w:szCs w:val="20"/>
          <w:lang w:val="en-GB"/>
        </w:rPr>
        <w:t>contributing</w:t>
      </w:r>
      <w:r w:rsidR="00094156" w:rsidRPr="00602915">
        <w:rPr>
          <w:rFonts w:ascii="Arial" w:hAnsi="Arial" w:cs="Arial"/>
          <w:sz w:val="20"/>
          <w:szCs w:val="20"/>
          <w:lang w:val="en-GB"/>
        </w:rPr>
        <w:t xml:space="preserve"> </w:t>
      </w:r>
      <w:r w:rsidR="00526821" w:rsidRPr="00602915">
        <w:rPr>
          <w:rFonts w:ascii="Arial" w:hAnsi="Arial" w:cs="Arial"/>
          <w:sz w:val="20"/>
          <w:szCs w:val="20"/>
          <w:lang w:val="en-GB"/>
        </w:rPr>
        <w:t xml:space="preserve">additional </w:t>
      </w:r>
      <w:r w:rsidR="00837D2C" w:rsidRPr="00602915">
        <w:rPr>
          <w:rFonts w:ascii="Arial" w:hAnsi="Arial" w:cs="Arial"/>
          <w:sz w:val="20"/>
          <w:szCs w:val="20"/>
          <w:lang w:val="en-GB"/>
        </w:rPr>
        <w:t>predictive value</w:t>
      </w:r>
      <w:r w:rsidR="00526821" w:rsidRPr="00602915">
        <w:rPr>
          <w:rFonts w:ascii="Arial" w:hAnsi="Arial" w:cs="Arial"/>
          <w:sz w:val="20"/>
          <w:szCs w:val="20"/>
          <w:lang w:val="en-GB"/>
        </w:rPr>
        <w:t>.</w:t>
      </w:r>
      <w:r w:rsidR="002E4190" w:rsidRPr="00602915">
        <w:rPr>
          <w:rFonts w:ascii="Arial" w:hAnsi="Arial" w:cs="Arial"/>
          <w:sz w:val="20"/>
          <w:szCs w:val="20"/>
          <w:vertAlign w:val="superscript"/>
          <w:lang w:val="en-GB"/>
        </w:rPr>
        <w:t>4</w:t>
      </w:r>
      <w:r w:rsidR="002E4190" w:rsidRPr="00602915">
        <w:rPr>
          <w:rFonts w:ascii="Arial" w:hAnsi="Arial" w:cs="Arial"/>
          <w:sz w:val="20"/>
          <w:szCs w:val="20"/>
          <w:lang w:val="en-GB"/>
        </w:rPr>
        <w:t xml:space="preserve"> </w:t>
      </w:r>
      <w:r w:rsidR="00105D42" w:rsidRPr="00602915">
        <w:rPr>
          <w:rFonts w:ascii="Arial" w:hAnsi="Arial" w:cs="Arial"/>
          <w:sz w:val="20"/>
          <w:szCs w:val="20"/>
          <w:lang w:val="en-GB"/>
        </w:rPr>
        <w:t xml:space="preserve">More reliable identification of prodromal cases </w:t>
      </w:r>
      <w:r w:rsidR="00F17A49" w:rsidRPr="00602915">
        <w:rPr>
          <w:rFonts w:ascii="Arial" w:hAnsi="Arial" w:cs="Arial"/>
          <w:sz w:val="20"/>
          <w:szCs w:val="20"/>
          <w:lang w:val="en-GB"/>
        </w:rPr>
        <w:t>allows</w:t>
      </w:r>
      <w:r w:rsidR="00105D42" w:rsidRPr="00602915">
        <w:rPr>
          <w:rFonts w:ascii="Arial" w:hAnsi="Arial" w:cs="Arial"/>
          <w:sz w:val="20"/>
          <w:szCs w:val="20"/>
          <w:lang w:val="en-GB"/>
        </w:rPr>
        <w:t xml:space="preserve"> </w:t>
      </w:r>
      <w:r w:rsidR="002E4190" w:rsidRPr="00602915">
        <w:rPr>
          <w:rFonts w:ascii="Arial" w:hAnsi="Arial" w:cs="Arial"/>
          <w:sz w:val="20"/>
          <w:szCs w:val="20"/>
          <w:lang w:val="en-GB"/>
        </w:rPr>
        <w:t xml:space="preserve">the possibility of initiating </w:t>
      </w:r>
      <w:r w:rsidRPr="00602915">
        <w:rPr>
          <w:rFonts w:ascii="Arial" w:hAnsi="Arial" w:cs="Arial"/>
          <w:sz w:val="20"/>
          <w:szCs w:val="20"/>
          <w:lang w:val="en-GB"/>
        </w:rPr>
        <w:t xml:space="preserve">future disease-modifying therapies </w:t>
      </w:r>
      <w:r w:rsidR="008E0608" w:rsidRPr="00602915">
        <w:rPr>
          <w:rFonts w:ascii="Arial" w:hAnsi="Arial" w:cs="Arial"/>
          <w:sz w:val="20"/>
          <w:szCs w:val="20"/>
          <w:lang w:val="en-GB"/>
        </w:rPr>
        <w:t xml:space="preserve">when they </w:t>
      </w:r>
      <w:r w:rsidR="00161136" w:rsidRPr="00602915">
        <w:rPr>
          <w:rFonts w:ascii="Arial" w:hAnsi="Arial" w:cs="Arial"/>
          <w:sz w:val="20"/>
          <w:szCs w:val="20"/>
          <w:lang w:val="en-GB"/>
        </w:rPr>
        <w:t>may</w:t>
      </w:r>
      <w:r w:rsidR="008E0608" w:rsidRPr="00602915">
        <w:rPr>
          <w:rFonts w:ascii="Arial" w:hAnsi="Arial" w:cs="Arial"/>
          <w:sz w:val="20"/>
          <w:szCs w:val="20"/>
          <w:lang w:val="en-GB"/>
        </w:rPr>
        <w:t xml:space="preserve"> have most benefit</w:t>
      </w:r>
      <w:r w:rsidRPr="00602915">
        <w:rPr>
          <w:rFonts w:ascii="Arial" w:hAnsi="Arial" w:cs="Arial"/>
          <w:sz w:val="20"/>
          <w:szCs w:val="20"/>
          <w:lang w:val="en-GB"/>
        </w:rPr>
        <w:t>.</w:t>
      </w:r>
    </w:p>
    <w:p w14:paraId="6B665A15" w14:textId="77777777" w:rsidR="00FB3568" w:rsidRPr="00602915" w:rsidRDefault="00FB3568" w:rsidP="00582CE9">
      <w:pPr>
        <w:spacing w:after="0" w:line="240" w:lineRule="auto"/>
        <w:rPr>
          <w:rFonts w:ascii="Arial" w:hAnsi="Arial" w:cs="Arial"/>
          <w:sz w:val="20"/>
          <w:szCs w:val="20"/>
          <w:lang w:val="en-GB"/>
        </w:rPr>
      </w:pPr>
    </w:p>
    <w:p w14:paraId="7949128A" w14:textId="77777777" w:rsidR="00E21E9B" w:rsidRPr="00602915" w:rsidRDefault="00E21E9B" w:rsidP="00582CE9">
      <w:pPr>
        <w:pStyle w:val="Heading3"/>
        <w:spacing w:before="0" w:line="240" w:lineRule="auto"/>
        <w:rPr>
          <w:rFonts w:ascii="Arial" w:hAnsi="Arial" w:cs="Arial"/>
          <w:b/>
          <w:color w:val="auto"/>
          <w:sz w:val="20"/>
          <w:szCs w:val="20"/>
          <w:lang w:val="en-GB"/>
        </w:rPr>
      </w:pPr>
      <w:r w:rsidRPr="00602915">
        <w:rPr>
          <w:rFonts w:ascii="Arial" w:hAnsi="Arial" w:cs="Arial"/>
          <w:b/>
          <w:color w:val="auto"/>
          <w:sz w:val="20"/>
          <w:szCs w:val="20"/>
          <w:lang w:val="en-GB"/>
        </w:rPr>
        <w:t>Motor presentation</w:t>
      </w:r>
    </w:p>
    <w:p w14:paraId="03592A41" w14:textId="3D483FFE" w:rsidR="00E21E9B" w:rsidRPr="00602915" w:rsidRDefault="00E21E9B" w:rsidP="00582CE9">
      <w:pPr>
        <w:spacing w:after="0" w:line="240" w:lineRule="auto"/>
        <w:rPr>
          <w:rFonts w:ascii="Arial" w:hAnsi="Arial" w:cs="Arial"/>
          <w:sz w:val="20"/>
          <w:szCs w:val="20"/>
          <w:lang w:val="en-GB"/>
        </w:rPr>
      </w:pPr>
      <w:r w:rsidRPr="00602915">
        <w:rPr>
          <w:rFonts w:ascii="Arial" w:hAnsi="Arial" w:cs="Arial"/>
          <w:sz w:val="20"/>
          <w:szCs w:val="20"/>
          <w:lang w:val="en-GB"/>
        </w:rPr>
        <w:t xml:space="preserve">The diagnosis of PD depends on </w:t>
      </w:r>
      <w:r w:rsidR="00FB744A">
        <w:rPr>
          <w:rFonts w:ascii="Arial" w:hAnsi="Arial" w:cs="Arial"/>
          <w:sz w:val="20"/>
          <w:szCs w:val="20"/>
          <w:lang w:val="en-GB"/>
        </w:rPr>
        <w:t xml:space="preserve">the presence of </w:t>
      </w:r>
      <w:r w:rsidRPr="00602915">
        <w:rPr>
          <w:rFonts w:ascii="Arial" w:hAnsi="Arial" w:cs="Arial"/>
          <w:sz w:val="20"/>
          <w:szCs w:val="20"/>
          <w:lang w:val="en-GB"/>
        </w:rPr>
        <w:t>bradykinesia (defined as slowness of movement and decrement of amplitude or speed) in combination with either rest tremor or rigidity</w:t>
      </w:r>
      <w:r w:rsidR="00FB744A">
        <w:rPr>
          <w:rFonts w:ascii="Arial" w:hAnsi="Arial" w:cs="Arial"/>
          <w:sz w:val="20"/>
          <w:szCs w:val="20"/>
          <w:lang w:val="en-GB"/>
        </w:rPr>
        <w:t xml:space="preserve">. These features are </w:t>
      </w:r>
      <w:r w:rsidR="00770B78" w:rsidRPr="00602915">
        <w:rPr>
          <w:rFonts w:ascii="Arial" w:hAnsi="Arial" w:cs="Arial"/>
          <w:sz w:val="20"/>
          <w:szCs w:val="20"/>
          <w:lang w:val="en-GB"/>
        </w:rPr>
        <w:t>usually</w:t>
      </w:r>
      <w:r w:rsidRPr="00602915">
        <w:rPr>
          <w:rFonts w:ascii="Arial" w:hAnsi="Arial" w:cs="Arial"/>
          <w:sz w:val="20"/>
          <w:szCs w:val="20"/>
          <w:lang w:val="en-GB"/>
        </w:rPr>
        <w:t xml:space="preserve"> asymmetric</w:t>
      </w:r>
      <w:r w:rsidR="00A777AE" w:rsidRPr="00602915">
        <w:rPr>
          <w:rFonts w:ascii="Arial" w:hAnsi="Arial" w:cs="Arial"/>
          <w:sz w:val="20"/>
          <w:szCs w:val="20"/>
          <w:lang w:val="en-GB"/>
        </w:rPr>
        <w:t>al</w:t>
      </w:r>
      <w:r w:rsidR="00FB744A">
        <w:rPr>
          <w:rFonts w:ascii="Arial" w:hAnsi="Arial" w:cs="Arial"/>
          <w:sz w:val="20"/>
          <w:szCs w:val="20"/>
          <w:lang w:val="en-GB"/>
        </w:rPr>
        <w:t xml:space="preserve"> at onset.</w:t>
      </w:r>
      <w:r w:rsidR="00770B78" w:rsidRPr="00602915">
        <w:rPr>
          <w:rFonts w:ascii="Arial" w:hAnsi="Arial" w:cs="Arial"/>
          <w:sz w:val="20"/>
          <w:szCs w:val="20"/>
          <w:lang w:val="en-GB"/>
        </w:rPr>
        <w:t>.</w:t>
      </w:r>
      <w:r w:rsidRPr="00602915">
        <w:rPr>
          <w:rFonts w:ascii="Arial" w:hAnsi="Arial" w:cs="Arial"/>
          <w:sz w:val="20"/>
          <w:szCs w:val="20"/>
          <w:vertAlign w:val="superscript"/>
          <w:lang w:val="en-GB"/>
        </w:rPr>
        <w:t>1</w:t>
      </w:r>
      <w:r w:rsidRPr="00602915">
        <w:rPr>
          <w:rFonts w:ascii="Arial" w:hAnsi="Arial" w:cs="Arial"/>
          <w:sz w:val="20"/>
          <w:szCs w:val="20"/>
          <w:lang w:val="en-GB"/>
        </w:rPr>
        <w:t xml:space="preserve"> </w:t>
      </w:r>
      <w:r w:rsidR="00770B78" w:rsidRPr="00602915">
        <w:rPr>
          <w:rFonts w:ascii="Arial" w:hAnsi="Arial" w:cs="Arial"/>
          <w:sz w:val="20"/>
          <w:szCs w:val="20"/>
          <w:lang w:val="en-GB"/>
        </w:rPr>
        <w:t>An alternative diagnosis is suggested by atypical features such as</w:t>
      </w:r>
      <w:r w:rsidRPr="00602915">
        <w:rPr>
          <w:rFonts w:ascii="Arial" w:hAnsi="Arial" w:cs="Arial"/>
          <w:sz w:val="20"/>
          <w:szCs w:val="20"/>
          <w:lang w:val="en-GB"/>
        </w:rPr>
        <w:t xml:space="preserve"> cerebellar signs and early severe autonomic dysfunction (suggest</w:t>
      </w:r>
      <w:r w:rsidR="00770B78" w:rsidRPr="00602915">
        <w:rPr>
          <w:rFonts w:ascii="Arial" w:hAnsi="Arial" w:cs="Arial"/>
          <w:sz w:val="20"/>
          <w:szCs w:val="20"/>
          <w:lang w:val="en-GB"/>
        </w:rPr>
        <w:t>ing</w:t>
      </w:r>
      <w:r w:rsidRPr="00602915">
        <w:rPr>
          <w:rFonts w:ascii="Arial" w:hAnsi="Arial" w:cs="Arial"/>
          <w:sz w:val="20"/>
          <w:szCs w:val="20"/>
          <w:lang w:val="en-GB"/>
        </w:rPr>
        <w:t xml:space="preserve"> multiple system atrophy), vertical supranuclear gaze palsy (</w:t>
      </w:r>
      <w:r w:rsidR="00770B78" w:rsidRPr="00602915">
        <w:rPr>
          <w:rFonts w:ascii="Arial" w:hAnsi="Arial" w:cs="Arial"/>
          <w:sz w:val="20"/>
          <w:szCs w:val="20"/>
          <w:lang w:val="en-GB"/>
        </w:rPr>
        <w:t xml:space="preserve">in </w:t>
      </w:r>
      <w:r w:rsidRPr="00602915">
        <w:rPr>
          <w:rFonts w:ascii="Arial" w:hAnsi="Arial" w:cs="Arial"/>
          <w:sz w:val="20"/>
          <w:szCs w:val="20"/>
          <w:lang w:val="en-GB"/>
        </w:rPr>
        <w:t xml:space="preserve">progressive supranuclear palsy), parkinsonism restricted only to the legs for &gt;3 years (suggesting vascular parkinsonism) or cortical sensory loss or ideomotor apraxia (suggesting corticobasal degeneration). A good response to levodopa therapy </w:t>
      </w:r>
      <w:r w:rsidR="00770B78" w:rsidRPr="00602915">
        <w:rPr>
          <w:rFonts w:ascii="Arial" w:hAnsi="Arial" w:cs="Arial"/>
          <w:sz w:val="20"/>
          <w:szCs w:val="20"/>
          <w:lang w:val="en-GB"/>
        </w:rPr>
        <w:t>supports</w:t>
      </w:r>
      <w:r w:rsidRPr="00602915">
        <w:rPr>
          <w:rFonts w:ascii="Arial" w:hAnsi="Arial" w:cs="Arial"/>
          <w:sz w:val="20"/>
          <w:szCs w:val="20"/>
          <w:lang w:val="en-GB"/>
        </w:rPr>
        <w:t xml:space="preserve"> the diagnosis</w:t>
      </w:r>
      <w:r w:rsidR="00FB744A">
        <w:rPr>
          <w:rFonts w:ascii="Arial" w:hAnsi="Arial" w:cs="Arial"/>
          <w:sz w:val="20"/>
          <w:szCs w:val="20"/>
          <w:lang w:val="en-GB"/>
        </w:rPr>
        <w:t xml:space="preserve"> of PD</w:t>
      </w:r>
      <w:r w:rsidRPr="00602915">
        <w:rPr>
          <w:rFonts w:ascii="Arial" w:hAnsi="Arial" w:cs="Arial"/>
          <w:sz w:val="20"/>
          <w:szCs w:val="20"/>
          <w:lang w:val="en-GB"/>
        </w:rPr>
        <w:t>.</w:t>
      </w:r>
    </w:p>
    <w:p w14:paraId="0EB6A54E" w14:textId="4F0BE43C" w:rsidR="00E21E9B" w:rsidRPr="00602915" w:rsidRDefault="00E21E9B" w:rsidP="00FB3568">
      <w:pPr>
        <w:spacing w:after="0" w:line="240" w:lineRule="auto"/>
        <w:ind w:firstLine="720"/>
        <w:rPr>
          <w:rFonts w:ascii="Arial" w:hAnsi="Arial" w:cs="Arial"/>
          <w:sz w:val="20"/>
          <w:szCs w:val="20"/>
          <w:lang w:val="en-GB"/>
        </w:rPr>
      </w:pPr>
      <w:r w:rsidRPr="00602915">
        <w:rPr>
          <w:rFonts w:ascii="Arial" w:hAnsi="Arial" w:cs="Arial"/>
          <w:sz w:val="20"/>
          <w:szCs w:val="20"/>
          <w:lang w:val="en-GB"/>
        </w:rPr>
        <w:t>Postural instability and falls typical</w:t>
      </w:r>
      <w:r w:rsidR="00770B78" w:rsidRPr="00602915">
        <w:rPr>
          <w:rFonts w:ascii="Arial" w:hAnsi="Arial" w:cs="Arial"/>
          <w:sz w:val="20"/>
          <w:szCs w:val="20"/>
          <w:lang w:val="en-GB"/>
        </w:rPr>
        <w:t xml:space="preserve">ly occur in </w:t>
      </w:r>
      <w:r w:rsidRPr="00602915">
        <w:rPr>
          <w:rFonts w:ascii="Arial" w:hAnsi="Arial" w:cs="Arial"/>
          <w:sz w:val="20"/>
          <w:szCs w:val="20"/>
          <w:lang w:val="en-GB"/>
        </w:rPr>
        <w:t>PD at least 3 years after the first motor symptoms. In cases of diagnostic uncertainty, dopamine transporter SPECT scanning</w:t>
      </w:r>
      <w:r w:rsidR="00770B78" w:rsidRPr="00602915">
        <w:rPr>
          <w:rFonts w:ascii="Arial" w:hAnsi="Arial" w:cs="Arial"/>
          <w:sz w:val="20"/>
          <w:szCs w:val="20"/>
          <w:lang w:val="en-GB"/>
        </w:rPr>
        <w:t xml:space="preserve"> demonstrates </w:t>
      </w:r>
      <w:r w:rsidRPr="00602915">
        <w:rPr>
          <w:rFonts w:ascii="Arial" w:hAnsi="Arial" w:cs="Arial"/>
          <w:sz w:val="20"/>
          <w:szCs w:val="20"/>
          <w:lang w:val="en-GB"/>
        </w:rPr>
        <w:t>evidence of a presynaptic dopaminergic deficit</w:t>
      </w:r>
      <w:r w:rsidR="00EA1929" w:rsidRPr="00602915">
        <w:rPr>
          <w:rFonts w:ascii="Arial" w:hAnsi="Arial" w:cs="Arial"/>
          <w:sz w:val="20"/>
          <w:szCs w:val="20"/>
          <w:lang w:val="en-GB"/>
        </w:rPr>
        <w:t>; this</w:t>
      </w:r>
      <w:r w:rsidRPr="00602915">
        <w:rPr>
          <w:rFonts w:ascii="Arial" w:hAnsi="Arial" w:cs="Arial"/>
          <w:sz w:val="20"/>
          <w:szCs w:val="20"/>
          <w:lang w:val="en-GB"/>
        </w:rPr>
        <w:t xml:space="preserve"> </w:t>
      </w:r>
      <w:r w:rsidR="00770B78" w:rsidRPr="00602915">
        <w:rPr>
          <w:rFonts w:ascii="Arial" w:hAnsi="Arial" w:cs="Arial"/>
          <w:sz w:val="20"/>
          <w:szCs w:val="20"/>
          <w:lang w:val="en-GB"/>
        </w:rPr>
        <w:t>exclud</w:t>
      </w:r>
      <w:r w:rsidR="00EA1929" w:rsidRPr="00602915">
        <w:rPr>
          <w:rFonts w:ascii="Arial" w:hAnsi="Arial" w:cs="Arial"/>
          <w:sz w:val="20"/>
          <w:szCs w:val="20"/>
          <w:lang w:val="en-GB"/>
        </w:rPr>
        <w:t>es</w:t>
      </w:r>
      <w:r w:rsidR="00770B78" w:rsidRPr="00602915">
        <w:rPr>
          <w:rFonts w:ascii="Arial" w:hAnsi="Arial" w:cs="Arial"/>
          <w:sz w:val="20"/>
          <w:szCs w:val="20"/>
          <w:lang w:val="en-GB"/>
        </w:rPr>
        <w:t xml:space="preserve"> </w:t>
      </w:r>
      <w:r w:rsidRPr="00602915">
        <w:rPr>
          <w:rFonts w:ascii="Arial" w:hAnsi="Arial" w:cs="Arial"/>
          <w:sz w:val="20"/>
          <w:szCs w:val="20"/>
          <w:lang w:val="en-GB"/>
        </w:rPr>
        <w:t xml:space="preserve">essential tremor, vascular parkinsonism and drug-induced parkinsonism secondary to dopamine-blocking drugs. It </w:t>
      </w:r>
      <w:r w:rsidR="00EA1929" w:rsidRPr="00602915">
        <w:rPr>
          <w:rFonts w:ascii="Arial" w:hAnsi="Arial" w:cs="Arial"/>
          <w:sz w:val="20"/>
          <w:szCs w:val="20"/>
          <w:lang w:val="en-GB"/>
        </w:rPr>
        <w:t>does</w:t>
      </w:r>
      <w:r w:rsidRPr="00602915">
        <w:rPr>
          <w:rFonts w:ascii="Arial" w:hAnsi="Arial" w:cs="Arial"/>
          <w:sz w:val="20"/>
          <w:szCs w:val="20"/>
          <w:lang w:val="en-GB"/>
        </w:rPr>
        <w:t xml:space="preserve"> not, however, distinguish PD </w:t>
      </w:r>
      <w:r w:rsidR="00EA1929" w:rsidRPr="00602915">
        <w:rPr>
          <w:rFonts w:ascii="Arial" w:hAnsi="Arial" w:cs="Arial"/>
          <w:sz w:val="20"/>
          <w:szCs w:val="20"/>
          <w:lang w:val="en-GB"/>
        </w:rPr>
        <w:t xml:space="preserve">from </w:t>
      </w:r>
      <w:r w:rsidRPr="00602915">
        <w:rPr>
          <w:rFonts w:ascii="Arial" w:hAnsi="Arial" w:cs="Arial"/>
          <w:sz w:val="20"/>
          <w:szCs w:val="20"/>
          <w:lang w:val="en-GB"/>
        </w:rPr>
        <w:t>other neurodegenerative causes of parkinsonism.</w:t>
      </w:r>
    </w:p>
    <w:p w14:paraId="5D293137" w14:textId="77777777" w:rsidR="00FB3568" w:rsidRPr="00602915" w:rsidRDefault="00FB3568" w:rsidP="00582CE9">
      <w:pPr>
        <w:pStyle w:val="Heading3"/>
        <w:spacing w:before="0" w:line="240" w:lineRule="auto"/>
        <w:rPr>
          <w:rFonts w:ascii="Arial" w:hAnsi="Arial" w:cs="Arial"/>
          <w:b/>
          <w:color w:val="auto"/>
          <w:sz w:val="20"/>
          <w:szCs w:val="20"/>
          <w:lang w:val="en-GB"/>
        </w:rPr>
      </w:pPr>
    </w:p>
    <w:p w14:paraId="0FF062D4" w14:textId="509AC94B" w:rsidR="00E21E9B" w:rsidRPr="00602915" w:rsidRDefault="00E21E9B" w:rsidP="00582CE9">
      <w:pPr>
        <w:pStyle w:val="Heading3"/>
        <w:spacing w:before="0" w:line="240" w:lineRule="auto"/>
        <w:rPr>
          <w:rFonts w:ascii="Arial" w:hAnsi="Arial" w:cs="Arial"/>
          <w:b/>
          <w:color w:val="auto"/>
          <w:sz w:val="20"/>
          <w:szCs w:val="20"/>
          <w:lang w:val="en-GB"/>
        </w:rPr>
      </w:pPr>
      <w:r w:rsidRPr="00602915">
        <w:rPr>
          <w:rFonts w:ascii="Arial" w:hAnsi="Arial" w:cs="Arial"/>
          <w:b/>
          <w:color w:val="auto"/>
          <w:sz w:val="20"/>
          <w:szCs w:val="20"/>
          <w:lang w:val="en-GB"/>
        </w:rPr>
        <w:t>Cognitive deficits</w:t>
      </w:r>
    </w:p>
    <w:p w14:paraId="140C090E" w14:textId="2D2C931A" w:rsidR="00E21E9B" w:rsidRPr="00602915" w:rsidRDefault="00E21E9B" w:rsidP="00582CE9">
      <w:pPr>
        <w:spacing w:after="0" w:line="240" w:lineRule="auto"/>
        <w:rPr>
          <w:rFonts w:ascii="Arial" w:hAnsi="Arial" w:cs="Arial"/>
          <w:sz w:val="20"/>
          <w:szCs w:val="20"/>
          <w:lang w:val="en-GB"/>
        </w:rPr>
      </w:pPr>
      <w:r w:rsidRPr="00602915">
        <w:rPr>
          <w:rFonts w:ascii="Arial" w:hAnsi="Arial" w:cs="Arial"/>
          <w:sz w:val="20"/>
          <w:szCs w:val="20"/>
          <w:lang w:val="en-GB"/>
        </w:rPr>
        <w:t xml:space="preserve">The earliest cognitive deficits in PD </w:t>
      </w:r>
      <w:r w:rsidR="00347A35" w:rsidRPr="00602915">
        <w:rPr>
          <w:rFonts w:ascii="Arial" w:hAnsi="Arial" w:cs="Arial"/>
          <w:sz w:val="20"/>
          <w:szCs w:val="20"/>
          <w:lang w:val="en-GB"/>
        </w:rPr>
        <w:t>involve</w:t>
      </w:r>
      <w:r w:rsidRPr="00602915">
        <w:rPr>
          <w:rFonts w:ascii="Arial" w:hAnsi="Arial" w:cs="Arial"/>
          <w:sz w:val="20"/>
          <w:szCs w:val="20"/>
          <w:lang w:val="en-GB"/>
        </w:rPr>
        <w:t xml:space="preserve"> dysfunction of the nigrostriatal dopaminergic system and its cortical projections </w:t>
      </w:r>
      <w:r w:rsidR="00347A35" w:rsidRPr="00602915">
        <w:rPr>
          <w:rFonts w:ascii="Arial" w:hAnsi="Arial" w:cs="Arial"/>
          <w:sz w:val="20"/>
          <w:szCs w:val="20"/>
          <w:lang w:val="en-GB"/>
        </w:rPr>
        <w:t xml:space="preserve">with </w:t>
      </w:r>
      <w:r w:rsidRPr="00602915">
        <w:rPr>
          <w:rFonts w:ascii="Arial" w:hAnsi="Arial" w:cs="Arial"/>
          <w:sz w:val="20"/>
          <w:szCs w:val="20"/>
          <w:lang w:val="en-GB"/>
        </w:rPr>
        <w:t>executive problems</w:t>
      </w:r>
      <w:r w:rsidR="00654814" w:rsidRPr="00602915">
        <w:rPr>
          <w:rFonts w:ascii="Arial" w:hAnsi="Arial" w:cs="Arial"/>
          <w:sz w:val="20"/>
          <w:szCs w:val="20"/>
          <w:lang w:val="en-GB"/>
        </w:rPr>
        <w:t>,</w:t>
      </w:r>
      <w:r w:rsidRPr="00602915">
        <w:rPr>
          <w:rFonts w:ascii="Arial" w:hAnsi="Arial" w:cs="Arial"/>
          <w:sz w:val="20"/>
          <w:szCs w:val="20"/>
          <w:lang w:val="en-GB"/>
        </w:rPr>
        <w:t xml:space="preserve"> such as planning, working memory and shifting attention; th</w:t>
      </w:r>
      <w:r w:rsidR="00FB744A">
        <w:rPr>
          <w:rFonts w:ascii="Arial" w:hAnsi="Arial" w:cs="Arial"/>
          <w:sz w:val="20"/>
          <w:szCs w:val="20"/>
          <w:lang w:val="en-GB"/>
        </w:rPr>
        <w:t>ese are</w:t>
      </w:r>
      <w:r w:rsidRPr="00602915">
        <w:rPr>
          <w:rFonts w:ascii="Arial" w:hAnsi="Arial" w:cs="Arial"/>
          <w:sz w:val="20"/>
          <w:szCs w:val="20"/>
          <w:lang w:val="en-GB"/>
        </w:rPr>
        <w:t xml:space="preserve"> </w:t>
      </w:r>
      <w:r w:rsidR="00347A35" w:rsidRPr="00602915">
        <w:rPr>
          <w:rFonts w:ascii="Arial" w:hAnsi="Arial" w:cs="Arial"/>
          <w:sz w:val="20"/>
          <w:szCs w:val="20"/>
          <w:lang w:val="en-GB"/>
        </w:rPr>
        <w:t xml:space="preserve">sometimes </w:t>
      </w:r>
      <w:r w:rsidRPr="00602915">
        <w:rPr>
          <w:rFonts w:ascii="Arial" w:hAnsi="Arial" w:cs="Arial"/>
          <w:sz w:val="20"/>
          <w:szCs w:val="20"/>
          <w:lang w:val="en-GB"/>
        </w:rPr>
        <w:t>detectable at the time of diagnosis. They are modulated by genetic variation in the genes involved in dopamine regulation (</w:t>
      </w:r>
      <w:r w:rsidRPr="00602915">
        <w:rPr>
          <w:rStyle w:val="Emphasis"/>
          <w:rFonts w:ascii="Arial" w:hAnsi="Arial" w:cs="Arial"/>
          <w:sz w:val="20"/>
          <w:szCs w:val="20"/>
          <w:lang w:val="en-GB"/>
        </w:rPr>
        <w:t>COMT</w:t>
      </w:r>
      <w:r w:rsidRPr="00602915">
        <w:rPr>
          <w:rFonts w:ascii="Arial" w:hAnsi="Arial" w:cs="Arial"/>
          <w:sz w:val="20"/>
          <w:szCs w:val="20"/>
          <w:lang w:val="en-GB"/>
        </w:rPr>
        <w:t xml:space="preserve">) as well as by dopaminergic medication, which can worsen some of these problems because of an ‘overload’ effect. Long-term epidemiological studies suggest that these executive problems, although common in PD, do not predict the development of dementia. </w:t>
      </w:r>
      <w:r w:rsidR="00347A35" w:rsidRPr="00602915">
        <w:rPr>
          <w:rFonts w:ascii="Arial" w:hAnsi="Arial" w:cs="Arial"/>
          <w:sz w:val="20"/>
          <w:szCs w:val="20"/>
          <w:lang w:val="en-GB"/>
        </w:rPr>
        <w:t>N</w:t>
      </w:r>
      <w:r w:rsidRPr="00602915">
        <w:rPr>
          <w:rFonts w:ascii="Arial" w:hAnsi="Arial" w:cs="Arial"/>
          <w:sz w:val="20"/>
          <w:szCs w:val="20"/>
          <w:lang w:val="en-GB"/>
        </w:rPr>
        <w:t xml:space="preserve">europsychological </w:t>
      </w:r>
      <w:r w:rsidR="00347A35" w:rsidRPr="00602915">
        <w:rPr>
          <w:rFonts w:ascii="Arial" w:hAnsi="Arial" w:cs="Arial"/>
          <w:sz w:val="20"/>
          <w:szCs w:val="20"/>
          <w:lang w:val="en-GB"/>
        </w:rPr>
        <w:t>deficits</w:t>
      </w:r>
      <w:r w:rsidRPr="00602915">
        <w:rPr>
          <w:rFonts w:ascii="Arial" w:hAnsi="Arial" w:cs="Arial"/>
          <w:sz w:val="20"/>
          <w:szCs w:val="20"/>
          <w:lang w:val="en-GB"/>
        </w:rPr>
        <w:t xml:space="preserve"> </w:t>
      </w:r>
      <w:r w:rsidR="00347A35" w:rsidRPr="00602915">
        <w:rPr>
          <w:rFonts w:ascii="Arial" w:hAnsi="Arial" w:cs="Arial"/>
          <w:sz w:val="20"/>
          <w:szCs w:val="20"/>
          <w:lang w:val="en-GB"/>
        </w:rPr>
        <w:t>involving</w:t>
      </w:r>
      <w:r w:rsidRPr="00602915">
        <w:rPr>
          <w:rFonts w:ascii="Arial" w:hAnsi="Arial" w:cs="Arial"/>
          <w:sz w:val="20"/>
          <w:szCs w:val="20"/>
          <w:lang w:val="en-GB"/>
        </w:rPr>
        <w:t xml:space="preserve"> the </w:t>
      </w:r>
      <w:r w:rsidR="00FB744A">
        <w:rPr>
          <w:rFonts w:ascii="Arial" w:hAnsi="Arial" w:cs="Arial"/>
          <w:sz w:val="20"/>
          <w:szCs w:val="20"/>
          <w:lang w:val="en-GB"/>
        </w:rPr>
        <w:t xml:space="preserve">temporal and </w:t>
      </w:r>
      <w:r w:rsidRPr="00602915">
        <w:rPr>
          <w:rFonts w:ascii="Arial" w:hAnsi="Arial" w:cs="Arial"/>
          <w:sz w:val="20"/>
          <w:szCs w:val="20"/>
          <w:lang w:val="en-GB"/>
        </w:rPr>
        <w:t xml:space="preserve">posterior cortex, such as semantic fluency and visuospatial tasks, probably reflect the </w:t>
      </w:r>
      <w:r w:rsidR="00347A35" w:rsidRPr="00602915">
        <w:rPr>
          <w:rFonts w:ascii="Arial" w:hAnsi="Arial" w:cs="Arial"/>
          <w:sz w:val="20"/>
          <w:szCs w:val="20"/>
          <w:lang w:val="en-GB"/>
        </w:rPr>
        <w:t xml:space="preserve">cortical </w:t>
      </w:r>
      <w:r w:rsidRPr="00602915">
        <w:rPr>
          <w:rFonts w:ascii="Arial" w:hAnsi="Arial" w:cs="Arial"/>
          <w:sz w:val="20"/>
          <w:szCs w:val="20"/>
          <w:lang w:val="en-GB"/>
        </w:rPr>
        <w:t>spread of Lewy pathology and represent the earliest features of the dementing process in PD.</w:t>
      </w:r>
    </w:p>
    <w:p w14:paraId="2CC40DBE" w14:textId="7F0EBE9F" w:rsidR="00E21E9B" w:rsidRPr="00602915" w:rsidRDefault="00E21E9B" w:rsidP="00721011">
      <w:pPr>
        <w:spacing w:after="0" w:line="240" w:lineRule="auto"/>
        <w:ind w:firstLine="709"/>
        <w:rPr>
          <w:rFonts w:ascii="Arial" w:hAnsi="Arial" w:cs="Arial"/>
          <w:sz w:val="20"/>
          <w:szCs w:val="20"/>
          <w:lang w:val="en-GB"/>
        </w:rPr>
      </w:pPr>
      <w:r w:rsidRPr="00602915">
        <w:rPr>
          <w:rFonts w:ascii="Arial" w:hAnsi="Arial" w:cs="Arial"/>
          <w:sz w:val="20"/>
          <w:szCs w:val="20"/>
          <w:lang w:val="en-GB"/>
        </w:rPr>
        <w:t xml:space="preserve">A diagnosis of dementia in PD depends on impairment </w:t>
      </w:r>
      <w:r w:rsidR="00347A35" w:rsidRPr="00602915">
        <w:rPr>
          <w:rFonts w:ascii="Arial" w:hAnsi="Arial" w:cs="Arial"/>
          <w:sz w:val="20"/>
          <w:szCs w:val="20"/>
          <w:lang w:val="en-GB"/>
        </w:rPr>
        <w:t xml:space="preserve">in </w:t>
      </w:r>
      <w:r w:rsidRPr="00602915">
        <w:rPr>
          <w:rFonts w:ascii="Arial" w:hAnsi="Arial" w:cs="Arial"/>
          <w:sz w:val="20"/>
          <w:szCs w:val="20"/>
          <w:lang w:val="en-GB"/>
        </w:rPr>
        <w:t xml:space="preserve">at least two neuropsychological domains sufficient to impair day-to-day functioning. This </w:t>
      </w:r>
      <w:r w:rsidR="00347A35" w:rsidRPr="00602915">
        <w:rPr>
          <w:rFonts w:ascii="Arial" w:hAnsi="Arial" w:cs="Arial"/>
          <w:sz w:val="20"/>
          <w:szCs w:val="20"/>
          <w:lang w:val="en-GB"/>
        </w:rPr>
        <w:t>occurs in</w:t>
      </w:r>
      <w:r w:rsidRPr="00602915">
        <w:rPr>
          <w:rFonts w:ascii="Arial" w:hAnsi="Arial" w:cs="Arial"/>
          <w:sz w:val="20"/>
          <w:szCs w:val="20"/>
          <w:lang w:val="en-GB"/>
        </w:rPr>
        <w:t xml:space="preserve"> 50% of patients within 10 years of diagnosis, three times more common</w:t>
      </w:r>
      <w:r w:rsidR="00347A35" w:rsidRPr="00602915">
        <w:rPr>
          <w:rFonts w:ascii="Arial" w:hAnsi="Arial" w:cs="Arial"/>
          <w:sz w:val="20"/>
          <w:szCs w:val="20"/>
          <w:lang w:val="en-GB"/>
        </w:rPr>
        <w:t>ly</w:t>
      </w:r>
      <w:r w:rsidRPr="00602915">
        <w:rPr>
          <w:rFonts w:ascii="Arial" w:hAnsi="Arial" w:cs="Arial"/>
          <w:sz w:val="20"/>
          <w:szCs w:val="20"/>
          <w:lang w:val="en-GB"/>
        </w:rPr>
        <w:t xml:space="preserve"> than in an age-matched population.</w:t>
      </w:r>
      <w:r w:rsidRPr="00602915">
        <w:rPr>
          <w:rFonts w:ascii="Arial" w:hAnsi="Arial" w:cs="Arial"/>
          <w:sz w:val="20"/>
          <w:szCs w:val="20"/>
          <w:vertAlign w:val="superscript"/>
          <w:lang w:val="en-GB"/>
        </w:rPr>
        <w:t>2</w:t>
      </w:r>
      <w:r w:rsidRPr="00602915">
        <w:rPr>
          <w:rFonts w:ascii="Arial" w:hAnsi="Arial" w:cs="Arial"/>
          <w:sz w:val="20"/>
          <w:szCs w:val="20"/>
          <w:lang w:val="en-GB"/>
        </w:rPr>
        <w:t xml:space="preserve"> It has a major impact on the patient</w:t>
      </w:r>
      <w:r w:rsidR="00B34B95" w:rsidRPr="00602915">
        <w:rPr>
          <w:rFonts w:ascii="Arial" w:hAnsi="Arial" w:cs="Arial"/>
          <w:sz w:val="20"/>
          <w:szCs w:val="20"/>
          <w:lang w:val="en-GB"/>
        </w:rPr>
        <w:t>’</w:t>
      </w:r>
      <w:r w:rsidRPr="00602915">
        <w:rPr>
          <w:rFonts w:ascii="Arial" w:hAnsi="Arial" w:cs="Arial"/>
          <w:sz w:val="20"/>
          <w:szCs w:val="20"/>
          <w:lang w:val="en-GB"/>
        </w:rPr>
        <w:t>s and carer</w:t>
      </w:r>
      <w:r w:rsidR="00B34B95" w:rsidRPr="00602915">
        <w:rPr>
          <w:rFonts w:ascii="Arial" w:hAnsi="Arial" w:cs="Arial"/>
          <w:sz w:val="20"/>
          <w:szCs w:val="20"/>
          <w:lang w:val="en-GB"/>
        </w:rPr>
        <w:t>’</w:t>
      </w:r>
      <w:r w:rsidRPr="00602915">
        <w:rPr>
          <w:rFonts w:ascii="Arial" w:hAnsi="Arial" w:cs="Arial"/>
          <w:sz w:val="20"/>
          <w:szCs w:val="20"/>
          <w:lang w:val="en-GB"/>
        </w:rPr>
        <w:t>s quality of life</w:t>
      </w:r>
      <w:r w:rsidR="00347A35" w:rsidRPr="00602915">
        <w:rPr>
          <w:rFonts w:ascii="Arial" w:hAnsi="Arial" w:cs="Arial"/>
          <w:sz w:val="20"/>
          <w:szCs w:val="20"/>
          <w:lang w:val="en-GB"/>
        </w:rPr>
        <w:t>,</w:t>
      </w:r>
      <w:r w:rsidRPr="00602915">
        <w:rPr>
          <w:rFonts w:ascii="Arial" w:hAnsi="Arial" w:cs="Arial"/>
          <w:sz w:val="20"/>
          <w:szCs w:val="20"/>
          <w:lang w:val="en-GB"/>
        </w:rPr>
        <w:t xml:space="preserve"> is a </w:t>
      </w:r>
      <w:r w:rsidR="00347A35" w:rsidRPr="00602915">
        <w:rPr>
          <w:rFonts w:ascii="Arial" w:hAnsi="Arial" w:cs="Arial"/>
          <w:sz w:val="20"/>
          <w:szCs w:val="20"/>
          <w:lang w:val="en-GB"/>
        </w:rPr>
        <w:t xml:space="preserve">frequent </w:t>
      </w:r>
      <w:r w:rsidRPr="00602915">
        <w:rPr>
          <w:rFonts w:ascii="Arial" w:hAnsi="Arial" w:cs="Arial"/>
          <w:sz w:val="20"/>
          <w:szCs w:val="20"/>
          <w:lang w:val="en-GB"/>
        </w:rPr>
        <w:t xml:space="preserve">reason for institutional care, </w:t>
      </w:r>
      <w:r w:rsidR="00347A35" w:rsidRPr="00602915">
        <w:rPr>
          <w:rFonts w:ascii="Arial" w:hAnsi="Arial" w:cs="Arial"/>
          <w:sz w:val="20"/>
          <w:szCs w:val="20"/>
          <w:lang w:val="en-GB"/>
        </w:rPr>
        <w:t>and is</w:t>
      </w:r>
      <w:r w:rsidRPr="00602915">
        <w:rPr>
          <w:rFonts w:ascii="Arial" w:hAnsi="Arial" w:cs="Arial"/>
          <w:sz w:val="20"/>
          <w:szCs w:val="20"/>
          <w:lang w:val="en-GB"/>
        </w:rPr>
        <w:t xml:space="preserve"> associated with higher mortality.</w:t>
      </w:r>
    </w:p>
    <w:p w14:paraId="30D27D51" w14:textId="77777777" w:rsidR="00FB3568" w:rsidRPr="00602915" w:rsidRDefault="00FB3568" w:rsidP="00582CE9">
      <w:pPr>
        <w:pStyle w:val="Heading3"/>
        <w:spacing w:before="0" w:line="240" w:lineRule="auto"/>
        <w:rPr>
          <w:rFonts w:ascii="Arial" w:hAnsi="Arial" w:cs="Arial"/>
          <w:color w:val="auto"/>
          <w:sz w:val="20"/>
          <w:szCs w:val="20"/>
          <w:lang w:val="en-GB"/>
        </w:rPr>
      </w:pPr>
    </w:p>
    <w:p w14:paraId="784FF994" w14:textId="1051E533" w:rsidR="00E21E9B" w:rsidRPr="00602915" w:rsidRDefault="00E21E9B" w:rsidP="00582CE9">
      <w:pPr>
        <w:pStyle w:val="Heading3"/>
        <w:spacing w:before="0" w:line="240" w:lineRule="auto"/>
        <w:rPr>
          <w:rFonts w:ascii="Arial" w:hAnsi="Arial" w:cs="Arial"/>
          <w:b/>
          <w:color w:val="auto"/>
          <w:sz w:val="20"/>
          <w:szCs w:val="20"/>
          <w:lang w:val="en-GB"/>
        </w:rPr>
      </w:pPr>
      <w:r w:rsidRPr="00602915">
        <w:rPr>
          <w:rFonts w:ascii="Arial" w:hAnsi="Arial" w:cs="Arial"/>
          <w:b/>
          <w:color w:val="auto"/>
          <w:sz w:val="20"/>
          <w:szCs w:val="20"/>
          <w:lang w:val="en-GB"/>
        </w:rPr>
        <w:t>Psychiatric features</w:t>
      </w:r>
    </w:p>
    <w:p w14:paraId="2F268E84" w14:textId="35C55BF5" w:rsidR="00E21E9B" w:rsidRPr="00602915" w:rsidRDefault="00E21E9B" w:rsidP="00582CE9">
      <w:pPr>
        <w:spacing w:after="0" w:line="240" w:lineRule="auto"/>
        <w:rPr>
          <w:rFonts w:ascii="Arial" w:hAnsi="Arial" w:cs="Arial"/>
          <w:sz w:val="20"/>
          <w:szCs w:val="20"/>
          <w:lang w:val="en-GB"/>
        </w:rPr>
      </w:pPr>
      <w:r w:rsidRPr="00602915">
        <w:rPr>
          <w:rFonts w:ascii="Arial" w:hAnsi="Arial" w:cs="Arial"/>
          <w:sz w:val="20"/>
          <w:szCs w:val="20"/>
          <w:lang w:val="en-GB"/>
        </w:rPr>
        <w:t xml:space="preserve">The most common psychiatric problem in PD is mood disturbance, with depression and/or anxiety affecting approximately a third of patients, often in the early stages. </w:t>
      </w:r>
      <w:r w:rsidR="00347A35" w:rsidRPr="00602915">
        <w:rPr>
          <w:rFonts w:ascii="Arial" w:hAnsi="Arial" w:cs="Arial"/>
          <w:sz w:val="20"/>
          <w:szCs w:val="20"/>
          <w:lang w:val="en-GB"/>
        </w:rPr>
        <w:t>Causes include</w:t>
      </w:r>
      <w:r w:rsidRPr="00602915">
        <w:rPr>
          <w:rFonts w:ascii="Arial" w:hAnsi="Arial" w:cs="Arial"/>
          <w:sz w:val="20"/>
          <w:szCs w:val="20"/>
          <w:lang w:val="en-GB"/>
        </w:rPr>
        <w:t xml:space="preserve"> psychosocial factors and disability, disturbances of noradrenergic, serotonergic and dopaminergic function</w:t>
      </w:r>
      <w:r w:rsidR="00FE4009" w:rsidRPr="00602915">
        <w:rPr>
          <w:rFonts w:ascii="Arial" w:hAnsi="Arial" w:cs="Arial"/>
          <w:sz w:val="20"/>
          <w:szCs w:val="20"/>
          <w:lang w:val="en-GB"/>
        </w:rPr>
        <w:t>,</w:t>
      </w:r>
      <w:r w:rsidRPr="00602915">
        <w:rPr>
          <w:rFonts w:ascii="Arial" w:hAnsi="Arial" w:cs="Arial"/>
          <w:sz w:val="20"/>
          <w:szCs w:val="20"/>
          <w:lang w:val="en-GB"/>
        </w:rPr>
        <w:t xml:space="preserve"> and Lewy pathology in limbic regions. It is easily missed </w:t>
      </w:r>
      <w:r w:rsidR="00347A35" w:rsidRPr="00602915">
        <w:rPr>
          <w:rFonts w:ascii="Arial" w:hAnsi="Arial" w:cs="Arial"/>
          <w:sz w:val="20"/>
          <w:szCs w:val="20"/>
          <w:lang w:val="en-GB"/>
        </w:rPr>
        <w:t>as</w:t>
      </w:r>
      <w:r w:rsidRPr="00602915">
        <w:rPr>
          <w:rFonts w:ascii="Arial" w:hAnsi="Arial" w:cs="Arial"/>
          <w:sz w:val="20"/>
          <w:szCs w:val="20"/>
          <w:lang w:val="en-GB"/>
        </w:rPr>
        <w:t xml:space="preserve"> symptomatic clues such as fatigue, poor concentration, lack of motivation and sleep disturbance </w:t>
      </w:r>
      <w:r w:rsidR="00161136" w:rsidRPr="00602915">
        <w:rPr>
          <w:rFonts w:ascii="Arial" w:hAnsi="Arial" w:cs="Arial"/>
          <w:sz w:val="20"/>
          <w:szCs w:val="20"/>
          <w:lang w:val="en-GB"/>
        </w:rPr>
        <w:t>may</w:t>
      </w:r>
      <w:r w:rsidR="00347A35" w:rsidRPr="00602915">
        <w:rPr>
          <w:rFonts w:ascii="Arial" w:hAnsi="Arial" w:cs="Arial"/>
          <w:sz w:val="20"/>
          <w:szCs w:val="20"/>
          <w:lang w:val="en-GB"/>
        </w:rPr>
        <w:t xml:space="preserve"> </w:t>
      </w:r>
      <w:r w:rsidRPr="00602915">
        <w:rPr>
          <w:rFonts w:ascii="Arial" w:hAnsi="Arial" w:cs="Arial"/>
          <w:sz w:val="20"/>
          <w:szCs w:val="20"/>
          <w:lang w:val="en-GB"/>
        </w:rPr>
        <w:t xml:space="preserve">be attributed directly to the PD. </w:t>
      </w:r>
      <w:r w:rsidR="00347A35" w:rsidRPr="00602915">
        <w:rPr>
          <w:rFonts w:ascii="Arial" w:hAnsi="Arial" w:cs="Arial"/>
          <w:sz w:val="20"/>
          <w:szCs w:val="20"/>
          <w:lang w:val="en-GB"/>
        </w:rPr>
        <w:t>A</w:t>
      </w:r>
      <w:r w:rsidRPr="00602915">
        <w:rPr>
          <w:rFonts w:ascii="Arial" w:hAnsi="Arial" w:cs="Arial"/>
          <w:sz w:val="20"/>
          <w:szCs w:val="20"/>
          <w:lang w:val="en-GB"/>
        </w:rPr>
        <w:t xml:space="preserve">ffective problems should be </w:t>
      </w:r>
      <w:r w:rsidR="00821F0C" w:rsidRPr="00602915">
        <w:rPr>
          <w:rFonts w:ascii="Arial" w:hAnsi="Arial" w:cs="Arial"/>
          <w:sz w:val="20"/>
          <w:szCs w:val="20"/>
          <w:lang w:val="en-GB"/>
        </w:rPr>
        <w:t>monitored</w:t>
      </w:r>
      <w:r w:rsidRPr="00602915">
        <w:rPr>
          <w:rFonts w:ascii="Arial" w:hAnsi="Arial" w:cs="Arial"/>
          <w:sz w:val="20"/>
          <w:szCs w:val="20"/>
          <w:lang w:val="en-GB"/>
        </w:rPr>
        <w:t xml:space="preserve"> in this population to ensure </w:t>
      </w:r>
      <w:r w:rsidR="00821F0C" w:rsidRPr="00602915">
        <w:rPr>
          <w:rFonts w:ascii="Arial" w:hAnsi="Arial" w:cs="Arial"/>
          <w:sz w:val="20"/>
          <w:szCs w:val="20"/>
          <w:lang w:val="en-GB"/>
        </w:rPr>
        <w:t xml:space="preserve">prompt </w:t>
      </w:r>
      <w:r w:rsidRPr="00602915">
        <w:rPr>
          <w:rFonts w:ascii="Arial" w:hAnsi="Arial" w:cs="Arial"/>
          <w:sz w:val="20"/>
          <w:szCs w:val="20"/>
          <w:lang w:val="en-GB"/>
        </w:rPr>
        <w:t>treatment.</w:t>
      </w:r>
    </w:p>
    <w:p w14:paraId="75361938" w14:textId="1AB71811" w:rsidR="00E21E9B" w:rsidRPr="00602915" w:rsidRDefault="00E21E9B" w:rsidP="00FB3568">
      <w:pPr>
        <w:spacing w:after="0" w:line="240" w:lineRule="auto"/>
        <w:ind w:firstLine="720"/>
        <w:rPr>
          <w:rFonts w:ascii="Arial" w:hAnsi="Arial" w:cs="Arial"/>
          <w:sz w:val="20"/>
          <w:szCs w:val="20"/>
          <w:lang w:val="en-GB"/>
        </w:rPr>
      </w:pPr>
      <w:r w:rsidRPr="00602915">
        <w:rPr>
          <w:rFonts w:ascii="Arial" w:hAnsi="Arial" w:cs="Arial"/>
          <w:sz w:val="20"/>
          <w:szCs w:val="20"/>
          <w:lang w:val="en-GB"/>
        </w:rPr>
        <w:t>Later in the disease</w:t>
      </w:r>
      <w:r w:rsidR="00FE4009" w:rsidRPr="00602915">
        <w:rPr>
          <w:rFonts w:ascii="Arial" w:hAnsi="Arial" w:cs="Arial"/>
          <w:sz w:val="20"/>
          <w:szCs w:val="20"/>
          <w:lang w:val="en-GB"/>
        </w:rPr>
        <w:t>,</w:t>
      </w:r>
      <w:r w:rsidR="00821F0C" w:rsidRPr="00602915">
        <w:rPr>
          <w:rFonts w:ascii="Arial" w:hAnsi="Arial" w:cs="Arial"/>
          <w:sz w:val="20"/>
          <w:szCs w:val="20"/>
          <w:lang w:val="en-GB"/>
        </w:rPr>
        <w:t xml:space="preserve"> </w:t>
      </w:r>
      <w:r w:rsidR="00FB744A">
        <w:rPr>
          <w:rFonts w:ascii="Arial" w:hAnsi="Arial" w:cs="Arial"/>
          <w:sz w:val="20"/>
          <w:szCs w:val="20"/>
          <w:lang w:val="en-GB"/>
        </w:rPr>
        <w:t>other</w:t>
      </w:r>
      <w:r w:rsidR="006E5FEE">
        <w:rPr>
          <w:rFonts w:ascii="Arial" w:hAnsi="Arial" w:cs="Arial"/>
          <w:sz w:val="20"/>
          <w:szCs w:val="20"/>
          <w:lang w:val="en-GB"/>
        </w:rPr>
        <w:t xml:space="preserve"> neuropsychiatric fea</w:t>
      </w:r>
      <w:r w:rsidR="00FB744A">
        <w:rPr>
          <w:rFonts w:ascii="Arial" w:hAnsi="Arial" w:cs="Arial"/>
          <w:sz w:val="20"/>
          <w:szCs w:val="20"/>
          <w:lang w:val="en-GB"/>
        </w:rPr>
        <w:t xml:space="preserve">tures can develop, including </w:t>
      </w:r>
      <w:r w:rsidR="00821F0C" w:rsidRPr="00602915">
        <w:rPr>
          <w:rFonts w:ascii="Arial" w:hAnsi="Arial" w:cs="Arial"/>
          <w:sz w:val="20"/>
          <w:szCs w:val="20"/>
          <w:lang w:val="en-GB"/>
        </w:rPr>
        <w:t>visual hallucinations</w:t>
      </w:r>
      <w:r w:rsidR="00FB744A">
        <w:rPr>
          <w:rFonts w:ascii="Arial" w:hAnsi="Arial" w:cs="Arial"/>
          <w:sz w:val="20"/>
          <w:szCs w:val="20"/>
          <w:lang w:val="en-GB"/>
        </w:rPr>
        <w:t>.</w:t>
      </w:r>
      <w:r w:rsidR="00821F0C" w:rsidRPr="00602915">
        <w:rPr>
          <w:rStyle w:val="Hyperlink"/>
          <w:rFonts w:ascii="Arial" w:hAnsi="Arial" w:cs="Arial"/>
          <w:color w:val="auto"/>
          <w:sz w:val="20"/>
          <w:szCs w:val="20"/>
          <w:lang w:val="en-GB"/>
        </w:rPr>
        <w:t xml:space="preserve"> </w:t>
      </w:r>
      <w:r w:rsidRPr="00602915">
        <w:rPr>
          <w:rFonts w:ascii="Arial" w:hAnsi="Arial" w:cs="Arial"/>
          <w:sz w:val="20"/>
          <w:szCs w:val="20"/>
          <w:lang w:val="en-GB"/>
        </w:rPr>
        <w:t xml:space="preserve"> </w:t>
      </w:r>
      <w:r w:rsidR="00FB744A">
        <w:rPr>
          <w:rFonts w:ascii="Arial" w:hAnsi="Arial" w:cs="Arial"/>
          <w:sz w:val="20"/>
          <w:szCs w:val="20"/>
          <w:lang w:val="en-GB"/>
        </w:rPr>
        <w:t xml:space="preserve"> Initially, t</w:t>
      </w:r>
      <w:r w:rsidRPr="00602915">
        <w:rPr>
          <w:rFonts w:ascii="Arial" w:hAnsi="Arial" w:cs="Arial"/>
          <w:sz w:val="20"/>
          <w:szCs w:val="20"/>
          <w:lang w:val="en-GB"/>
        </w:rPr>
        <w:t xml:space="preserve">hese tend to involve misperceptions, particularly in dim light, and are relatively benign. Over time, they </w:t>
      </w:r>
      <w:r w:rsidR="00161136" w:rsidRPr="00602915">
        <w:rPr>
          <w:rFonts w:ascii="Arial" w:hAnsi="Arial" w:cs="Arial"/>
          <w:sz w:val="20"/>
          <w:szCs w:val="20"/>
          <w:lang w:val="en-GB"/>
        </w:rPr>
        <w:t>may</w:t>
      </w:r>
      <w:r w:rsidR="00821F0C" w:rsidRPr="00602915">
        <w:rPr>
          <w:rFonts w:ascii="Arial" w:hAnsi="Arial" w:cs="Arial"/>
          <w:sz w:val="20"/>
          <w:szCs w:val="20"/>
          <w:lang w:val="en-GB"/>
        </w:rPr>
        <w:t xml:space="preserve"> </w:t>
      </w:r>
      <w:r w:rsidRPr="00602915">
        <w:rPr>
          <w:rFonts w:ascii="Arial" w:hAnsi="Arial" w:cs="Arial"/>
          <w:sz w:val="20"/>
          <w:szCs w:val="20"/>
          <w:lang w:val="en-GB"/>
        </w:rPr>
        <w:t xml:space="preserve">become animate objects or figures that can be unpleasant and </w:t>
      </w:r>
      <w:r w:rsidR="00C21C13" w:rsidRPr="00602915">
        <w:rPr>
          <w:rFonts w:ascii="Arial" w:hAnsi="Arial" w:cs="Arial"/>
          <w:sz w:val="20"/>
          <w:szCs w:val="20"/>
          <w:lang w:val="en-GB"/>
        </w:rPr>
        <w:t xml:space="preserve">occur </w:t>
      </w:r>
      <w:r w:rsidR="00821F0C" w:rsidRPr="00602915">
        <w:rPr>
          <w:rFonts w:ascii="Arial" w:hAnsi="Arial" w:cs="Arial"/>
          <w:sz w:val="20"/>
          <w:szCs w:val="20"/>
          <w:lang w:val="en-GB"/>
        </w:rPr>
        <w:t xml:space="preserve">with loss of </w:t>
      </w:r>
      <w:r w:rsidRPr="00602915">
        <w:rPr>
          <w:rFonts w:ascii="Arial" w:hAnsi="Arial" w:cs="Arial"/>
          <w:sz w:val="20"/>
          <w:szCs w:val="20"/>
          <w:lang w:val="en-GB"/>
        </w:rPr>
        <w:t xml:space="preserve">insight. These </w:t>
      </w:r>
      <w:r w:rsidR="00821F0C" w:rsidRPr="00602915">
        <w:rPr>
          <w:rFonts w:ascii="Arial" w:hAnsi="Arial" w:cs="Arial"/>
          <w:sz w:val="20"/>
          <w:szCs w:val="20"/>
          <w:lang w:val="en-GB"/>
        </w:rPr>
        <w:t xml:space="preserve">distressing </w:t>
      </w:r>
      <w:r w:rsidRPr="00602915">
        <w:rPr>
          <w:rFonts w:ascii="Arial" w:hAnsi="Arial" w:cs="Arial"/>
          <w:sz w:val="20"/>
          <w:szCs w:val="20"/>
          <w:lang w:val="en-GB"/>
        </w:rPr>
        <w:t xml:space="preserve">symptoms </w:t>
      </w:r>
      <w:r w:rsidR="00C21C13" w:rsidRPr="00602915">
        <w:rPr>
          <w:rFonts w:ascii="Arial" w:hAnsi="Arial" w:cs="Arial"/>
          <w:sz w:val="20"/>
          <w:szCs w:val="20"/>
          <w:lang w:val="en-GB"/>
        </w:rPr>
        <w:t>can</w:t>
      </w:r>
      <w:r w:rsidRPr="00602915">
        <w:rPr>
          <w:rFonts w:ascii="Arial" w:hAnsi="Arial" w:cs="Arial"/>
          <w:sz w:val="20"/>
          <w:szCs w:val="20"/>
          <w:lang w:val="en-GB"/>
        </w:rPr>
        <w:t xml:space="preserve"> lead to paranoia and behavioural problems. Visual hallucinations are </w:t>
      </w:r>
      <w:r w:rsidRPr="00602915">
        <w:rPr>
          <w:rFonts w:ascii="Arial" w:hAnsi="Arial" w:cs="Arial"/>
          <w:sz w:val="20"/>
          <w:szCs w:val="20"/>
          <w:lang w:val="en-GB"/>
        </w:rPr>
        <w:lastRenderedPageBreak/>
        <w:t xml:space="preserve">aggravated by </w:t>
      </w:r>
      <w:r w:rsidR="00821F0C" w:rsidRPr="00602915">
        <w:rPr>
          <w:rFonts w:ascii="Arial" w:hAnsi="Arial" w:cs="Arial"/>
          <w:sz w:val="20"/>
          <w:szCs w:val="20"/>
          <w:lang w:val="en-GB"/>
        </w:rPr>
        <w:t xml:space="preserve">intercurrent illness (infection) and </w:t>
      </w:r>
      <w:r w:rsidRPr="00602915">
        <w:rPr>
          <w:rFonts w:ascii="Arial" w:hAnsi="Arial" w:cs="Arial"/>
          <w:sz w:val="20"/>
          <w:szCs w:val="20"/>
          <w:lang w:val="en-GB"/>
        </w:rPr>
        <w:t xml:space="preserve">dopaminergic medication </w:t>
      </w:r>
      <w:r w:rsidR="00821F0C" w:rsidRPr="00602915">
        <w:rPr>
          <w:rFonts w:ascii="Arial" w:hAnsi="Arial" w:cs="Arial"/>
          <w:sz w:val="20"/>
          <w:szCs w:val="20"/>
          <w:lang w:val="en-GB"/>
        </w:rPr>
        <w:t>(particularly agonists)</w:t>
      </w:r>
      <w:r w:rsidR="00450A1E" w:rsidRPr="00602915">
        <w:rPr>
          <w:rFonts w:ascii="Arial" w:hAnsi="Arial" w:cs="Arial"/>
          <w:sz w:val="20"/>
          <w:szCs w:val="20"/>
          <w:lang w:val="en-GB"/>
        </w:rPr>
        <w:t>,</w:t>
      </w:r>
      <w:r w:rsidR="00821F0C" w:rsidRPr="00602915">
        <w:rPr>
          <w:rFonts w:ascii="Arial" w:hAnsi="Arial" w:cs="Arial"/>
          <w:sz w:val="20"/>
          <w:szCs w:val="20"/>
          <w:lang w:val="en-GB"/>
        </w:rPr>
        <w:t xml:space="preserve"> </w:t>
      </w:r>
      <w:r w:rsidRPr="00602915">
        <w:rPr>
          <w:rFonts w:ascii="Arial" w:hAnsi="Arial" w:cs="Arial"/>
          <w:sz w:val="20"/>
          <w:szCs w:val="20"/>
          <w:lang w:val="en-GB"/>
        </w:rPr>
        <w:t xml:space="preserve">and can be improved by </w:t>
      </w:r>
      <w:r w:rsidR="00821F0C" w:rsidRPr="00602915">
        <w:rPr>
          <w:rFonts w:ascii="Arial" w:hAnsi="Arial" w:cs="Arial"/>
          <w:sz w:val="20"/>
          <w:szCs w:val="20"/>
          <w:lang w:val="en-GB"/>
        </w:rPr>
        <w:t xml:space="preserve">treatment of medical factors and </w:t>
      </w:r>
      <w:r w:rsidRPr="00602915">
        <w:rPr>
          <w:rFonts w:ascii="Arial" w:hAnsi="Arial" w:cs="Arial"/>
          <w:sz w:val="20"/>
          <w:szCs w:val="20"/>
          <w:lang w:val="en-GB"/>
        </w:rPr>
        <w:t xml:space="preserve">reducing medication doses. </w:t>
      </w:r>
      <w:r w:rsidR="00821F0C" w:rsidRPr="00602915">
        <w:rPr>
          <w:rFonts w:ascii="Arial" w:hAnsi="Arial" w:cs="Arial"/>
          <w:sz w:val="20"/>
          <w:szCs w:val="20"/>
          <w:lang w:val="en-GB"/>
        </w:rPr>
        <w:t>T</w:t>
      </w:r>
      <w:r w:rsidRPr="00602915">
        <w:rPr>
          <w:rFonts w:ascii="Arial" w:hAnsi="Arial" w:cs="Arial"/>
          <w:sz w:val="20"/>
          <w:szCs w:val="20"/>
          <w:lang w:val="en-GB"/>
        </w:rPr>
        <w:t>hey tend to recur and are usually an indicator of incipient PD dementia.</w:t>
      </w:r>
    </w:p>
    <w:p w14:paraId="241E54B8" w14:textId="77777777" w:rsidR="00FB3568" w:rsidRPr="00602915" w:rsidRDefault="00FB3568" w:rsidP="00582CE9">
      <w:pPr>
        <w:pStyle w:val="Heading3"/>
        <w:spacing w:before="0" w:line="240" w:lineRule="auto"/>
        <w:rPr>
          <w:rFonts w:ascii="Arial" w:hAnsi="Arial" w:cs="Arial"/>
          <w:color w:val="auto"/>
          <w:sz w:val="20"/>
          <w:szCs w:val="20"/>
          <w:lang w:val="en-GB"/>
        </w:rPr>
      </w:pPr>
    </w:p>
    <w:p w14:paraId="37726D2F" w14:textId="7D22FCD1" w:rsidR="00E21E9B" w:rsidRPr="00602915" w:rsidRDefault="00C3131B" w:rsidP="00582CE9">
      <w:pPr>
        <w:pStyle w:val="Heading3"/>
        <w:spacing w:before="0" w:line="240" w:lineRule="auto"/>
        <w:rPr>
          <w:rFonts w:ascii="Arial" w:hAnsi="Arial" w:cs="Arial"/>
          <w:b/>
          <w:color w:val="auto"/>
          <w:sz w:val="20"/>
          <w:szCs w:val="20"/>
          <w:lang w:val="en-GB"/>
        </w:rPr>
      </w:pPr>
      <w:r w:rsidRPr="00602915">
        <w:rPr>
          <w:rFonts w:ascii="Arial" w:hAnsi="Arial" w:cs="Arial"/>
          <w:b/>
          <w:color w:val="auto"/>
          <w:sz w:val="20"/>
          <w:szCs w:val="20"/>
          <w:lang w:val="en-GB"/>
        </w:rPr>
        <w:t>N</w:t>
      </w:r>
      <w:r w:rsidR="00E21E9B" w:rsidRPr="00602915">
        <w:rPr>
          <w:rFonts w:ascii="Arial" w:hAnsi="Arial" w:cs="Arial"/>
          <w:b/>
          <w:color w:val="auto"/>
          <w:sz w:val="20"/>
          <w:szCs w:val="20"/>
          <w:lang w:val="en-GB"/>
        </w:rPr>
        <w:t>on-motor features</w:t>
      </w:r>
    </w:p>
    <w:p w14:paraId="3BD37705" w14:textId="60B69C09" w:rsidR="00E21E9B" w:rsidRPr="00602915" w:rsidRDefault="00E21E9B" w:rsidP="00582CE9">
      <w:pPr>
        <w:spacing w:after="0" w:line="240" w:lineRule="auto"/>
        <w:rPr>
          <w:rFonts w:ascii="Arial" w:hAnsi="Arial" w:cs="Arial"/>
          <w:sz w:val="20"/>
          <w:szCs w:val="20"/>
          <w:lang w:val="en-GB"/>
        </w:rPr>
      </w:pPr>
      <w:r w:rsidRPr="00602915">
        <w:rPr>
          <w:rFonts w:ascii="Arial" w:hAnsi="Arial" w:cs="Arial"/>
          <w:sz w:val="20"/>
          <w:szCs w:val="20"/>
          <w:lang w:val="en-GB"/>
        </w:rPr>
        <w:t xml:space="preserve">As PD progresses, speech becomes slow and quiet. Swallowing </w:t>
      </w:r>
      <w:r w:rsidR="00450A1E" w:rsidRPr="00602915">
        <w:rPr>
          <w:rFonts w:ascii="Arial" w:hAnsi="Arial" w:cs="Arial"/>
          <w:sz w:val="20"/>
          <w:szCs w:val="20"/>
          <w:lang w:val="en-GB"/>
        </w:rPr>
        <w:t>can</w:t>
      </w:r>
      <w:r w:rsidR="00821F0C" w:rsidRPr="00602915">
        <w:rPr>
          <w:rFonts w:ascii="Arial" w:hAnsi="Arial" w:cs="Arial"/>
          <w:sz w:val="20"/>
          <w:szCs w:val="20"/>
          <w:lang w:val="en-GB"/>
        </w:rPr>
        <w:t xml:space="preserve"> deteriorate</w:t>
      </w:r>
      <w:r w:rsidRPr="00602915">
        <w:rPr>
          <w:rFonts w:ascii="Arial" w:hAnsi="Arial" w:cs="Arial"/>
          <w:sz w:val="20"/>
          <w:szCs w:val="20"/>
          <w:lang w:val="en-GB"/>
        </w:rPr>
        <w:t xml:space="preserve"> in advanced cases</w:t>
      </w:r>
      <w:r w:rsidR="00821F0C" w:rsidRPr="00602915">
        <w:rPr>
          <w:rFonts w:ascii="Arial" w:hAnsi="Arial" w:cs="Arial"/>
          <w:sz w:val="20"/>
          <w:szCs w:val="20"/>
          <w:lang w:val="en-GB"/>
        </w:rPr>
        <w:t>, prompting consideration of</w:t>
      </w:r>
      <w:r w:rsidRPr="00602915">
        <w:rPr>
          <w:rFonts w:ascii="Arial" w:hAnsi="Arial" w:cs="Arial"/>
          <w:sz w:val="20"/>
          <w:szCs w:val="20"/>
          <w:lang w:val="en-GB"/>
        </w:rPr>
        <w:t xml:space="preserve"> gastrostomy feeding. Constipation is a common</w:t>
      </w:r>
      <w:r w:rsidR="00821F0C" w:rsidRPr="00602915">
        <w:rPr>
          <w:rFonts w:ascii="Arial" w:hAnsi="Arial" w:cs="Arial"/>
          <w:sz w:val="20"/>
          <w:szCs w:val="20"/>
          <w:lang w:val="en-GB"/>
        </w:rPr>
        <w:t xml:space="preserve"> prodromal or</w:t>
      </w:r>
      <w:r w:rsidRPr="00602915">
        <w:rPr>
          <w:rFonts w:ascii="Arial" w:hAnsi="Arial" w:cs="Arial"/>
          <w:sz w:val="20"/>
          <w:szCs w:val="20"/>
          <w:lang w:val="en-GB"/>
        </w:rPr>
        <w:t xml:space="preserve"> early feature, possibly </w:t>
      </w:r>
      <w:r w:rsidR="00450A1E" w:rsidRPr="00602915">
        <w:rPr>
          <w:rFonts w:ascii="Arial" w:hAnsi="Arial" w:cs="Arial"/>
          <w:sz w:val="20"/>
          <w:szCs w:val="20"/>
          <w:lang w:val="en-GB"/>
        </w:rPr>
        <w:t>caused by</w:t>
      </w:r>
      <w:r w:rsidRPr="00602915">
        <w:rPr>
          <w:rFonts w:ascii="Arial" w:hAnsi="Arial" w:cs="Arial"/>
          <w:sz w:val="20"/>
          <w:szCs w:val="20"/>
          <w:lang w:val="en-GB"/>
        </w:rPr>
        <w:t xml:space="preserve"> early α-synuclein pathology in the gut. Other autonomic problems occur with advancing disease, including postural hypotension (worse</w:t>
      </w:r>
      <w:r w:rsidR="00821F0C" w:rsidRPr="00602915">
        <w:rPr>
          <w:rFonts w:ascii="Arial" w:hAnsi="Arial" w:cs="Arial"/>
          <w:sz w:val="20"/>
          <w:szCs w:val="20"/>
          <w:lang w:val="en-GB"/>
        </w:rPr>
        <w:t>ned</w:t>
      </w:r>
      <w:r w:rsidRPr="00602915">
        <w:rPr>
          <w:rFonts w:ascii="Arial" w:hAnsi="Arial" w:cs="Arial"/>
          <w:sz w:val="20"/>
          <w:szCs w:val="20"/>
          <w:lang w:val="en-GB"/>
        </w:rPr>
        <w:t xml:space="preserve"> by dopaminergic medication), bladder irritability and excessive sweating. Prominent </w:t>
      </w:r>
      <w:r w:rsidR="00821F0C" w:rsidRPr="00602915">
        <w:rPr>
          <w:rFonts w:ascii="Arial" w:hAnsi="Arial" w:cs="Arial"/>
          <w:sz w:val="20"/>
          <w:szCs w:val="20"/>
          <w:lang w:val="en-GB"/>
        </w:rPr>
        <w:t xml:space="preserve">early </w:t>
      </w:r>
      <w:r w:rsidRPr="00602915">
        <w:rPr>
          <w:rFonts w:ascii="Arial" w:hAnsi="Arial" w:cs="Arial"/>
          <w:sz w:val="20"/>
          <w:szCs w:val="20"/>
          <w:lang w:val="en-GB"/>
        </w:rPr>
        <w:t xml:space="preserve">autonomic features </w:t>
      </w:r>
      <w:r w:rsidR="00821F0C" w:rsidRPr="00602915">
        <w:rPr>
          <w:rFonts w:ascii="Arial" w:hAnsi="Arial" w:cs="Arial"/>
          <w:sz w:val="20"/>
          <w:szCs w:val="20"/>
          <w:lang w:val="en-GB"/>
        </w:rPr>
        <w:t xml:space="preserve">are </w:t>
      </w:r>
      <w:r w:rsidRPr="00602915">
        <w:rPr>
          <w:rFonts w:ascii="Arial" w:hAnsi="Arial" w:cs="Arial"/>
          <w:sz w:val="20"/>
          <w:szCs w:val="20"/>
          <w:lang w:val="en-GB"/>
        </w:rPr>
        <w:t>atypical and suggest an alternate diagnosis of multiple system atrophy. Sleep problems</w:t>
      </w:r>
      <w:r w:rsidR="006A7A5F">
        <w:rPr>
          <w:rFonts w:ascii="Arial" w:hAnsi="Arial" w:cs="Arial"/>
          <w:sz w:val="20"/>
          <w:szCs w:val="20"/>
          <w:lang w:val="en-GB"/>
        </w:rPr>
        <w:t xml:space="preserve"> are </w:t>
      </w:r>
      <w:r w:rsidR="00821F0C" w:rsidRPr="00602915">
        <w:rPr>
          <w:rFonts w:ascii="Arial" w:hAnsi="Arial" w:cs="Arial"/>
          <w:sz w:val="20"/>
          <w:szCs w:val="20"/>
          <w:lang w:val="en-GB"/>
        </w:rPr>
        <w:t>frequent</w:t>
      </w:r>
      <w:r w:rsidR="00953131" w:rsidRPr="00602915">
        <w:rPr>
          <w:rFonts w:ascii="Arial" w:hAnsi="Arial" w:cs="Arial"/>
          <w:sz w:val="20"/>
          <w:szCs w:val="20"/>
          <w:lang w:val="en-GB"/>
        </w:rPr>
        <w:t xml:space="preserve">, </w:t>
      </w:r>
      <w:r w:rsidRPr="00602915">
        <w:rPr>
          <w:rFonts w:ascii="Arial" w:hAnsi="Arial" w:cs="Arial"/>
          <w:sz w:val="20"/>
          <w:szCs w:val="20"/>
          <w:lang w:val="en-GB"/>
        </w:rPr>
        <w:t>includ</w:t>
      </w:r>
      <w:r w:rsidR="00821F0C" w:rsidRPr="00602915">
        <w:rPr>
          <w:rFonts w:ascii="Arial" w:hAnsi="Arial" w:cs="Arial"/>
          <w:sz w:val="20"/>
          <w:szCs w:val="20"/>
          <w:lang w:val="en-GB"/>
        </w:rPr>
        <w:t>ing</w:t>
      </w:r>
      <w:r w:rsidRPr="00602915">
        <w:rPr>
          <w:rFonts w:ascii="Arial" w:hAnsi="Arial" w:cs="Arial"/>
          <w:sz w:val="20"/>
          <w:szCs w:val="20"/>
          <w:lang w:val="en-GB"/>
        </w:rPr>
        <w:t xml:space="preserve"> REM sleep behaviour disorder </w:t>
      </w:r>
      <w:r w:rsidR="006A7A5F">
        <w:rPr>
          <w:rFonts w:ascii="Arial" w:hAnsi="Arial" w:cs="Arial"/>
          <w:sz w:val="20"/>
          <w:szCs w:val="20"/>
          <w:lang w:val="en-GB"/>
        </w:rPr>
        <w:t>(</w:t>
      </w:r>
      <w:r w:rsidR="00821F0C" w:rsidRPr="00602915">
        <w:rPr>
          <w:rFonts w:ascii="Arial" w:hAnsi="Arial" w:cs="Arial"/>
          <w:sz w:val="20"/>
          <w:szCs w:val="20"/>
          <w:lang w:val="en-GB"/>
        </w:rPr>
        <w:t>often in the</w:t>
      </w:r>
      <w:r w:rsidRPr="00602915">
        <w:rPr>
          <w:rFonts w:ascii="Arial" w:hAnsi="Arial" w:cs="Arial"/>
          <w:sz w:val="20"/>
          <w:szCs w:val="20"/>
          <w:lang w:val="en-GB"/>
        </w:rPr>
        <w:t xml:space="preserve"> prodromal phase</w:t>
      </w:r>
      <w:r w:rsidR="006A7A5F">
        <w:rPr>
          <w:rFonts w:ascii="Arial" w:hAnsi="Arial" w:cs="Arial"/>
          <w:sz w:val="20"/>
          <w:szCs w:val="20"/>
          <w:lang w:val="en-GB"/>
        </w:rPr>
        <w:t>),</w:t>
      </w:r>
      <w:r w:rsidRPr="00602915">
        <w:rPr>
          <w:rFonts w:ascii="Arial" w:hAnsi="Arial" w:cs="Arial"/>
          <w:sz w:val="20"/>
          <w:szCs w:val="20"/>
          <w:lang w:val="en-GB"/>
        </w:rPr>
        <w:t>, sleep disturbance caused by nocturnal restless leg syndrome or ‘off’ rigidity and akinesia, and excessive daytime sleepiness. Other non-motor symptoms include pain, cramps and sensory disturbance.</w:t>
      </w:r>
    </w:p>
    <w:p w14:paraId="5FF251F3" w14:textId="77777777" w:rsidR="00FB3568" w:rsidRPr="00602915" w:rsidRDefault="00FB3568" w:rsidP="00582CE9">
      <w:pPr>
        <w:pStyle w:val="Heading2"/>
        <w:spacing w:before="0" w:line="240" w:lineRule="auto"/>
        <w:rPr>
          <w:rFonts w:ascii="Arial" w:hAnsi="Arial" w:cs="Arial"/>
          <w:color w:val="auto"/>
          <w:sz w:val="20"/>
          <w:szCs w:val="20"/>
          <w:lang w:val="en-GB"/>
        </w:rPr>
      </w:pPr>
    </w:p>
    <w:p w14:paraId="3A89D794" w14:textId="3AA4D0FD" w:rsidR="00E21E9B" w:rsidRPr="00602915" w:rsidRDefault="00E21E9B" w:rsidP="00582CE9">
      <w:pPr>
        <w:pStyle w:val="Heading2"/>
        <w:spacing w:before="0" w:line="240" w:lineRule="auto"/>
        <w:rPr>
          <w:rFonts w:ascii="Arial" w:hAnsi="Arial" w:cs="Arial"/>
          <w:b/>
          <w:color w:val="4F81BD" w:themeColor="accent1"/>
          <w:sz w:val="20"/>
          <w:szCs w:val="20"/>
          <w:lang w:val="en-GB"/>
        </w:rPr>
      </w:pPr>
      <w:r w:rsidRPr="00602915">
        <w:rPr>
          <w:rFonts w:ascii="Arial" w:hAnsi="Arial" w:cs="Arial"/>
          <w:b/>
          <w:color w:val="4F81BD" w:themeColor="accent1"/>
          <w:sz w:val="20"/>
          <w:szCs w:val="20"/>
          <w:lang w:val="en-GB"/>
        </w:rPr>
        <w:t>PD treatment and its complications</w:t>
      </w:r>
    </w:p>
    <w:p w14:paraId="501FFFA5" w14:textId="15A297D3" w:rsidR="005A7B1C" w:rsidRPr="00602915" w:rsidRDefault="00323C00" w:rsidP="00721011">
      <w:pPr>
        <w:spacing w:after="0" w:line="240" w:lineRule="auto"/>
        <w:rPr>
          <w:rFonts w:ascii="Arial" w:hAnsi="Arial" w:cs="Arial"/>
          <w:sz w:val="20"/>
          <w:szCs w:val="20"/>
          <w:lang w:val="en-GB"/>
        </w:rPr>
      </w:pPr>
      <w:r w:rsidRPr="00602915">
        <w:rPr>
          <w:rFonts w:ascii="Arial" w:hAnsi="Arial" w:cs="Arial"/>
          <w:sz w:val="20"/>
          <w:szCs w:val="20"/>
          <w:lang w:val="en-GB"/>
        </w:rPr>
        <w:t>The UK National Institute of Health and Care Excellence (</w:t>
      </w:r>
      <w:r w:rsidR="005A7B1C" w:rsidRPr="00602915">
        <w:rPr>
          <w:rFonts w:ascii="Arial" w:hAnsi="Arial" w:cs="Arial"/>
          <w:sz w:val="20"/>
          <w:szCs w:val="20"/>
          <w:lang w:val="en-GB"/>
        </w:rPr>
        <w:t>NICE</w:t>
      </w:r>
      <w:r w:rsidRPr="00602915">
        <w:rPr>
          <w:rFonts w:ascii="Arial" w:hAnsi="Arial" w:cs="Arial"/>
          <w:sz w:val="20"/>
          <w:szCs w:val="20"/>
          <w:lang w:val="en-GB"/>
        </w:rPr>
        <w:t>)</w:t>
      </w:r>
      <w:r w:rsidR="005A7B1C" w:rsidRPr="00602915">
        <w:rPr>
          <w:rFonts w:ascii="Arial" w:hAnsi="Arial" w:cs="Arial"/>
          <w:sz w:val="20"/>
          <w:szCs w:val="20"/>
          <w:lang w:val="en-GB"/>
        </w:rPr>
        <w:t xml:space="preserve"> guidelines for the diagnosis and treatment of </w:t>
      </w:r>
      <w:r w:rsidR="004F15A5" w:rsidRPr="00602915">
        <w:rPr>
          <w:rFonts w:ascii="Arial" w:hAnsi="Arial" w:cs="Arial"/>
          <w:sz w:val="20"/>
          <w:szCs w:val="20"/>
          <w:lang w:val="en-GB"/>
        </w:rPr>
        <w:t>PD</w:t>
      </w:r>
      <w:r w:rsidR="005A7B1C" w:rsidRPr="00602915">
        <w:rPr>
          <w:rFonts w:ascii="Arial" w:hAnsi="Arial" w:cs="Arial"/>
          <w:sz w:val="20"/>
          <w:szCs w:val="20"/>
          <w:lang w:val="en-GB"/>
        </w:rPr>
        <w:t xml:space="preserve"> were updated in 2017 and provide </w:t>
      </w:r>
      <w:r w:rsidR="00C3131B" w:rsidRPr="00602915">
        <w:rPr>
          <w:rFonts w:ascii="Arial" w:hAnsi="Arial" w:cs="Arial"/>
          <w:sz w:val="20"/>
          <w:szCs w:val="20"/>
          <w:lang w:val="en-GB"/>
        </w:rPr>
        <w:t>useful</w:t>
      </w:r>
      <w:r w:rsidR="005A7B1C" w:rsidRPr="00602915">
        <w:rPr>
          <w:rFonts w:ascii="Arial" w:hAnsi="Arial" w:cs="Arial"/>
          <w:sz w:val="20"/>
          <w:szCs w:val="20"/>
          <w:lang w:val="en-GB"/>
        </w:rPr>
        <w:t xml:space="preserve"> evidence for each type of pharmacological therapy.</w:t>
      </w:r>
      <w:r w:rsidR="00696452" w:rsidRPr="00602915">
        <w:rPr>
          <w:rFonts w:ascii="Arial" w:hAnsi="Arial" w:cs="Arial"/>
          <w:sz w:val="20"/>
          <w:szCs w:val="20"/>
          <w:lang w:val="en-GB"/>
        </w:rPr>
        <w:t xml:space="preserve"> </w:t>
      </w:r>
    </w:p>
    <w:p w14:paraId="55201DA9" w14:textId="57E5E8D3" w:rsidR="00E21E9B" w:rsidRPr="00602915" w:rsidRDefault="00E21E9B" w:rsidP="000C547E">
      <w:pPr>
        <w:spacing w:after="0" w:line="240" w:lineRule="auto"/>
        <w:ind w:firstLine="720"/>
        <w:rPr>
          <w:rFonts w:ascii="Arial" w:hAnsi="Arial" w:cs="Arial"/>
          <w:sz w:val="20"/>
          <w:szCs w:val="20"/>
          <w:lang w:val="en-GB"/>
        </w:rPr>
      </w:pPr>
      <w:r w:rsidRPr="00602915">
        <w:rPr>
          <w:rFonts w:ascii="Arial" w:hAnsi="Arial" w:cs="Arial"/>
          <w:sz w:val="20"/>
          <w:szCs w:val="20"/>
          <w:lang w:val="en-GB"/>
        </w:rPr>
        <w:t xml:space="preserve">Currently available pharmacological therapies for PD are shown in </w:t>
      </w:r>
      <w:bookmarkStart w:id="5" w:name="btbl2"/>
      <w:r w:rsidRPr="00602915">
        <w:rPr>
          <w:rFonts w:ascii="Arial" w:hAnsi="Arial" w:cs="Arial"/>
          <w:sz w:val="20"/>
          <w:szCs w:val="20"/>
          <w:lang w:val="en-GB"/>
        </w:rPr>
        <w:t>Table 2</w:t>
      </w:r>
      <w:bookmarkEnd w:id="5"/>
      <w:r w:rsidRPr="00602915">
        <w:rPr>
          <w:rFonts w:ascii="Arial" w:hAnsi="Arial" w:cs="Arial"/>
          <w:sz w:val="20"/>
          <w:szCs w:val="20"/>
          <w:lang w:val="en-GB"/>
        </w:rPr>
        <w:t xml:space="preserve">. </w:t>
      </w:r>
      <w:r w:rsidR="00C3131B" w:rsidRPr="00602915">
        <w:rPr>
          <w:rFonts w:ascii="Arial" w:hAnsi="Arial" w:cs="Arial"/>
          <w:sz w:val="20"/>
          <w:szCs w:val="20"/>
          <w:lang w:val="en-GB"/>
        </w:rPr>
        <w:t xml:space="preserve">Early motor </w:t>
      </w:r>
      <w:r w:rsidRPr="00602915">
        <w:rPr>
          <w:rFonts w:ascii="Arial" w:hAnsi="Arial" w:cs="Arial"/>
          <w:sz w:val="20"/>
          <w:szCs w:val="20"/>
          <w:lang w:val="en-GB"/>
        </w:rPr>
        <w:t>symptoms are usually well</w:t>
      </w:r>
      <w:r w:rsidR="00C21BA2" w:rsidRPr="00602915">
        <w:rPr>
          <w:rFonts w:ascii="Arial" w:hAnsi="Arial" w:cs="Arial"/>
          <w:sz w:val="20"/>
          <w:szCs w:val="20"/>
          <w:lang w:val="en-GB"/>
        </w:rPr>
        <w:t xml:space="preserve"> </w:t>
      </w:r>
      <w:r w:rsidRPr="00602915">
        <w:rPr>
          <w:rFonts w:ascii="Arial" w:hAnsi="Arial" w:cs="Arial"/>
          <w:sz w:val="20"/>
          <w:szCs w:val="20"/>
          <w:lang w:val="en-GB"/>
        </w:rPr>
        <w:t>controlled on dopamine agonists or levodopa. The choice of agent is guided by the adverse effect profile in the context of the patient</w:t>
      </w:r>
      <w:r w:rsidR="00D35E6D" w:rsidRPr="00602915">
        <w:rPr>
          <w:rFonts w:ascii="Arial" w:hAnsi="Arial" w:cs="Arial"/>
          <w:sz w:val="20"/>
          <w:szCs w:val="20"/>
          <w:lang w:val="en-GB"/>
        </w:rPr>
        <w:t>’</w:t>
      </w:r>
      <w:r w:rsidRPr="00602915">
        <w:rPr>
          <w:rFonts w:ascii="Arial" w:hAnsi="Arial" w:cs="Arial"/>
          <w:sz w:val="20"/>
          <w:szCs w:val="20"/>
          <w:lang w:val="en-GB"/>
        </w:rPr>
        <w:t>s age. Levodopa-based therapies are usually the most effective option</w:t>
      </w:r>
      <w:r w:rsidR="000F44EA">
        <w:rPr>
          <w:rFonts w:ascii="Arial" w:hAnsi="Arial" w:cs="Arial"/>
          <w:sz w:val="20"/>
          <w:szCs w:val="20"/>
          <w:lang w:val="en-GB"/>
        </w:rPr>
        <w:t>, but p</w:t>
      </w:r>
      <w:r w:rsidRPr="00602915">
        <w:rPr>
          <w:rFonts w:ascii="Arial" w:hAnsi="Arial" w:cs="Arial"/>
          <w:sz w:val="20"/>
          <w:szCs w:val="20"/>
          <w:lang w:val="en-GB"/>
        </w:rPr>
        <w:t xml:space="preserve">atients on levodopa </w:t>
      </w:r>
      <w:r w:rsidR="000F44EA">
        <w:rPr>
          <w:rFonts w:ascii="Arial" w:hAnsi="Arial" w:cs="Arial"/>
          <w:sz w:val="20"/>
          <w:szCs w:val="20"/>
          <w:lang w:val="en-GB"/>
        </w:rPr>
        <w:t xml:space="preserve">can </w:t>
      </w:r>
      <w:r w:rsidRPr="00602915">
        <w:rPr>
          <w:rFonts w:ascii="Arial" w:hAnsi="Arial" w:cs="Arial"/>
          <w:sz w:val="20"/>
          <w:szCs w:val="20"/>
          <w:lang w:val="en-GB"/>
        </w:rPr>
        <w:t>develop ‘wearing-off’ phenomena</w:t>
      </w:r>
      <w:r w:rsidR="00C3131B" w:rsidRPr="00602915">
        <w:rPr>
          <w:rFonts w:ascii="Arial" w:hAnsi="Arial" w:cs="Arial"/>
          <w:sz w:val="20"/>
          <w:szCs w:val="20"/>
          <w:lang w:val="en-GB"/>
        </w:rPr>
        <w:t xml:space="preserve"> after a few years</w:t>
      </w:r>
      <w:r w:rsidRPr="00602915">
        <w:rPr>
          <w:rFonts w:ascii="Arial" w:hAnsi="Arial" w:cs="Arial"/>
          <w:sz w:val="20"/>
          <w:szCs w:val="20"/>
          <w:lang w:val="en-GB"/>
        </w:rPr>
        <w:t>, a</w:t>
      </w:r>
      <w:r w:rsidR="00C3131B" w:rsidRPr="00602915">
        <w:rPr>
          <w:rFonts w:ascii="Arial" w:hAnsi="Arial" w:cs="Arial"/>
          <w:sz w:val="20"/>
          <w:szCs w:val="20"/>
          <w:lang w:val="en-GB"/>
        </w:rPr>
        <w:t xml:space="preserve">nd </w:t>
      </w:r>
      <w:r w:rsidRPr="00602915">
        <w:rPr>
          <w:rFonts w:ascii="Arial" w:hAnsi="Arial" w:cs="Arial"/>
          <w:sz w:val="20"/>
          <w:szCs w:val="20"/>
          <w:lang w:val="en-GB"/>
        </w:rPr>
        <w:t xml:space="preserve">dyskinesias during the ‘on’ phase. Dopamine agonists </w:t>
      </w:r>
      <w:r w:rsidR="00C3131B" w:rsidRPr="00602915">
        <w:rPr>
          <w:rFonts w:ascii="Arial" w:hAnsi="Arial" w:cs="Arial"/>
          <w:sz w:val="20"/>
          <w:szCs w:val="20"/>
          <w:lang w:val="en-GB"/>
        </w:rPr>
        <w:t xml:space="preserve">may cause </w:t>
      </w:r>
      <w:r w:rsidRPr="00602915">
        <w:rPr>
          <w:rFonts w:ascii="Arial" w:hAnsi="Arial" w:cs="Arial"/>
          <w:sz w:val="20"/>
          <w:szCs w:val="20"/>
          <w:lang w:val="en-GB"/>
        </w:rPr>
        <w:t xml:space="preserve">excessive daytime sleepiness (which can affect driving), ankle swelling and impulse control disorders such as gambling, excessive internet shopping or hypersexual behaviours, particularly in patients with </w:t>
      </w:r>
      <w:r w:rsidR="008F4358" w:rsidRPr="00602915">
        <w:rPr>
          <w:rFonts w:ascii="Arial" w:hAnsi="Arial" w:cs="Arial"/>
          <w:sz w:val="20"/>
          <w:szCs w:val="20"/>
          <w:lang w:val="en-GB"/>
        </w:rPr>
        <w:t xml:space="preserve">early-onset disease and </w:t>
      </w:r>
      <w:r w:rsidRPr="00602915">
        <w:rPr>
          <w:rFonts w:ascii="Arial" w:hAnsi="Arial" w:cs="Arial"/>
          <w:sz w:val="20"/>
          <w:szCs w:val="20"/>
          <w:lang w:val="en-GB"/>
        </w:rPr>
        <w:t>a personal or family history of addictive behaviours.</w:t>
      </w:r>
    </w:p>
    <w:p w14:paraId="0AEB5340" w14:textId="2FBA9A2D" w:rsidR="00E21E9B" w:rsidRPr="00602915" w:rsidRDefault="00A47253" w:rsidP="00FB3568">
      <w:pPr>
        <w:spacing w:after="0" w:line="240" w:lineRule="auto"/>
        <w:ind w:firstLine="720"/>
        <w:rPr>
          <w:rFonts w:ascii="Arial" w:hAnsi="Arial" w:cs="Arial"/>
          <w:sz w:val="20"/>
          <w:szCs w:val="20"/>
          <w:lang w:val="en-GB"/>
        </w:rPr>
      </w:pPr>
      <w:r w:rsidRPr="00602915">
        <w:rPr>
          <w:rFonts w:ascii="Arial" w:hAnsi="Arial" w:cs="Arial"/>
          <w:sz w:val="20"/>
          <w:szCs w:val="20"/>
          <w:lang w:val="en-GB"/>
        </w:rPr>
        <w:t xml:space="preserve">Some </w:t>
      </w:r>
      <w:r w:rsidR="00E21E9B" w:rsidRPr="00602915">
        <w:rPr>
          <w:rFonts w:ascii="Arial" w:hAnsi="Arial" w:cs="Arial"/>
          <w:sz w:val="20"/>
          <w:szCs w:val="20"/>
          <w:lang w:val="en-GB"/>
        </w:rPr>
        <w:t xml:space="preserve">clinicians opt to use dopamine agonists as first-line </w:t>
      </w:r>
      <w:r w:rsidR="00AE378D" w:rsidRPr="00602915">
        <w:rPr>
          <w:rFonts w:ascii="Arial" w:hAnsi="Arial" w:cs="Arial"/>
          <w:sz w:val="20"/>
          <w:szCs w:val="20"/>
          <w:lang w:val="en-GB"/>
        </w:rPr>
        <w:t xml:space="preserve">drugs </w:t>
      </w:r>
      <w:r w:rsidR="00E21E9B" w:rsidRPr="00602915">
        <w:rPr>
          <w:rFonts w:ascii="Arial" w:hAnsi="Arial" w:cs="Arial"/>
          <w:sz w:val="20"/>
          <w:szCs w:val="20"/>
          <w:lang w:val="en-GB"/>
        </w:rPr>
        <w:t>in younger patients to delay the introduction of levodopa and subsequent problems with dyskinesias and motor fluctuations</w:t>
      </w:r>
      <w:r w:rsidR="00AE378D" w:rsidRPr="00602915">
        <w:rPr>
          <w:rFonts w:ascii="Arial" w:hAnsi="Arial" w:cs="Arial"/>
          <w:sz w:val="20"/>
          <w:szCs w:val="20"/>
          <w:lang w:val="en-GB"/>
        </w:rPr>
        <w:t xml:space="preserve">; however, </w:t>
      </w:r>
      <w:r w:rsidR="00E21E9B" w:rsidRPr="00602915">
        <w:rPr>
          <w:rFonts w:ascii="Arial" w:hAnsi="Arial" w:cs="Arial"/>
          <w:sz w:val="20"/>
          <w:szCs w:val="20"/>
          <w:lang w:val="en-GB"/>
        </w:rPr>
        <w:t xml:space="preserve">the development of these motor complications is probably related more to disease duration than duration of levodopa therapy. </w:t>
      </w:r>
      <w:r w:rsidR="00C3131B" w:rsidRPr="00602915">
        <w:rPr>
          <w:rFonts w:ascii="Arial" w:hAnsi="Arial" w:cs="Arial"/>
          <w:sz w:val="20"/>
          <w:szCs w:val="20"/>
          <w:lang w:val="en-GB"/>
        </w:rPr>
        <w:t>R</w:t>
      </w:r>
      <w:r w:rsidR="00E21E9B" w:rsidRPr="00602915">
        <w:rPr>
          <w:rFonts w:ascii="Arial" w:hAnsi="Arial" w:cs="Arial"/>
          <w:sz w:val="20"/>
          <w:szCs w:val="20"/>
          <w:lang w:val="en-GB"/>
        </w:rPr>
        <w:t>esults from the PD MED study, which randomized newly diagnosed patients to either levodopa, dopamine agonists or monoamine oxidase-B (MAO-B) inhibitors, indicate that individuals initiated on levodopa have better outcomes in terms of quality of life at 3 years. In addition, levodopa is better tolerated than alternatives, with only 2% of patients stopping the drug over 3 years versus approximately a quarter of those on agonists or MAO-B inhibitors.</w:t>
      </w:r>
      <w:r w:rsidR="00F940C7">
        <w:rPr>
          <w:rFonts w:ascii="Arial" w:hAnsi="Arial" w:cs="Arial"/>
          <w:sz w:val="20"/>
          <w:szCs w:val="20"/>
          <w:vertAlign w:val="superscript"/>
          <w:lang w:val="en-GB"/>
        </w:rPr>
        <w:t>5</w:t>
      </w:r>
      <w:r w:rsidR="00E21E9B" w:rsidRPr="00602915">
        <w:rPr>
          <w:rFonts w:ascii="Arial" w:hAnsi="Arial" w:cs="Arial"/>
          <w:sz w:val="20"/>
          <w:szCs w:val="20"/>
          <w:lang w:val="en-GB"/>
        </w:rPr>
        <w:t xml:space="preserve"> These factors, coupled with concerns about the </w:t>
      </w:r>
      <w:r w:rsidR="000C547E" w:rsidRPr="00602915">
        <w:rPr>
          <w:rFonts w:ascii="Arial" w:hAnsi="Arial" w:cs="Arial"/>
          <w:sz w:val="20"/>
          <w:szCs w:val="20"/>
          <w:lang w:val="en-GB"/>
        </w:rPr>
        <w:t xml:space="preserve">higher </w:t>
      </w:r>
      <w:r w:rsidR="00E21E9B" w:rsidRPr="00602915">
        <w:rPr>
          <w:rFonts w:ascii="Arial" w:hAnsi="Arial" w:cs="Arial"/>
          <w:sz w:val="20"/>
          <w:szCs w:val="20"/>
          <w:lang w:val="en-GB"/>
        </w:rPr>
        <w:t>risk of impulse control disorders</w:t>
      </w:r>
      <w:r w:rsidR="000C547E" w:rsidRPr="00602915">
        <w:rPr>
          <w:rFonts w:ascii="Arial" w:hAnsi="Arial" w:cs="Arial"/>
          <w:sz w:val="20"/>
          <w:szCs w:val="20"/>
          <w:lang w:val="en-GB"/>
        </w:rPr>
        <w:t xml:space="preserve"> on dopamine agonists</w:t>
      </w:r>
      <w:r w:rsidR="00E21E9B" w:rsidRPr="00602915">
        <w:rPr>
          <w:rFonts w:ascii="Arial" w:hAnsi="Arial" w:cs="Arial"/>
          <w:sz w:val="20"/>
          <w:szCs w:val="20"/>
          <w:lang w:val="en-GB"/>
        </w:rPr>
        <w:t>, which can have devastating financial and social consequences,</w:t>
      </w:r>
      <w:r w:rsidR="000C547E" w:rsidRPr="00602915">
        <w:rPr>
          <w:rFonts w:ascii="Arial" w:hAnsi="Arial" w:cs="Arial"/>
          <w:sz w:val="20"/>
          <w:szCs w:val="20"/>
          <w:lang w:val="en-GB"/>
        </w:rPr>
        <w:t xml:space="preserve"> </w:t>
      </w:r>
      <w:r w:rsidR="00E21E9B" w:rsidRPr="00602915">
        <w:rPr>
          <w:rFonts w:ascii="Arial" w:hAnsi="Arial" w:cs="Arial"/>
          <w:sz w:val="20"/>
          <w:szCs w:val="20"/>
          <w:lang w:val="en-GB"/>
        </w:rPr>
        <w:t xml:space="preserve">provide a rationale for levodopa-based therapies as first-line treatment even in younger patients. The choice of therapy must be made </w:t>
      </w:r>
      <w:r w:rsidR="00C3131B" w:rsidRPr="00602915">
        <w:rPr>
          <w:rFonts w:ascii="Arial" w:hAnsi="Arial" w:cs="Arial"/>
          <w:sz w:val="20"/>
          <w:szCs w:val="20"/>
          <w:lang w:val="en-GB"/>
        </w:rPr>
        <w:t>individually, based on</w:t>
      </w:r>
      <w:r w:rsidR="00E21E9B" w:rsidRPr="00602915">
        <w:rPr>
          <w:rFonts w:ascii="Arial" w:hAnsi="Arial" w:cs="Arial"/>
          <w:sz w:val="20"/>
          <w:szCs w:val="20"/>
          <w:lang w:val="en-GB"/>
        </w:rPr>
        <w:t xml:space="preserve"> </w:t>
      </w:r>
      <w:r w:rsidR="00C3131B" w:rsidRPr="00602915">
        <w:rPr>
          <w:rFonts w:ascii="Arial" w:hAnsi="Arial" w:cs="Arial"/>
          <w:sz w:val="20"/>
          <w:szCs w:val="20"/>
          <w:lang w:val="en-GB"/>
        </w:rPr>
        <w:t xml:space="preserve">patient preference, </w:t>
      </w:r>
      <w:r w:rsidR="00E21E9B" w:rsidRPr="00602915">
        <w:rPr>
          <w:rFonts w:ascii="Arial" w:hAnsi="Arial" w:cs="Arial"/>
          <w:sz w:val="20"/>
          <w:szCs w:val="20"/>
          <w:lang w:val="en-GB"/>
        </w:rPr>
        <w:t>symptom profile</w:t>
      </w:r>
      <w:r w:rsidR="00C3131B" w:rsidRPr="00602915">
        <w:rPr>
          <w:rFonts w:ascii="Arial" w:hAnsi="Arial" w:cs="Arial"/>
          <w:sz w:val="20"/>
          <w:szCs w:val="20"/>
          <w:lang w:val="en-GB"/>
        </w:rPr>
        <w:t xml:space="preserve"> and </w:t>
      </w:r>
      <w:r w:rsidR="00E21E9B" w:rsidRPr="00602915">
        <w:rPr>
          <w:rFonts w:ascii="Arial" w:hAnsi="Arial" w:cs="Arial"/>
          <w:sz w:val="20"/>
          <w:szCs w:val="20"/>
          <w:lang w:val="en-GB"/>
        </w:rPr>
        <w:t>co-morbidities.</w:t>
      </w:r>
      <w:r w:rsidR="005A7B1C" w:rsidRPr="00602915">
        <w:rPr>
          <w:rFonts w:ascii="Arial" w:hAnsi="Arial" w:cs="Arial"/>
          <w:sz w:val="20"/>
          <w:szCs w:val="20"/>
          <w:lang w:val="en-GB"/>
        </w:rPr>
        <w:t xml:space="preserve"> </w:t>
      </w:r>
    </w:p>
    <w:p w14:paraId="0598FEE9" w14:textId="69087FCC" w:rsidR="00000357" w:rsidRPr="00602915" w:rsidRDefault="00C3131B" w:rsidP="00FB3568">
      <w:pPr>
        <w:spacing w:after="0" w:line="240" w:lineRule="auto"/>
        <w:ind w:firstLine="720"/>
        <w:rPr>
          <w:rFonts w:ascii="Arial" w:hAnsi="Arial" w:cs="Arial"/>
          <w:sz w:val="20"/>
          <w:szCs w:val="20"/>
          <w:lang w:val="en-GB"/>
        </w:rPr>
      </w:pPr>
      <w:r w:rsidRPr="00602915">
        <w:rPr>
          <w:rFonts w:ascii="Arial" w:hAnsi="Arial" w:cs="Arial"/>
          <w:sz w:val="20"/>
          <w:szCs w:val="20"/>
          <w:lang w:val="en-GB"/>
        </w:rPr>
        <w:t>M</w:t>
      </w:r>
      <w:r w:rsidR="00E21E9B" w:rsidRPr="00602915">
        <w:rPr>
          <w:rFonts w:ascii="Arial" w:hAnsi="Arial" w:cs="Arial"/>
          <w:sz w:val="20"/>
          <w:szCs w:val="20"/>
          <w:lang w:val="en-GB"/>
        </w:rPr>
        <w:t xml:space="preserve">otor fluctuations can initially be managed by adding long-acting dopamine agonists, or using MAO-B inhibitors or </w:t>
      </w:r>
      <w:r w:rsidR="005A7B1C" w:rsidRPr="00602915">
        <w:rPr>
          <w:rFonts w:ascii="Arial" w:hAnsi="Arial" w:cs="Arial"/>
          <w:sz w:val="20"/>
          <w:szCs w:val="20"/>
          <w:lang w:val="en-GB"/>
        </w:rPr>
        <w:t>catechol-</w:t>
      </w:r>
      <w:r w:rsidR="00A23F5B" w:rsidRPr="00721011">
        <w:rPr>
          <w:rFonts w:ascii="Arial" w:hAnsi="Arial" w:cs="Arial"/>
          <w:i/>
          <w:iCs/>
          <w:sz w:val="20"/>
          <w:szCs w:val="20"/>
          <w:lang w:val="en-GB"/>
        </w:rPr>
        <w:t>O</w:t>
      </w:r>
      <w:r w:rsidR="005A7B1C" w:rsidRPr="00602915">
        <w:rPr>
          <w:rFonts w:ascii="Arial" w:hAnsi="Arial" w:cs="Arial"/>
          <w:sz w:val="20"/>
          <w:szCs w:val="20"/>
          <w:lang w:val="en-GB"/>
        </w:rPr>
        <w:t>-methyl transferase (</w:t>
      </w:r>
      <w:r w:rsidR="00E21E9B" w:rsidRPr="00602915">
        <w:rPr>
          <w:rFonts w:ascii="Arial" w:hAnsi="Arial" w:cs="Arial"/>
          <w:sz w:val="20"/>
          <w:szCs w:val="20"/>
          <w:lang w:val="en-GB"/>
        </w:rPr>
        <w:t>COMT</w:t>
      </w:r>
      <w:r w:rsidR="005A7B1C" w:rsidRPr="00602915">
        <w:rPr>
          <w:rFonts w:ascii="Arial" w:hAnsi="Arial" w:cs="Arial"/>
          <w:sz w:val="20"/>
          <w:szCs w:val="20"/>
          <w:lang w:val="en-GB"/>
        </w:rPr>
        <w:t>)</w:t>
      </w:r>
      <w:r w:rsidR="00E21E9B" w:rsidRPr="00602915">
        <w:rPr>
          <w:rFonts w:ascii="Arial" w:hAnsi="Arial" w:cs="Arial"/>
          <w:sz w:val="20"/>
          <w:szCs w:val="20"/>
          <w:lang w:val="en-GB"/>
        </w:rPr>
        <w:t xml:space="preserve"> inhibitors to slow dopamine metabolism. </w:t>
      </w:r>
      <w:r w:rsidR="00A47253" w:rsidRPr="00602915">
        <w:rPr>
          <w:rFonts w:ascii="Arial" w:hAnsi="Arial" w:cs="Arial"/>
          <w:sz w:val="20"/>
          <w:szCs w:val="20"/>
          <w:lang w:val="en-GB"/>
        </w:rPr>
        <w:t>Opicapone, a third</w:t>
      </w:r>
      <w:r w:rsidR="0041576D" w:rsidRPr="00602915">
        <w:rPr>
          <w:rFonts w:ascii="Arial" w:hAnsi="Arial" w:cs="Arial"/>
          <w:sz w:val="20"/>
          <w:szCs w:val="20"/>
          <w:lang w:val="en-GB"/>
        </w:rPr>
        <w:t>-</w:t>
      </w:r>
      <w:r w:rsidR="00A47253" w:rsidRPr="00602915">
        <w:rPr>
          <w:rFonts w:ascii="Arial" w:hAnsi="Arial" w:cs="Arial"/>
          <w:sz w:val="20"/>
          <w:szCs w:val="20"/>
          <w:lang w:val="en-GB"/>
        </w:rPr>
        <w:t>generation once</w:t>
      </w:r>
      <w:r w:rsidR="0041576D" w:rsidRPr="00602915">
        <w:rPr>
          <w:rFonts w:ascii="Arial" w:hAnsi="Arial" w:cs="Arial"/>
          <w:sz w:val="20"/>
          <w:szCs w:val="20"/>
          <w:lang w:val="en-GB"/>
        </w:rPr>
        <w:t>-</w:t>
      </w:r>
      <w:r w:rsidR="00A47253" w:rsidRPr="00602915">
        <w:rPr>
          <w:rFonts w:ascii="Arial" w:hAnsi="Arial" w:cs="Arial"/>
          <w:sz w:val="20"/>
          <w:szCs w:val="20"/>
          <w:lang w:val="en-GB"/>
        </w:rPr>
        <w:t>daily COMT inhibitor</w:t>
      </w:r>
      <w:r w:rsidR="0041576D" w:rsidRPr="00602915">
        <w:rPr>
          <w:rFonts w:ascii="Arial" w:hAnsi="Arial" w:cs="Arial"/>
          <w:sz w:val="20"/>
          <w:szCs w:val="20"/>
          <w:lang w:val="en-GB"/>
        </w:rPr>
        <w:t>,</w:t>
      </w:r>
      <w:r w:rsidR="00A47253" w:rsidRPr="00602915">
        <w:rPr>
          <w:rFonts w:ascii="Arial" w:hAnsi="Arial" w:cs="Arial"/>
          <w:sz w:val="20"/>
          <w:szCs w:val="20"/>
          <w:lang w:val="en-GB"/>
        </w:rPr>
        <w:t xml:space="preserve"> </w:t>
      </w:r>
      <w:r w:rsidRPr="00602915">
        <w:rPr>
          <w:rFonts w:ascii="Arial" w:hAnsi="Arial" w:cs="Arial"/>
          <w:sz w:val="20"/>
          <w:szCs w:val="20"/>
          <w:lang w:val="en-GB"/>
        </w:rPr>
        <w:t xml:space="preserve"> </w:t>
      </w:r>
      <w:r w:rsidR="00A47253" w:rsidRPr="00602915">
        <w:rPr>
          <w:rFonts w:ascii="Arial" w:hAnsi="Arial" w:cs="Arial"/>
          <w:sz w:val="20"/>
          <w:szCs w:val="20"/>
          <w:lang w:val="en-GB"/>
        </w:rPr>
        <w:t>may be useful in some patients who do not tolerate entacapone</w:t>
      </w:r>
      <w:r w:rsidR="00000357" w:rsidRPr="00602915">
        <w:rPr>
          <w:rFonts w:ascii="Arial" w:hAnsi="Arial" w:cs="Arial"/>
          <w:sz w:val="20"/>
          <w:szCs w:val="20"/>
          <w:lang w:val="en-GB"/>
        </w:rPr>
        <w:t xml:space="preserve"> (most commonly owing to diarrhoea)</w:t>
      </w:r>
      <w:r w:rsidR="00A47253" w:rsidRPr="00602915">
        <w:rPr>
          <w:rFonts w:ascii="Arial" w:hAnsi="Arial" w:cs="Arial"/>
          <w:sz w:val="20"/>
          <w:szCs w:val="20"/>
          <w:lang w:val="en-GB"/>
        </w:rPr>
        <w:t xml:space="preserve">. </w:t>
      </w:r>
      <w:r w:rsidRPr="00602915">
        <w:rPr>
          <w:rFonts w:ascii="Arial" w:hAnsi="Arial" w:cs="Arial"/>
          <w:sz w:val="20"/>
          <w:szCs w:val="20"/>
          <w:lang w:val="en-GB"/>
        </w:rPr>
        <w:t>Over</w:t>
      </w:r>
      <w:r w:rsidR="00E21E9B" w:rsidRPr="00602915">
        <w:rPr>
          <w:rFonts w:ascii="Arial" w:hAnsi="Arial" w:cs="Arial"/>
          <w:sz w:val="20"/>
          <w:szCs w:val="20"/>
          <w:lang w:val="en-GB"/>
        </w:rPr>
        <w:t xml:space="preserve"> time, ‘on–off’ variations become more marked and less predictable, and </w:t>
      </w:r>
      <w:r w:rsidR="00E21E9B" w:rsidRPr="00602915">
        <w:rPr>
          <w:rStyle w:val="small-caps"/>
          <w:rFonts w:ascii="Arial" w:hAnsi="Arial" w:cs="Arial"/>
          <w:sz w:val="20"/>
          <w:szCs w:val="20"/>
          <w:lang w:val="en-GB"/>
        </w:rPr>
        <w:t>l</w:t>
      </w:r>
      <w:r w:rsidR="00E21E9B" w:rsidRPr="00602915">
        <w:rPr>
          <w:rFonts w:ascii="Arial" w:hAnsi="Arial" w:cs="Arial"/>
          <w:sz w:val="20"/>
          <w:szCs w:val="20"/>
          <w:lang w:val="en-GB"/>
        </w:rPr>
        <w:t>-dopa-induced dyskinesias more prominent. Fractionating levodopa into smaller</w:t>
      </w:r>
      <w:r w:rsidR="005E7759" w:rsidRPr="00602915">
        <w:rPr>
          <w:rFonts w:ascii="Arial" w:hAnsi="Arial" w:cs="Arial"/>
          <w:sz w:val="20"/>
          <w:szCs w:val="20"/>
          <w:lang w:val="en-GB"/>
        </w:rPr>
        <w:t>,</w:t>
      </w:r>
      <w:r w:rsidR="00E21E9B" w:rsidRPr="00602915">
        <w:rPr>
          <w:rFonts w:ascii="Arial" w:hAnsi="Arial" w:cs="Arial"/>
          <w:sz w:val="20"/>
          <w:szCs w:val="20"/>
          <w:lang w:val="en-GB"/>
        </w:rPr>
        <w:t xml:space="preserve"> more frequent doses can be helpful, as can introducing amantadine for dyskinesias. </w:t>
      </w:r>
      <w:r w:rsidR="00A47253" w:rsidRPr="00602915">
        <w:rPr>
          <w:rFonts w:ascii="Arial" w:hAnsi="Arial" w:cs="Arial"/>
          <w:sz w:val="20"/>
          <w:szCs w:val="20"/>
          <w:lang w:val="en-GB"/>
        </w:rPr>
        <w:t>Safinamide, a drug with a novel mode of action combining MAO-B inhibitory activity with possible an</w:t>
      </w:r>
      <w:r w:rsidR="00000357" w:rsidRPr="00602915">
        <w:rPr>
          <w:rFonts w:ascii="Arial" w:hAnsi="Arial" w:cs="Arial"/>
          <w:sz w:val="20"/>
          <w:szCs w:val="20"/>
          <w:lang w:val="en-GB"/>
        </w:rPr>
        <w:t xml:space="preserve">ti-dyskinetic activity, may be </w:t>
      </w:r>
      <w:r w:rsidR="00A47253" w:rsidRPr="00602915">
        <w:rPr>
          <w:rFonts w:ascii="Arial" w:hAnsi="Arial" w:cs="Arial"/>
          <w:sz w:val="20"/>
          <w:szCs w:val="20"/>
          <w:lang w:val="en-GB"/>
        </w:rPr>
        <w:t xml:space="preserve">useful in patients </w:t>
      </w:r>
      <w:r w:rsidR="002013C9" w:rsidRPr="00602915">
        <w:rPr>
          <w:rFonts w:ascii="Arial" w:hAnsi="Arial" w:cs="Arial"/>
          <w:sz w:val="20"/>
          <w:szCs w:val="20"/>
          <w:lang w:val="en-GB"/>
        </w:rPr>
        <w:t>suffering</w:t>
      </w:r>
      <w:r w:rsidR="00A47253" w:rsidRPr="00602915">
        <w:rPr>
          <w:rFonts w:ascii="Arial" w:hAnsi="Arial" w:cs="Arial"/>
          <w:sz w:val="20"/>
          <w:szCs w:val="20"/>
          <w:lang w:val="en-GB"/>
        </w:rPr>
        <w:t xml:space="preserve"> both wearing off and dyskinesias. </w:t>
      </w:r>
    </w:p>
    <w:p w14:paraId="00E565E4" w14:textId="3C2C8AC2" w:rsidR="00E21E9B" w:rsidRPr="00602915" w:rsidRDefault="00E21E9B" w:rsidP="00FB3568">
      <w:pPr>
        <w:spacing w:after="0" w:line="240" w:lineRule="auto"/>
        <w:ind w:firstLine="720"/>
        <w:rPr>
          <w:rFonts w:ascii="Arial" w:hAnsi="Arial" w:cs="Arial"/>
          <w:sz w:val="20"/>
          <w:szCs w:val="20"/>
          <w:lang w:val="en-GB"/>
        </w:rPr>
      </w:pPr>
      <w:r w:rsidRPr="00602915">
        <w:rPr>
          <w:rFonts w:ascii="Arial" w:hAnsi="Arial" w:cs="Arial"/>
          <w:sz w:val="20"/>
          <w:szCs w:val="20"/>
          <w:lang w:val="en-GB"/>
        </w:rPr>
        <w:t xml:space="preserve">Other management options for </w:t>
      </w:r>
      <w:r w:rsidR="00000357" w:rsidRPr="00602915">
        <w:rPr>
          <w:rFonts w:ascii="Arial" w:hAnsi="Arial" w:cs="Arial"/>
          <w:sz w:val="20"/>
          <w:szCs w:val="20"/>
          <w:lang w:val="en-GB"/>
        </w:rPr>
        <w:t xml:space="preserve">late </w:t>
      </w:r>
      <w:r w:rsidRPr="00602915">
        <w:rPr>
          <w:rFonts w:ascii="Arial" w:hAnsi="Arial" w:cs="Arial"/>
          <w:sz w:val="20"/>
          <w:szCs w:val="20"/>
          <w:lang w:val="en-GB"/>
        </w:rPr>
        <w:t xml:space="preserve">disease with motor complications include continuous dopaminergic therapies: the dopamine agonist apomorphine via a subcutaneous pump, or levodopa gel administered continuously via a jejunal tube (Duodopa). Deep brain stimulation (usually </w:t>
      </w:r>
      <w:r w:rsidR="00961A63">
        <w:rPr>
          <w:rFonts w:ascii="Arial" w:hAnsi="Arial" w:cs="Arial"/>
          <w:sz w:val="20"/>
          <w:szCs w:val="20"/>
          <w:lang w:val="en-GB"/>
        </w:rPr>
        <w:t xml:space="preserve">targeting </w:t>
      </w:r>
      <w:r w:rsidR="002B7267" w:rsidRPr="00602915">
        <w:rPr>
          <w:rFonts w:ascii="Arial" w:hAnsi="Arial" w:cs="Arial"/>
          <w:sz w:val="20"/>
          <w:szCs w:val="20"/>
          <w:lang w:val="en-GB"/>
        </w:rPr>
        <w:t xml:space="preserve">the </w:t>
      </w:r>
      <w:r w:rsidRPr="00602915">
        <w:rPr>
          <w:rFonts w:ascii="Arial" w:hAnsi="Arial" w:cs="Arial"/>
          <w:sz w:val="20"/>
          <w:szCs w:val="20"/>
          <w:lang w:val="en-GB"/>
        </w:rPr>
        <w:t>subthalamic nucleus) is a</w:t>
      </w:r>
      <w:r w:rsidR="002013C9" w:rsidRPr="00602915">
        <w:rPr>
          <w:rFonts w:ascii="Arial" w:hAnsi="Arial" w:cs="Arial"/>
          <w:sz w:val="20"/>
          <w:szCs w:val="20"/>
          <w:lang w:val="en-GB"/>
        </w:rPr>
        <w:t>n</w:t>
      </w:r>
      <w:r w:rsidRPr="00602915">
        <w:rPr>
          <w:rFonts w:ascii="Arial" w:hAnsi="Arial" w:cs="Arial"/>
          <w:sz w:val="20"/>
          <w:szCs w:val="20"/>
          <w:lang w:val="en-GB"/>
        </w:rPr>
        <w:t xml:space="preserve"> option for dopa-responsive patients </w:t>
      </w:r>
      <w:r w:rsidR="005439D6" w:rsidRPr="00602915">
        <w:rPr>
          <w:rFonts w:ascii="Arial" w:hAnsi="Arial" w:cs="Arial"/>
          <w:sz w:val="20"/>
          <w:szCs w:val="20"/>
          <w:lang w:val="en-GB"/>
        </w:rPr>
        <w:t>without</w:t>
      </w:r>
      <w:r w:rsidRPr="00602915">
        <w:rPr>
          <w:rFonts w:ascii="Arial" w:hAnsi="Arial" w:cs="Arial"/>
          <w:sz w:val="20"/>
          <w:szCs w:val="20"/>
          <w:lang w:val="en-GB"/>
        </w:rPr>
        <w:t xml:space="preserve"> significant cognitive problems. This allows a significant reduction in</w:t>
      </w:r>
      <w:r w:rsidR="002B7267" w:rsidRPr="00602915">
        <w:rPr>
          <w:rFonts w:ascii="Arial" w:hAnsi="Arial" w:cs="Arial"/>
          <w:sz w:val="20"/>
          <w:szCs w:val="20"/>
          <w:lang w:val="en-GB"/>
        </w:rPr>
        <w:t xml:space="preserve"> dose of</w:t>
      </w:r>
      <w:r w:rsidRPr="00602915">
        <w:rPr>
          <w:rFonts w:ascii="Arial" w:hAnsi="Arial" w:cs="Arial"/>
          <w:sz w:val="20"/>
          <w:szCs w:val="20"/>
          <w:lang w:val="en-GB"/>
        </w:rPr>
        <w:t xml:space="preserve"> </w:t>
      </w:r>
      <w:r w:rsidRPr="00602915">
        <w:rPr>
          <w:rStyle w:val="small-caps"/>
          <w:rFonts w:ascii="Arial" w:hAnsi="Arial" w:cs="Arial"/>
          <w:sz w:val="20"/>
          <w:szCs w:val="20"/>
          <w:lang w:val="en-GB"/>
        </w:rPr>
        <w:t>l</w:t>
      </w:r>
      <w:r w:rsidRPr="00602915">
        <w:rPr>
          <w:rFonts w:ascii="Arial" w:hAnsi="Arial" w:cs="Arial"/>
          <w:sz w:val="20"/>
          <w:szCs w:val="20"/>
          <w:lang w:val="en-GB"/>
        </w:rPr>
        <w:t>-dopa, minimizing dyskinesias and fluctuations, but can aggravate speech problems.</w:t>
      </w:r>
    </w:p>
    <w:p w14:paraId="4A74F4D5" w14:textId="433E717D" w:rsidR="005A7B1C" w:rsidRPr="00602915" w:rsidRDefault="00E21E9B" w:rsidP="005A7B1C">
      <w:pPr>
        <w:spacing w:after="0" w:line="240" w:lineRule="auto"/>
        <w:ind w:firstLine="720"/>
        <w:rPr>
          <w:rFonts w:ascii="Arial" w:hAnsi="Arial" w:cs="Arial"/>
          <w:sz w:val="20"/>
          <w:szCs w:val="20"/>
          <w:lang w:val="en-GB"/>
        </w:rPr>
      </w:pPr>
      <w:r w:rsidRPr="00602915">
        <w:rPr>
          <w:rFonts w:ascii="Arial" w:hAnsi="Arial" w:cs="Arial"/>
          <w:sz w:val="20"/>
          <w:szCs w:val="20"/>
          <w:lang w:val="en-GB"/>
        </w:rPr>
        <w:t xml:space="preserve">Many non-motor problems improve with symptomatic therapies. Depression </w:t>
      </w:r>
      <w:r w:rsidR="002013C9" w:rsidRPr="00602915">
        <w:rPr>
          <w:rFonts w:ascii="Arial" w:hAnsi="Arial" w:cs="Arial"/>
          <w:sz w:val="20"/>
          <w:szCs w:val="20"/>
          <w:lang w:val="en-GB"/>
        </w:rPr>
        <w:t>responds to</w:t>
      </w:r>
      <w:r w:rsidRPr="00602915">
        <w:rPr>
          <w:rFonts w:ascii="Arial" w:hAnsi="Arial" w:cs="Arial"/>
          <w:sz w:val="20"/>
          <w:szCs w:val="20"/>
          <w:lang w:val="en-GB"/>
        </w:rPr>
        <w:t xml:space="preserve"> standard pharmacological options including selective serotonin reuptake inhibitors, venlafaxine and mirtazapine, </w:t>
      </w:r>
      <w:r w:rsidR="002013C9" w:rsidRPr="00602915">
        <w:rPr>
          <w:rFonts w:ascii="Arial" w:hAnsi="Arial" w:cs="Arial"/>
          <w:sz w:val="20"/>
          <w:szCs w:val="20"/>
          <w:lang w:val="en-GB"/>
        </w:rPr>
        <w:t xml:space="preserve">and </w:t>
      </w:r>
      <w:r w:rsidRPr="00602915">
        <w:rPr>
          <w:rFonts w:ascii="Arial" w:hAnsi="Arial" w:cs="Arial"/>
          <w:sz w:val="20"/>
          <w:szCs w:val="20"/>
          <w:lang w:val="en-GB"/>
        </w:rPr>
        <w:t>the dopamine agonist pramipexole has some efficacy for mood disturbance in PD</w:t>
      </w:r>
      <w:r w:rsidR="002013C9" w:rsidRPr="00602915">
        <w:rPr>
          <w:rFonts w:ascii="Arial" w:hAnsi="Arial" w:cs="Arial"/>
          <w:sz w:val="20"/>
          <w:szCs w:val="20"/>
          <w:lang w:val="en-GB"/>
        </w:rPr>
        <w:t>. N</w:t>
      </w:r>
      <w:r w:rsidRPr="00602915">
        <w:rPr>
          <w:rFonts w:ascii="Arial" w:hAnsi="Arial" w:cs="Arial"/>
          <w:sz w:val="20"/>
          <w:szCs w:val="20"/>
          <w:lang w:val="en-GB"/>
        </w:rPr>
        <w:t>on-</w:t>
      </w:r>
      <w:r w:rsidRPr="00602915">
        <w:rPr>
          <w:rFonts w:ascii="Arial" w:hAnsi="Arial" w:cs="Arial"/>
          <w:sz w:val="20"/>
          <w:szCs w:val="20"/>
          <w:lang w:val="en-GB"/>
        </w:rPr>
        <w:lastRenderedPageBreak/>
        <w:t xml:space="preserve">pharmacological options such as cognitive behavioural therapy </w:t>
      </w:r>
      <w:r w:rsidR="00F43B1F" w:rsidRPr="00602915">
        <w:rPr>
          <w:rFonts w:ascii="Arial" w:hAnsi="Arial" w:cs="Arial"/>
          <w:sz w:val="20"/>
          <w:szCs w:val="20"/>
          <w:lang w:val="en-GB"/>
        </w:rPr>
        <w:t>can</w:t>
      </w:r>
      <w:r w:rsidR="002013C9" w:rsidRPr="00602915">
        <w:rPr>
          <w:rFonts w:ascii="Arial" w:hAnsi="Arial" w:cs="Arial"/>
          <w:sz w:val="20"/>
          <w:szCs w:val="20"/>
          <w:lang w:val="en-GB"/>
        </w:rPr>
        <w:t xml:space="preserve"> be effective</w:t>
      </w:r>
      <w:r w:rsidRPr="00602915">
        <w:rPr>
          <w:rFonts w:ascii="Arial" w:hAnsi="Arial" w:cs="Arial"/>
          <w:sz w:val="20"/>
          <w:szCs w:val="20"/>
          <w:lang w:val="en-GB"/>
        </w:rPr>
        <w:t xml:space="preserve">, particularly for patients with prominent anxiety. Cholinesterase inhibitors have </w:t>
      </w:r>
      <w:r w:rsidR="002013C9" w:rsidRPr="00602915">
        <w:rPr>
          <w:rFonts w:ascii="Arial" w:hAnsi="Arial" w:cs="Arial"/>
          <w:sz w:val="20"/>
          <w:szCs w:val="20"/>
          <w:lang w:val="en-GB"/>
        </w:rPr>
        <w:t xml:space="preserve">modest </w:t>
      </w:r>
      <w:r w:rsidRPr="00602915">
        <w:rPr>
          <w:rFonts w:ascii="Arial" w:hAnsi="Arial" w:cs="Arial"/>
          <w:sz w:val="20"/>
          <w:szCs w:val="20"/>
          <w:lang w:val="en-GB"/>
        </w:rPr>
        <w:t>efficacy for dementia in PD</w:t>
      </w:r>
      <w:r w:rsidR="00961A63">
        <w:rPr>
          <w:rFonts w:ascii="Arial" w:hAnsi="Arial" w:cs="Arial"/>
          <w:sz w:val="20"/>
          <w:szCs w:val="20"/>
          <w:lang w:val="en-GB"/>
        </w:rPr>
        <w:t>.</w:t>
      </w:r>
      <w:r w:rsidRPr="00602915">
        <w:rPr>
          <w:rFonts w:ascii="Arial" w:hAnsi="Arial" w:cs="Arial"/>
          <w:sz w:val="20"/>
          <w:szCs w:val="20"/>
          <w:lang w:val="en-GB"/>
        </w:rPr>
        <w:t>. Remov</w:t>
      </w:r>
      <w:r w:rsidR="002013C9" w:rsidRPr="00602915">
        <w:rPr>
          <w:rFonts w:ascii="Arial" w:hAnsi="Arial" w:cs="Arial"/>
          <w:sz w:val="20"/>
          <w:szCs w:val="20"/>
          <w:lang w:val="en-GB"/>
        </w:rPr>
        <w:t>ing</w:t>
      </w:r>
      <w:r w:rsidRPr="00602915">
        <w:rPr>
          <w:rFonts w:ascii="Arial" w:hAnsi="Arial" w:cs="Arial"/>
          <w:sz w:val="20"/>
          <w:szCs w:val="20"/>
          <w:lang w:val="en-GB"/>
        </w:rPr>
        <w:t xml:space="preserve"> anticholinergics, amantadine and dopamine agonists, which contribute to confusion</w:t>
      </w:r>
      <w:r w:rsidR="00105D42" w:rsidRPr="00602915">
        <w:rPr>
          <w:rFonts w:ascii="Arial" w:hAnsi="Arial" w:cs="Arial"/>
          <w:sz w:val="20"/>
          <w:szCs w:val="20"/>
          <w:lang w:val="en-GB"/>
        </w:rPr>
        <w:t xml:space="preserve"> and hallucinations</w:t>
      </w:r>
      <w:r w:rsidRPr="00602915">
        <w:rPr>
          <w:rFonts w:ascii="Arial" w:hAnsi="Arial" w:cs="Arial"/>
          <w:sz w:val="20"/>
          <w:szCs w:val="20"/>
          <w:lang w:val="en-GB"/>
        </w:rPr>
        <w:t>, and prompt management of infections are also important in the management of PD dementia.</w:t>
      </w:r>
      <w:r w:rsidR="005A7B1C" w:rsidRPr="00602915">
        <w:rPr>
          <w:rFonts w:ascii="Arial" w:hAnsi="Arial" w:cs="Arial"/>
          <w:sz w:val="20"/>
          <w:szCs w:val="20"/>
          <w:lang w:val="en-GB"/>
        </w:rPr>
        <w:t xml:space="preserve"> NICE recommends midodrine as a first line for</w:t>
      </w:r>
      <w:r w:rsidRPr="00602915">
        <w:rPr>
          <w:rFonts w:ascii="Arial" w:hAnsi="Arial" w:cs="Arial"/>
          <w:sz w:val="20"/>
          <w:szCs w:val="20"/>
          <w:lang w:val="en-GB"/>
        </w:rPr>
        <w:t xml:space="preserve"> </w:t>
      </w:r>
      <w:r w:rsidR="005A7B1C" w:rsidRPr="00602915">
        <w:rPr>
          <w:rFonts w:ascii="Arial" w:hAnsi="Arial" w:cs="Arial"/>
          <w:sz w:val="20"/>
          <w:szCs w:val="20"/>
          <w:lang w:val="en-GB"/>
        </w:rPr>
        <w:t>o</w:t>
      </w:r>
      <w:r w:rsidRPr="00602915">
        <w:rPr>
          <w:rFonts w:ascii="Arial" w:hAnsi="Arial" w:cs="Arial"/>
          <w:sz w:val="20"/>
          <w:szCs w:val="20"/>
          <w:lang w:val="en-GB"/>
        </w:rPr>
        <w:t>rthostatic hypotension in PD</w:t>
      </w:r>
      <w:r w:rsidR="003B3D25" w:rsidRPr="00602915">
        <w:rPr>
          <w:rFonts w:ascii="Arial" w:hAnsi="Arial" w:cs="Arial"/>
          <w:sz w:val="20"/>
          <w:szCs w:val="20"/>
          <w:lang w:val="en-GB"/>
        </w:rPr>
        <w:t>,</w:t>
      </w:r>
      <w:r w:rsidR="005A7B1C" w:rsidRPr="00602915">
        <w:rPr>
          <w:rFonts w:ascii="Arial" w:hAnsi="Arial" w:cs="Arial"/>
          <w:sz w:val="20"/>
          <w:szCs w:val="20"/>
          <w:lang w:val="en-GB"/>
        </w:rPr>
        <w:t xml:space="preserve"> with </w:t>
      </w:r>
      <w:r w:rsidRPr="00602915">
        <w:rPr>
          <w:rFonts w:ascii="Arial" w:hAnsi="Arial" w:cs="Arial"/>
          <w:sz w:val="20"/>
          <w:szCs w:val="20"/>
          <w:lang w:val="en-GB"/>
        </w:rPr>
        <w:t>fludrocortisone</w:t>
      </w:r>
      <w:r w:rsidR="005A7B1C" w:rsidRPr="00602915">
        <w:rPr>
          <w:rFonts w:ascii="Arial" w:hAnsi="Arial" w:cs="Arial"/>
          <w:sz w:val="20"/>
          <w:szCs w:val="20"/>
          <w:lang w:val="en-GB"/>
        </w:rPr>
        <w:t xml:space="preserve"> as an alternative (</w:t>
      </w:r>
      <w:r w:rsidRPr="00602915">
        <w:rPr>
          <w:rFonts w:ascii="Arial" w:hAnsi="Arial" w:cs="Arial"/>
          <w:sz w:val="20"/>
          <w:szCs w:val="20"/>
          <w:lang w:val="en-GB"/>
        </w:rPr>
        <w:t>unlicensed indication).</w:t>
      </w:r>
    </w:p>
    <w:p w14:paraId="58E9EC61" w14:textId="77777777" w:rsidR="00FB3568" w:rsidRPr="00602915" w:rsidRDefault="00FB3568" w:rsidP="00582CE9">
      <w:pPr>
        <w:pStyle w:val="Heading2"/>
        <w:spacing w:before="0" w:line="240" w:lineRule="auto"/>
        <w:rPr>
          <w:rFonts w:ascii="Arial" w:hAnsi="Arial" w:cs="Arial"/>
          <w:b/>
          <w:color w:val="4F81BD" w:themeColor="accent1"/>
          <w:sz w:val="20"/>
          <w:szCs w:val="20"/>
          <w:lang w:val="en-GB"/>
        </w:rPr>
      </w:pPr>
    </w:p>
    <w:p w14:paraId="5B41CF30" w14:textId="776781C2" w:rsidR="00E21E9B" w:rsidRPr="00602915" w:rsidRDefault="00E21E9B" w:rsidP="00582CE9">
      <w:pPr>
        <w:pStyle w:val="Heading2"/>
        <w:spacing w:before="0" w:line="240" w:lineRule="auto"/>
        <w:rPr>
          <w:rFonts w:ascii="Arial" w:hAnsi="Arial" w:cs="Arial"/>
          <w:b/>
          <w:color w:val="4F81BD" w:themeColor="accent1"/>
          <w:sz w:val="20"/>
          <w:szCs w:val="20"/>
          <w:lang w:val="en-GB"/>
        </w:rPr>
      </w:pPr>
      <w:r w:rsidRPr="00602915">
        <w:rPr>
          <w:rFonts w:ascii="Arial" w:hAnsi="Arial" w:cs="Arial"/>
          <w:b/>
          <w:color w:val="4F81BD" w:themeColor="accent1"/>
          <w:sz w:val="20"/>
          <w:szCs w:val="20"/>
          <w:lang w:val="en-GB"/>
        </w:rPr>
        <w:t>New therapeutic developments</w:t>
      </w:r>
    </w:p>
    <w:p w14:paraId="06B64FD0" w14:textId="4A18B591" w:rsidR="00E21E9B" w:rsidRPr="00602915" w:rsidRDefault="00E21E9B" w:rsidP="00582CE9">
      <w:pPr>
        <w:spacing w:after="0" w:line="240" w:lineRule="auto"/>
        <w:rPr>
          <w:rFonts w:ascii="Arial" w:hAnsi="Arial" w:cs="Arial"/>
          <w:sz w:val="20"/>
          <w:szCs w:val="20"/>
          <w:lang w:val="en-GB"/>
        </w:rPr>
      </w:pPr>
      <w:r w:rsidRPr="00602915">
        <w:rPr>
          <w:rFonts w:ascii="Arial" w:hAnsi="Arial" w:cs="Arial"/>
          <w:sz w:val="20"/>
          <w:szCs w:val="20"/>
          <w:lang w:val="en-GB"/>
        </w:rPr>
        <w:t>Given the problems with existing dopaminergic therapies</w:t>
      </w:r>
      <w:r w:rsidR="00937560" w:rsidRPr="00602915">
        <w:rPr>
          <w:rFonts w:ascii="Arial" w:hAnsi="Arial" w:cs="Arial"/>
          <w:sz w:val="20"/>
          <w:szCs w:val="20"/>
          <w:lang w:val="en-GB"/>
        </w:rPr>
        <w:t>,</w:t>
      </w:r>
      <w:r w:rsidRPr="00602915">
        <w:rPr>
          <w:rFonts w:ascii="Arial" w:hAnsi="Arial" w:cs="Arial"/>
          <w:sz w:val="20"/>
          <w:szCs w:val="20"/>
          <w:lang w:val="en-GB"/>
        </w:rPr>
        <w:t xml:space="preserve"> owing to their peripheral administration route and pulsatile delivery, new strategies to replace dopamine directly and continuously into the striatum</w:t>
      </w:r>
      <w:r w:rsidR="002013C9" w:rsidRPr="00602915">
        <w:rPr>
          <w:rStyle w:val="Hyperlink"/>
          <w:rFonts w:ascii="Arial" w:hAnsi="Arial" w:cs="Arial"/>
          <w:color w:val="auto"/>
          <w:sz w:val="20"/>
          <w:szCs w:val="20"/>
          <w:lang w:val="en-GB"/>
        </w:rPr>
        <w:t xml:space="preserve"> are </w:t>
      </w:r>
      <w:r w:rsidR="00961A63">
        <w:rPr>
          <w:rStyle w:val="Hyperlink"/>
          <w:rFonts w:ascii="Arial" w:hAnsi="Arial" w:cs="Arial"/>
          <w:color w:val="auto"/>
          <w:sz w:val="20"/>
          <w:szCs w:val="20"/>
          <w:lang w:val="en-GB"/>
        </w:rPr>
        <w:t>being tested</w:t>
      </w:r>
      <w:r w:rsidRPr="00602915">
        <w:rPr>
          <w:rFonts w:ascii="Arial" w:hAnsi="Arial" w:cs="Arial"/>
          <w:sz w:val="20"/>
          <w:szCs w:val="20"/>
          <w:lang w:val="en-GB"/>
        </w:rPr>
        <w:t>. An open-label trial of a cell-based therapy, using fetal midbrain tissue transplanted into the striatum, is underway (TRANSEURO</w:t>
      </w:r>
      <w:r w:rsidR="00AD0B3F" w:rsidRPr="00602915">
        <w:rPr>
          <w:rFonts w:ascii="Arial" w:hAnsi="Arial" w:cs="Arial"/>
          <w:sz w:val="20"/>
          <w:szCs w:val="20"/>
          <w:lang w:val="en-GB"/>
        </w:rPr>
        <w:t>; NCT01898390</w:t>
      </w:r>
      <w:r w:rsidRPr="00602915">
        <w:rPr>
          <w:rFonts w:ascii="Arial" w:hAnsi="Arial" w:cs="Arial"/>
          <w:sz w:val="20"/>
          <w:szCs w:val="20"/>
          <w:lang w:val="en-GB"/>
        </w:rPr>
        <w:t xml:space="preserve">), and stem-cell-derived neuronal grafting for PD </w:t>
      </w:r>
      <w:r w:rsidR="00161136" w:rsidRPr="00602915">
        <w:rPr>
          <w:rFonts w:ascii="Arial" w:hAnsi="Arial" w:cs="Arial"/>
          <w:sz w:val="20"/>
          <w:szCs w:val="20"/>
          <w:lang w:val="en-GB"/>
        </w:rPr>
        <w:t>will</w:t>
      </w:r>
      <w:r w:rsidR="002013C9" w:rsidRPr="00602915">
        <w:rPr>
          <w:rFonts w:ascii="Arial" w:hAnsi="Arial" w:cs="Arial"/>
          <w:sz w:val="20"/>
          <w:szCs w:val="20"/>
          <w:lang w:val="en-GB"/>
        </w:rPr>
        <w:t xml:space="preserve"> </w:t>
      </w:r>
      <w:r w:rsidRPr="00602915">
        <w:rPr>
          <w:rFonts w:ascii="Arial" w:hAnsi="Arial" w:cs="Arial"/>
          <w:sz w:val="20"/>
          <w:szCs w:val="20"/>
          <w:lang w:val="en-GB"/>
        </w:rPr>
        <w:t>soon reach human trials.</w:t>
      </w:r>
    </w:p>
    <w:p w14:paraId="3EACE32A" w14:textId="1257CB14" w:rsidR="003C1B0A" w:rsidRPr="00602915" w:rsidRDefault="00F14F49" w:rsidP="00766E5B">
      <w:pPr>
        <w:spacing w:after="0" w:line="240" w:lineRule="auto"/>
        <w:ind w:firstLine="720"/>
        <w:rPr>
          <w:rFonts w:ascii="Arial" w:hAnsi="Arial" w:cs="Arial"/>
          <w:sz w:val="20"/>
          <w:szCs w:val="20"/>
          <w:lang w:val="en-GB"/>
        </w:rPr>
      </w:pPr>
      <w:r w:rsidRPr="00602915">
        <w:rPr>
          <w:rFonts w:ascii="Arial" w:hAnsi="Arial" w:cs="Arial"/>
          <w:sz w:val="20"/>
          <w:szCs w:val="20"/>
          <w:lang w:val="en-GB"/>
        </w:rPr>
        <w:t>Gene therapy to r</w:t>
      </w:r>
      <w:r w:rsidR="00E21E9B" w:rsidRPr="00602915">
        <w:rPr>
          <w:rFonts w:ascii="Arial" w:hAnsi="Arial" w:cs="Arial"/>
          <w:sz w:val="20"/>
          <w:szCs w:val="20"/>
          <w:lang w:val="en-GB"/>
        </w:rPr>
        <w:t>eplac</w:t>
      </w:r>
      <w:r w:rsidR="00620EF4" w:rsidRPr="00602915">
        <w:rPr>
          <w:rFonts w:ascii="Arial" w:hAnsi="Arial" w:cs="Arial"/>
          <w:sz w:val="20"/>
          <w:szCs w:val="20"/>
          <w:lang w:val="en-GB"/>
        </w:rPr>
        <w:t>e</w:t>
      </w:r>
      <w:r w:rsidR="00E21E9B" w:rsidRPr="00602915">
        <w:rPr>
          <w:rFonts w:ascii="Arial" w:hAnsi="Arial" w:cs="Arial"/>
          <w:sz w:val="20"/>
          <w:szCs w:val="20"/>
          <w:lang w:val="en-GB"/>
        </w:rPr>
        <w:t xml:space="preserve"> striatal dopamine</w:t>
      </w:r>
      <w:r w:rsidR="00E20907" w:rsidRPr="00602915">
        <w:rPr>
          <w:rFonts w:ascii="Arial" w:hAnsi="Arial" w:cs="Arial"/>
          <w:sz w:val="20"/>
          <w:szCs w:val="20"/>
          <w:lang w:val="en-GB"/>
        </w:rPr>
        <w:t>,</w:t>
      </w:r>
      <w:r w:rsidR="00E21E9B" w:rsidRPr="00602915">
        <w:rPr>
          <w:rFonts w:ascii="Arial" w:hAnsi="Arial" w:cs="Arial"/>
          <w:sz w:val="20"/>
          <w:szCs w:val="20"/>
          <w:lang w:val="en-GB"/>
        </w:rPr>
        <w:t xml:space="preserve"> </w:t>
      </w:r>
      <w:r w:rsidR="002013C9" w:rsidRPr="00602915">
        <w:rPr>
          <w:rFonts w:ascii="Arial" w:hAnsi="Arial" w:cs="Arial"/>
          <w:sz w:val="20"/>
          <w:szCs w:val="20"/>
          <w:lang w:val="en-GB"/>
        </w:rPr>
        <w:t>using</w:t>
      </w:r>
      <w:r w:rsidR="0067531D" w:rsidRPr="00602915">
        <w:rPr>
          <w:rFonts w:ascii="Arial" w:hAnsi="Arial" w:cs="Arial"/>
          <w:sz w:val="20"/>
          <w:szCs w:val="20"/>
          <w:lang w:val="en-GB"/>
        </w:rPr>
        <w:t xml:space="preserve"> </w:t>
      </w:r>
      <w:r w:rsidRPr="00602915">
        <w:rPr>
          <w:rFonts w:ascii="Arial" w:hAnsi="Arial" w:cs="Arial"/>
          <w:sz w:val="20"/>
          <w:szCs w:val="20"/>
          <w:lang w:val="en-GB"/>
        </w:rPr>
        <w:t>k</w:t>
      </w:r>
      <w:r w:rsidR="00AD0B3F" w:rsidRPr="00602915">
        <w:rPr>
          <w:rFonts w:ascii="Arial" w:hAnsi="Arial" w:cs="Arial"/>
          <w:sz w:val="20"/>
          <w:szCs w:val="20"/>
          <w:lang w:val="en-GB"/>
        </w:rPr>
        <w:t>ey enzymes for dopamine synthesis delivered directly to the striatum via lentiviral vectors</w:t>
      </w:r>
      <w:r w:rsidR="00E20907" w:rsidRPr="00602915">
        <w:rPr>
          <w:rFonts w:ascii="Arial" w:hAnsi="Arial" w:cs="Arial"/>
          <w:sz w:val="20"/>
          <w:szCs w:val="20"/>
          <w:lang w:val="en-GB"/>
        </w:rPr>
        <w:t>,</w:t>
      </w:r>
      <w:r w:rsidRPr="00602915">
        <w:rPr>
          <w:rFonts w:ascii="Arial" w:hAnsi="Arial" w:cs="Arial"/>
          <w:sz w:val="20"/>
          <w:szCs w:val="20"/>
          <w:lang w:val="en-GB"/>
        </w:rPr>
        <w:t xml:space="preserve"> is</w:t>
      </w:r>
      <w:r w:rsidR="00AD0B3F" w:rsidRPr="00602915">
        <w:rPr>
          <w:rFonts w:ascii="Arial" w:hAnsi="Arial" w:cs="Arial"/>
          <w:sz w:val="20"/>
          <w:szCs w:val="20"/>
          <w:lang w:val="en-GB"/>
        </w:rPr>
        <w:t xml:space="preserve"> being evaluated for safety and efficacy in </w:t>
      </w:r>
      <w:r w:rsidR="00E20907" w:rsidRPr="00602915">
        <w:rPr>
          <w:rFonts w:ascii="Arial" w:hAnsi="Arial" w:cs="Arial"/>
          <w:sz w:val="20"/>
          <w:szCs w:val="20"/>
          <w:lang w:val="en-GB"/>
        </w:rPr>
        <w:t xml:space="preserve">Phase </w:t>
      </w:r>
      <w:r w:rsidR="00AD0B3F" w:rsidRPr="00602915">
        <w:rPr>
          <w:rFonts w:ascii="Arial" w:hAnsi="Arial" w:cs="Arial"/>
          <w:sz w:val="20"/>
          <w:szCs w:val="20"/>
          <w:lang w:val="en-GB"/>
        </w:rPr>
        <w:t>I/II trials (NCT03720418)</w:t>
      </w:r>
      <w:r w:rsidR="00E21E9B" w:rsidRPr="00602915">
        <w:rPr>
          <w:rFonts w:ascii="Arial" w:hAnsi="Arial" w:cs="Arial"/>
          <w:sz w:val="20"/>
          <w:szCs w:val="20"/>
          <w:lang w:val="en-GB"/>
        </w:rPr>
        <w:t xml:space="preserve">. </w:t>
      </w:r>
      <w:r w:rsidRPr="00602915">
        <w:rPr>
          <w:rFonts w:ascii="Arial" w:hAnsi="Arial" w:cs="Arial"/>
          <w:sz w:val="20"/>
          <w:szCs w:val="20"/>
          <w:lang w:val="en-GB"/>
        </w:rPr>
        <w:t>T</w:t>
      </w:r>
      <w:r w:rsidR="00E21E9B" w:rsidRPr="00602915">
        <w:rPr>
          <w:rFonts w:ascii="Arial" w:hAnsi="Arial" w:cs="Arial"/>
          <w:sz w:val="20"/>
          <w:szCs w:val="20"/>
          <w:lang w:val="en-GB"/>
        </w:rPr>
        <w:t>hese gene- and cell-replacement therapies are not disease-modifying and improve only dopaminergic motor symptoms</w:t>
      </w:r>
      <w:r w:rsidRPr="00602915">
        <w:rPr>
          <w:rFonts w:ascii="Arial" w:hAnsi="Arial" w:cs="Arial"/>
          <w:sz w:val="20"/>
          <w:szCs w:val="20"/>
          <w:lang w:val="en-GB"/>
        </w:rPr>
        <w:t xml:space="preserve">, so </w:t>
      </w:r>
      <w:r w:rsidR="00E21E9B" w:rsidRPr="00602915">
        <w:rPr>
          <w:rFonts w:ascii="Arial" w:hAnsi="Arial" w:cs="Arial"/>
          <w:sz w:val="20"/>
          <w:szCs w:val="20"/>
          <w:lang w:val="en-GB"/>
        </w:rPr>
        <w:t xml:space="preserve">selection of appropriate patients is critical. </w:t>
      </w:r>
      <w:r w:rsidRPr="00602915">
        <w:rPr>
          <w:rFonts w:ascii="Arial" w:hAnsi="Arial" w:cs="Arial"/>
          <w:sz w:val="20"/>
          <w:szCs w:val="20"/>
          <w:lang w:val="en-GB"/>
        </w:rPr>
        <w:t>P</w:t>
      </w:r>
      <w:r w:rsidR="00E21E9B" w:rsidRPr="00602915">
        <w:rPr>
          <w:rFonts w:ascii="Arial" w:hAnsi="Arial" w:cs="Arial"/>
          <w:sz w:val="20"/>
          <w:szCs w:val="20"/>
          <w:lang w:val="en-GB"/>
        </w:rPr>
        <w:t>atients with pathology restricted to the nigrostriatal tract, i.e. without clinical and genetic markers to suggest they are at high risk of dementia or rapid disease progression</w:t>
      </w:r>
      <w:r w:rsidRPr="00602915">
        <w:rPr>
          <w:rStyle w:val="Hyperlink"/>
          <w:rFonts w:ascii="Arial" w:hAnsi="Arial" w:cs="Arial"/>
          <w:color w:val="auto"/>
          <w:sz w:val="20"/>
          <w:szCs w:val="20"/>
          <w:lang w:val="en-GB"/>
        </w:rPr>
        <w:t xml:space="preserve">, </w:t>
      </w:r>
      <w:r w:rsidR="00C210F8" w:rsidRPr="00602915">
        <w:rPr>
          <w:rStyle w:val="Hyperlink"/>
          <w:rFonts w:ascii="Arial" w:hAnsi="Arial" w:cs="Arial"/>
          <w:color w:val="auto"/>
          <w:sz w:val="20"/>
          <w:szCs w:val="20"/>
          <w:lang w:val="en-GB"/>
        </w:rPr>
        <w:t>are</w:t>
      </w:r>
      <w:r w:rsidRPr="00602915">
        <w:rPr>
          <w:rStyle w:val="Hyperlink"/>
          <w:rFonts w:ascii="Arial" w:hAnsi="Arial" w:cs="Arial"/>
          <w:color w:val="auto"/>
          <w:sz w:val="20"/>
          <w:szCs w:val="20"/>
          <w:lang w:val="en-GB"/>
        </w:rPr>
        <w:t xml:space="preserve"> probably the best candidates for th</w:t>
      </w:r>
      <w:r w:rsidR="00961A63">
        <w:rPr>
          <w:rStyle w:val="Hyperlink"/>
          <w:rFonts w:ascii="Arial" w:hAnsi="Arial" w:cs="Arial"/>
          <w:color w:val="auto"/>
          <w:sz w:val="20"/>
          <w:szCs w:val="20"/>
          <w:lang w:val="en-GB"/>
        </w:rPr>
        <w:t>ese therapies</w:t>
      </w:r>
      <w:r w:rsidR="00E21E9B" w:rsidRPr="00602915">
        <w:rPr>
          <w:rFonts w:ascii="Arial" w:hAnsi="Arial" w:cs="Arial"/>
          <w:sz w:val="20"/>
          <w:szCs w:val="20"/>
          <w:lang w:val="en-GB"/>
        </w:rPr>
        <w:t xml:space="preserve">. </w:t>
      </w:r>
    </w:p>
    <w:p w14:paraId="1B209D35" w14:textId="338192FA" w:rsidR="00E21E9B" w:rsidRPr="00602915" w:rsidRDefault="00E21E9B">
      <w:pPr>
        <w:spacing w:after="0" w:line="240" w:lineRule="auto"/>
        <w:ind w:firstLine="720"/>
        <w:rPr>
          <w:rFonts w:ascii="Arial" w:hAnsi="Arial" w:cs="Arial"/>
          <w:sz w:val="20"/>
          <w:szCs w:val="20"/>
          <w:lang w:val="en-GB"/>
        </w:rPr>
      </w:pPr>
      <w:r w:rsidRPr="00602915">
        <w:rPr>
          <w:rFonts w:ascii="Arial" w:hAnsi="Arial" w:cs="Arial"/>
          <w:sz w:val="20"/>
          <w:szCs w:val="20"/>
          <w:lang w:val="en-GB"/>
        </w:rPr>
        <w:t xml:space="preserve"> ‘</w:t>
      </w:r>
      <w:r w:rsidR="00F14F49" w:rsidRPr="00602915">
        <w:rPr>
          <w:rFonts w:ascii="Arial" w:hAnsi="Arial" w:cs="Arial"/>
          <w:sz w:val="20"/>
          <w:szCs w:val="20"/>
          <w:lang w:val="en-GB"/>
        </w:rPr>
        <w:t>High</w:t>
      </w:r>
      <w:r w:rsidRPr="00602915">
        <w:rPr>
          <w:rFonts w:ascii="Arial" w:hAnsi="Arial" w:cs="Arial"/>
          <w:sz w:val="20"/>
          <w:szCs w:val="20"/>
          <w:lang w:val="en-GB"/>
        </w:rPr>
        <w:t xml:space="preserve">-risk’ patients are </w:t>
      </w:r>
      <w:r w:rsidR="00E90B70" w:rsidRPr="00602915">
        <w:rPr>
          <w:rFonts w:ascii="Arial" w:hAnsi="Arial" w:cs="Arial"/>
          <w:sz w:val="20"/>
          <w:szCs w:val="20"/>
          <w:lang w:val="en-GB"/>
        </w:rPr>
        <w:t xml:space="preserve">more </w:t>
      </w:r>
      <w:r w:rsidRPr="00602915">
        <w:rPr>
          <w:rFonts w:ascii="Arial" w:hAnsi="Arial" w:cs="Arial"/>
          <w:sz w:val="20"/>
          <w:szCs w:val="20"/>
          <w:lang w:val="en-GB"/>
        </w:rPr>
        <w:t>appropriate for trials of novel therapies aimed at preventing the spread of protein aggregates, such as vaccine therapies</w:t>
      </w:r>
      <w:r w:rsidR="00E90B70" w:rsidRPr="00602915">
        <w:rPr>
          <w:rFonts w:ascii="Arial" w:hAnsi="Arial" w:cs="Arial"/>
          <w:sz w:val="20"/>
          <w:szCs w:val="20"/>
          <w:lang w:val="en-GB"/>
        </w:rPr>
        <w:t xml:space="preserve"> targeting </w:t>
      </w:r>
      <w:r w:rsidR="00C210F8" w:rsidRPr="00602915">
        <w:rPr>
          <w:rFonts w:ascii="Arial" w:hAnsi="Arial" w:cs="Arial"/>
          <w:sz w:val="20"/>
          <w:szCs w:val="20"/>
          <w:lang w:val="en-GB"/>
        </w:rPr>
        <w:t>α</w:t>
      </w:r>
      <w:r w:rsidR="00E90B70" w:rsidRPr="00602915">
        <w:rPr>
          <w:rFonts w:ascii="Arial" w:hAnsi="Arial" w:cs="Arial"/>
          <w:sz w:val="20"/>
          <w:szCs w:val="20"/>
          <w:lang w:val="en-GB"/>
        </w:rPr>
        <w:t>-synuclein</w:t>
      </w:r>
      <w:r w:rsidRPr="00602915">
        <w:rPr>
          <w:rFonts w:ascii="Arial" w:hAnsi="Arial" w:cs="Arial"/>
          <w:sz w:val="20"/>
          <w:szCs w:val="20"/>
          <w:lang w:val="en-GB"/>
        </w:rPr>
        <w:t xml:space="preserve">. </w:t>
      </w:r>
      <w:r w:rsidR="00D9234E" w:rsidRPr="00602915">
        <w:rPr>
          <w:rFonts w:ascii="Arial" w:hAnsi="Arial" w:cs="Arial"/>
          <w:sz w:val="20"/>
          <w:szCs w:val="20"/>
          <w:lang w:val="en-GB"/>
        </w:rPr>
        <w:t xml:space="preserve">These include </w:t>
      </w:r>
      <w:r w:rsidR="00E90B70" w:rsidRPr="00602915">
        <w:rPr>
          <w:rFonts w:ascii="Arial" w:hAnsi="Arial" w:cs="Arial"/>
          <w:color w:val="000000"/>
          <w:sz w:val="20"/>
          <w:szCs w:val="20"/>
          <w:shd w:val="clear" w:color="auto" w:fill="FFFFFF"/>
          <w:lang w:val="en-GB"/>
        </w:rPr>
        <w:t>prasinezumab</w:t>
      </w:r>
      <w:r w:rsidR="00D9234E" w:rsidRPr="00602915">
        <w:rPr>
          <w:rFonts w:ascii="Arial" w:hAnsi="Arial" w:cs="Arial"/>
          <w:color w:val="000000"/>
          <w:sz w:val="20"/>
          <w:szCs w:val="20"/>
          <w:shd w:val="clear" w:color="auto" w:fill="FFFFFF"/>
          <w:lang w:val="en-GB"/>
        </w:rPr>
        <w:t xml:space="preserve">, a </w:t>
      </w:r>
      <w:r w:rsidRPr="00602915">
        <w:rPr>
          <w:rFonts w:ascii="Arial" w:hAnsi="Arial" w:cs="Arial"/>
          <w:sz w:val="20"/>
          <w:szCs w:val="20"/>
          <w:lang w:val="en-GB"/>
        </w:rPr>
        <w:t>monoclonal antibod</w:t>
      </w:r>
      <w:r w:rsidR="00E90B70" w:rsidRPr="00602915">
        <w:rPr>
          <w:rFonts w:ascii="Arial" w:hAnsi="Arial" w:cs="Arial"/>
          <w:sz w:val="20"/>
          <w:szCs w:val="20"/>
          <w:lang w:val="en-GB"/>
        </w:rPr>
        <w:t>y</w:t>
      </w:r>
      <w:r w:rsidRPr="00602915">
        <w:rPr>
          <w:rFonts w:ascii="Arial" w:hAnsi="Arial" w:cs="Arial"/>
          <w:sz w:val="20"/>
          <w:szCs w:val="20"/>
          <w:lang w:val="en-GB"/>
        </w:rPr>
        <w:t xml:space="preserve"> against α-synuclein,</w:t>
      </w:r>
      <w:r w:rsidR="00D9234E" w:rsidRPr="00602915">
        <w:rPr>
          <w:rFonts w:ascii="Arial" w:hAnsi="Arial" w:cs="Arial"/>
          <w:sz w:val="20"/>
          <w:szCs w:val="20"/>
          <w:lang w:val="en-GB"/>
        </w:rPr>
        <w:t xml:space="preserve"> currently </w:t>
      </w:r>
      <w:r w:rsidR="00937E10" w:rsidRPr="00602915">
        <w:rPr>
          <w:rFonts w:ascii="Arial" w:hAnsi="Arial" w:cs="Arial"/>
          <w:sz w:val="20"/>
          <w:szCs w:val="20"/>
          <w:lang w:val="en-GB"/>
        </w:rPr>
        <w:t xml:space="preserve">undergoing </w:t>
      </w:r>
      <w:r w:rsidR="00597DF0" w:rsidRPr="00602915">
        <w:rPr>
          <w:rFonts w:ascii="Arial" w:hAnsi="Arial" w:cs="Arial"/>
          <w:sz w:val="20"/>
          <w:szCs w:val="20"/>
          <w:lang w:val="en-GB"/>
        </w:rPr>
        <w:t xml:space="preserve">Phase </w:t>
      </w:r>
      <w:r w:rsidR="00937E10" w:rsidRPr="00602915">
        <w:rPr>
          <w:rFonts w:ascii="Arial" w:hAnsi="Arial" w:cs="Arial"/>
          <w:sz w:val="20"/>
          <w:szCs w:val="20"/>
          <w:lang w:val="en-GB"/>
        </w:rPr>
        <w:t>II testing</w:t>
      </w:r>
      <w:r w:rsidR="00D9234E" w:rsidRPr="00602915">
        <w:rPr>
          <w:rFonts w:ascii="Arial" w:hAnsi="Arial" w:cs="Arial"/>
          <w:sz w:val="20"/>
          <w:szCs w:val="20"/>
          <w:lang w:val="en-GB"/>
        </w:rPr>
        <w:t xml:space="preserve"> (</w:t>
      </w:r>
      <w:r w:rsidR="00E90B70" w:rsidRPr="00602915">
        <w:rPr>
          <w:rFonts w:ascii="Arial" w:hAnsi="Arial" w:cs="Arial"/>
          <w:sz w:val="20"/>
          <w:szCs w:val="20"/>
          <w:lang w:val="en-GB"/>
        </w:rPr>
        <w:t>NCT03100149</w:t>
      </w:r>
      <w:r w:rsidRPr="00602915">
        <w:rPr>
          <w:rFonts w:ascii="Arial" w:hAnsi="Arial" w:cs="Arial"/>
          <w:sz w:val="20"/>
          <w:szCs w:val="20"/>
          <w:lang w:val="en-GB"/>
        </w:rPr>
        <w:t>)</w:t>
      </w:r>
      <w:r w:rsidR="00F14F49" w:rsidRPr="00602915">
        <w:rPr>
          <w:rFonts w:ascii="Arial" w:hAnsi="Arial" w:cs="Arial"/>
          <w:sz w:val="20"/>
          <w:szCs w:val="20"/>
          <w:lang w:val="en-GB"/>
        </w:rPr>
        <w:t>.</w:t>
      </w:r>
      <w:r w:rsidRPr="00602915">
        <w:rPr>
          <w:rFonts w:ascii="Arial" w:hAnsi="Arial" w:cs="Arial"/>
          <w:sz w:val="20"/>
          <w:szCs w:val="20"/>
          <w:lang w:val="en-GB"/>
        </w:rPr>
        <w:t xml:space="preserve"> </w:t>
      </w:r>
      <w:r w:rsidR="00D9234E" w:rsidRPr="00602915">
        <w:rPr>
          <w:rFonts w:ascii="Arial" w:hAnsi="Arial" w:cs="Arial"/>
          <w:sz w:val="20"/>
          <w:szCs w:val="20"/>
          <w:lang w:val="en-GB"/>
        </w:rPr>
        <w:t>AFFITOPE PD03A, an ‘</w:t>
      </w:r>
      <w:r w:rsidRPr="00602915">
        <w:rPr>
          <w:rFonts w:ascii="Arial" w:hAnsi="Arial" w:cs="Arial"/>
          <w:sz w:val="20"/>
          <w:szCs w:val="20"/>
          <w:lang w:val="en-GB"/>
        </w:rPr>
        <w:t>active</w:t>
      </w:r>
      <w:r w:rsidR="00D9234E" w:rsidRPr="00602915">
        <w:rPr>
          <w:rFonts w:ascii="Arial" w:hAnsi="Arial" w:cs="Arial"/>
          <w:sz w:val="20"/>
          <w:szCs w:val="20"/>
          <w:lang w:val="en-GB"/>
        </w:rPr>
        <w:t xml:space="preserve">’ vaccine therapy comprising </w:t>
      </w:r>
      <w:r w:rsidRPr="00602915">
        <w:rPr>
          <w:rFonts w:ascii="Arial" w:hAnsi="Arial" w:cs="Arial"/>
          <w:sz w:val="20"/>
          <w:szCs w:val="20"/>
          <w:lang w:val="en-GB"/>
        </w:rPr>
        <w:t xml:space="preserve">short peptides mimicking </w:t>
      </w:r>
      <w:r w:rsidR="00F14F49" w:rsidRPr="00602915">
        <w:rPr>
          <w:rFonts w:ascii="Arial" w:hAnsi="Arial" w:cs="Arial"/>
          <w:sz w:val="20"/>
          <w:szCs w:val="20"/>
          <w:lang w:val="en-GB"/>
        </w:rPr>
        <w:t>part</w:t>
      </w:r>
      <w:r w:rsidRPr="00602915">
        <w:rPr>
          <w:rFonts w:ascii="Arial" w:hAnsi="Arial" w:cs="Arial"/>
          <w:sz w:val="20"/>
          <w:szCs w:val="20"/>
          <w:lang w:val="en-GB"/>
        </w:rPr>
        <w:t xml:space="preserve"> of α-synuclein,</w:t>
      </w:r>
      <w:r w:rsidR="00D9234E" w:rsidRPr="00602915">
        <w:rPr>
          <w:rFonts w:ascii="Arial" w:hAnsi="Arial" w:cs="Arial"/>
          <w:sz w:val="20"/>
          <w:szCs w:val="20"/>
          <w:lang w:val="en-GB"/>
        </w:rPr>
        <w:t xml:space="preserve"> induce</w:t>
      </w:r>
      <w:r w:rsidR="00F14F49" w:rsidRPr="00602915">
        <w:rPr>
          <w:rFonts w:ascii="Arial" w:hAnsi="Arial" w:cs="Arial"/>
          <w:sz w:val="20"/>
          <w:szCs w:val="20"/>
          <w:lang w:val="en-GB"/>
        </w:rPr>
        <w:t>s</w:t>
      </w:r>
      <w:r w:rsidR="00D9234E" w:rsidRPr="00602915">
        <w:rPr>
          <w:rFonts w:ascii="Arial" w:hAnsi="Arial" w:cs="Arial"/>
          <w:sz w:val="20"/>
          <w:szCs w:val="20"/>
          <w:lang w:val="en-GB"/>
        </w:rPr>
        <w:t xml:space="preserve"> a dose-dependent immune response and </w:t>
      </w:r>
      <w:r w:rsidR="0024107D" w:rsidRPr="00602915">
        <w:rPr>
          <w:rFonts w:ascii="Arial" w:hAnsi="Arial" w:cs="Arial"/>
          <w:sz w:val="20"/>
          <w:szCs w:val="20"/>
          <w:lang w:val="en-GB"/>
        </w:rPr>
        <w:t>has been</w:t>
      </w:r>
      <w:r w:rsidR="00D9234E" w:rsidRPr="00602915">
        <w:rPr>
          <w:rFonts w:ascii="Arial" w:hAnsi="Arial" w:cs="Arial"/>
          <w:sz w:val="20"/>
          <w:szCs w:val="20"/>
          <w:lang w:val="en-GB"/>
        </w:rPr>
        <w:t xml:space="preserve"> safe and well tolerated in a </w:t>
      </w:r>
      <w:r w:rsidR="0024107D" w:rsidRPr="00602915">
        <w:rPr>
          <w:rFonts w:ascii="Arial" w:hAnsi="Arial" w:cs="Arial"/>
          <w:sz w:val="20"/>
          <w:szCs w:val="20"/>
          <w:lang w:val="en-GB"/>
        </w:rPr>
        <w:t xml:space="preserve">Phase </w:t>
      </w:r>
      <w:r w:rsidR="00D9234E" w:rsidRPr="00602915">
        <w:rPr>
          <w:rFonts w:ascii="Arial" w:hAnsi="Arial" w:cs="Arial"/>
          <w:sz w:val="20"/>
          <w:szCs w:val="20"/>
          <w:lang w:val="en-GB"/>
        </w:rPr>
        <w:t>I trial (NCT02267434)</w:t>
      </w:r>
      <w:r w:rsidRPr="00602915">
        <w:rPr>
          <w:rFonts w:ascii="Arial" w:hAnsi="Arial" w:cs="Arial"/>
          <w:sz w:val="20"/>
          <w:szCs w:val="20"/>
          <w:lang w:val="en-GB"/>
        </w:rPr>
        <w:t xml:space="preserve">. </w:t>
      </w:r>
      <w:r w:rsidR="007D64D6" w:rsidRPr="00602915">
        <w:rPr>
          <w:rFonts w:ascii="Arial" w:hAnsi="Arial" w:cs="Arial"/>
          <w:sz w:val="20"/>
          <w:szCs w:val="20"/>
          <w:lang w:val="en-GB"/>
        </w:rPr>
        <w:t xml:space="preserve">Other </w:t>
      </w:r>
      <w:r w:rsidR="00F14F49" w:rsidRPr="00602915">
        <w:rPr>
          <w:rFonts w:ascii="Arial" w:hAnsi="Arial" w:cs="Arial"/>
          <w:sz w:val="20"/>
          <w:szCs w:val="20"/>
          <w:lang w:val="en-GB"/>
        </w:rPr>
        <w:t>disease</w:t>
      </w:r>
      <w:r w:rsidR="00704285" w:rsidRPr="00602915">
        <w:rPr>
          <w:rFonts w:ascii="Arial" w:hAnsi="Arial" w:cs="Arial"/>
          <w:sz w:val="20"/>
          <w:szCs w:val="20"/>
          <w:lang w:val="en-GB"/>
        </w:rPr>
        <w:t>-</w:t>
      </w:r>
      <w:r w:rsidR="00F14F49" w:rsidRPr="00602915">
        <w:rPr>
          <w:rFonts w:ascii="Arial" w:hAnsi="Arial" w:cs="Arial"/>
          <w:sz w:val="20"/>
          <w:szCs w:val="20"/>
          <w:lang w:val="en-GB"/>
        </w:rPr>
        <w:t xml:space="preserve">modifying </w:t>
      </w:r>
      <w:r w:rsidR="007D64D6" w:rsidRPr="00602915">
        <w:rPr>
          <w:rFonts w:ascii="Arial" w:hAnsi="Arial" w:cs="Arial"/>
          <w:sz w:val="20"/>
          <w:szCs w:val="20"/>
          <w:lang w:val="en-GB"/>
        </w:rPr>
        <w:t xml:space="preserve">strategies include repositioning the diabetes drug exenatide (a glucagon-like peptide 1 analogue), </w:t>
      </w:r>
      <w:r w:rsidR="00937E10" w:rsidRPr="00602915">
        <w:rPr>
          <w:rFonts w:ascii="Arial" w:hAnsi="Arial" w:cs="Arial"/>
          <w:sz w:val="20"/>
          <w:szCs w:val="20"/>
          <w:lang w:val="en-GB"/>
        </w:rPr>
        <w:t>which is</w:t>
      </w:r>
      <w:r w:rsidR="007D64D6" w:rsidRPr="00602915">
        <w:rPr>
          <w:rFonts w:ascii="Arial" w:hAnsi="Arial" w:cs="Arial"/>
          <w:sz w:val="20"/>
          <w:szCs w:val="20"/>
          <w:lang w:val="en-GB"/>
        </w:rPr>
        <w:t xml:space="preserve"> now entering </w:t>
      </w:r>
      <w:r w:rsidR="00867D8A" w:rsidRPr="00602915">
        <w:rPr>
          <w:rFonts w:ascii="Arial" w:hAnsi="Arial" w:cs="Arial"/>
          <w:sz w:val="20"/>
          <w:szCs w:val="20"/>
          <w:lang w:val="en-GB"/>
        </w:rPr>
        <w:t xml:space="preserve">a </w:t>
      </w:r>
      <w:r w:rsidR="00F7021B" w:rsidRPr="00602915">
        <w:rPr>
          <w:rFonts w:ascii="Arial" w:hAnsi="Arial" w:cs="Arial"/>
          <w:sz w:val="20"/>
          <w:szCs w:val="20"/>
          <w:lang w:val="en-GB"/>
        </w:rPr>
        <w:t>Phase III</w:t>
      </w:r>
      <w:r w:rsidR="007D64D6" w:rsidRPr="00602915">
        <w:rPr>
          <w:rFonts w:ascii="Arial" w:hAnsi="Arial" w:cs="Arial"/>
          <w:sz w:val="20"/>
          <w:szCs w:val="20"/>
          <w:lang w:val="en-GB"/>
        </w:rPr>
        <w:t xml:space="preserve"> </w:t>
      </w:r>
      <w:r w:rsidR="00867D8A" w:rsidRPr="00602915">
        <w:rPr>
          <w:rFonts w:ascii="Arial" w:hAnsi="Arial" w:cs="Arial"/>
          <w:sz w:val="20"/>
          <w:szCs w:val="20"/>
          <w:lang w:val="en-GB"/>
        </w:rPr>
        <w:t>trial</w:t>
      </w:r>
      <w:r w:rsidR="007D64D6" w:rsidRPr="00602915">
        <w:rPr>
          <w:rFonts w:ascii="Arial" w:hAnsi="Arial" w:cs="Arial"/>
          <w:sz w:val="20"/>
          <w:szCs w:val="20"/>
          <w:lang w:val="en-GB"/>
        </w:rPr>
        <w:t xml:space="preserve"> (ISRCTN14552789)</w:t>
      </w:r>
      <w:r w:rsidR="00F7021B" w:rsidRPr="00602915">
        <w:rPr>
          <w:rFonts w:ascii="Arial" w:hAnsi="Arial" w:cs="Arial"/>
          <w:sz w:val="20"/>
          <w:szCs w:val="20"/>
          <w:lang w:val="en-GB"/>
        </w:rPr>
        <w:t>,</w:t>
      </w:r>
      <w:r w:rsidR="007D64D6" w:rsidRPr="00602915">
        <w:rPr>
          <w:rFonts w:ascii="Arial" w:hAnsi="Arial" w:cs="Arial"/>
          <w:sz w:val="20"/>
          <w:szCs w:val="20"/>
          <w:lang w:val="en-GB"/>
        </w:rPr>
        <w:t xml:space="preserve"> </w:t>
      </w:r>
      <w:r w:rsidR="00937E10" w:rsidRPr="00602915">
        <w:rPr>
          <w:rFonts w:ascii="Arial" w:hAnsi="Arial" w:cs="Arial"/>
          <w:sz w:val="20"/>
          <w:szCs w:val="20"/>
          <w:lang w:val="en-GB"/>
        </w:rPr>
        <w:t>and repositioning of drugs</w:t>
      </w:r>
      <w:r w:rsidR="007D64D6" w:rsidRPr="00602915">
        <w:rPr>
          <w:rFonts w:ascii="Arial" w:hAnsi="Arial" w:cs="Arial"/>
          <w:sz w:val="20"/>
          <w:szCs w:val="20"/>
          <w:lang w:val="en-GB"/>
        </w:rPr>
        <w:t xml:space="preserve"> targeting </w:t>
      </w:r>
      <w:r w:rsidR="003C1B0A" w:rsidRPr="00602915">
        <w:rPr>
          <w:rFonts w:ascii="Arial" w:hAnsi="Arial" w:cs="Arial"/>
          <w:sz w:val="20"/>
          <w:szCs w:val="20"/>
          <w:lang w:val="en-GB"/>
        </w:rPr>
        <w:t xml:space="preserve">mitochondrial, lysosomal and immune </w:t>
      </w:r>
      <w:r w:rsidR="007D64D6" w:rsidRPr="00602915">
        <w:rPr>
          <w:rFonts w:ascii="Arial" w:hAnsi="Arial" w:cs="Arial"/>
          <w:sz w:val="20"/>
          <w:szCs w:val="20"/>
          <w:lang w:val="en-GB"/>
        </w:rPr>
        <w:t>dysfunction</w:t>
      </w:r>
      <w:r w:rsidR="003C1B0A" w:rsidRPr="00602915">
        <w:rPr>
          <w:rFonts w:ascii="Arial" w:hAnsi="Arial" w:cs="Arial"/>
          <w:sz w:val="20"/>
          <w:szCs w:val="20"/>
          <w:lang w:val="en-GB"/>
        </w:rPr>
        <w:t xml:space="preserve">. </w:t>
      </w:r>
      <w:r w:rsidRPr="00602915">
        <w:rPr>
          <w:rFonts w:ascii="Arial" w:hAnsi="Arial" w:cs="Arial"/>
          <w:sz w:val="20"/>
          <w:szCs w:val="20"/>
          <w:lang w:val="en-GB"/>
        </w:rPr>
        <w:t>S</w:t>
      </w:r>
      <w:r w:rsidR="00F469A5" w:rsidRPr="00602915">
        <w:rPr>
          <w:rFonts w:ascii="Arial" w:hAnsi="Arial" w:cs="Arial"/>
          <w:sz w:val="20"/>
          <w:szCs w:val="20"/>
          <w:lang w:val="en-GB"/>
        </w:rPr>
        <w:t>electing</w:t>
      </w:r>
      <w:r w:rsidRPr="00602915">
        <w:rPr>
          <w:rFonts w:ascii="Arial" w:hAnsi="Arial" w:cs="Arial"/>
          <w:sz w:val="20"/>
          <w:szCs w:val="20"/>
          <w:lang w:val="en-GB"/>
        </w:rPr>
        <w:t xml:space="preserve"> patients expected to progress more rapidly, using </w:t>
      </w:r>
      <w:r w:rsidR="00937E10" w:rsidRPr="00602915">
        <w:rPr>
          <w:rFonts w:ascii="Arial" w:hAnsi="Arial" w:cs="Arial"/>
          <w:sz w:val="20"/>
          <w:szCs w:val="20"/>
          <w:lang w:val="en-GB"/>
        </w:rPr>
        <w:t xml:space="preserve">a combination of clinical and genetic predictive markers, </w:t>
      </w:r>
      <w:r w:rsidR="00161136" w:rsidRPr="00602915">
        <w:rPr>
          <w:rFonts w:ascii="Arial" w:hAnsi="Arial" w:cs="Arial"/>
          <w:sz w:val="20"/>
          <w:szCs w:val="20"/>
          <w:lang w:val="en-GB"/>
        </w:rPr>
        <w:t>will</w:t>
      </w:r>
      <w:r w:rsidR="00F469A5" w:rsidRPr="00602915">
        <w:rPr>
          <w:rFonts w:ascii="Arial" w:hAnsi="Arial" w:cs="Arial"/>
          <w:sz w:val="20"/>
          <w:szCs w:val="20"/>
          <w:lang w:val="en-GB"/>
        </w:rPr>
        <w:t xml:space="preserve"> </w:t>
      </w:r>
      <w:r w:rsidR="007D4F1F" w:rsidRPr="00602915">
        <w:rPr>
          <w:rFonts w:ascii="Arial" w:hAnsi="Arial" w:cs="Arial"/>
          <w:sz w:val="20"/>
          <w:szCs w:val="20"/>
          <w:lang w:val="en-GB"/>
        </w:rPr>
        <w:t xml:space="preserve">be </w:t>
      </w:r>
      <w:r w:rsidR="007A3575">
        <w:rPr>
          <w:rFonts w:ascii="Arial" w:hAnsi="Arial" w:cs="Arial"/>
          <w:sz w:val="20"/>
          <w:szCs w:val="20"/>
          <w:lang w:val="en-GB"/>
        </w:rPr>
        <w:t>important</w:t>
      </w:r>
      <w:r w:rsidR="007D4F1F" w:rsidRPr="00602915">
        <w:rPr>
          <w:rFonts w:ascii="Arial" w:hAnsi="Arial" w:cs="Arial"/>
          <w:sz w:val="20"/>
          <w:szCs w:val="20"/>
          <w:lang w:val="en-GB"/>
        </w:rPr>
        <w:t xml:space="preserve"> </w:t>
      </w:r>
      <w:r w:rsidR="00937E10" w:rsidRPr="00602915">
        <w:rPr>
          <w:rFonts w:ascii="Arial" w:hAnsi="Arial" w:cs="Arial"/>
          <w:sz w:val="20"/>
          <w:szCs w:val="20"/>
          <w:lang w:val="en-GB"/>
        </w:rPr>
        <w:t xml:space="preserve">to </w:t>
      </w:r>
      <w:r w:rsidRPr="00602915">
        <w:rPr>
          <w:rFonts w:ascii="Arial" w:hAnsi="Arial" w:cs="Arial"/>
          <w:sz w:val="20"/>
          <w:szCs w:val="20"/>
          <w:lang w:val="en-GB"/>
        </w:rPr>
        <w:t xml:space="preserve">ensure that </w:t>
      </w:r>
      <w:r w:rsidR="007D4F1F" w:rsidRPr="00602915">
        <w:rPr>
          <w:rFonts w:ascii="Arial" w:hAnsi="Arial" w:cs="Arial"/>
          <w:sz w:val="20"/>
          <w:szCs w:val="20"/>
          <w:lang w:val="en-GB"/>
        </w:rPr>
        <w:t xml:space="preserve">positive benefits of these new therapies can be successfully </w:t>
      </w:r>
      <w:r w:rsidRPr="00602915">
        <w:rPr>
          <w:rFonts w:ascii="Arial" w:hAnsi="Arial" w:cs="Arial"/>
          <w:sz w:val="20"/>
          <w:szCs w:val="20"/>
          <w:lang w:val="en-GB"/>
        </w:rPr>
        <w:t>demonstrated in clinical trials</w:t>
      </w:r>
      <w:r w:rsidR="00937E10" w:rsidRPr="00602915">
        <w:rPr>
          <w:rFonts w:ascii="Arial" w:hAnsi="Arial" w:cs="Arial"/>
          <w:sz w:val="20"/>
          <w:szCs w:val="20"/>
          <w:lang w:val="en-GB"/>
        </w:rPr>
        <w:t>.</w:t>
      </w:r>
    </w:p>
    <w:p w14:paraId="0A1D6C39" w14:textId="77777777" w:rsidR="000C547E" w:rsidRPr="00602915" w:rsidRDefault="000C547E" w:rsidP="00582CE9">
      <w:pPr>
        <w:spacing w:after="0" w:line="240" w:lineRule="auto"/>
        <w:rPr>
          <w:rFonts w:ascii="Arial" w:hAnsi="Arial" w:cs="Arial"/>
          <w:sz w:val="20"/>
          <w:szCs w:val="20"/>
          <w:lang w:val="en-GB"/>
        </w:rPr>
      </w:pPr>
    </w:p>
    <w:p w14:paraId="54C4468B" w14:textId="77777777" w:rsidR="000C547E" w:rsidRPr="00602915" w:rsidRDefault="000C547E" w:rsidP="00582CE9">
      <w:pPr>
        <w:spacing w:after="0" w:line="240" w:lineRule="auto"/>
        <w:rPr>
          <w:rFonts w:ascii="Arial" w:hAnsi="Arial" w:cs="Arial"/>
          <w:sz w:val="20"/>
          <w:szCs w:val="20"/>
          <w:lang w:val="en-GB"/>
        </w:rPr>
      </w:pPr>
    </w:p>
    <w:p w14:paraId="08D312E6" w14:textId="77777777" w:rsidR="000C547E" w:rsidRPr="00602915" w:rsidRDefault="000C547E" w:rsidP="000C547E">
      <w:pPr>
        <w:autoSpaceDE w:val="0"/>
        <w:autoSpaceDN w:val="0"/>
        <w:adjustRightInd w:val="0"/>
        <w:spacing w:after="0" w:line="240" w:lineRule="auto"/>
        <w:rPr>
          <w:rFonts w:ascii="Arial" w:hAnsi="Arial" w:cs="Arial"/>
          <w:b/>
          <w:color w:val="4F81BD" w:themeColor="accent1"/>
          <w:sz w:val="20"/>
          <w:szCs w:val="20"/>
          <w:lang w:val="en-GB"/>
        </w:rPr>
      </w:pPr>
      <w:r w:rsidRPr="00602915">
        <w:rPr>
          <w:rFonts w:ascii="Arial" w:hAnsi="Arial" w:cs="Arial"/>
          <w:b/>
          <w:color w:val="4F81BD" w:themeColor="accent1"/>
          <w:sz w:val="20"/>
          <w:szCs w:val="20"/>
          <w:lang w:val="en-GB"/>
        </w:rPr>
        <w:t>KEY REFERENCES</w:t>
      </w:r>
    </w:p>
    <w:p w14:paraId="2B032C2D" w14:textId="0CF0556B" w:rsidR="000C547E" w:rsidRPr="00602915" w:rsidRDefault="000C547E" w:rsidP="000C547E">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1 Postuma RB, Berg D, Stern M, et al. MDS clinical diagnostic criteria</w:t>
      </w:r>
      <w:r w:rsidR="00834994" w:rsidRPr="00602915">
        <w:rPr>
          <w:rFonts w:ascii="Arial" w:hAnsi="Arial" w:cs="Arial"/>
          <w:sz w:val="20"/>
          <w:szCs w:val="20"/>
          <w:lang w:val="en-GB"/>
        </w:rPr>
        <w:t xml:space="preserve"> </w:t>
      </w:r>
      <w:r w:rsidRPr="00602915">
        <w:rPr>
          <w:rFonts w:ascii="Arial" w:hAnsi="Arial" w:cs="Arial"/>
          <w:sz w:val="20"/>
          <w:szCs w:val="20"/>
          <w:lang w:val="en-GB"/>
        </w:rPr>
        <w:t xml:space="preserve">for Parkinson’s disease. </w:t>
      </w:r>
      <w:r w:rsidRPr="00721011">
        <w:rPr>
          <w:rFonts w:ascii="Arial" w:hAnsi="Arial" w:cs="Arial"/>
          <w:i/>
          <w:iCs/>
          <w:sz w:val="20"/>
          <w:szCs w:val="20"/>
          <w:lang w:val="en-GB"/>
        </w:rPr>
        <w:t>Mov Disord</w:t>
      </w:r>
      <w:r w:rsidRPr="00602915">
        <w:rPr>
          <w:rFonts w:ascii="Arial" w:hAnsi="Arial" w:cs="Arial"/>
          <w:sz w:val="20"/>
          <w:szCs w:val="20"/>
          <w:lang w:val="en-GB"/>
        </w:rPr>
        <w:t xml:space="preserve"> 2015; </w:t>
      </w:r>
      <w:r w:rsidRPr="00721011">
        <w:rPr>
          <w:rFonts w:ascii="Arial" w:hAnsi="Arial" w:cs="Arial"/>
          <w:b/>
          <w:bCs/>
          <w:sz w:val="20"/>
          <w:szCs w:val="20"/>
          <w:lang w:val="en-GB"/>
        </w:rPr>
        <w:t>30:</w:t>
      </w:r>
      <w:r w:rsidRPr="00602915">
        <w:rPr>
          <w:rFonts w:ascii="Arial" w:hAnsi="Arial" w:cs="Arial"/>
          <w:sz w:val="20"/>
          <w:szCs w:val="20"/>
          <w:lang w:val="en-GB"/>
        </w:rPr>
        <w:t xml:space="preserve"> 1591</w:t>
      </w:r>
      <w:r w:rsidR="00C16D84" w:rsidRPr="00602915">
        <w:rPr>
          <w:rFonts w:ascii="Arial" w:hAnsi="Arial" w:cs="Arial"/>
          <w:sz w:val="20"/>
          <w:szCs w:val="20"/>
          <w:lang w:val="en-GB"/>
        </w:rPr>
        <w:t>–</w:t>
      </w:r>
      <w:r w:rsidRPr="00602915">
        <w:rPr>
          <w:rFonts w:ascii="Arial" w:hAnsi="Arial" w:cs="Arial"/>
          <w:sz w:val="20"/>
          <w:szCs w:val="20"/>
          <w:lang w:val="en-GB"/>
        </w:rPr>
        <w:t>601.</w:t>
      </w:r>
    </w:p>
    <w:p w14:paraId="673D6517" w14:textId="77777777" w:rsidR="00834994" w:rsidRPr="00602915" w:rsidRDefault="00834994" w:rsidP="000C547E">
      <w:pPr>
        <w:autoSpaceDE w:val="0"/>
        <w:autoSpaceDN w:val="0"/>
        <w:adjustRightInd w:val="0"/>
        <w:spacing w:after="0" w:line="240" w:lineRule="auto"/>
        <w:rPr>
          <w:rFonts w:ascii="Arial" w:hAnsi="Arial" w:cs="Arial"/>
          <w:sz w:val="20"/>
          <w:szCs w:val="20"/>
          <w:lang w:val="en-GB"/>
        </w:rPr>
      </w:pPr>
    </w:p>
    <w:p w14:paraId="3BEE192F" w14:textId="3B508C38" w:rsidR="000C547E" w:rsidRPr="00602915" w:rsidRDefault="000C547E" w:rsidP="000C547E">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 xml:space="preserve">2 </w:t>
      </w:r>
      <w:r w:rsidR="00161136" w:rsidRPr="00602915">
        <w:rPr>
          <w:rFonts w:ascii="Arial" w:hAnsi="Arial" w:cs="Arial"/>
          <w:sz w:val="20"/>
          <w:szCs w:val="20"/>
          <w:lang w:val="en-GB"/>
        </w:rPr>
        <w:t>Will</w:t>
      </w:r>
      <w:r w:rsidRPr="00602915">
        <w:rPr>
          <w:rFonts w:ascii="Arial" w:hAnsi="Arial" w:cs="Arial"/>
          <w:sz w:val="20"/>
          <w:szCs w:val="20"/>
          <w:lang w:val="en-GB"/>
        </w:rPr>
        <w:t>iams-Gray CH, Mason SL, Evans JR, et al. The CamPaIGN</w:t>
      </w:r>
      <w:r w:rsidR="00834994" w:rsidRPr="00602915">
        <w:rPr>
          <w:rFonts w:ascii="Arial" w:hAnsi="Arial" w:cs="Arial"/>
          <w:sz w:val="20"/>
          <w:szCs w:val="20"/>
          <w:lang w:val="en-GB"/>
        </w:rPr>
        <w:t xml:space="preserve"> </w:t>
      </w:r>
      <w:r w:rsidRPr="00602915">
        <w:rPr>
          <w:rFonts w:ascii="Arial" w:hAnsi="Arial" w:cs="Arial"/>
          <w:sz w:val="20"/>
          <w:szCs w:val="20"/>
          <w:lang w:val="en-GB"/>
        </w:rPr>
        <w:t>study of Parkinson’s disease: 10-year outlook in an incident</w:t>
      </w:r>
      <w:r w:rsidR="00834994" w:rsidRPr="00602915">
        <w:rPr>
          <w:rFonts w:ascii="Arial" w:hAnsi="Arial" w:cs="Arial"/>
          <w:sz w:val="20"/>
          <w:szCs w:val="20"/>
          <w:lang w:val="en-GB"/>
        </w:rPr>
        <w:t xml:space="preserve"> </w:t>
      </w:r>
      <w:r w:rsidRPr="00602915">
        <w:rPr>
          <w:rFonts w:ascii="Arial" w:hAnsi="Arial" w:cs="Arial"/>
          <w:sz w:val="20"/>
          <w:szCs w:val="20"/>
          <w:lang w:val="en-GB"/>
        </w:rPr>
        <w:t xml:space="preserve">population-based cohort. </w:t>
      </w:r>
      <w:r w:rsidRPr="00721011">
        <w:rPr>
          <w:rFonts w:ascii="Arial" w:hAnsi="Arial" w:cs="Arial"/>
          <w:i/>
          <w:iCs/>
          <w:sz w:val="20"/>
          <w:szCs w:val="20"/>
          <w:lang w:val="en-GB"/>
        </w:rPr>
        <w:t>J Neurol Neurosurg Psychiatr</w:t>
      </w:r>
      <w:r w:rsidR="00E921E5" w:rsidRPr="00602915">
        <w:rPr>
          <w:rFonts w:ascii="Arial" w:hAnsi="Arial" w:cs="Arial"/>
          <w:i/>
          <w:iCs/>
          <w:sz w:val="20"/>
          <w:szCs w:val="20"/>
          <w:lang w:val="en-GB"/>
        </w:rPr>
        <w:t>y</w:t>
      </w:r>
      <w:r w:rsidRPr="00602915">
        <w:rPr>
          <w:rFonts w:ascii="Arial" w:hAnsi="Arial" w:cs="Arial"/>
          <w:sz w:val="20"/>
          <w:szCs w:val="20"/>
          <w:lang w:val="en-GB"/>
        </w:rPr>
        <w:t xml:space="preserve"> 2013; </w:t>
      </w:r>
      <w:r w:rsidRPr="00721011">
        <w:rPr>
          <w:rFonts w:ascii="Arial" w:hAnsi="Arial" w:cs="Arial"/>
          <w:b/>
          <w:bCs/>
          <w:sz w:val="20"/>
          <w:szCs w:val="20"/>
          <w:lang w:val="en-GB"/>
        </w:rPr>
        <w:t>84:</w:t>
      </w:r>
      <w:r w:rsidR="00834994" w:rsidRPr="00602915">
        <w:rPr>
          <w:rFonts w:ascii="Arial" w:hAnsi="Arial" w:cs="Arial"/>
          <w:sz w:val="20"/>
          <w:szCs w:val="20"/>
          <w:lang w:val="en-GB"/>
        </w:rPr>
        <w:t xml:space="preserve"> </w:t>
      </w:r>
      <w:r w:rsidRPr="00602915">
        <w:rPr>
          <w:rFonts w:ascii="Arial" w:hAnsi="Arial" w:cs="Arial"/>
          <w:sz w:val="20"/>
          <w:szCs w:val="20"/>
          <w:lang w:val="en-GB"/>
        </w:rPr>
        <w:t>1258</w:t>
      </w:r>
      <w:r w:rsidR="00C16D84" w:rsidRPr="00602915">
        <w:rPr>
          <w:rFonts w:ascii="Arial" w:hAnsi="Arial" w:cs="Arial"/>
          <w:sz w:val="20"/>
          <w:szCs w:val="20"/>
          <w:lang w:val="en-GB"/>
        </w:rPr>
        <w:t>–</w:t>
      </w:r>
      <w:r w:rsidRPr="00602915">
        <w:rPr>
          <w:rFonts w:ascii="Arial" w:hAnsi="Arial" w:cs="Arial"/>
          <w:sz w:val="20"/>
          <w:szCs w:val="20"/>
          <w:lang w:val="en-GB"/>
        </w:rPr>
        <w:t>64.</w:t>
      </w:r>
    </w:p>
    <w:p w14:paraId="1BF89737" w14:textId="77777777" w:rsidR="00834994" w:rsidRPr="00602915" w:rsidRDefault="00834994" w:rsidP="000C547E">
      <w:pPr>
        <w:autoSpaceDE w:val="0"/>
        <w:autoSpaceDN w:val="0"/>
        <w:adjustRightInd w:val="0"/>
        <w:spacing w:after="0" w:line="240" w:lineRule="auto"/>
        <w:rPr>
          <w:rFonts w:ascii="Arial" w:hAnsi="Arial" w:cs="Arial"/>
          <w:sz w:val="20"/>
          <w:szCs w:val="20"/>
          <w:lang w:val="en-GB"/>
        </w:rPr>
      </w:pPr>
    </w:p>
    <w:p w14:paraId="60E50BFB" w14:textId="16B04DB7" w:rsidR="000C547E" w:rsidRPr="00602915" w:rsidRDefault="000C547E" w:rsidP="000C547E">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 xml:space="preserve">3 Singleton A, Hardy J. Progress in </w:t>
      </w:r>
      <w:r w:rsidR="00C16D84" w:rsidRPr="00602915">
        <w:rPr>
          <w:rFonts w:ascii="Arial" w:hAnsi="Arial" w:cs="Arial"/>
          <w:sz w:val="20"/>
          <w:szCs w:val="20"/>
          <w:lang w:val="en-GB"/>
        </w:rPr>
        <w:t xml:space="preserve">the genetic analysis of </w:t>
      </w:r>
      <w:r w:rsidRPr="00602915">
        <w:rPr>
          <w:rFonts w:ascii="Arial" w:hAnsi="Arial" w:cs="Arial"/>
          <w:sz w:val="20"/>
          <w:szCs w:val="20"/>
          <w:lang w:val="en-GB"/>
        </w:rPr>
        <w:t xml:space="preserve">Parkinson's </w:t>
      </w:r>
      <w:r w:rsidR="00C16D84" w:rsidRPr="00602915">
        <w:rPr>
          <w:rFonts w:ascii="Arial" w:hAnsi="Arial" w:cs="Arial"/>
          <w:sz w:val="20"/>
          <w:szCs w:val="20"/>
          <w:lang w:val="en-GB"/>
        </w:rPr>
        <w:t>disease</w:t>
      </w:r>
      <w:r w:rsidRPr="00602915">
        <w:rPr>
          <w:rFonts w:ascii="Arial" w:hAnsi="Arial" w:cs="Arial"/>
          <w:sz w:val="20"/>
          <w:szCs w:val="20"/>
          <w:lang w:val="en-GB"/>
        </w:rPr>
        <w:t xml:space="preserve">. </w:t>
      </w:r>
      <w:r w:rsidRPr="00721011">
        <w:rPr>
          <w:rFonts w:ascii="Arial" w:hAnsi="Arial" w:cs="Arial"/>
          <w:i/>
          <w:iCs/>
          <w:sz w:val="20"/>
          <w:szCs w:val="20"/>
          <w:lang w:val="en-GB"/>
        </w:rPr>
        <w:t>Hum Mol Genet</w:t>
      </w:r>
      <w:r w:rsidRPr="00602915">
        <w:rPr>
          <w:rFonts w:ascii="Arial" w:hAnsi="Arial" w:cs="Arial"/>
          <w:sz w:val="20"/>
          <w:szCs w:val="20"/>
          <w:lang w:val="en-GB"/>
        </w:rPr>
        <w:t xml:space="preserve"> 2019;</w:t>
      </w:r>
      <w:r w:rsidR="00C16D84" w:rsidRPr="00602915">
        <w:rPr>
          <w:rFonts w:ascii="Arial" w:hAnsi="Arial" w:cs="Arial"/>
          <w:sz w:val="20"/>
          <w:szCs w:val="20"/>
          <w:lang w:val="en-GB"/>
        </w:rPr>
        <w:t xml:space="preserve"> </w:t>
      </w:r>
      <w:r w:rsidRPr="00721011">
        <w:rPr>
          <w:rFonts w:ascii="Arial" w:hAnsi="Arial" w:cs="Arial"/>
          <w:b/>
          <w:bCs/>
          <w:sz w:val="20"/>
          <w:szCs w:val="20"/>
          <w:lang w:val="en-GB"/>
        </w:rPr>
        <w:t>28(R2):</w:t>
      </w:r>
      <w:r w:rsidR="00C16D84" w:rsidRPr="00602915">
        <w:rPr>
          <w:rFonts w:ascii="Arial" w:hAnsi="Arial" w:cs="Arial"/>
          <w:b/>
          <w:bCs/>
          <w:sz w:val="20"/>
          <w:szCs w:val="20"/>
          <w:lang w:val="en-GB"/>
        </w:rPr>
        <w:t xml:space="preserve"> </w:t>
      </w:r>
      <w:r w:rsidRPr="00602915">
        <w:rPr>
          <w:rFonts w:ascii="Arial" w:hAnsi="Arial" w:cs="Arial"/>
          <w:sz w:val="20"/>
          <w:szCs w:val="20"/>
          <w:lang w:val="en-GB"/>
        </w:rPr>
        <w:t>R215</w:t>
      </w:r>
      <w:r w:rsidR="00C16D84" w:rsidRPr="00602915">
        <w:rPr>
          <w:rFonts w:ascii="Arial" w:hAnsi="Arial" w:cs="Arial"/>
          <w:sz w:val="20"/>
          <w:szCs w:val="20"/>
          <w:lang w:val="en-GB"/>
        </w:rPr>
        <w:t>1</w:t>
      </w:r>
      <w:r w:rsidRPr="00602915">
        <w:rPr>
          <w:rFonts w:ascii="Arial" w:hAnsi="Arial" w:cs="Arial"/>
          <w:sz w:val="20"/>
          <w:szCs w:val="20"/>
          <w:lang w:val="en-GB"/>
        </w:rPr>
        <w:t>8.</w:t>
      </w:r>
    </w:p>
    <w:p w14:paraId="67948A49" w14:textId="77777777" w:rsidR="00834994" w:rsidRPr="00602915" w:rsidRDefault="00834994" w:rsidP="000C547E">
      <w:pPr>
        <w:autoSpaceDE w:val="0"/>
        <w:autoSpaceDN w:val="0"/>
        <w:adjustRightInd w:val="0"/>
        <w:spacing w:after="0" w:line="240" w:lineRule="auto"/>
        <w:rPr>
          <w:rFonts w:ascii="Arial" w:hAnsi="Arial" w:cs="Arial"/>
          <w:sz w:val="20"/>
          <w:szCs w:val="20"/>
          <w:lang w:val="en-GB"/>
        </w:rPr>
      </w:pPr>
    </w:p>
    <w:p w14:paraId="021167CF" w14:textId="7872CDC4" w:rsidR="000C547E" w:rsidRPr="00602915" w:rsidRDefault="000C547E" w:rsidP="000C547E">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 xml:space="preserve">4 Heinzel S, Berg D, Gasser T, et al. Update of the MDS research criteria for prodromal Parkinson's disease. </w:t>
      </w:r>
      <w:r w:rsidRPr="00721011">
        <w:rPr>
          <w:rFonts w:ascii="Arial" w:hAnsi="Arial" w:cs="Arial"/>
          <w:i/>
          <w:iCs/>
          <w:sz w:val="20"/>
          <w:szCs w:val="20"/>
          <w:lang w:val="en-GB"/>
        </w:rPr>
        <w:t xml:space="preserve">Mov </w:t>
      </w:r>
      <w:r w:rsidR="00F619B5" w:rsidRPr="00602915">
        <w:rPr>
          <w:rFonts w:ascii="Arial" w:hAnsi="Arial" w:cs="Arial"/>
          <w:i/>
          <w:iCs/>
          <w:sz w:val="20"/>
          <w:szCs w:val="20"/>
          <w:lang w:val="en-GB"/>
        </w:rPr>
        <w:t>Disord</w:t>
      </w:r>
      <w:r w:rsidR="00F619B5" w:rsidRPr="00602915">
        <w:rPr>
          <w:rFonts w:ascii="Arial" w:hAnsi="Arial" w:cs="Arial"/>
          <w:sz w:val="20"/>
          <w:szCs w:val="20"/>
          <w:lang w:val="en-GB"/>
        </w:rPr>
        <w:t xml:space="preserve"> </w:t>
      </w:r>
      <w:r w:rsidRPr="00602915">
        <w:rPr>
          <w:rFonts w:ascii="Arial" w:hAnsi="Arial" w:cs="Arial"/>
          <w:sz w:val="20"/>
          <w:szCs w:val="20"/>
          <w:lang w:val="en-GB"/>
        </w:rPr>
        <w:t>2019;</w:t>
      </w:r>
      <w:r w:rsidR="00F619B5" w:rsidRPr="00602915">
        <w:rPr>
          <w:rFonts w:ascii="Arial" w:hAnsi="Arial" w:cs="Arial"/>
          <w:sz w:val="20"/>
          <w:szCs w:val="20"/>
          <w:lang w:val="en-GB"/>
        </w:rPr>
        <w:t xml:space="preserve"> </w:t>
      </w:r>
      <w:r w:rsidRPr="00721011">
        <w:rPr>
          <w:rFonts w:ascii="Arial" w:hAnsi="Arial" w:cs="Arial"/>
          <w:b/>
          <w:bCs/>
          <w:sz w:val="20"/>
          <w:szCs w:val="20"/>
          <w:lang w:val="en-GB"/>
        </w:rPr>
        <w:t>34:</w:t>
      </w:r>
      <w:r w:rsidR="00F619B5" w:rsidRPr="00602915">
        <w:rPr>
          <w:rFonts w:ascii="Arial" w:hAnsi="Arial" w:cs="Arial"/>
          <w:b/>
          <w:bCs/>
          <w:sz w:val="20"/>
          <w:szCs w:val="20"/>
          <w:lang w:val="en-GB"/>
        </w:rPr>
        <w:t xml:space="preserve"> </w:t>
      </w:r>
      <w:r w:rsidRPr="00602915">
        <w:rPr>
          <w:rFonts w:ascii="Arial" w:hAnsi="Arial" w:cs="Arial"/>
          <w:sz w:val="20"/>
          <w:szCs w:val="20"/>
          <w:lang w:val="en-GB"/>
        </w:rPr>
        <w:t>1464</w:t>
      </w:r>
      <w:r w:rsidR="00F619B5" w:rsidRPr="00602915">
        <w:rPr>
          <w:rFonts w:ascii="Arial" w:hAnsi="Arial" w:cs="Arial"/>
          <w:sz w:val="20"/>
          <w:szCs w:val="20"/>
          <w:lang w:val="en-GB"/>
        </w:rPr>
        <w:t>–</w:t>
      </w:r>
      <w:r w:rsidRPr="00602915">
        <w:rPr>
          <w:rFonts w:ascii="Arial" w:hAnsi="Arial" w:cs="Arial"/>
          <w:sz w:val="20"/>
          <w:szCs w:val="20"/>
          <w:lang w:val="en-GB"/>
        </w:rPr>
        <w:t>70.</w:t>
      </w:r>
    </w:p>
    <w:p w14:paraId="33EB5802" w14:textId="77777777" w:rsidR="00834994" w:rsidRPr="00602915" w:rsidRDefault="00834994" w:rsidP="000C547E">
      <w:pPr>
        <w:autoSpaceDE w:val="0"/>
        <w:autoSpaceDN w:val="0"/>
        <w:adjustRightInd w:val="0"/>
        <w:spacing w:after="0" w:line="240" w:lineRule="auto"/>
        <w:rPr>
          <w:rFonts w:ascii="Arial" w:hAnsi="Arial" w:cs="Arial"/>
          <w:sz w:val="20"/>
          <w:szCs w:val="20"/>
          <w:lang w:val="en-GB"/>
        </w:rPr>
      </w:pPr>
    </w:p>
    <w:p w14:paraId="48D9B7D9" w14:textId="674CC838" w:rsidR="000C547E" w:rsidRPr="00602915" w:rsidRDefault="000C547E" w:rsidP="000C547E">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5 Worth P. Results of the early stage PD MED study: revelation or</w:t>
      </w:r>
      <w:r w:rsidR="00834994" w:rsidRPr="00602915">
        <w:rPr>
          <w:rFonts w:ascii="Arial" w:hAnsi="Arial" w:cs="Arial"/>
          <w:sz w:val="20"/>
          <w:szCs w:val="20"/>
          <w:lang w:val="en-GB"/>
        </w:rPr>
        <w:t xml:space="preserve"> </w:t>
      </w:r>
      <w:r w:rsidRPr="00602915">
        <w:rPr>
          <w:rFonts w:ascii="Arial" w:hAnsi="Arial" w:cs="Arial"/>
          <w:sz w:val="20"/>
          <w:szCs w:val="20"/>
          <w:lang w:val="en-GB"/>
        </w:rPr>
        <w:t xml:space="preserve">recapitulation? </w:t>
      </w:r>
      <w:r w:rsidRPr="00721011">
        <w:rPr>
          <w:rFonts w:ascii="Arial" w:hAnsi="Arial" w:cs="Arial"/>
          <w:i/>
          <w:iCs/>
          <w:sz w:val="20"/>
          <w:szCs w:val="20"/>
          <w:lang w:val="en-GB"/>
        </w:rPr>
        <w:t>Pract Neurol</w:t>
      </w:r>
      <w:r w:rsidRPr="00602915">
        <w:rPr>
          <w:rFonts w:ascii="Arial" w:hAnsi="Arial" w:cs="Arial"/>
          <w:sz w:val="20"/>
          <w:szCs w:val="20"/>
          <w:lang w:val="en-GB"/>
        </w:rPr>
        <w:t xml:space="preserve"> 2015; </w:t>
      </w:r>
      <w:r w:rsidRPr="00721011">
        <w:rPr>
          <w:rFonts w:ascii="Arial" w:hAnsi="Arial" w:cs="Arial"/>
          <w:b/>
          <w:bCs/>
          <w:sz w:val="20"/>
          <w:szCs w:val="20"/>
          <w:lang w:val="en-GB"/>
        </w:rPr>
        <w:t>15:</w:t>
      </w:r>
      <w:r w:rsidRPr="00602915">
        <w:rPr>
          <w:rFonts w:ascii="Arial" w:hAnsi="Arial" w:cs="Arial"/>
          <w:sz w:val="20"/>
          <w:szCs w:val="20"/>
          <w:lang w:val="en-GB"/>
        </w:rPr>
        <w:t xml:space="preserve"> 408</w:t>
      </w:r>
      <w:r w:rsidR="00F619B5" w:rsidRPr="00602915">
        <w:rPr>
          <w:rFonts w:ascii="Arial" w:hAnsi="Arial" w:cs="Arial"/>
          <w:sz w:val="20"/>
          <w:szCs w:val="20"/>
          <w:lang w:val="en-GB"/>
        </w:rPr>
        <w:t>–</w:t>
      </w:r>
      <w:r w:rsidRPr="00602915">
        <w:rPr>
          <w:rFonts w:ascii="Arial" w:hAnsi="Arial" w:cs="Arial"/>
          <w:sz w:val="20"/>
          <w:szCs w:val="20"/>
          <w:lang w:val="en-GB"/>
        </w:rPr>
        <w:t>10.</w:t>
      </w:r>
    </w:p>
    <w:p w14:paraId="636EEDC0" w14:textId="77777777" w:rsidR="000C547E" w:rsidRPr="00602915" w:rsidRDefault="000C547E" w:rsidP="000C547E">
      <w:pPr>
        <w:autoSpaceDE w:val="0"/>
        <w:autoSpaceDN w:val="0"/>
        <w:adjustRightInd w:val="0"/>
        <w:spacing w:after="0" w:line="240" w:lineRule="auto"/>
        <w:rPr>
          <w:rFonts w:ascii="Arial" w:hAnsi="Arial" w:cs="Arial"/>
          <w:sz w:val="20"/>
          <w:szCs w:val="20"/>
          <w:lang w:val="en-GB"/>
        </w:rPr>
      </w:pPr>
    </w:p>
    <w:p w14:paraId="4D3BA809" w14:textId="25CD6C66" w:rsidR="00E21E9B" w:rsidRPr="00602915" w:rsidRDefault="00E21E9B" w:rsidP="00582CE9">
      <w:pPr>
        <w:spacing w:after="0" w:line="240" w:lineRule="auto"/>
        <w:rPr>
          <w:rFonts w:ascii="Arial" w:hAnsi="Arial" w:cs="Arial"/>
          <w:sz w:val="20"/>
          <w:szCs w:val="20"/>
          <w:lang w:val="en-GB"/>
        </w:rPr>
      </w:pPr>
      <w:r w:rsidRPr="00602915">
        <w:rPr>
          <w:rFonts w:ascii="Arial" w:hAnsi="Arial" w:cs="Arial"/>
          <w:sz w:val="20"/>
          <w:szCs w:val="20"/>
          <w:lang w:val="en-GB"/>
        </w:rPr>
        <w:br w:type="page"/>
      </w:r>
    </w:p>
    <w:p w14:paraId="02A41E85" w14:textId="77777777" w:rsidR="00084AA2" w:rsidRPr="00602915" w:rsidRDefault="00084AA2" w:rsidP="00FB3568">
      <w:pPr>
        <w:spacing w:after="0" w:line="240" w:lineRule="auto"/>
        <w:ind w:right="360"/>
        <w:rPr>
          <w:rFonts w:ascii="Arial" w:eastAsia="Times New Roman" w:hAnsi="Arial" w:cs="Arial"/>
          <w:b/>
          <w:color w:val="4F81BD" w:themeColor="accent1"/>
          <w:sz w:val="20"/>
          <w:szCs w:val="20"/>
          <w:lang w:val="en-GB" w:eastAsia="en-GB"/>
        </w:rPr>
        <w:sectPr w:rsidR="00084AA2" w:rsidRPr="00602915">
          <w:pgSz w:w="12240" w:h="15840"/>
          <w:pgMar w:top="1440" w:right="1440" w:bottom="1440" w:left="1440" w:header="708" w:footer="708" w:gutter="0"/>
          <w:cols w:space="708"/>
          <w:docGrid w:linePitch="360"/>
        </w:sectPr>
      </w:pPr>
    </w:p>
    <w:p w14:paraId="7C834CDE" w14:textId="7BBF29EE" w:rsidR="00E21E9B" w:rsidRPr="00602915" w:rsidRDefault="00E21E9B" w:rsidP="00FB3568">
      <w:pPr>
        <w:spacing w:after="0" w:line="240" w:lineRule="auto"/>
        <w:ind w:right="360"/>
        <w:rPr>
          <w:rFonts w:ascii="Arial" w:eastAsia="Times New Roman" w:hAnsi="Arial" w:cs="Arial"/>
          <w:b/>
          <w:color w:val="4F81BD" w:themeColor="accent1"/>
          <w:sz w:val="20"/>
          <w:szCs w:val="20"/>
          <w:lang w:val="en-GB" w:eastAsia="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88"/>
        <w:gridCol w:w="922"/>
        <w:gridCol w:w="1098"/>
        <w:gridCol w:w="4525"/>
        <w:gridCol w:w="5317"/>
      </w:tblGrid>
      <w:tr w:rsidR="0050202C" w:rsidRPr="00602915" w14:paraId="29FC596B" w14:textId="77777777" w:rsidTr="0050202C">
        <w:trPr>
          <w:tblHeader/>
        </w:trPr>
        <w:tc>
          <w:tcPr>
            <w:tcW w:w="5000" w:type="pct"/>
            <w:gridSpan w:val="5"/>
          </w:tcPr>
          <w:p w14:paraId="7F1D8175" w14:textId="7CFC3054" w:rsidR="0050202C" w:rsidRPr="00602915" w:rsidRDefault="0050202C" w:rsidP="00084AA2">
            <w:pPr>
              <w:spacing w:after="0" w:line="240" w:lineRule="auto"/>
              <w:rPr>
                <w:rFonts w:ascii="Arial" w:eastAsia="Times New Roman" w:hAnsi="Arial" w:cs="Arial"/>
                <w:b/>
                <w:bCs/>
                <w:sz w:val="20"/>
                <w:szCs w:val="20"/>
                <w:lang w:val="en-GB" w:eastAsia="en-GB"/>
              </w:rPr>
            </w:pPr>
            <w:r w:rsidRPr="00602915">
              <w:rPr>
                <w:rFonts w:ascii="Arial" w:eastAsia="Times New Roman" w:hAnsi="Arial" w:cs="Arial"/>
                <w:b/>
                <w:color w:val="4F81BD" w:themeColor="accent1"/>
                <w:sz w:val="20"/>
                <w:szCs w:val="20"/>
                <w:lang w:val="en-GB" w:eastAsia="en-GB"/>
              </w:rPr>
              <w:t>Monogenic forms of PD</w:t>
            </w:r>
          </w:p>
        </w:tc>
      </w:tr>
      <w:tr w:rsidR="0050202C" w:rsidRPr="00602915" w14:paraId="7E310C02" w14:textId="77777777" w:rsidTr="00BF5F51">
        <w:trPr>
          <w:tblHeader/>
        </w:trPr>
        <w:tc>
          <w:tcPr>
            <w:tcW w:w="420" w:type="pct"/>
            <w:vAlign w:val="center"/>
          </w:tcPr>
          <w:p w14:paraId="50E6CAEA" w14:textId="3AD29A7D" w:rsidR="0050202C" w:rsidRPr="00602915" w:rsidRDefault="0050202C" w:rsidP="0050202C">
            <w:pPr>
              <w:spacing w:after="0" w:line="240" w:lineRule="auto"/>
              <w:rPr>
                <w:rFonts w:ascii="Arial" w:eastAsia="Times New Roman" w:hAnsi="Arial" w:cs="Arial"/>
                <w:b/>
                <w:bCs/>
                <w:sz w:val="20"/>
                <w:szCs w:val="20"/>
                <w:lang w:val="en-GB" w:eastAsia="en-GB"/>
              </w:rPr>
            </w:pPr>
            <w:r w:rsidRPr="00602915">
              <w:rPr>
                <w:rFonts w:ascii="Arial" w:eastAsia="Times New Roman" w:hAnsi="Arial" w:cs="Arial"/>
                <w:b/>
                <w:bCs/>
                <w:sz w:val="20"/>
                <w:szCs w:val="20"/>
                <w:lang w:val="en-GB" w:eastAsia="en-GB"/>
              </w:rPr>
              <w:t xml:space="preserve">Locus </w:t>
            </w:r>
          </w:p>
        </w:tc>
        <w:tc>
          <w:tcPr>
            <w:tcW w:w="356" w:type="pct"/>
            <w:vAlign w:val="center"/>
            <w:hideMark/>
          </w:tcPr>
          <w:p w14:paraId="5428EBA4" w14:textId="2C8DA45A" w:rsidR="0050202C" w:rsidRPr="00602915" w:rsidRDefault="0050202C" w:rsidP="0050202C">
            <w:pPr>
              <w:spacing w:after="0" w:line="240" w:lineRule="auto"/>
              <w:rPr>
                <w:rFonts w:ascii="Arial" w:eastAsia="Times New Roman" w:hAnsi="Arial" w:cs="Arial"/>
                <w:b/>
                <w:bCs/>
                <w:sz w:val="20"/>
                <w:szCs w:val="20"/>
                <w:lang w:val="en-GB" w:eastAsia="en-GB"/>
              </w:rPr>
            </w:pPr>
            <w:r w:rsidRPr="00602915">
              <w:rPr>
                <w:rFonts w:ascii="Arial" w:eastAsia="Times New Roman" w:hAnsi="Arial" w:cs="Arial"/>
                <w:b/>
                <w:bCs/>
                <w:sz w:val="20"/>
                <w:szCs w:val="20"/>
                <w:lang w:val="en-GB" w:eastAsia="en-GB"/>
              </w:rPr>
              <w:t>Gene</w:t>
            </w:r>
          </w:p>
        </w:tc>
        <w:tc>
          <w:tcPr>
            <w:tcW w:w="424" w:type="pct"/>
            <w:vAlign w:val="center"/>
            <w:hideMark/>
          </w:tcPr>
          <w:p w14:paraId="40E4CA52" w14:textId="68772D70" w:rsidR="0050202C" w:rsidRPr="00602915" w:rsidRDefault="0050202C" w:rsidP="0050202C">
            <w:pPr>
              <w:spacing w:after="0" w:line="240" w:lineRule="auto"/>
              <w:rPr>
                <w:rFonts w:ascii="Arial" w:eastAsia="Times New Roman" w:hAnsi="Arial" w:cs="Arial"/>
                <w:b/>
                <w:bCs/>
                <w:sz w:val="20"/>
                <w:szCs w:val="20"/>
                <w:lang w:val="en-GB" w:eastAsia="en-GB"/>
              </w:rPr>
            </w:pPr>
            <w:r w:rsidRPr="00602915">
              <w:rPr>
                <w:rFonts w:ascii="Arial" w:eastAsia="Times New Roman" w:hAnsi="Arial" w:cs="Arial"/>
                <w:b/>
                <w:bCs/>
                <w:sz w:val="20"/>
                <w:szCs w:val="20"/>
                <w:lang w:val="en-GB" w:eastAsia="en-GB"/>
              </w:rPr>
              <w:t>Inheritance pattern</w:t>
            </w:r>
          </w:p>
        </w:tc>
        <w:tc>
          <w:tcPr>
            <w:tcW w:w="1747" w:type="pct"/>
            <w:vAlign w:val="center"/>
            <w:hideMark/>
          </w:tcPr>
          <w:p w14:paraId="24327A2B" w14:textId="77777777" w:rsidR="0050202C" w:rsidRPr="00602915" w:rsidRDefault="0050202C" w:rsidP="0050202C">
            <w:pPr>
              <w:spacing w:after="0" w:line="240" w:lineRule="auto"/>
              <w:rPr>
                <w:rFonts w:ascii="Arial" w:eastAsia="Times New Roman" w:hAnsi="Arial" w:cs="Arial"/>
                <w:b/>
                <w:bCs/>
                <w:sz w:val="20"/>
                <w:szCs w:val="20"/>
                <w:lang w:val="en-GB" w:eastAsia="en-GB"/>
              </w:rPr>
            </w:pPr>
            <w:r w:rsidRPr="00602915">
              <w:rPr>
                <w:rFonts w:ascii="Arial" w:eastAsia="Times New Roman" w:hAnsi="Arial" w:cs="Arial"/>
                <w:b/>
                <w:bCs/>
                <w:sz w:val="20"/>
                <w:szCs w:val="20"/>
                <w:lang w:val="en-GB" w:eastAsia="en-GB"/>
              </w:rPr>
              <w:t>Clinical phenotype</w:t>
            </w:r>
          </w:p>
        </w:tc>
        <w:tc>
          <w:tcPr>
            <w:tcW w:w="2054" w:type="pct"/>
            <w:vAlign w:val="center"/>
            <w:hideMark/>
          </w:tcPr>
          <w:p w14:paraId="3F8576F3" w14:textId="77777777" w:rsidR="0050202C" w:rsidRPr="00602915" w:rsidRDefault="0050202C" w:rsidP="0050202C">
            <w:pPr>
              <w:spacing w:after="0" w:line="240" w:lineRule="auto"/>
              <w:rPr>
                <w:rFonts w:ascii="Arial" w:eastAsia="Times New Roman" w:hAnsi="Arial" w:cs="Arial"/>
                <w:b/>
                <w:bCs/>
                <w:sz w:val="20"/>
                <w:szCs w:val="20"/>
                <w:lang w:val="en-GB" w:eastAsia="en-GB"/>
              </w:rPr>
            </w:pPr>
            <w:r w:rsidRPr="00602915">
              <w:rPr>
                <w:rFonts w:ascii="Arial" w:eastAsia="Times New Roman" w:hAnsi="Arial" w:cs="Arial"/>
                <w:b/>
                <w:bCs/>
                <w:sz w:val="20"/>
                <w:szCs w:val="20"/>
                <w:lang w:val="en-GB" w:eastAsia="en-GB"/>
              </w:rPr>
              <w:t>Associated neuropathology</w:t>
            </w:r>
          </w:p>
        </w:tc>
      </w:tr>
      <w:tr w:rsidR="0050202C" w:rsidRPr="00602915" w14:paraId="29BFC995" w14:textId="77777777" w:rsidTr="00BF5F51">
        <w:tc>
          <w:tcPr>
            <w:tcW w:w="420" w:type="pct"/>
            <w:vAlign w:val="center"/>
          </w:tcPr>
          <w:p w14:paraId="15B3E1D5" w14:textId="4596E459" w:rsidR="0050202C" w:rsidRPr="00602915" w:rsidRDefault="002B5691">
            <w:pPr>
              <w:spacing w:after="0" w:line="240" w:lineRule="auto"/>
              <w:rPr>
                <w:rFonts w:ascii="Arial" w:eastAsia="Times New Roman" w:hAnsi="Arial" w:cs="Arial"/>
                <w:iCs/>
                <w:sz w:val="20"/>
                <w:szCs w:val="20"/>
                <w:lang w:val="en-GB" w:eastAsia="en-GB"/>
              </w:rPr>
            </w:pPr>
            <w:r w:rsidRPr="00602915">
              <w:rPr>
                <w:rFonts w:ascii="Arial" w:eastAsia="Times New Roman" w:hAnsi="Arial" w:cs="Arial"/>
                <w:sz w:val="20"/>
                <w:szCs w:val="20"/>
                <w:lang w:val="en-GB" w:eastAsia="en-GB"/>
              </w:rPr>
              <w:t>PARK</w:t>
            </w:r>
            <w:r w:rsidR="0050202C" w:rsidRPr="00602915">
              <w:rPr>
                <w:rFonts w:ascii="Arial" w:eastAsia="Times New Roman" w:hAnsi="Arial" w:cs="Arial"/>
                <w:sz w:val="20"/>
                <w:szCs w:val="20"/>
                <w:lang w:val="en-GB" w:eastAsia="en-GB"/>
              </w:rPr>
              <w:t>1/4</w:t>
            </w:r>
          </w:p>
        </w:tc>
        <w:tc>
          <w:tcPr>
            <w:tcW w:w="356" w:type="pct"/>
            <w:vAlign w:val="center"/>
            <w:hideMark/>
          </w:tcPr>
          <w:p w14:paraId="3AA6B0B9" w14:textId="1D09A2B6" w:rsidR="0050202C" w:rsidRPr="00602915" w:rsidRDefault="0050202C" w:rsidP="0050202C">
            <w:pPr>
              <w:spacing w:after="0" w:line="240" w:lineRule="auto"/>
              <w:rPr>
                <w:rFonts w:ascii="Arial" w:eastAsia="Times New Roman" w:hAnsi="Arial" w:cs="Arial"/>
                <w:sz w:val="20"/>
                <w:szCs w:val="20"/>
                <w:lang w:val="en-GB" w:eastAsia="en-GB"/>
              </w:rPr>
            </w:pPr>
            <w:r w:rsidRPr="00602915">
              <w:rPr>
                <w:rFonts w:ascii="Arial" w:eastAsia="Times New Roman" w:hAnsi="Arial" w:cs="Arial"/>
                <w:i/>
                <w:iCs/>
                <w:sz w:val="20"/>
                <w:szCs w:val="20"/>
                <w:lang w:val="en-GB" w:eastAsia="en-GB"/>
              </w:rPr>
              <w:t>SNCA</w:t>
            </w:r>
          </w:p>
        </w:tc>
        <w:tc>
          <w:tcPr>
            <w:tcW w:w="424" w:type="pct"/>
            <w:vAlign w:val="center"/>
            <w:hideMark/>
          </w:tcPr>
          <w:p w14:paraId="27D676C2" w14:textId="77777777" w:rsidR="0050202C" w:rsidRPr="00602915" w:rsidRDefault="0050202C" w:rsidP="0050202C">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AD</w:t>
            </w:r>
          </w:p>
        </w:tc>
        <w:tc>
          <w:tcPr>
            <w:tcW w:w="1747" w:type="pct"/>
            <w:vAlign w:val="center"/>
            <w:hideMark/>
          </w:tcPr>
          <w:p w14:paraId="6996CA3D" w14:textId="71D704EB" w:rsidR="0050202C" w:rsidRPr="00602915" w:rsidRDefault="0050202C">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Early-onset rapidly progressive parkinsonism, dementia, autonomic dysfunction</w:t>
            </w:r>
          </w:p>
        </w:tc>
        <w:tc>
          <w:tcPr>
            <w:tcW w:w="2054" w:type="pct"/>
            <w:vAlign w:val="center"/>
            <w:hideMark/>
          </w:tcPr>
          <w:p w14:paraId="58D9773A" w14:textId="361CEC40" w:rsidR="0050202C" w:rsidRPr="00602915" w:rsidRDefault="002B5691" w:rsidP="0050202C">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 xml:space="preserve">Diffuse </w:t>
            </w:r>
            <w:r w:rsidR="0050202C" w:rsidRPr="00602915">
              <w:rPr>
                <w:rFonts w:ascii="Arial" w:eastAsia="Times New Roman" w:hAnsi="Arial" w:cs="Arial"/>
                <w:sz w:val="20"/>
                <w:szCs w:val="20"/>
                <w:lang w:val="en-GB" w:eastAsia="en-GB"/>
              </w:rPr>
              <w:t>Lewy body pathology in brainstem and cortex; neuronal loss in hippocampus</w:t>
            </w:r>
          </w:p>
        </w:tc>
      </w:tr>
      <w:tr w:rsidR="0071075B" w:rsidRPr="00602915" w14:paraId="1568C0E1" w14:textId="77777777" w:rsidTr="00BF5F51">
        <w:tc>
          <w:tcPr>
            <w:tcW w:w="420" w:type="pct"/>
            <w:vAlign w:val="center"/>
          </w:tcPr>
          <w:p w14:paraId="766998FD" w14:textId="4828727C" w:rsidR="0071075B" w:rsidRPr="00602915" w:rsidRDefault="0071075B" w:rsidP="0071075B">
            <w:pPr>
              <w:spacing w:after="0" w:line="240" w:lineRule="auto"/>
              <w:rPr>
                <w:rFonts w:ascii="Arial" w:eastAsia="Times New Roman" w:hAnsi="Arial" w:cs="Arial"/>
                <w:iCs/>
                <w:sz w:val="20"/>
                <w:szCs w:val="20"/>
                <w:lang w:val="en-GB" w:eastAsia="en-GB"/>
              </w:rPr>
            </w:pPr>
            <w:r w:rsidRPr="00602915">
              <w:rPr>
                <w:rFonts w:ascii="Arial" w:eastAsia="Times New Roman" w:hAnsi="Arial" w:cs="Arial"/>
                <w:iCs/>
                <w:sz w:val="20"/>
                <w:szCs w:val="20"/>
                <w:lang w:val="en-GB" w:eastAsia="en-GB"/>
              </w:rPr>
              <w:t>PARK2</w:t>
            </w:r>
          </w:p>
        </w:tc>
        <w:tc>
          <w:tcPr>
            <w:tcW w:w="356" w:type="pct"/>
            <w:vAlign w:val="center"/>
          </w:tcPr>
          <w:p w14:paraId="4C1F0BA2" w14:textId="52BCE878" w:rsidR="0071075B" w:rsidRPr="00602915" w:rsidRDefault="0071075B" w:rsidP="0071075B">
            <w:pPr>
              <w:spacing w:after="0" w:line="240" w:lineRule="auto"/>
              <w:rPr>
                <w:rFonts w:ascii="Arial" w:eastAsia="Times New Roman" w:hAnsi="Arial" w:cs="Arial"/>
                <w:i/>
                <w:iCs/>
                <w:sz w:val="20"/>
                <w:szCs w:val="20"/>
                <w:lang w:val="en-GB" w:eastAsia="en-GB"/>
              </w:rPr>
            </w:pPr>
            <w:r w:rsidRPr="00602915">
              <w:rPr>
                <w:rFonts w:ascii="Arial" w:eastAsia="Times New Roman" w:hAnsi="Arial" w:cs="Arial"/>
                <w:i/>
                <w:iCs/>
                <w:sz w:val="20"/>
                <w:szCs w:val="20"/>
                <w:lang w:val="en-GB" w:eastAsia="en-GB"/>
              </w:rPr>
              <w:t>Parkin</w:t>
            </w:r>
          </w:p>
        </w:tc>
        <w:tc>
          <w:tcPr>
            <w:tcW w:w="424" w:type="pct"/>
            <w:vAlign w:val="center"/>
          </w:tcPr>
          <w:p w14:paraId="5E0E2B14" w14:textId="342F333D"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AR</w:t>
            </w:r>
          </w:p>
        </w:tc>
        <w:tc>
          <w:tcPr>
            <w:tcW w:w="1747" w:type="pct"/>
            <w:vAlign w:val="center"/>
          </w:tcPr>
          <w:p w14:paraId="60978750" w14:textId="11CD775E"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 xml:space="preserve">Early onset </w:t>
            </w:r>
            <w:r w:rsidRPr="00602915">
              <w:rPr>
                <w:rFonts w:ascii="Arial" w:eastAsia="Times New Roman" w:hAnsi="Arial" w:cs="Arial"/>
                <w:smallCaps/>
                <w:sz w:val="20"/>
                <w:szCs w:val="20"/>
                <w:lang w:val="en-GB" w:eastAsia="en-GB"/>
              </w:rPr>
              <w:t>l</w:t>
            </w:r>
            <w:r w:rsidRPr="00602915">
              <w:rPr>
                <w:rFonts w:ascii="Arial" w:eastAsia="Times New Roman" w:hAnsi="Arial" w:cs="Arial"/>
                <w:sz w:val="20"/>
                <w:szCs w:val="20"/>
                <w:lang w:val="en-GB" w:eastAsia="en-GB"/>
              </w:rPr>
              <w:t>-dopa-responsive parkinsonism with dystonia and diurnal fluctuation, slowly progressive, no/minimal cognitive impairment</w:t>
            </w:r>
          </w:p>
        </w:tc>
        <w:tc>
          <w:tcPr>
            <w:tcW w:w="2054" w:type="pct"/>
            <w:vAlign w:val="center"/>
          </w:tcPr>
          <w:p w14:paraId="302EFB3B" w14:textId="1268FA36"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Nigrostriatal degeneration with minimal cortical involvement, no Lewy bodies</w:t>
            </w:r>
          </w:p>
        </w:tc>
      </w:tr>
      <w:tr w:rsidR="0071075B" w:rsidRPr="00602915" w14:paraId="273A5F35" w14:textId="77777777" w:rsidTr="00BF5F51">
        <w:tc>
          <w:tcPr>
            <w:tcW w:w="420" w:type="pct"/>
            <w:vAlign w:val="center"/>
          </w:tcPr>
          <w:p w14:paraId="7790D4BF" w14:textId="0F5290AB" w:rsidR="0071075B" w:rsidRPr="00602915" w:rsidRDefault="0071075B">
            <w:pPr>
              <w:spacing w:after="0" w:line="240" w:lineRule="auto"/>
              <w:rPr>
                <w:rFonts w:ascii="Arial" w:eastAsia="Times New Roman" w:hAnsi="Arial" w:cs="Arial"/>
                <w:iCs/>
                <w:sz w:val="20"/>
                <w:szCs w:val="20"/>
                <w:lang w:val="en-GB" w:eastAsia="en-GB"/>
              </w:rPr>
            </w:pPr>
            <w:r w:rsidRPr="00602915">
              <w:rPr>
                <w:rFonts w:ascii="Arial" w:eastAsia="Times New Roman" w:hAnsi="Arial" w:cs="Arial"/>
                <w:iCs/>
                <w:sz w:val="20"/>
                <w:szCs w:val="20"/>
                <w:lang w:val="en-GB" w:eastAsia="en-GB"/>
              </w:rPr>
              <w:t>PARK6</w:t>
            </w:r>
          </w:p>
        </w:tc>
        <w:tc>
          <w:tcPr>
            <w:tcW w:w="356" w:type="pct"/>
            <w:vAlign w:val="center"/>
            <w:hideMark/>
          </w:tcPr>
          <w:p w14:paraId="2742B8A4" w14:textId="485B747E"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i/>
                <w:iCs/>
                <w:sz w:val="20"/>
                <w:szCs w:val="20"/>
                <w:lang w:val="en-GB" w:eastAsia="en-GB"/>
              </w:rPr>
              <w:t>PINK1</w:t>
            </w:r>
          </w:p>
        </w:tc>
        <w:tc>
          <w:tcPr>
            <w:tcW w:w="424" w:type="pct"/>
            <w:vAlign w:val="center"/>
            <w:hideMark/>
          </w:tcPr>
          <w:p w14:paraId="45B2280C" w14:textId="77777777"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AR</w:t>
            </w:r>
          </w:p>
        </w:tc>
        <w:tc>
          <w:tcPr>
            <w:tcW w:w="1747" w:type="pct"/>
            <w:vAlign w:val="center"/>
            <w:hideMark/>
          </w:tcPr>
          <w:p w14:paraId="5EB71E3D" w14:textId="6D2EA389"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 xml:space="preserve">Early-onset </w:t>
            </w:r>
            <w:r w:rsidRPr="00602915">
              <w:rPr>
                <w:rFonts w:ascii="Arial" w:eastAsia="Times New Roman" w:hAnsi="Arial" w:cs="Arial"/>
                <w:smallCaps/>
                <w:sz w:val="20"/>
                <w:szCs w:val="20"/>
                <w:lang w:val="en-GB" w:eastAsia="en-GB"/>
              </w:rPr>
              <w:t>l</w:t>
            </w:r>
            <w:r w:rsidRPr="00602915">
              <w:rPr>
                <w:rFonts w:ascii="Arial" w:eastAsia="Times New Roman" w:hAnsi="Arial" w:cs="Arial"/>
                <w:sz w:val="20"/>
                <w:szCs w:val="20"/>
                <w:lang w:val="en-GB" w:eastAsia="en-GB"/>
              </w:rPr>
              <w:t>-dopa-responsive parkinsonism, slowly progressive, higher prevalence of affective and psychiatric symptoms</w:t>
            </w:r>
          </w:p>
        </w:tc>
        <w:tc>
          <w:tcPr>
            <w:tcW w:w="2054" w:type="pct"/>
            <w:vAlign w:val="center"/>
            <w:hideMark/>
          </w:tcPr>
          <w:p w14:paraId="320FE7BF" w14:textId="1F0A9079"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 xml:space="preserve">Lewy </w:t>
            </w:r>
            <w:r w:rsidR="00FE6BBF" w:rsidRPr="00602915">
              <w:rPr>
                <w:rFonts w:ascii="Arial" w:eastAsia="Times New Roman" w:hAnsi="Arial" w:cs="Arial"/>
                <w:sz w:val="20"/>
                <w:szCs w:val="20"/>
                <w:lang w:val="en-GB" w:eastAsia="en-GB"/>
              </w:rPr>
              <w:t xml:space="preserve">body </w:t>
            </w:r>
            <w:r w:rsidRPr="00602915">
              <w:rPr>
                <w:rFonts w:ascii="Arial" w:eastAsia="Times New Roman" w:hAnsi="Arial" w:cs="Arial"/>
                <w:sz w:val="20"/>
                <w:szCs w:val="20"/>
                <w:lang w:val="en-GB" w:eastAsia="en-GB"/>
              </w:rPr>
              <w:t xml:space="preserve">pathology and neuronal loss in substantia nigra pars compacta and nucleus basalis of Meynert, but sparing </w:t>
            </w:r>
            <w:r w:rsidR="00A64714" w:rsidRPr="00602915">
              <w:rPr>
                <w:rFonts w:ascii="Arial" w:eastAsia="Times New Roman" w:hAnsi="Arial" w:cs="Arial"/>
                <w:sz w:val="20"/>
                <w:szCs w:val="20"/>
                <w:lang w:val="en-GB" w:eastAsia="en-GB"/>
              </w:rPr>
              <w:t xml:space="preserve">of </w:t>
            </w:r>
            <w:r w:rsidRPr="00602915">
              <w:rPr>
                <w:rFonts w:ascii="Arial" w:eastAsia="Times New Roman" w:hAnsi="Arial" w:cs="Arial"/>
                <w:sz w:val="20"/>
                <w:szCs w:val="20"/>
                <w:lang w:val="en-GB" w:eastAsia="en-GB"/>
              </w:rPr>
              <w:t>locus coeruleus (one case)</w:t>
            </w:r>
          </w:p>
        </w:tc>
      </w:tr>
      <w:tr w:rsidR="0071075B" w:rsidRPr="00602915" w14:paraId="76ADD3F7" w14:textId="77777777" w:rsidTr="00BF5F51">
        <w:tc>
          <w:tcPr>
            <w:tcW w:w="420" w:type="pct"/>
            <w:vAlign w:val="center"/>
          </w:tcPr>
          <w:p w14:paraId="1CEC0E13" w14:textId="13F393F3" w:rsidR="0071075B" w:rsidRPr="00602915" w:rsidRDefault="0071075B">
            <w:pPr>
              <w:spacing w:after="0" w:line="240" w:lineRule="auto"/>
              <w:rPr>
                <w:rFonts w:ascii="Arial" w:eastAsia="Times New Roman" w:hAnsi="Arial" w:cs="Arial"/>
                <w:iCs/>
                <w:sz w:val="20"/>
                <w:szCs w:val="20"/>
                <w:lang w:val="en-GB" w:eastAsia="en-GB"/>
              </w:rPr>
            </w:pPr>
            <w:r w:rsidRPr="00602915">
              <w:rPr>
                <w:rFonts w:ascii="Arial" w:eastAsia="Times New Roman" w:hAnsi="Arial" w:cs="Arial"/>
                <w:iCs/>
                <w:sz w:val="20"/>
                <w:szCs w:val="20"/>
                <w:lang w:val="en-GB" w:eastAsia="en-GB"/>
              </w:rPr>
              <w:t>PARK7</w:t>
            </w:r>
          </w:p>
        </w:tc>
        <w:tc>
          <w:tcPr>
            <w:tcW w:w="356" w:type="pct"/>
            <w:vAlign w:val="center"/>
            <w:hideMark/>
          </w:tcPr>
          <w:p w14:paraId="05633F69" w14:textId="0A3E8E76"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i/>
                <w:iCs/>
                <w:sz w:val="20"/>
                <w:szCs w:val="20"/>
                <w:lang w:val="en-GB" w:eastAsia="en-GB"/>
              </w:rPr>
              <w:t>DJ1</w:t>
            </w:r>
          </w:p>
        </w:tc>
        <w:tc>
          <w:tcPr>
            <w:tcW w:w="424" w:type="pct"/>
            <w:vAlign w:val="center"/>
            <w:hideMark/>
          </w:tcPr>
          <w:p w14:paraId="4B8459BD" w14:textId="77777777"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AR</w:t>
            </w:r>
          </w:p>
        </w:tc>
        <w:tc>
          <w:tcPr>
            <w:tcW w:w="1747" w:type="pct"/>
            <w:vAlign w:val="center"/>
            <w:hideMark/>
          </w:tcPr>
          <w:p w14:paraId="2F738326" w14:textId="77777777"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 xml:space="preserve">Early-onset </w:t>
            </w:r>
            <w:r w:rsidRPr="00602915">
              <w:rPr>
                <w:rFonts w:ascii="Arial" w:eastAsia="Times New Roman" w:hAnsi="Arial" w:cs="Arial"/>
                <w:smallCaps/>
                <w:sz w:val="20"/>
                <w:szCs w:val="20"/>
                <w:lang w:val="en-GB" w:eastAsia="en-GB"/>
              </w:rPr>
              <w:t>l</w:t>
            </w:r>
            <w:r w:rsidRPr="00602915">
              <w:rPr>
                <w:rFonts w:ascii="Arial" w:eastAsia="Times New Roman" w:hAnsi="Arial" w:cs="Arial"/>
                <w:sz w:val="20"/>
                <w:szCs w:val="20"/>
                <w:lang w:val="en-GB" w:eastAsia="en-GB"/>
              </w:rPr>
              <w:t>-dopa-responsive parkinsonism, slowly progressive, no/minimal cognitive impairment</w:t>
            </w:r>
          </w:p>
        </w:tc>
        <w:tc>
          <w:tcPr>
            <w:tcW w:w="2054" w:type="pct"/>
            <w:vAlign w:val="center"/>
            <w:hideMark/>
          </w:tcPr>
          <w:p w14:paraId="7D7B1A53" w14:textId="60E495B1" w:rsidR="0071075B" w:rsidRPr="00602915" w:rsidRDefault="002B5691">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 xml:space="preserve">Nigrostriatal degeneration and locus coeruleus neuronal loss; diffuse Lewy body pathology (one case) </w:t>
            </w:r>
          </w:p>
        </w:tc>
      </w:tr>
      <w:tr w:rsidR="0071075B" w:rsidRPr="00602915" w14:paraId="28C60AF3" w14:textId="77777777" w:rsidTr="00BF5F51">
        <w:tc>
          <w:tcPr>
            <w:tcW w:w="420" w:type="pct"/>
            <w:vAlign w:val="center"/>
          </w:tcPr>
          <w:p w14:paraId="2EDF7643" w14:textId="7C8F5124" w:rsidR="0071075B" w:rsidRPr="00602915" w:rsidRDefault="0071075B">
            <w:pPr>
              <w:spacing w:after="0" w:line="240" w:lineRule="auto"/>
              <w:rPr>
                <w:rFonts w:ascii="Arial" w:eastAsia="Times New Roman" w:hAnsi="Arial" w:cs="Arial"/>
                <w:iCs/>
                <w:sz w:val="20"/>
                <w:szCs w:val="20"/>
                <w:lang w:val="en-GB" w:eastAsia="en-GB"/>
              </w:rPr>
            </w:pPr>
            <w:r w:rsidRPr="00602915">
              <w:rPr>
                <w:rFonts w:ascii="Arial" w:eastAsia="Times New Roman" w:hAnsi="Arial" w:cs="Arial"/>
                <w:iCs/>
                <w:sz w:val="20"/>
                <w:szCs w:val="20"/>
                <w:lang w:val="en-GB" w:eastAsia="en-GB"/>
              </w:rPr>
              <w:t>PARK8</w:t>
            </w:r>
          </w:p>
        </w:tc>
        <w:tc>
          <w:tcPr>
            <w:tcW w:w="356" w:type="pct"/>
            <w:vAlign w:val="center"/>
          </w:tcPr>
          <w:p w14:paraId="54FDD855" w14:textId="2128CB04" w:rsidR="0071075B" w:rsidRPr="00602915" w:rsidRDefault="0071075B" w:rsidP="0071075B">
            <w:pPr>
              <w:spacing w:after="0" w:line="240" w:lineRule="auto"/>
              <w:rPr>
                <w:rFonts w:ascii="Arial" w:eastAsia="Times New Roman" w:hAnsi="Arial" w:cs="Arial"/>
                <w:i/>
                <w:iCs/>
                <w:sz w:val="20"/>
                <w:szCs w:val="20"/>
                <w:lang w:val="en-GB" w:eastAsia="en-GB"/>
              </w:rPr>
            </w:pPr>
            <w:r w:rsidRPr="00602915">
              <w:rPr>
                <w:rFonts w:ascii="Arial" w:eastAsia="Times New Roman" w:hAnsi="Arial" w:cs="Arial"/>
                <w:i/>
                <w:iCs/>
                <w:sz w:val="20"/>
                <w:szCs w:val="20"/>
                <w:lang w:val="en-GB" w:eastAsia="en-GB"/>
              </w:rPr>
              <w:t>LRRK2</w:t>
            </w:r>
          </w:p>
        </w:tc>
        <w:tc>
          <w:tcPr>
            <w:tcW w:w="424" w:type="pct"/>
            <w:vAlign w:val="center"/>
          </w:tcPr>
          <w:p w14:paraId="2961287F" w14:textId="35011286"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AD</w:t>
            </w:r>
          </w:p>
        </w:tc>
        <w:tc>
          <w:tcPr>
            <w:tcW w:w="1747" w:type="pct"/>
            <w:vAlign w:val="center"/>
          </w:tcPr>
          <w:p w14:paraId="0F5B4E08" w14:textId="31762793" w:rsidR="0071075B" w:rsidRPr="00602915" w:rsidRDefault="00E5201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Late-onset, u</w:t>
            </w:r>
            <w:r w:rsidR="0071075B" w:rsidRPr="00602915">
              <w:rPr>
                <w:rFonts w:ascii="Arial" w:eastAsia="Times New Roman" w:hAnsi="Arial" w:cs="Arial"/>
                <w:sz w:val="20"/>
                <w:szCs w:val="20"/>
                <w:lang w:val="en-GB" w:eastAsia="en-GB"/>
              </w:rPr>
              <w:t>sually indistinguishable from idiopathic PD, but dementia less common</w:t>
            </w:r>
          </w:p>
        </w:tc>
        <w:tc>
          <w:tcPr>
            <w:tcW w:w="2054" w:type="pct"/>
            <w:vAlign w:val="center"/>
          </w:tcPr>
          <w:p w14:paraId="3CCD3DBB" w14:textId="5FF5D900"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 xml:space="preserve">Nigrostriatal degeneration ± cortical </w:t>
            </w:r>
            <w:r w:rsidR="00DF24BB" w:rsidRPr="00602915">
              <w:rPr>
                <w:rFonts w:ascii="Arial" w:eastAsia="Times New Roman" w:hAnsi="Arial" w:cs="Arial"/>
                <w:sz w:val="20"/>
                <w:szCs w:val="20"/>
                <w:lang w:val="en-GB" w:eastAsia="en-GB"/>
              </w:rPr>
              <w:t xml:space="preserve">Lewy body and tau </w:t>
            </w:r>
            <w:r w:rsidRPr="00602915">
              <w:rPr>
                <w:rFonts w:ascii="Arial" w:eastAsia="Times New Roman" w:hAnsi="Arial" w:cs="Arial"/>
                <w:sz w:val="20"/>
                <w:szCs w:val="20"/>
                <w:lang w:val="en-GB" w:eastAsia="en-GB"/>
              </w:rPr>
              <w:t xml:space="preserve">pathology; </w:t>
            </w:r>
            <w:r w:rsidR="00DF24BB" w:rsidRPr="00602915">
              <w:rPr>
                <w:rFonts w:ascii="Arial" w:eastAsia="Times New Roman" w:hAnsi="Arial" w:cs="Arial"/>
                <w:sz w:val="20"/>
                <w:szCs w:val="20"/>
                <w:lang w:val="en-GB" w:eastAsia="en-GB"/>
              </w:rPr>
              <w:t>Lewy bodies in most with</w:t>
            </w:r>
            <w:r w:rsidRPr="00602915">
              <w:rPr>
                <w:rFonts w:ascii="Arial" w:eastAsia="Times New Roman" w:hAnsi="Arial" w:cs="Arial"/>
                <w:sz w:val="20"/>
                <w:szCs w:val="20"/>
                <w:lang w:val="en-GB" w:eastAsia="en-GB"/>
              </w:rPr>
              <w:t xml:space="preserve"> G2019S mutation, but typically absent with rarer mutations</w:t>
            </w:r>
          </w:p>
        </w:tc>
      </w:tr>
      <w:tr w:rsidR="0071075B" w:rsidRPr="00602915" w14:paraId="6EF76135" w14:textId="77777777" w:rsidTr="00BF5F51">
        <w:tc>
          <w:tcPr>
            <w:tcW w:w="420" w:type="pct"/>
            <w:vAlign w:val="center"/>
          </w:tcPr>
          <w:p w14:paraId="21D8ADA6" w14:textId="459F1015" w:rsidR="0071075B" w:rsidRPr="00602915" w:rsidRDefault="0071075B" w:rsidP="0071075B">
            <w:pPr>
              <w:spacing w:after="0" w:line="240" w:lineRule="auto"/>
              <w:rPr>
                <w:rFonts w:ascii="Arial" w:eastAsia="Times New Roman" w:hAnsi="Arial" w:cs="Arial"/>
                <w:iCs/>
                <w:sz w:val="20"/>
                <w:szCs w:val="20"/>
                <w:lang w:val="en-GB" w:eastAsia="en-GB"/>
              </w:rPr>
            </w:pPr>
            <w:r w:rsidRPr="00602915">
              <w:rPr>
                <w:rFonts w:ascii="Arial" w:eastAsia="Times New Roman" w:hAnsi="Arial" w:cs="Arial"/>
                <w:iCs/>
                <w:sz w:val="20"/>
                <w:szCs w:val="20"/>
                <w:lang w:val="en-GB" w:eastAsia="en-GB"/>
              </w:rPr>
              <w:t>PARK9</w:t>
            </w:r>
          </w:p>
        </w:tc>
        <w:tc>
          <w:tcPr>
            <w:tcW w:w="356" w:type="pct"/>
            <w:vAlign w:val="center"/>
          </w:tcPr>
          <w:p w14:paraId="108A6C69" w14:textId="0238C967" w:rsidR="0071075B" w:rsidRPr="00602915" w:rsidRDefault="0071075B" w:rsidP="0071075B">
            <w:pPr>
              <w:spacing w:after="0" w:line="240" w:lineRule="auto"/>
              <w:rPr>
                <w:rFonts w:ascii="Arial" w:eastAsia="Times New Roman" w:hAnsi="Arial" w:cs="Arial"/>
                <w:i/>
                <w:iCs/>
                <w:sz w:val="20"/>
                <w:szCs w:val="20"/>
                <w:lang w:val="en-GB" w:eastAsia="en-GB"/>
              </w:rPr>
            </w:pPr>
            <w:r w:rsidRPr="00602915">
              <w:rPr>
                <w:rFonts w:ascii="Arial" w:eastAsia="Times New Roman" w:hAnsi="Arial" w:cs="Arial"/>
                <w:i/>
                <w:iCs/>
                <w:sz w:val="20"/>
                <w:szCs w:val="20"/>
                <w:lang w:val="en-GB" w:eastAsia="en-GB"/>
              </w:rPr>
              <w:t>ATP13A2</w:t>
            </w:r>
          </w:p>
        </w:tc>
        <w:tc>
          <w:tcPr>
            <w:tcW w:w="424" w:type="pct"/>
            <w:vAlign w:val="center"/>
          </w:tcPr>
          <w:p w14:paraId="296DA6FA" w14:textId="57932ABD"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AR</w:t>
            </w:r>
          </w:p>
        </w:tc>
        <w:tc>
          <w:tcPr>
            <w:tcW w:w="1747" w:type="pct"/>
            <w:vAlign w:val="center"/>
          </w:tcPr>
          <w:p w14:paraId="6EAB8C73" w14:textId="07A9FB77" w:rsidR="0071075B" w:rsidRPr="00602915" w:rsidRDefault="00923BE0"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Juvenile-</w:t>
            </w:r>
            <w:r w:rsidR="0071075B" w:rsidRPr="00602915">
              <w:rPr>
                <w:rFonts w:ascii="Arial" w:eastAsia="Times New Roman" w:hAnsi="Arial" w:cs="Arial"/>
                <w:sz w:val="20"/>
                <w:szCs w:val="20"/>
                <w:lang w:val="en-GB" w:eastAsia="en-GB"/>
              </w:rPr>
              <w:t>onset parkinsonism with spasticity, supranuclear gaze palsy and dementia</w:t>
            </w:r>
          </w:p>
        </w:tc>
        <w:tc>
          <w:tcPr>
            <w:tcW w:w="2054" w:type="pct"/>
            <w:vAlign w:val="center"/>
          </w:tcPr>
          <w:p w14:paraId="46380A7E" w14:textId="08F8D2E7"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Uncertain</w:t>
            </w:r>
          </w:p>
        </w:tc>
      </w:tr>
      <w:tr w:rsidR="0071075B" w:rsidRPr="00602915" w14:paraId="45C10A39" w14:textId="77777777" w:rsidTr="00BF5F51">
        <w:tc>
          <w:tcPr>
            <w:tcW w:w="420" w:type="pct"/>
            <w:vAlign w:val="center"/>
          </w:tcPr>
          <w:p w14:paraId="5DC172BA" w14:textId="43DB88F4" w:rsidR="0071075B" w:rsidRPr="00602915" w:rsidRDefault="0071075B" w:rsidP="0071075B">
            <w:pPr>
              <w:spacing w:after="0" w:line="240" w:lineRule="auto"/>
              <w:rPr>
                <w:rFonts w:ascii="Arial" w:eastAsia="Times New Roman" w:hAnsi="Arial" w:cs="Arial"/>
                <w:iCs/>
                <w:sz w:val="20"/>
                <w:szCs w:val="20"/>
                <w:lang w:val="en-GB" w:eastAsia="en-GB"/>
              </w:rPr>
            </w:pPr>
            <w:r w:rsidRPr="00602915">
              <w:rPr>
                <w:rFonts w:ascii="Arial" w:eastAsia="Times New Roman" w:hAnsi="Arial" w:cs="Arial"/>
                <w:iCs/>
                <w:sz w:val="20"/>
                <w:szCs w:val="20"/>
                <w:lang w:val="en-GB" w:eastAsia="en-GB"/>
              </w:rPr>
              <w:t>PARK14</w:t>
            </w:r>
          </w:p>
        </w:tc>
        <w:tc>
          <w:tcPr>
            <w:tcW w:w="356" w:type="pct"/>
            <w:vAlign w:val="center"/>
          </w:tcPr>
          <w:p w14:paraId="615B4068" w14:textId="5821BF86" w:rsidR="0071075B" w:rsidRPr="00602915" w:rsidRDefault="0071075B" w:rsidP="0071075B">
            <w:pPr>
              <w:spacing w:after="0" w:line="240" w:lineRule="auto"/>
              <w:rPr>
                <w:rFonts w:ascii="Arial" w:eastAsia="Times New Roman" w:hAnsi="Arial" w:cs="Arial"/>
                <w:i/>
                <w:iCs/>
                <w:sz w:val="20"/>
                <w:szCs w:val="20"/>
                <w:lang w:val="en-GB" w:eastAsia="en-GB"/>
              </w:rPr>
            </w:pPr>
            <w:r w:rsidRPr="00602915">
              <w:rPr>
                <w:rFonts w:ascii="Arial" w:eastAsia="Times New Roman" w:hAnsi="Arial" w:cs="Arial"/>
                <w:i/>
                <w:iCs/>
                <w:sz w:val="20"/>
                <w:szCs w:val="20"/>
                <w:lang w:val="en-GB" w:eastAsia="en-GB"/>
              </w:rPr>
              <w:t>PLA2G6</w:t>
            </w:r>
          </w:p>
        </w:tc>
        <w:tc>
          <w:tcPr>
            <w:tcW w:w="424" w:type="pct"/>
            <w:vAlign w:val="center"/>
          </w:tcPr>
          <w:p w14:paraId="04C2B2C5" w14:textId="21BD4B14"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AR</w:t>
            </w:r>
          </w:p>
        </w:tc>
        <w:tc>
          <w:tcPr>
            <w:tcW w:w="1747" w:type="pct"/>
            <w:vAlign w:val="center"/>
          </w:tcPr>
          <w:p w14:paraId="3C50F301" w14:textId="1F20C605" w:rsidR="0071075B" w:rsidRPr="00602915" w:rsidRDefault="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Early</w:t>
            </w:r>
            <w:r w:rsidR="00923BE0" w:rsidRPr="00602915">
              <w:rPr>
                <w:rFonts w:ascii="Arial" w:eastAsia="Times New Roman" w:hAnsi="Arial" w:cs="Arial"/>
                <w:sz w:val="20"/>
                <w:szCs w:val="20"/>
                <w:lang w:val="en-GB" w:eastAsia="en-GB"/>
              </w:rPr>
              <w:t>-</w:t>
            </w:r>
            <w:r w:rsidRPr="00602915">
              <w:rPr>
                <w:rFonts w:ascii="Arial" w:eastAsia="Times New Roman" w:hAnsi="Arial" w:cs="Arial"/>
                <w:sz w:val="20"/>
                <w:szCs w:val="20"/>
                <w:lang w:val="en-GB" w:eastAsia="en-GB"/>
              </w:rPr>
              <w:t xml:space="preserve">onset </w:t>
            </w:r>
            <w:r w:rsidRPr="00602915">
              <w:rPr>
                <w:rFonts w:ascii="Arial" w:eastAsia="Times New Roman" w:hAnsi="Arial" w:cs="Arial"/>
                <w:smallCaps/>
                <w:sz w:val="20"/>
                <w:szCs w:val="20"/>
                <w:lang w:val="en-GB" w:eastAsia="en-GB"/>
              </w:rPr>
              <w:t>l</w:t>
            </w:r>
            <w:r w:rsidRPr="00602915">
              <w:rPr>
                <w:rFonts w:ascii="Arial" w:eastAsia="Times New Roman" w:hAnsi="Arial" w:cs="Arial"/>
                <w:sz w:val="20"/>
                <w:szCs w:val="20"/>
                <w:lang w:val="en-GB" w:eastAsia="en-GB"/>
              </w:rPr>
              <w:t>-dopa-responsive parkinsonism with dystonia</w:t>
            </w:r>
            <w:r w:rsidR="00FE6BBF" w:rsidRPr="00602915">
              <w:rPr>
                <w:rFonts w:ascii="Arial" w:eastAsia="Times New Roman" w:hAnsi="Arial" w:cs="Arial"/>
                <w:sz w:val="20"/>
                <w:szCs w:val="20"/>
                <w:lang w:val="en-GB" w:eastAsia="en-GB"/>
              </w:rPr>
              <w:t xml:space="preserve"> and cognitive/neuropsychiatric features</w:t>
            </w:r>
          </w:p>
        </w:tc>
        <w:tc>
          <w:tcPr>
            <w:tcW w:w="2054" w:type="pct"/>
            <w:vAlign w:val="center"/>
          </w:tcPr>
          <w:p w14:paraId="08873320" w14:textId="2F346282" w:rsidR="0071075B" w:rsidRPr="00602915" w:rsidRDefault="00FE6BBF">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Lewy body pathology in brainstem and cortex</w:t>
            </w:r>
            <w:r w:rsidR="002B5691" w:rsidRPr="00602915">
              <w:rPr>
                <w:rFonts w:ascii="Arial" w:eastAsia="Times New Roman" w:hAnsi="Arial" w:cs="Arial"/>
                <w:sz w:val="20"/>
                <w:szCs w:val="20"/>
                <w:lang w:val="en-GB" w:eastAsia="en-GB"/>
              </w:rPr>
              <w:t xml:space="preserve">; </w:t>
            </w:r>
            <w:r w:rsidRPr="00602915">
              <w:rPr>
                <w:rFonts w:ascii="Arial" w:eastAsia="Times New Roman" w:hAnsi="Arial" w:cs="Arial"/>
                <w:sz w:val="20"/>
                <w:szCs w:val="20"/>
                <w:lang w:val="en-GB" w:eastAsia="en-GB"/>
              </w:rPr>
              <w:t>hyperphosphorylated tau accumulation</w:t>
            </w:r>
          </w:p>
        </w:tc>
      </w:tr>
      <w:tr w:rsidR="0071075B" w:rsidRPr="00602915" w14:paraId="12FF3B68" w14:textId="77777777" w:rsidTr="00BF5F51">
        <w:tc>
          <w:tcPr>
            <w:tcW w:w="420" w:type="pct"/>
            <w:vAlign w:val="center"/>
          </w:tcPr>
          <w:p w14:paraId="7D71134F" w14:textId="75F5F81B" w:rsidR="0071075B" w:rsidRPr="00602915" w:rsidRDefault="0071075B" w:rsidP="0071075B">
            <w:pPr>
              <w:spacing w:after="0" w:line="240" w:lineRule="auto"/>
              <w:rPr>
                <w:rFonts w:ascii="Arial" w:eastAsia="Times New Roman" w:hAnsi="Arial" w:cs="Arial"/>
                <w:iCs/>
                <w:sz w:val="20"/>
                <w:szCs w:val="20"/>
                <w:lang w:val="en-GB" w:eastAsia="en-GB"/>
              </w:rPr>
            </w:pPr>
            <w:r w:rsidRPr="00602915">
              <w:rPr>
                <w:rFonts w:ascii="Arial" w:eastAsia="Times New Roman" w:hAnsi="Arial" w:cs="Arial"/>
                <w:iCs/>
                <w:sz w:val="20"/>
                <w:szCs w:val="20"/>
                <w:lang w:val="en-GB" w:eastAsia="en-GB"/>
              </w:rPr>
              <w:t>PARK15</w:t>
            </w:r>
          </w:p>
        </w:tc>
        <w:tc>
          <w:tcPr>
            <w:tcW w:w="356" w:type="pct"/>
            <w:vAlign w:val="center"/>
          </w:tcPr>
          <w:p w14:paraId="75FEC1B8" w14:textId="783C2CB3" w:rsidR="0071075B" w:rsidRPr="00602915" w:rsidRDefault="0071075B" w:rsidP="0071075B">
            <w:pPr>
              <w:spacing w:after="0" w:line="240" w:lineRule="auto"/>
              <w:rPr>
                <w:rFonts w:ascii="Arial" w:eastAsia="Times New Roman" w:hAnsi="Arial" w:cs="Arial"/>
                <w:i/>
                <w:iCs/>
                <w:sz w:val="20"/>
                <w:szCs w:val="20"/>
                <w:lang w:val="en-GB" w:eastAsia="en-GB"/>
              </w:rPr>
            </w:pPr>
            <w:r w:rsidRPr="00602915">
              <w:rPr>
                <w:rFonts w:ascii="Arial" w:eastAsia="Times New Roman" w:hAnsi="Arial" w:cs="Arial"/>
                <w:i/>
                <w:iCs/>
                <w:sz w:val="20"/>
                <w:szCs w:val="20"/>
                <w:lang w:val="en-GB" w:eastAsia="en-GB"/>
              </w:rPr>
              <w:t>FBX07</w:t>
            </w:r>
          </w:p>
        </w:tc>
        <w:tc>
          <w:tcPr>
            <w:tcW w:w="424" w:type="pct"/>
            <w:vAlign w:val="center"/>
          </w:tcPr>
          <w:p w14:paraId="495AB225" w14:textId="378BC9D6"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AR</w:t>
            </w:r>
          </w:p>
        </w:tc>
        <w:tc>
          <w:tcPr>
            <w:tcW w:w="1747" w:type="pct"/>
            <w:vAlign w:val="center"/>
          </w:tcPr>
          <w:p w14:paraId="37710A7C" w14:textId="475973B9" w:rsidR="0071075B" w:rsidRPr="00602915" w:rsidRDefault="00E5201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 xml:space="preserve">Early-onset parkinsonism, </w:t>
            </w:r>
            <w:r w:rsidR="00967C09" w:rsidRPr="00602915">
              <w:rPr>
                <w:rFonts w:ascii="Arial" w:eastAsia="Times New Roman" w:hAnsi="Arial" w:cs="Arial"/>
                <w:sz w:val="20"/>
                <w:szCs w:val="20"/>
                <w:lang w:val="en-GB" w:eastAsia="en-GB"/>
              </w:rPr>
              <w:t>spasticity</w:t>
            </w:r>
            <w:r w:rsidRPr="00602915">
              <w:rPr>
                <w:rFonts w:ascii="Arial" w:eastAsia="Times New Roman" w:hAnsi="Arial" w:cs="Arial"/>
                <w:sz w:val="20"/>
                <w:szCs w:val="20"/>
                <w:lang w:val="en-GB" w:eastAsia="en-GB"/>
              </w:rPr>
              <w:t xml:space="preserve"> </w:t>
            </w:r>
            <w:r w:rsidR="00923BE0" w:rsidRPr="00602915">
              <w:rPr>
                <w:rFonts w:ascii="Arial" w:eastAsia="Times New Roman" w:hAnsi="Arial" w:cs="Arial"/>
                <w:sz w:val="20"/>
                <w:szCs w:val="20"/>
                <w:lang w:val="en-GB" w:eastAsia="en-GB"/>
              </w:rPr>
              <w:t>±</w:t>
            </w:r>
            <w:r w:rsidRPr="00602915">
              <w:rPr>
                <w:rFonts w:ascii="Arial" w:eastAsia="Times New Roman" w:hAnsi="Arial" w:cs="Arial"/>
                <w:sz w:val="20"/>
                <w:szCs w:val="20"/>
                <w:lang w:val="en-GB" w:eastAsia="en-GB"/>
              </w:rPr>
              <w:t xml:space="preserve"> dystonia, bulbar features, cognitive decline</w:t>
            </w:r>
          </w:p>
        </w:tc>
        <w:tc>
          <w:tcPr>
            <w:tcW w:w="2054" w:type="pct"/>
            <w:vAlign w:val="center"/>
          </w:tcPr>
          <w:p w14:paraId="06AC171C" w14:textId="5D24FDB1" w:rsidR="0071075B" w:rsidRPr="00602915" w:rsidRDefault="00E52019"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Uncertain</w:t>
            </w:r>
          </w:p>
        </w:tc>
      </w:tr>
      <w:tr w:rsidR="0071075B" w:rsidRPr="00602915" w14:paraId="2376A627" w14:textId="77777777" w:rsidTr="00BF5F51">
        <w:tc>
          <w:tcPr>
            <w:tcW w:w="420" w:type="pct"/>
            <w:vAlign w:val="center"/>
          </w:tcPr>
          <w:p w14:paraId="27196F8D" w14:textId="67878161" w:rsidR="0071075B" w:rsidRPr="00602915" w:rsidRDefault="0071075B">
            <w:pPr>
              <w:spacing w:after="0" w:line="240" w:lineRule="auto"/>
              <w:rPr>
                <w:rFonts w:ascii="Arial" w:eastAsia="Times New Roman" w:hAnsi="Arial" w:cs="Arial"/>
                <w:iCs/>
                <w:sz w:val="20"/>
                <w:szCs w:val="20"/>
                <w:lang w:val="en-GB" w:eastAsia="en-GB"/>
              </w:rPr>
            </w:pPr>
            <w:r w:rsidRPr="00602915">
              <w:rPr>
                <w:rFonts w:ascii="Arial" w:eastAsia="Times New Roman" w:hAnsi="Arial" w:cs="Arial"/>
                <w:iCs/>
                <w:sz w:val="20"/>
                <w:szCs w:val="20"/>
                <w:lang w:val="en-GB" w:eastAsia="en-GB"/>
              </w:rPr>
              <w:t>PARK17</w:t>
            </w:r>
          </w:p>
        </w:tc>
        <w:tc>
          <w:tcPr>
            <w:tcW w:w="356" w:type="pct"/>
            <w:vAlign w:val="center"/>
          </w:tcPr>
          <w:p w14:paraId="3ABEC500" w14:textId="4DC8B01F" w:rsidR="0071075B" w:rsidRPr="00602915" w:rsidRDefault="0071075B" w:rsidP="0071075B">
            <w:pPr>
              <w:spacing w:after="0" w:line="240" w:lineRule="auto"/>
              <w:rPr>
                <w:rFonts w:ascii="Arial" w:eastAsia="Times New Roman" w:hAnsi="Arial" w:cs="Arial"/>
                <w:i/>
                <w:iCs/>
                <w:sz w:val="20"/>
                <w:szCs w:val="20"/>
                <w:lang w:val="en-GB" w:eastAsia="en-GB"/>
              </w:rPr>
            </w:pPr>
            <w:r w:rsidRPr="00602915">
              <w:rPr>
                <w:rFonts w:ascii="Arial" w:eastAsia="Times New Roman" w:hAnsi="Arial" w:cs="Arial"/>
                <w:i/>
                <w:iCs/>
                <w:sz w:val="20"/>
                <w:szCs w:val="20"/>
                <w:lang w:val="en-GB" w:eastAsia="en-GB"/>
              </w:rPr>
              <w:t>VPS35</w:t>
            </w:r>
          </w:p>
        </w:tc>
        <w:tc>
          <w:tcPr>
            <w:tcW w:w="424" w:type="pct"/>
            <w:vAlign w:val="center"/>
          </w:tcPr>
          <w:p w14:paraId="4398697E" w14:textId="37DC9F77"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AD</w:t>
            </w:r>
          </w:p>
        </w:tc>
        <w:tc>
          <w:tcPr>
            <w:tcW w:w="1747" w:type="pct"/>
            <w:vAlign w:val="center"/>
          </w:tcPr>
          <w:p w14:paraId="4913CE1B" w14:textId="4DB96C1A" w:rsidR="0071075B" w:rsidRPr="00602915" w:rsidRDefault="00E5201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Late</w:t>
            </w:r>
            <w:r w:rsidR="00923BE0" w:rsidRPr="00602915">
              <w:rPr>
                <w:rFonts w:ascii="Arial" w:eastAsia="Times New Roman" w:hAnsi="Arial" w:cs="Arial"/>
                <w:sz w:val="20"/>
                <w:szCs w:val="20"/>
                <w:lang w:val="en-GB" w:eastAsia="en-GB"/>
              </w:rPr>
              <w:t>-</w:t>
            </w:r>
            <w:r w:rsidRPr="00602915">
              <w:rPr>
                <w:rFonts w:ascii="Arial" w:eastAsia="Times New Roman" w:hAnsi="Arial" w:cs="Arial"/>
                <w:sz w:val="20"/>
                <w:szCs w:val="20"/>
                <w:lang w:val="en-GB" w:eastAsia="en-GB"/>
              </w:rPr>
              <w:t xml:space="preserve">onset </w:t>
            </w:r>
            <w:r w:rsidR="0071075B" w:rsidRPr="00602915">
              <w:rPr>
                <w:rFonts w:ascii="Arial" w:eastAsia="Times New Roman" w:hAnsi="Arial" w:cs="Arial"/>
                <w:smallCaps/>
                <w:sz w:val="20"/>
                <w:szCs w:val="20"/>
                <w:lang w:val="en-GB" w:eastAsia="en-GB"/>
              </w:rPr>
              <w:t>l</w:t>
            </w:r>
            <w:r w:rsidR="0071075B" w:rsidRPr="00602915">
              <w:rPr>
                <w:rFonts w:ascii="Arial" w:eastAsia="Times New Roman" w:hAnsi="Arial" w:cs="Arial"/>
                <w:sz w:val="20"/>
                <w:szCs w:val="20"/>
                <w:lang w:val="en-GB" w:eastAsia="en-GB"/>
              </w:rPr>
              <w:t>-dopa-responsive parkinsonism, variable cognitive and behavioural features</w:t>
            </w:r>
          </w:p>
        </w:tc>
        <w:tc>
          <w:tcPr>
            <w:tcW w:w="2054" w:type="pct"/>
            <w:vAlign w:val="center"/>
          </w:tcPr>
          <w:p w14:paraId="17D6B8A7" w14:textId="708AC2E6"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Uncertain</w:t>
            </w:r>
          </w:p>
        </w:tc>
      </w:tr>
      <w:tr w:rsidR="0071075B" w:rsidRPr="00602915" w14:paraId="73E35996" w14:textId="77777777" w:rsidTr="00BF5F51">
        <w:tc>
          <w:tcPr>
            <w:tcW w:w="420" w:type="pct"/>
            <w:vAlign w:val="center"/>
          </w:tcPr>
          <w:p w14:paraId="52FEF6B6" w14:textId="0BA06FA8" w:rsidR="0071075B" w:rsidRPr="00602915" w:rsidRDefault="0071075B">
            <w:pPr>
              <w:spacing w:after="0" w:line="240" w:lineRule="auto"/>
              <w:rPr>
                <w:rFonts w:ascii="Arial" w:eastAsia="Times New Roman" w:hAnsi="Arial" w:cs="Arial"/>
                <w:iCs/>
                <w:sz w:val="20"/>
                <w:szCs w:val="20"/>
                <w:lang w:val="en-GB" w:eastAsia="en-GB"/>
              </w:rPr>
            </w:pPr>
            <w:r w:rsidRPr="00602915">
              <w:rPr>
                <w:rFonts w:ascii="Arial" w:eastAsia="Times New Roman" w:hAnsi="Arial" w:cs="Arial"/>
                <w:iCs/>
                <w:sz w:val="20"/>
                <w:szCs w:val="20"/>
                <w:lang w:val="en-GB" w:eastAsia="en-GB"/>
              </w:rPr>
              <w:t>PARK19</w:t>
            </w:r>
          </w:p>
        </w:tc>
        <w:tc>
          <w:tcPr>
            <w:tcW w:w="356" w:type="pct"/>
            <w:vAlign w:val="center"/>
          </w:tcPr>
          <w:p w14:paraId="38699763" w14:textId="61AD5E13" w:rsidR="0071075B" w:rsidRPr="00602915" w:rsidRDefault="0071075B" w:rsidP="0071075B">
            <w:pPr>
              <w:spacing w:after="0" w:line="240" w:lineRule="auto"/>
              <w:rPr>
                <w:rFonts w:ascii="Arial" w:eastAsia="Times New Roman" w:hAnsi="Arial" w:cs="Arial"/>
                <w:i/>
                <w:iCs/>
                <w:sz w:val="20"/>
                <w:szCs w:val="20"/>
                <w:lang w:val="en-GB" w:eastAsia="en-GB"/>
              </w:rPr>
            </w:pPr>
            <w:r w:rsidRPr="00602915">
              <w:rPr>
                <w:rFonts w:ascii="Arial" w:eastAsia="Times New Roman" w:hAnsi="Arial" w:cs="Arial"/>
                <w:i/>
                <w:iCs/>
                <w:sz w:val="20"/>
                <w:szCs w:val="20"/>
                <w:lang w:val="en-GB" w:eastAsia="en-GB"/>
              </w:rPr>
              <w:t>DNAJC6</w:t>
            </w:r>
          </w:p>
        </w:tc>
        <w:tc>
          <w:tcPr>
            <w:tcW w:w="424" w:type="pct"/>
            <w:vAlign w:val="center"/>
          </w:tcPr>
          <w:p w14:paraId="45E187CF" w14:textId="124155E8"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AR</w:t>
            </w:r>
          </w:p>
        </w:tc>
        <w:tc>
          <w:tcPr>
            <w:tcW w:w="1747" w:type="pct"/>
            <w:vAlign w:val="center"/>
          </w:tcPr>
          <w:p w14:paraId="7823D7AD" w14:textId="6F14CBF1" w:rsidR="0071075B" w:rsidRPr="00602915" w:rsidRDefault="00E52019"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Juvenile</w:t>
            </w:r>
            <w:r w:rsidR="00923BE0" w:rsidRPr="00602915">
              <w:rPr>
                <w:rFonts w:ascii="Arial" w:eastAsia="Times New Roman" w:hAnsi="Arial" w:cs="Arial"/>
                <w:sz w:val="20"/>
                <w:szCs w:val="20"/>
                <w:lang w:val="en-GB" w:eastAsia="en-GB"/>
              </w:rPr>
              <w:t>-</w:t>
            </w:r>
            <w:r w:rsidRPr="00602915">
              <w:rPr>
                <w:rFonts w:ascii="Arial" w:eastAsia="Times New Roman" w:hAnsi="Arial" w:cs="Arial"/>
                <w:sz w:val="20"/>
                <w:szCs w:val="20"/>
                <w:lang w:val="en-GB" w:eastAsia="en-GB"/>
              </w:rPr>
              <w:t>onset parkinsonism</w:t>
            </w:r>
            <w:r w:rsidR="00B629C3" w:rsidRPr="00602915">
              <w:rPr>
                <w:rFonts w:ascii="Arial" w:eastAsia="Times New Roman" w:hAnsi="Arial" w:cs="Arial"/>
                <w:sz w:val="20"/>
                <w:szCs w:val="20"/>
                <w:lang w:val="en-GB" w:eastAsia="en-GB"/>
              </w:rPr>
              <w:t xml:space="preserve"> </w:t>
            </w:r>
            <w:r w:rsidR="00923BE0" w:rsidRPr="00602915">
              <w:rPr>
                <w:rFonts w:ascii="Arial" w:eastAsia="Times New Roman" w:hAnsi="Arial" w:cs="Arial"/>
                <w:sz w:val="20"/>
                <w:szCs w:val="20"/>
                <w:lang w:val="en-GB" w:eastAsia="en-GB"/>
              </w:rPr>
              <w:t>±</w:t>
            </w:r>
            <w:r w:rsidR="00B629C3" w:rsidRPr="00602915">
              <w:rPr>
                <w:rFonts w:ascii="Arial" w:eastAsia="Times New Roman" w:hAnsi="Arial" w:cs="Arial"/>
                <w:sz w:val="20"/>
                <w:szCs w:val="20"/>
                <w:lang w:val="en-GB" w:eastAsia="en-GB"/>
              </w:rPr>
              <w:t xml:space="preserve"> cognitive decline, pyramidal signs, seizures</w:t>
            </w:r>
          </w:p>
        </w:tc>
        <w:tc>
          <w:tcPr>
            <w:tcW w:w="2054" w:type="pct"/>
            <w:vAlign w:val="center"/>
          </w:tcPr>
          <w:p w14:paraId="121612FE" w14:textId="38F2909D" w:rsidR="0071075B" w:rsidRPr="00602915" w:rsidRDefault="00B629C3"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Uncertain</w:t>
            </w:r>
          </w:p>
        </w:tc>
      </w:tr>
      <w:tr w:rsidR="0071075B" w:rsidRPr="00602915" w14:paraId="06A881AE" w14:textId="77777777" w:rsidTr="00BF5F51">
        <w:tc>
          <w:tcPr>
            <w:tcW w:w="420" w:type="pct"/>
            <w:vAlign w:val="center"/>
          </w:tcPr>
          <w:p w14:paraId="5FB87451" w14:textId="23C6A24E" w:rsidR="0071075B" w:rsidRPr="00602915" w:rsidRDefault="0071075B">
            <w:pPr>
              <w:spacing w:after="0" w:line="240" w:lineRule="auto"/>
              <w:rPr>
                <w:rFonts w:ascii="Arial" w:eastAsia="Times New Roman" w:hAnsi="Arial" w:cs="Arial"/>
                <w:iCs/>
                <w:sz w:val="20"/>
                <w:szCs w:val="20"/>
                <w:lang w:val="en-GB" w:eastAsia="en-GB"/>
              </w:rPr>
            </w:pPr>
            <w:r w:rsidRPr="00602915">
              <w:rPr>
                <w:rFonts w:ascii="Arial" w:eastAsia="Times New Roman" w:hAnsi="Arial" w:cs="Arial"/>
                <w:iCs/>
                <w:sz w:val="20"/>
                <w:szCs w:val="20"/>
                <w:lang w:val="en-GB" w:eastAsia="en-GB"/>
              </w:rPr>
              <w:t>PARK20</w:t>
            </w:r>
          </w:p>
        </w:tc>
        <w:tc>
          <w:tcPr>
            <w:tcW w:w="356" w:type="pct"/>
            <w:vAlign w:val="center"/>
          </w:tcPr>
          <w:p w14:paraId="49CA84BC" w14:textId="1A4B8EF8" w:rsidR="0071075B" w:rsidRPr="00602915" w:rsidRDefault="0071075B" w:rsidP="0071075B">
            <w:pPr>
              <w:spacing w:after="0" w:line="240" w:lineRule="auto"/>
              <w:rPr>
                <w:rFonts w:ascii="Arial" w:eastAsia="Times New Roman" w:hAnsi="Arial" w:cs="Arial"/>
                <w:i/>
                <w:iCs/>
                <w:sz w:val="20"/>
                <w:szCs w:val="20"/>
                <w:lang w:val="en-GB" w:eastAsia="en-GB"/>
              </w:rPr>
            </w:pPr>
            <w:r w:rsidRPr="00602915">
              <w:rPr>
                <w:rFonts w:ascii="Arial" w:eastAsia="Times New Roman" w:hAnsi="Arial" w:cs="Arial"/>
                <w:i/>
                <w:iCs/>
                <w:sz w:val="20"/>
                <w:szCs w:val="20"/>
                <w:lang w:val="en-GB" w:eastAsia="en-GB"/>
              </w:rPr>
              <w:t>SYNJ1</w:t>
            </w:r>
          </w:p>
        </w:tc>
        <w:tc>
          <w:tcPr>
            <w:tcW w:w="424" w:type="pct"/>
            <w:vAlign w:val="center"/>
          </w:tcPr>
          <w:p w14:paraId="7952F27D" w14:textId="023046E3"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AR</w:t>
            </w:r>
          </w:p>
        </w:tc>
        <w:tc>
          <w:tcPr>
            <w:tcW w:w="1747" w:type="pct"/>
            <w:vAlign w:val="center"/>
          </w:tcPr>
          <w:p w14:paraId="7E2DAF93" w14:textId="0BE0DEB4" w:rsidR="0071075B" w:rsidRPr="00602915" w:rsidRDefault="00B629C3">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Juvenile</w:t>
            </w:r>
            <w:r w:rsidR="00923BE0" w:rsidRPr="00602915">
              <w:rPr>
                <w:rFonts w:ascii="Arial" w:eastAsia="Times New Roman" w:hAnsi="Arial" w:cs="Arial"/>
                <w:sz w:val="20"/>
                <w:szCs w:val="20"/>
                <w:lang w:val="en-GB" w:eastAsia="en-GB"/>
              </w:rPr>
              <w:t>-</w:t>
            </w:r>
            <w:r w:rsidRPr="00602915">
              <w:rPr>
                <w:rFonts w:ascii="Arial" w:eastAsia="Times New Roman" w:hAnsi="Arial" w:cs="Arial"/>
                <w:sz w:val="20"/>
                <w:szCs w:val="20"/>
                <w:lang w:val="en-GB" w:eastAsia="en-GB"/>
              </w:rPr>
              <w:t xml:space="preserve"> or early</w:t>
            </w:r>
            <w:r w:rsidR="00923BE0" w:rsidRPr="00602915">
              <w:rPr>
                <w:rFonts w:ascii="Arial" w:eastAsia="Times New Roman" w:hAnsi="Arial" w:cs="Arial"/>
                <w:sz w:val="20"/>
                <w:szCs w:val="20"/>
                <w:lang w:val="en-GB" w:eastAsia="en-GB"/>
              </w:rPr>
              <w:t>-</w:t>
            </w:r>
            <w:r w:rsidRPr="00602915">
              <w:rPr>
                <w:rFonts w:ascii="Arial" w:eastAsia="Times New Roman" w:hAnsi="Arial" w:cs="Arial"/>
                <w:sz w:val="20"/>
                <w:szCs w:val="20"/>
                <w:lang w:val="en-GB" w:eastAsia="en-GB"/>
              </w:rPr>
              <w:t xml:space="preserve">onset parkinsonism with </w:t>
            </w:r>
            <w:r w:rsidR="000419CC" w:rsidRPr="00602915">
              <w:rPr>
                <w:rFonts w:ascii="Arial" w:eastAsia="Times New Roman" w:hAnsi="Arial" w:cs="Arial"/>
                <w:sz w:val="20"/>
                <w:szCs w:val="20"/>
                <w:lang w:val="en-GB" w:eastAsia="en-GB"/>
              </w:rPr>
              <w:t xml:space="preserve">dystonia, </w:t>
            </w:r>
            <w:r w:rsidRPr="00602915">
              <w:rPr>
                <w:rFonts w:ascii="Arial" w:eastAsia="Times New Roman" w:hAnsi="Arial" w:cs="Arial"/>
                <w:sz w:val="20"/>
                <w:szCs w:val="20"/>
                <w:lang w:val="en-GB" w:eastAsia="en-GB"/>
              </w:rPr>
              <w:t xml:space="preserve">seizures, </w:t>
            </w:r>
            <w:r w:rsidR="000419CC" w:rsidRPr="00602915">
              <w:rPr>
                <w:rFonts w:ascii="Arial" w:eastAsia="Times New Roman" w:hAnsi="Arial" w:cs="Arial"/>
                <w:sz w:val="20"/>
                <w:szCs w:val="20"/>
                <w:lang w:val="en-GB" w:eastAsia="en-GB"/>
              </w:rPr>
              <w:t>cognitive decline, bulbar features</w:t>
            </w:r>
          </w:p>
        </w:tc>
        <w:tc>
          <w:tcPr>
            <w:tcW w:w="2054" w:type="pct"/>
            <w:vAlign w:val="center"/>
          </w:tcPr>
          <w:p w14:paraId="39B59882" w14:textId="4B171412" w:rsidR="0071075B" w:rsidRPr="00602915" w:rsidRDefault="000419CC"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Uncertain</w:t>
            </w:r>
          </w:p>
        </w:tc>
      </w:tr>
      <w:tr w:rsidR="0071075B" w:rsidRPr="00602915" w14:paraId="40F30981" w14:textId="77777777" w:rsidTr="00BF5F51">
        <w:tc>
          <w:tcPr>
            <w:tcW w:w="420" w:type="pct"/>
            <w:vAlign w:val="center"/>
          </w:tcPr>
          <w:p w14:paraId="0DA8376B" w14:textId="452473CA" w:rsidR="0071075B" w:rsidRPr="00602915" w:rsidRDefault="0071075B">
            <w:pPr>
              <w:spacing w:after="0" w:line="240" w:lineRule="auto"/>
              <w:rPr>
                <w:rFonts w:ascii="Arial" w:eastAsia="Times New Roman" w:hAnsi="Arial" w:cs="Arial"/>
                <w:iCs/>
                <w:sz w:val="20"/>
                <w:szCs w:val="20"/>
                <w:lang w:val="en-GB" w:eastAsia="en-GB"/>
              </w:rPr>
            </w:pPr>
            <w:r w:rsidRPr="00602915">
              <w:rPr>
                <w:rFonts w:ascii="Arial" w:eastAsia="Times New Roman" w:hAnsi="Arial" w:cs="Arial"/>
                <w:iCs/>
                <w:sz w:val="20"/>
                <w:szCs w:val="20"/>
                <w:lang w:val="en-GB" w:eastAsia="en-GB"/>
              </w:rPr>
              <w:t>PARK21</w:t>
            </w:r>
          </w:p>
        </w:tc>
        <w:tc>
          <w:tcPr>
            <w:tcW w:w="356" w:type="pct"/>
            <w:vAlign w:val="center"/>
          </w:tcPr>
          <w:p w14:paraId="22FA7D64" w14:textId="4253386B" w:rsidR="0071075B" w:rsidRPr="00602915" w:rsidRDefault="0071075B" w:rsidP="0071075B">
            <w:pPr>
              <w:spacing w:after="0" w:line="240" w:lineRule="auto"/>
              <w:rPr>
                <w:rFonts w:ascii="Arial" w:eastAsia="Times New Roman" w:hAnsi="Arial" w:cs="Arial"/>
                <w:i/>
                <w:iCs/>
                <w:sz w:val="20"/>
                <w:szCs w:val="20"/>
                <w:lang w:val="en-GB" w:eastAsia="en-GB"/>
              </w:rPr>
            </w:pPr>
            <w:r w:rsidRPr="00602915">
              <w:rPr>
                <w:rFonts w:ascii="Arial" w:eastAsia="Times New Roman" w:hAnsi="Arial" w:cs="Arial"/>
                <w:i/>
                <w:iCs/>
                <w:sz w:val="20"/>
                <w:szCs w:val="20"/>
                <w:lang w:val="en-GB" w:eastAsia="en-GB"/>
              </w:rPr>
              <w:t>DNAJC13</w:t>
            </w:r>
          </w:p>
        </w:tc>
        <w:tc>
          <w:tcPr>
            <w:tcW w:w="424" w:type="pct"/>
            <w:vAlign w:val="center"/>
          </w:tcPr>
          <w:p w14:paraId="7EA93D11" w14:textId="7F5E666E"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AD</w:t>
            </w:r>
          </w:p>
        </w:tc>
        <w:tc>
          <w:tcPr>
            <w:tcW w:w="1747" w:type="pct"/>
            <w:vAlign w:val="center"/>
          </w:tcPr>
          <w:p w14:paraId="3D98A9EA" w14:textId="4CCC667F" w:rsidR="0071075B" w:rsidRPr="00602915" w:rsidRDefault="00B629C3"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Late</w:t>
            </w:r>
            <w:r w:rsidR="00923BE0" w:rsidRPr="00602915">
              <w:rPr>
                <w:rFonts w:ascii="Arial" w:eastAsia="Times New Roman" w:hAnsi="Arial" w:cs="Arial"/>
                <w:sz w:val="20"/>
                <w:szCs w:val="20"/>
                <w:lang w:val="en-GB" w:eastAsia="en-GB"/>
              </w:rPr>
              <w:t>-</w:t>
            </w:r>
            <w:r w:rsidRPr="00602915">
              <w:rPr>
                <w:rFonts w:ascii="Arial" w:eastAsia="Times New Roman" w:hAnsi="Arial" w:cs="Arial"/>
                <w:sz w:val="20"/>
                <w:szCs w:val="20"/>
                <w:lang w:val="en-GB" w:eastAsia="en-GB"/>
              </w:rPr>
              <w:t>onset, slowly progressive, L-dopa responsive parkinsonism</w:t>
            </w:r>
          </w:p>
        </w:tc>
        <w:tc>
          <w:tcPr>
            <w:tcW w:w="2054" w:type="pct"/>
            <w:vAlign w:val="center"/>
          </w:tcPr>
          <w:p w14:paraId="24BB4FD9" w14:textId="704DE2F0" w:rsidR="0071075B" w:rsidRPr="00602915" w:rsidRDefault="000419CC"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Lewy body pathology in brainstem and limbic regions and tau neurofibrillary tangles</w:t>
            </w:r>
          </w:p>
        </w:tc>
      </w:tr>
      <w:tr w:rsidR="0071075B" w:rsidRPr="00602915" w14:paraId="421A05D7" w14:textId="77777777" w:rsidTr="00BF5F51">
        <w:tc>
          <w:tcPr>
            <w:tcW w:w="420" w:type="pct"/>
            <w:vAlign w:val="center"/>
          </w:tcPr>
          <w:p w14:paraId="29F2D096" w14:textId="297729E7" w:rsidR="0071075B" w:rsidRPr="00602915" w:rsidRDefault="0071075B">
            <w:pPr>
              <w:spacing w:after="0" w:line="240" w:lineRule="auto"/>
              <w:rPr>
                <w:rFonts w:ascii="Arial" w:eastAsia="Times New Roman" w:hAnsi="Arial" w:cs="Arial"/>
                <w:iCs/>
                <w:sz w:val="20"/>
                <w:szCs w:val="20"/>
                <w:lang w:val="en-GB" w:eastAsia="en-GB"/>
              </w:rPr>
            </w:pPr>
            <w:r w:rsidRPr="00602915">
              <w:rPr>
                <w:rFonts w:ascii="Arial" w:eastAsia="Times New Roman" w:hAnsi="Arial" w:cs="Arial"/>
                <w:iCs/>
                <w:sz w:val="20"/>
                <w:szCs w:val="20"/>
                <w:lang w:val="en-GB" w:eastAsia="en-GB"/>
              </w:rPr>
              <w:t>Unassigned</w:t>
            </w:r>
          </w:p>
        </w:tc>
        <w:tc>
          <w:tcPr>
            <w:tcW w:w="356" w:type="pct"/>
            <w:vAlign w:val="center"/>
          </w:tcPr>
          <w:p w14:paraId="5ABB2470" w14:textId="0962AF7C" w:rsidR="0071075B" w:rsidRPr="00602915" w:rsidRDefault="0071075B" w:rsidP="0071075B">
            <w:pPr>
              <w:spacing w:after="0" w:line="240" w:lineRule="auto"/>
              <w:rPr>
                <w:rFonts w:ascii="Arial" w:eastAsia="Times New Roman" w:hAnsi="Arial" w:cs="Arial"/>
                <w:i/>
                <w:iCs/>
                <w:sz w:val="20"/>
                <w:szCs w:val="20"/>
                <w:lang w:val="en-GB" w:eastAsia="en-GB"/>
              </w:rPr>
            </w:pPr>
            <w:r w:rsidRPr="00602915">
              <w:rPr>
                <w:rFonts w:ascii="Arial" w:eastAsia="Times New Roman" w:hAnsi="Arial" w:cs="Arial"/>
                <w:i/>
                <w:iCs/>
                <w:sz w:val="20"/>
                <w:szCs w:val="20"/>
                <w:lang w:val="en-GB" w:eastAsia="en-GB"/>
              </w:rPr>
              <w:t>RAB39B</w:t>
            </w:r>
          </w:p>
        </w:tc>
        <w:tc>
          <w:tcPr>
            <w:tcW w:w="424" w:type="pct"/>
            <w:vAlign w:val="center"/>
          </w:tcPr>
          <w:p w14:paraId="5871B135" w14:textId="4B9B18E8"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X-linked</w:t>
            </w:r>
          </w:p>
        </w:tc>
        <w:tc>
          <w:tcPr>
            <w:tcW w:w="1747" w:type="pct"/>
            <w:vAlign w:val="center"/>
          </w:tcPr>
          <w:p w14:paraId="1CA813E6" w14:textId="5884FE70" w:rsidR="0071075B" w:rsidRPr="00602915" w:rsidRDefault="000419CC"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Severe intellectual disability and early</w:t>
            </w:r>
            <w:r w:rsidR="00923BE0" w:rsidRPr="00602915">
              <w:rPr>
                <w:rFonts w:ascii="Arial" w:eastAsia="Times New Roman" w:hAnsi="Arial" w:cs="Arial"/>
                <w:sz w:val="20"/>
                <w:szCs w:val="20"/>
                <w:lang w:val="en-GB" w:eastAsia="en-GB"/>
              </w:rPr>
              <w:t>-</w:t>
            </w:r>
            <w:r w:rsidRPr="00602915">
              <w:rPr>
                <w:rFonts w:ascii="Arial" w:eastAsia="Times New Roman" w:hAnsi="Arial" w:cs="Arial"/>
                <w:sz w:val="20"/>
                <w:szCs w:val="20"/>
                <w:lang w:val="en-GB" w:eastAsia="en-GB"/>
              </w:rPr>
              <w:t>onset parkinsonism</w:t>
            </w:r>
          </w:p>
        </w:tc>
        <w:tc>
          <w:tcPr>
            <w:tcW w:w="2054" w:type="pct"/>
            <w:vAlign w:val="center"/>
          </w:tcPr>
          <w:p w14:paraId="771029A1" w14:textId="4BFC9919" w:rsidR="0071075B" w:rsidRPr="00602915" w:rsidRDefault="000419CC"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Lewy body pathology in brainstem and cortex</w:t>
            </w:r>
          </w:p>
        </w:tc>
      </w:tr>
      <w:tr w:rsidR="0071075B" w:rsidRPr="00602915" w14:paraId="011BB874" w14:textId="77777777" w:rsidTr="00BF5F51">
        <w:tc>
          <w:tcPr>
            <w:tcW w:w="420" w:type="pct"/>
            <w:vAlign w:val="center"/>
          </w:tcPr>
          <w:p w14:paraId="653B2AF8" w14:textId="5D5F0317" w:rsidR="0071075B" w:rsidRPr="00602915" w:rsidRDefault="0071075B">
            <w:pPr>
              <w:spacing w:after="0" w:line="240" w:lineRule="auto"/>
              <w:rPr>
                <w:rFonts w:ascii="Arial" w:eastAsia="Times New Roman" w:hAnsi="Arial" w:cs="Arial"/>
                <w:iCs/>
                <w:sz w:val="20"/>
                <w:szCs w:val="20"/>
                <w:lang w:val="en-GB" w:eastAsia="en-GB"/>
              </w:rPr>
            </w:pPr>
            <w:r w:rsidRPr="00602915">
              <w:rPr>
                <w:rFonts w:ascii="Arial" w:eastAsia="Times New Roman" w:hAnsi="Arial" w:cs="Arial"/>
                <w:iCs/>
                <w:sz w:val="20"/>
                <w:szCs w:val="20"/>
                <w:lang w:val="en-GB" w:eastAsia="en-GB"/>
              </w:rPr>
              <w:t>Unassigned</w:t>
            </w:r>
          </w:p>
        </w:tc>
        <w:tc>
          <w:tcPr>
            <w:tcW w:w="356" w:type="pct"/>
            <w:vAlign w:val="center"/>
          </w:tcPr>
          <w:p w14:paraId="29EC45DC" w14:textId="2600A386" w:rsidR="0071075B" w:rsidRPr="00602915" w:rsidRDefault="0071075B" w:rsidP="0071075B">
            <w:pPr>
              <w:spacing w:after="0" w:line="240" w:lineRule="auto"/>
              <w:rPr>
                <w:rFonts w:ascii="Arial" w:eastAsia="Times New Roman" w:hAnsi="Arial" w:cs="Arial"/>
                <w:iCs/>
                <w:sz w:val="20"/>
                <w:szCs w:val="20"/>
                <w:lang w:val="en-GB" w:eastAsia="en-GB"/>
              </w:rPr>
            </w:pPr>
            <w:r w:rsidRPr="00721011">
              <w:rPr>
                <w:rFonts w:ascii="Arial" w:eastAsia="Times New Roman" w:hAnsi="Arial" w:cs="Arial"/>
                <w:i/>
                <w:sz w:val="20"/>
                <w:szCs w:val="20"/>
                <w:lang w:val="en-GB" w:eastAsia="en-GB"/>
              </w:rPr>
              <w:t>GBA</w:t>
            </w:r>
          </w:p>
        </w:tc>
        <w:tc>
          <w:tcPr>
            <w:tcW w:w="424" w:type="pct"/>
            <w:vAlign w:val="center"/>
          </w:tcPr>
          <w:p w14:paraId="6840D3A0" w14:textId="4FA079B3" w:rsidR="0071075B" w:rsidRPr="00602915" w:rsidRDefault="0071075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High risk</w:t>
            </w:r>
          </w:p>
        </w:tc>
        <w:tc>
          <w:tcPr>
            <w:tcW w:w="1747" w:type="pct"/>
            <w:vAlign w:val="center"/>
          </w:tcPr>
          <w:p w14:paraId="1A037EA3" w14:textId="7F64633A" w:rsidR="0071075B" w:rsidRPr="00602915" w:rsidRDefault="00DF24B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Similar to idiopathic PD but faster motor progression and higher dementia risk</w:t>
            </w:r>
          </w:p>
        </w:tc>
        <w:tc>
          <w:tcPr>
            <w:tcW w:w="2054" w:type="pct"/>
            <w:vAlign w:val="center"/>
          </w:tcPr>
          <w:p w14:paraId="131E0112" w14:textId="66A46BAC" w:rsidR="0071075B" w:rsidRPr="00602915" w:rsidRDefault="00DF24BB" w:rsidP="0071075B">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Lewy body pathology in brainstem and cortex</w:t>
            </w:r>
          </w:p>
        </w:tc>
      </w:tr>
      <w:tr w:rsidR="0071075B" w:rsidRPr="00602915" w14:paraId="58D6EDA9" w14:textId="77777777" w:rsidTr="0071075B">
        <w:tc>
          <w:tcPr>
            <w:tcW w:w="5000" w:type="pct"/>
            <w:gridSpan w:val="5"/>
          </w:tcPr>
          <w:p w14:paraId="0E76FD7D" w14:textId="6338C83B" w:rsidR="0071075B" w:rsidRPr="00602915" w:rsidRDefault="0071075B" w:rsidP="0071075B">
            <w:pPr>
              <w:spacing w:after="0" w:line="240" w:lineRule="auto"/>
              <w:rPr>
                <w:rFonts w:ascii="Arial" w:eastAsia="Times New Roman" w:hAnsi="Arial" w:cs="Arial"/>
                <w:sz w:val="16"/>
                <w:szCs w:val="16"/>
                <w:lang w:val="en-GB" w:eastAsia="en-GB"/>
              </w:rPr>
            </w:pPr>
          </w:p>
          <w:p w14:paraId="65CF32A6" w14:textId="246A1EA0" w:rsidR="0071075B" w:rsidRPr="00602915" w:rsidRDefault="0071075B" w:rsidP="0071075B">
            <w:pPr>
              <w:spacing w:after="0" w:line="240" w:lineRule="auto"/>
              <w:rPr>
                <w:rFonts w:ascii="Arial" w:eastAsia="Times New Roman" w:hAnsi="Arial" w:cs="Arial"/>
                <w:sz w:val="16"/>
                <w:szCs w:val="16"/>
                <w:lang w:val="en-GB" w:eastAsia="en-GB"/>
              </w:rPr>
            </w:pPr>
            <w:r w:rsidRPr="00602915">
              <w:rPr>
                <w:rFonts w:ascii="Arial" w:eastAsia="Times New Roman" w:hAnsi="Arial" w:cs="Arial"/>
                <w:sz w:val="16"/>
                <w:szCs w:val="16"/>
                <w:lang w:val="en-GB" w:eastAsia="en-GB"/>
              </w:rPr>
              <w:t>AD, autosomal dominant; AR, autosomal recessive.</w:t>
            </w:r>
          </w:p>
        </w:tc>
      </w:tr>
    </w:tbl>
    <w:p w14:paraId="73EE9EF8" w14:textId="77777777" w:rsidR="00084AA2" w:rsidRPr="00602915" w:rsidRDefault="00084AA2" w:rsidP="00582CE9">
      <w:pPr>
        <w:spacing w:after="0" w:line="240" w:lineRule="auto"/>
        <w:rPr>
          <w:rFonts w:ascii="Arial" w:hAnsi="Arial" w:cs="Arial"/>
          <w:sz w:val="20"/>
          <w:szCs w:val="20"/>
          <w:lang w:val="en-GB"/>
        </w:rPr>
      </w:pPr>
    </w:p>
    <w:p w14:paraId="6D99C0A9" w14:textId="245598C4" w:rsidR="00084AA2" w:rsidRPr="00602915" w:rsidRDefault="00084AA2" w:rsidP="00582CE9">
      <w:pPr>
        <w:spacing w:after="0" w:line="240" w:lineRule="auto"/>
        <w:rPr>
          <w:rFonts w:ascii="Arial" w:hAnsi="Arial" w:cs="Arial"/>
          <w:b/>
          <w:sz w:val="20"/>
          <w:szCs w:val="20"/>
          <w:lang w:val="en-GB"/>
        </w:rPr>
        <w:sectPr w:rsidR="00084AA2" w:rsidRPr="00602915" w:rsidSect="00BF5F51">
          <w:pgSz w:w="15840" w:h="12240" w:orient="landscape"/>
          <w:pgMar w:top="1134" w:right="1440" w:bottom="993" w:left="1440" w:header="709" w:footer="709" w:gutter="0"/>
          <w:cols w:space="708"/>
          <w:docGrid w:linePitch="360"/>
        </w:sectPr>
      </w:pPr>
      <w:r w:rsidRPr="00602915">
        <w:rPr>
          <w:rFonts w:ascii="Arial" w:eastAsia="Times New Roman" w:hAnsi="Arial" w:cs="Arial"/>
          <w:b/>
          <w:sz w:val="20"/>
          <w:szCs w:val="20"/>
          <w:lang w:val="en-GB" w:eastAsia="en-GB"/>
        </w:rPr>
        <w:t>Table 1.</w:t>
      </w:r>
    </w:p>
    <w:p w14:paraId="4A77E235" w14:textId="55B8BEE2" w:rsidR="00E21E9B" w:rsidRPr="00602915" w:rsidRDefault="00E21E9B" w:rsidP="00582CE9">
      <w:pPr>
        <w:spacing w:after="0" w:line="240" w:lineRule="auto"/>
        <w:ind w:left="360" w:right="360"/>
        <w:rPr>
          <w:rFonts w:ascii="Arial" w:eastAsia="Times New Roman" w:hAnsi="Arial" w:cs="Arial"/>
          <w:sz w:val="20"/>
          <w:szCs w:val="20"/>
          <w:lang w:val="en-GB" w:eastAsia="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94"/>
        <w:gridCol w:w="1591"/>
        <w:gridCol w:w="2274"/>
        <w:gridCol w:w="3374"/>
        <w:gridCol w:w="3217"/>
      </w:tblGrid>
      <w:tr w:rsidR="00084AA2" w:rsidRPr="00602915" w14:paraId="3CE8092B" w14:textId="77777777" w:rsidTr="00721011">
        <w:tc>
          <w:tcPr>
            <w:tcW w:w="0" w:type="auto"/>
            <w:gridSpan w:val="5"/>
            <w:vAlign w:val="center"/>
          </w:tcPr>
          <w:p w14:paraId="51D3942B" w14:textId="63FB1CC6" w:rsidR="00084AA2" w:rsidRPr="00602915" w:rsidRDefault="00084AA2" w:rsidP="00084AA2">
            <w:pPr>
              <w:spacing w:after="0" w:line="240" w:lineRule="auto"/>
              <w:rPr>
                <w:rFonts w:ascii="Arial" w:eastAsia="Times New Roman" w:hAnsi="Arial" w:cs="Arial"/>
                <w:b/>
                <w:bCs/>
                <w:sz w:val="20"/>
                <w:szCs w:val="20"/>
                <w:lang w:val="en-GB" w:eastAsia="en-GB"/>
              </w:rPr>
            </w:pPr>
            <w:r w:rsidRPr="00602915">
              <w:rPr>
                <w:rFonts w:ascii="Arial" w:eastAsia="Times New Roman" w:hAnsi="Arial" w:cs="Arial"/>
                <w:b/>
                <w:color w:val="4F81BD" w:themeColor="accent1"/>
                <w:sz w:val="20"/>
                <w:szCs w:val="20"/>
                <w:lang w:val="en-GB" w:eastAsia="en-GB"/>
              </w:rPr>
              <w:t>Overview of pharmacological therapies for PD</w:t>
            </w:r>
          </w:p>
        </w:tc>
      </w:tr>
      <w:tr w:rsidR="00582CE9" w:rsidRPr="00602915" w14:paraId="1F281AA1" w14:textId="77777777" w:rsidTr="00721011">
        <w:tc>
          <w:tcPr>
            <w:tcW w:w="0" w:type="auto"/>
            <w:vAlign w:val="center"/>
            <w:hideMark/>
          </w:tcPr>
          <w:p w14:paraId="742DEB3C" w14:textId="77777777" w:rsidR="00E21E9B" w:rsidRPr="00602915" w:rsidRDefault="00E21E9B" w:rsidP="00084AA2">
            <w:pPr>
              <w:spacing w:after="0" w:line="240" w:lineRule="auto"/>
              <w:rPr>
                <w:rFonts w:ascii="Arial" w:eastAsia="Times New Roman" w:hAnsi="Arial" w:cs="Arial"/>
                <w:b/>
                <w:bCs/>
                <w:sz w:val="20"/>
                <w:szCs w:val="20"/>
                <w:lang w:val="en-GB" w:eastAsia="en-GB"/>
              </w:rPr>
            </w:pPr>
            <w:r w:rsidRPr="00602915">
              <w:rPr>
                <w:rFonts w:ascii="Arial" w:eastAsia="Times New Roman" w:hAnsi="Arial" w:cs="Arial"/>
                <w:b/>
                <w:bCs/>
                <w:sz w:val="20"/>
                <w:szCs w:val="20"/>
                <w:lang w:val="en-GB" w:eastAsia="en-GB"/>
              </w:rPr>
              <w:t>Drug class</w:t>
            </w:r>
          </w:p>
        </w:tc>
        <w:tc>
          <w:tcPr>
            <w:tcW w:w="0" w:type="auto"/>
            <w:vAlign w:val="center"/>
            <w:hideMark/>
          </w:tcPr>
          <w:p w14:paraId="20A650CA" w14:textId="77777777" w:rsidR="00E21E9B" w:rsidRPr="00602915" w:rsidRDefault="00E21E9B" w:rsidP="00582CE9">
            <w:pPr>
              <w:spacing w:after="0" w:line="240" w:lineRule="auto"/>
              <w:jc w:val="center"/>
              <w:rPr>
                <w:rFonts w:ascii="Arial" w:eastAsia="Times New Roman" w:hAnsi="Arial" w:cs="Arial"/>
                <w:b/>
                <w:bCs/>
                <w:sz w:val="20"/>
                <w:szCs w:val="20"/>
                <w:lang w:val="en-GB" w:eastAsia="en-GB"/>
              </w:rPr>
            </w:pPr>
            <w:r w:rsidRPr="00602915">
              <w:rPr>
                <w:rFonts w:ascii="Arial" w:eastAsia="Times New Roman" w:hAnsi="Arial" w:cs="Arial"/>
                <w:b/>
                <w:bCs/>
                <w:sz w:val="20"/>
                <w:szCs w:val="20"/>
                <w:lang w:val="en-GB" w:eastAsia="en-GB"/>
              </w:rPr>
              <w:t>Administration route</w:t>
            </w:r>
          </w:p>
        </w:tc>
        <w:tc>
          <w:tcPr>
            <w:tcW w:w="0" w:type="auto"/>
            <w:vAlign w:val="center"/>
            <w:hideMark/>
          </w:tcPr>
          <w:p w14:paraId="27760FC1" w14:textId="77777777" w:rsidR="00E21E9B" w:rsidRPr="00602915" w:rsidRDefault="00E21E9B" w:rsidP="003E1EDF">
            <w:pPr>
              <w:spacing w:after="0" w:line="240" w:lineRule="auto"/>
              <w:rPr>
                <w:rFonts w:ascii="Arial" w:eastAsia="Times New Roman" w:hAnsi="Arial" w:cs="Arial"/>
                <w:b/>
                <w:bCs/>
                <w:sz w:val="20"/>
                <w:szCs w:val="20"/>
                <w:lang w:val="en-GB" w:eastAsia="en-GB"/>
              </w:rPr>
            </w:pPr>
            <w:r w:rsidRPr="00602915">
              <w:rPr>
                <w:rFonts w:ascii="Arial" w:eastAsia="Times New Roman" w:hAnsi="Arial" w:cs="Arial"/>
                <w:b/>
                <w:bCs/>
                <w:sz w:val="20"/>
                <w:szCs w:val="20"/>
                <w:lang w:val="en-GB" w:eastAsia="en-GB"/>
              </w:rPr>
              <w:t>Drug name</w:t>
            </w:r>
          </w:p>
        </w:tc>
        <w:tc>
          <w:tcPr>
            <w:tcW w:w="0" w:type="auto"/>
            <w:vAlign w:val="center"/>
            <w:hideMark/>
          </w:tcPr>
          <w:p w14:paraId="774725B1" w14:textId="77777777" w:rsidR="00E21E9B" w:rsidRPr="00602915" w:rsidRDefault="00E21E9B" w:rsidP="003E1EDF">
            <w:pPr>
              <w:spacing w:after="0" w:line="240" w:lineRule="auto"/>
              <w:rPr>
                <w:rFonts w:ascii="Arial" w:eastAsia="Times New Roman" w:hAnsi="Arial" w:cs="Arial"/>
                <w:b/>
                <w:bCs/>
                <w:sz w:val="20"/>
                <w:szCs w:val="20"/>
                <w:lang w:val="en-GB" w:eastAsia="en-GB"/>
              </w:rPr>
            </w:pPr>
            <w:r w:rsidRPr="00602915">
              <w:rPr>
                <w:rFonts w:ascii="Arial" w:eastAsia="Times New Roman" w:hAnsi="Arial" w:cs="Arial"/>
                <w:b/>
                <w:bCs/>
                <w:sz w:val="20"/>
                <w:szCs w:val="20"/>
                <w:lang w:val="en-GB" w:eastAsia="en-GB"/>
              </w:rPr>
              <w:t>Key benefits/uses</w:t>
            </w:r>
          </w:p>
        </w:tc>
        <w:tc>
          <w:tcPr>
            <w:tcW w:w="0" w:type="auto"/>
            <w:vAlign w:val="center"/>
            <w:hideMark/>
          </w:tcPr>
          <w:p w14:paraId="7F7DFB8C" w14:textId="77777777" w:rsidR="00E21E9B" w:rsidRPr="00602915" w:rsidRDefault="00E21E9B" w:rsidP="003E1EDF">
            <w:pPr>
              <w:spacing w:after="0" w:line="240" w:lineRule="auto"/>
              <w:rPr>
                <w:rFonts w:ascii="Arial" w:eastAsia="Times New Roman" w:hAnsi="Arial" w:cs="Arial"/>
                <w:b/>
                <w:bCs/>
                <w:sz w:val="20"/>
                <w:szCs w:val="20"/>
                <w:lang w:val="en-GB" w:eastAsia="en-GB"/>
              </w:rPr>
            </w:pPr>
            <w:r w:rsidRPr="00602915">
              <w:rPr>
                <w:rFonts w:ascii="Arial" w:eastAsia="Times New Roman" w:hAnsi="Arial" w:cs="Arial"/>
                <w:b/>
                <w:bCs/>
                <w:sz w:val="20"/>
                <w:szCs w:val="20"/>
                <w:lang w:val="en-GB" w:eastAsia="en-GB"/>
              </w:rPr>
              <w:t>Common/important adverse effects</w:t>
            </w:r>
          </w:p>
        </w:tc>
      </w:tr>
      <w:tr w:rsidR="00582CE9" w:rsidRPr="00602915" w14:paraId="30EFC6E6" w14:textId="77777777" w:rsidTr="00721011">
        <w:tc>
          <w:tcPr>
            <w:tcW w:w="0" w:type="auto"/>
            <w:vMerge w:val="restart"/>
            <w:hideMark/>
          </w:tcPr>
          <w:p w14:paraId="60925433" w14:textId="36B6661C"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Levodopa (+</w:t>
            </w:r>
            <w:r w:rsidR="00AE7625" w:rsidRPr="00602915">
              <w:rPr>
                <w:rFonts w:ascii="Arial" w:eastAsia="Times New Roman" w:hAnsi="Arial" w:cs="Arial"/>
                <w:sz w:val="20"/>
                <w:szCs w:val="20"/>
                <w:lang w:val="en-GB" w:eastAsia="en-GB"/>
              </w:rPr>
              <w:t xml:space="preserve"> </w:t>
            </w:r>
            <w:r w:rsidRPr="00602915">
              <w:rPr>
                <w:rFonts w:ascii="Arial" w:eastAsia="Times New Roman" w:hAnsi="Arial" w:cs="Arial"/>
                <w:sz w:val="20"/>
                <w:szCs w:val="20"/>
                <w:lang w:val="en-GB" w:eastAsia="en-GB"/>
              </w:rPr>
              <w:t>peripheral DDC inhibitor)</w:t>
            </w:r>
          </w:p>
        </w:tc>
        <w:tc>
          <w:tcPr>
            <w:tcW w:w="0" w:type="auto"/>
            <w:hideMark/>
          </w:tcPr>
          <w:p w14:paraId="68B50DD4" w14:textId="77777777"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Oral</w:t>
            </w:r>
          </w:p>
        </w:tc>
        <w:tc>
          <w:tcPr>
            <w:tcW w:w="0" w:type="auto"/>
            <w:hideMark/>
          </w:tcPr>
          <w:p w14:paraId="25E72A6A" w14:textId="0121E289"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Madopar</w:t>
            </w:r>
          </w:p>
          <w:p w14:paraId="04E06E0A" w14:textId="0BFC5F10"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Sinemet</w:t>
            </w:r>
          </w:p>
        </w:tc>
        <w:tc>
          <w:tcPr>
            <w:tcW w:w="0" w:type="auto"/>
            <w:hideMark/>
          </w:tcPr>
          <w:p w14:paraId="761AA5DF"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Good efficacy for motor symptoms</w:t>
            </w:r>
          </w:p>
          <w:p w14:paraId="5D1563D1"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Well tolerated</w:t>
            </w:r>
          </w:p>
          <w:p w14:paraId="30EA17F4" w14:textId="775A44FC"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Formulations include standard, slow release and dispersible</w:t>
            </w:r>
          </w:p>
        </w:tc>
        <w:tc>
          <w:tcPr>
            <w:tcW w:w="0" w:type="auto"/>
            <w:hideMark/>
          </w:tcPr>
          <w:p w14:paraId="48312B94"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Early – nausea, dizziness</w:t>
            </w:r>
          </w:p>
          <w:p w14:paraId="1FA5A676" w14:textId="18A334E6"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Late – motor fluctuations, dyskinesias, hallucinations, orthostatic hypotension</w:t>
            </w:r>
          </w:p>
        </w:tc>
      </w:tr>
      <w:tr w:rsidR="00582CE9" w:rsidRPr="00602915" w14:paraId="2E394FBD" w14:textId="77777777" w:rsidTr="00721011">
        <w:tc>
          <w:tcPr>
            <w:tcW w:w="0" w:type="auto"/>
            <w:vMerge/>
            <w:vAlign w:val="center"/>
            <w:hideMark/>
          </w:tcPr>
          <w:p w14:paraId="79AE2AB6" w14:textId="77777777" w:rsidR="00E21E9B" w:rsidRPr="00602915" w:rsidRDefault="00E21E9B" w:rsidP="00582CE9">
            <w:pPr>
              <w:spacing w:after="0" w:line="240" w:lineRule="auto"/>
              <w:rPr>
                <w:rFonts w:ascii="Arial" w:eastAsia="Times New Roman" w:hAnsi="Arial" w:cs="Arial"/>
                <w:sz w:val="20"/>
                <w:szCs w:val="20"/>
                <w:lang w:val="en-GB" w:eastAsia="en-GB"/>
              </w:rPr>
            </w:pPr>
          </w:p>
        </w:tc>
        <w:tc>
          <w:tcPr>
            <w:tcW w:w="0" w:type="auto"/>
            <w:hideMark/>
          </w:tcPr>
          <w:p w14:paraId="29A97B0F" w14:textId="77777777"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Enteral</w:t>
            </w:r>
          </w:p>
        </w:tc>
        <w:tc>
          <w:tcPr>
            <w:tcW w:w="0" w:type="auto"/>
            <w:hideMark/>
          </w:tcPr>
          <w:p w14:paraId="65E2BA80" w14:textId="6BD7B29E"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Duodopa</w:t>
            </w:r>
          </w:p>
        </w:tc>
        <w:tc>
          <w:tcPr>
            <w:tcW w:w="0" w:type="auto"/>
            <w:hideMark/>
          </w:tcPr>
          <w:p w14:paraId="4619A85A" w14:textId="4CEC3984"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Continuous administration via a pump for manag</w:t>
            </w:r>
            <w:r w:rsidR="00EE1F3F" w:rsidRPr="00602915">
              <w:rPr>
                <w:rFonts w:ascii="Arial" w:eastAsia="Times New Roman" w:hAnsi="Arial" w:cs="Arial"/>
                <w:sz w:val="20"/>
                <w:szCs w:val="20"/>
                <w:lang w:val="en-GB" w:eastAsia="en-GB"/>
              </w:rPr>
              <w:t>ing</w:t>
            </w:r>
            <w:r w:rsidRPr="00602915">
              <w:rPr>
                <w:rFonts w:ascii="Arial" w:eastAsia="Times New Roman" w:hAnsi="Arial" w:cs="Arial"/>
                <w:sz w:val="20"/>
                <w:szCs w:val="20"/>
                <w:lang w:val="en-GB" w:eastAsia="en-GB"/>
              </w:rPr>
              <w:t xml:space="preserve"> advanced disease with motor fluctuations</w:t>
            </w:r>
          </w:p>
        </w:tc>
        <w:tc>
          <w:tcPr>
            <w:tcW w:w="0" w:type="auto"/>
            <w:hideMark/>
          </w:tcPr>
          <w:p w14:paraId="3A35DA80"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As for oral levodopa</w:t>
            </w:r>
          </w:p>
          <w:p w14:paraId="615C5517" w14:textId="2161A64F"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Jejunal tube occlusion or dislocation</w:t>
            </w:r>
          </w:p>
        </w:tc>
      </w:tr>
      <w:tr w:rsidR="00582CE9" w:rsidRPr="00602915" w14:paraId="1B791956" w14:textId="77777777" w:rsidTr="00721011">
        <w:tc>
          <w:tcPr>
            <w:tcW w:w="0" w:type="auto"/>
            <w:vMerge w:val="restart"/>
            <w:hideMark/>
          </w:tcPr>
          <w:p w14:paraId="67B4CD37" w14:textId="77777777"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Dopamine agonists</w:t>
            </w:r>
          </w:p>
        </w:tc>
        <w:tc>
          <w:tcPr>
            <w:tcW w:w="0" w:type="auto"/>
            <w:hideMark/>
          </w:tcPr>
          <w:p w14:paraId="1E31A2BB" w14:textId="77777777"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Oral</w:t>
            </w:r>
          </w:p>
        </w:tc>
        <w:tc>
          <w:tcPr>
            <w:tcW w:w="0" w:type="auto"/>
            <w:hideMark/>
          </w:tcPr>
          <w:p w14:paraId="4FCE53D1"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Ropinirole</w:t>
            </w:r>
          </w:p>
          <w:p w14:paraId="713C9B0D" w14:textId="3F0C2403"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Pramipexole</w:t>
            </w:r>
          </w:p>
        </w:tc>
        <w:tc>
          <w:tcPr>
            <w:tcW w:w="0" w:type="auto"/>
            <w:hideMark/>
          </w:tcPr>
          <w:p w14:paraId="71DDFADF"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‘Levodopa-sparing’ in early disease</w:t>
            </w:r>
          </w:p>
          <w:p w14:paraId="2D9DF981"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Modified-release formulations available for once-daily dosing</w:t>
            </w:r>
          </w:p>
          <w:p w14:paraId="3D1527A0" w14:textId="6BEE3CC3"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Some anxiolytic effects</w:t>
            </w:r>
          </w:p>
        </w:tc>
        <w:tc>
          <w:tcPr>
            <w:tcW w:w="0" w:type="auto"/>
            <w:hideMark/>
          </w:tcPr>
          <w:p w14:paraId="747BCE37"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Nausea</w:t>
            </w:r>
          </w:p>
          <w:p w14:paraId="27C89B22"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Orthostatic hypotension</w:t>
            </w:r>
          </w:p>
          <w:p w14:paraId="13428B55"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Excessive daytime sleepiness</w:t>
            </w:r>
          </w:p>
          <w:p w14:paraId="324E7FC5"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Impulse control disorders</w:t>
            </w:r>
          </w:p>
          <w:p w14:paraId="76D4AEE6"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Confusion</w:t>
            </w:r>
          </w:p>
          <w:p w14:paraId="6F9E0029" w14:textId="08887A9E"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Ankle oedema</w:t>
            </w:r>
          </w:p>
        </w:tc>
      </w:tr>
      <w:tr w:rsidR="00582CE9" w:rsidRPr="00602915" w14:paraId="0FDBA541" w14:textId="77777777" w:rsidTr="00721011">
        <w:tc>
          <w:tcPr>
            <w:tcW w:w="0" w:type="auto"/>
            <w:vMerge/>
            <w:vAlign w:val="center"/>
            <w:hideMark/>
          </w:tcPr>
          <w:p w14:paraId="0FCDB636" w14:textId="77777777" w:rsidR="00E21E9B" w:rsidRPr="00602915" w:rsidRDefault="00E21E9B" w:rsidP="00582CE9">
            <w:pPr>
              <w:spacing w:after="0" w:line="240" w:lineRule="auto"/>
              <w:rPr>
                <w:rFonts w:ascii="Arial" w:eastAsia="Times New Roman" w:hAnsi="Arial" w:cs="Arial"/>
                <w:sz w:val="20"/>
                <w:szCs w:val="20"/>
                <w:lang w:val="en-GB" w:eastAsia="en-GB"/>
              </w:rPr>
            </w:pPr>
          </w:p>
        </w:tc>
        <w:tc>
          <w:tcPr>
            <w:tcW w:w="0" w:type="auto"/>
            <w:hideMark/>
          </w:tcPr>
          <w:p w14:paraId="61D3F169" w14:textId="77777777"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Transdermal</w:t>
            </w:r>
          </w:p>
        </w:tc>
        <w:tc>
          <w:tcPr>
            <w:tcW w:w="0" w:type="auto"/>
            <w:hideMark/>
          </w:tcPr>
          <w:p w14:paraId="1AE1210A" w14:textId="77777777"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Rotigotine</w:t>
            </w:r>
          </w:p>
        </w:tc>
        <w:tc>
          <w:tcPr>
            <w:tcW w:w="0" w:type="auto"/>
            <w:hideMark/>
          </w:tcPr>
          <w:p w14:paraId="2B70729F"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Slow release over 24 hours</w:t>
            </w:r>
          </w:p>
          <w:p w14:paraId="49BD3295" w14:textId="5846B3E6"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Useful alternative to oral therapy for postoperative/nil-by-mouth patients</w:t>
            </w:r>
          </w:p>
        </w:tc>
        <w:tc>
          <w:tcPr>
            <w:tcW w:w="0" w:type="auto"/>
            <w:hideMark/>
          </w:tcPr>
          <w:p w14:paraId="12EC4AE9"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As for oral dopamine agonists</w:t>
            </w:r>
          </w:p>
          <w:p w14:paraId="7A4A4F93" w14:textId="13E9FF1A"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Local skin reactions</w:t>
            </w:r>
          </w:p>
        </w:tc>
      </w:tr>
      <w:tr w:rsidR="00582CE9" w:rsidRPr="00602915" w14:paraId="35FED579" w14:textId="77777777" w:rsidTr="00721011">
        <w:tc>
          <w:tcPr>
            <w:tcW w:w="0" w:type="auto"/>
            <w:vMerge/>
            <w:vAlign w:val="center"/>
            <w:hideMark/>
          </w:tcPr>
          <w:p w14:paraId="785F62FC" w14:textId="77777777" w:rsidR="00E21E9B" w:rsidRPr="00602915" w:rsidRDefault="00E21E9B" w:rsidP="00582CE9">
            <w:pPr>
              <w:spacing w:after="0" w:line="240" w:lineRule="auto"/>
              <w:rPr>
                <w:rFonts w:ascii="Arial" w:eastAsia="Times New Roman" w:hAnsi="Arial" w:cs="Arial"/>
                <w:sz w:val="20"/>
                <w:szCs w:val="20"/>
                <w:lang w:val="en-GB" w:eastAsia="en-GB"/>
              </w:rPr>
            </w:pPr>
          </w:p>
        </w:tc>
        <w:tc>
          <w:tcPr>
            <w:tcW w:w="0" w:type="auto"/>
            <w:hideMark/>
          </w:tcPr>
          <w:p w14:paraId="7E655C79" w14:textId="77777777"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Subcutaneous</w:t>
            </w:r>
          </w:p>
        </w:tc>
        <w:tc>
          <w:tcPr>
            <w:tcW w:w="0" w:type="auto"/>
            <w:hideMark/>
          </w:tcPr>
          <w:p w14:paraId="119982C6" w14:textId="77777777"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Apomorphine</w:t>
            </w:r>
          </w:p>
        </w:tc>
        <w:tc>
          <w:tcPr>
            <w:tcW w:w="0" w:type="auto"/>
            <w:hideMark/>
          </w:tcPr>
          <w:p w14:paraId="11A38F4E"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Injections provide rapid-onset ‘rescue therapy’ for severe ‘off’ periods</w:t>
            </w:r>
          </w:p>
          <w:p w14:paraId="493AA04C" w14:textId="0E02848B"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Continuous infusion via pump for management of advanced disease with motor fluctuations</w:t>
            </w:r>
          </w:p>
        </w:tc>
        <w:tc>
          <w:tcPr>
            <w:tcW w:w="0" w:type="auto"/>
            <w:hideMark/>
          </w:tcPr>
          <w:p w14:paraId="6075702B"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As for oral dopamine agonists but nausea and vomiting more problematic</w:t>
            </w:r>
          </w:p>
          <w:p w14:paraId="6924708E" w14:textId="4ABD6FC3"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Infusion site skin reactions</w:t>
            </w:r>
          </w:p>
        </w:tc>
      </w:tr>
      <w:tr w:rsidR="00582CE9" w:rsidRPr="00602915" w14:paraId="786C6802" w14:textId="77777777" w:rsidTr="00721011">
        <w:tc>
          <w:tcPr>
            <w:tcW w:w="0" w:type="auto"/>
            <w:hideMark/>
          </w:tcPr>
          <w:p w14:paraId="0C504D4A" w14:textId="77777777"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MAO-B inhibitors</w:t>
            </w:r>
          </w:p>
        </w:tc>
        <w:tc>
          <w:tcPr>
            <w:tcW w:w="0" w:type="auto"/>
            <w:hideMark/>
          </w:tcPr>
          <w:p w14:paraId="7FB1CA8C" w14:textId="77777777"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Oral</w:t>
            </w:r>
          </w:p>
        </w:tc>
        <w:tc>
          <w:tcPr>
            <w:tcW w:w="0" w:type="auto"/>
            <w:hideMark/>
          </w:tcPr>
          <w:p w14:paraId="4F66C12F"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Rasagiline</w:t>
            </w:r>
          </w:p>
          <w:p w14:paraId="62B465AD" w14:textId="145D03C8"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Selegiline</w:t>
            </w:r>
          </w:p>
        </w:tc>
        <w:tc>
          <w:tcPr>
            <w:tcW w:w="0" w:type="auto"/>
            <w:hideMark/>
          </w:tcPr>
          <w:p w14:paraId="18CB1B6A"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Well tolerated</w:t>
            </w:r>
          </w:p>
          <w:p w14:paraId="44A66BDD"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Once-daily dosing</w:t>
            </w:r>
          </w:p>
          <w:p w14:paraId="63F6328C"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Some evidence to suggest small disease-modifying effect</w:t>
            </w:r>
          </w:p>
          <w:p w14:paraId="3DAD91C3" w14:textId="3F84C7EA"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Monotherapy or add-on therapy to improve motor fluctuations</w:t>
            </w:r>
          </w:p>
        </w:tc>
        <w:tc>
          <w:tcPr>
            <w:tcW w:w="0" w:type="auto"/>
            <w:hideMark/>
          </w:tcPr>
          <w:p w14:paraId="0DB2D611"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Headache</w:t>
            </w:r>
          </w:p>
          <w:p w14:paraId="27FE6F7F"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Depression</w:t>
            </w:r>
          </w:p>
          <w:p w14:paraId="3C16E3D8"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Agitation</w:t>
            </w:r>
          </w:p>
          <w:p w14:paraId="21317DB3"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Dry mouth</w:t>
            </w:r>
          </w:p>
          <w:p w14:paraId="46BDBF9B" w14:textId="552FADF5"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Orthostatic hypotension</w:t>
            </w:r>
          </w:p>
        </w:tc>
      </w:tr>
      <w:tr w:rsidR="00582CE9" w:rsidRPr="00602915" w14:paraId="22E43BF6" w14:textId="77777777" w:rsidTr="00721011">
        <w:tc>
          <w:tcPr>
            <w:tcW w:w="0" w:type="auto"/>
            <w:hideMark/>
          </w:tcPr>
          <w:p w14:paraId="71DF1899" w14:textId="77777777"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COMT inhibitors</w:t>
            </w:r>
          </w:p>
        </w:tc>
        <w:tc>
          <w:tcPr>
            <w:tcW w:w="0" w:type="auto"/>
            <w:hideMark/>
          </w:tcPr>
          <w:p w14:paraId="16BF99CC" w14:textId="77777777"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Oral</w:t>
            </w:r>
          </w:p>
        </w:tc>
        <w:tc>
          <w:tcPr>
            <w:tcW w:w="0" w:type="auto"/>
            <w:hideMark/>
          </w:tcPr>
          <w:p w14:paraId="37D0BC7E"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Entacapone</w:t>
            </w:r>
          </w:p>
          <w:p w14:paraId="5EC0A7D4"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Tolcapone</w:t>
            </w:r>
          </w:p>
          <w:p w14:paraId="5953EF95" w14:textId="33A577F9" w:rsidR="00A47253" w:rsidRDefault="00A47253"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Opicapone</w:t>
            </w:r>
          </w:p>
          <w:p w14:paraId="041B09AA" w14:textId="77777777" w:rsidR="001B79C1" w:rsidRPr="00602915" w:rsidRDefault="001B79C1" w:rsidP="001B79C1">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(Stalevo = entacapone + levodopa + DDC inhibitor)</w:t>
            </w:r>
          </w:p>
          <w:p w14:paraId="4F7BF675" w14:textId="727DA5F0" w:rsidR="001B79C1" w:rsidRPr="00602915" w:rsidRDefault="001B79C1" w:rsidP="00582CE9">
            <w:pPr>
              <w:spacing w:after="0" w:line="240" w:lineRule="auto"/>
              <w:rPr>
                <w:rFonts w:ascii="Arial" w:eastAsia="Times New Roman" w:hAnsi="Arial" w:cs="Arial"/>
                <w:sz w:val="20"/>
                <w:szCs w:val="20"/>
                <w:lang w:val="en-GB" w:eastAsia="en-GB"/>
              </w:rPr>
            </w:pPr>
          </w:p>
        </w:tc>
        <w:tc>
          <w:tcPr>
            <w:tcW w:w="0" w:type="auto"/>
            <w:hideMark/>
          </w:tcPr>
          <w:p w14:paraId="53C9C3B4"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Improves levodopa-associated motor fluctuations</w:t>
            </w:r>
          </w:p>
          <w:p w14:paraId="61AACE0E" w14:textId="1FF34C7B"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Enables reduction of levodopa dose to help manage dyskinesias</w:t>
            </w:r>
          </w:p>
        </w:tc>
        <w:tc>
          <w:tcPr>
            <w:tcW w:w="0" w:type="auto"/>
            <w:hideMark/>
          </w:tcPr>
          <w:p w14:paraId="1E90BBFA"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Gastrointestinal disturbance</w:t>
            </w:r>
            <w:r w:rsidR="00000357" w:rsidRPr="00602915">
              <w:rPr>
                <w:rFonts w:ascii="Arial" w:eastAsia="Times New Roman" w:hAnsi="Arial" w:cs="Arial"/>
                <w:sz w:val="20"/>
                <w:szCs w:val="20"/>
                <w:lang w:val="en-GB" w:eastAsia="en-GB"/>
              </w:rPr>
              <w:t xml:space="preserve"> (entacapone)</w:t>
            </w:r>
          </w:p>
          <w:p w14:paraId="4FAC2E59"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Orthostatic hypotension</w:t>
            </w:r>
          </w:p>
          <w:p w14:paraId="53A0C5E2"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Dyskinesias</w:t>
            </w:r>
          </w:p>
          <w:p w14:paraId="3EDFA428"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Hallucinations</w:t>
            </w:r>
          </w:p>
          <w:p w14:paraId="11229C09" w14:textId="228A63A0"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Orange discoloration of urine</w:t>
            </w:r>
            <w:r w:rsidR="00A47253" w:rsidRPr="00602915">
              <w:rPr>
                <w:rFonts w:ascii="Arial" w:eastAsia="Times New Roman" w:hAnsi="Arial" w:cs="Arial"/>
                <w:sz w:val="20"/>
                <w:szCs w:val="20"/>
                <w:lang w:val="en-GB" w:eastAsia="en-GB"/>
              </w:rPr>
              <w:t xml:space="preserve"> (entacapone)</w:t>
            </w:r>
          </w:p>
          <w:p w14:paraId="70AFC9F9" w14:textId="24A96208"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Hepatic impairment (tolcapone)</w:t>
            </w:r>
          </w:p>
        </w:tc>
      </w:tr>
      <w:tr w:rsidR="00000357" w:rsidRPr="00602915" w14:paraId="59CFCAA8" w14:textId="77777777" w:rsidTr="00721011">
        <w:tc>
          <w:tcPr>
            <w:tcW w:w="0" w:type="auto"/>
          </w:tcPr>
          <w:p w14:paraId="6240F7B1" w14:textId="139E7B61" w:rsidR="00000357" w:rsidRPr="00602915" w:rsidRDefault="00000357"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lastRenderedPageBreak/>
              <w:t>Combined MAOB inhibition and anti-glutamatergic release</w:t>
            </w:r>
          </w:p>
        </w:tc>
        <w:tc>
          <w:tcPr>
            <w:tcW w:w="0" w:type="auto"/>
          </w:tcPr>
          <w:p w14:paraId="716B1A76" w14:textId="41F004BE" w:rsidR="00000357" w:rsidRPr="00602915" w:rsidRDefault="00000357"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Oral</w:t>
            </w:r>
          </w:p>
        </w:tc>
        <w:tc>
          <w:tcPr>
            <w:tcW w:w="0" w:type="auto"/>
          </w:tcPr>
          <w:p w14:paraId="34E326EA" w14:textId="2FF2B1F5" w:rsidR="00000357" w:rsidRPr="00602915" w:rsidRDefault="00000357"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Safinamide</w:t>
            </w:r>
          </w:p>
        </w:tc>
        <w:tc>
          <w:tcPr>
            <w:tcW w:w="0" w:type="auto"/>
          </w:tcPr>
          <w:p w14:paraId="396971E6" w14:textId="3C60DC2D" w:rsidR="00000357" w:rsidRPr="00602915" w:rsidRDefault="00000357"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Once daily adjunct to levodopa</w:t>
            </w:r>
          </w:p>
          <w:p w14:paraId="0958B734" w14:textId="6BFCA1BA" w:rsidR="00000357" w:rsidRPr="00602915" w:rsidRDefault="00000357"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 xml:space="preserve">Potentially useful for patients with both wearing off and dyskinesias </w:t>
            </w:r>
          </w:p>
        </w:tc>
        <w:tc>
          <w:tcPr>
            <w:tcW w:w="0" w:type="auto"/>
          </w:tcPr>
          <w:p w14:paraId="55D5422C" w14:textId="77777777" w:rsidR="00000357" w:rsidRPr="00602915" w:rsidRDefault="00000357"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Dyskinesia</w:t>
            </w:r>
          </w:p>
          <w:p w14:paraId="69EDBB26" w14:textId="77777777" w:rsidR="00000357" w:rsidRPr="00602915" w:rsidRDefault="00000357"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Nausea</w:t>
            </w:r>
          </w:p>
          <w:p w14:paraId="4F564C4E" w14:textId="77777777" w:rsidR="00000357" w:rsidRPr="00602915" w:rsidRDefault="00000357"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Orthostatic hypotension</w:t>
            </w:r>
          </w:p>
          <w:p w14:paraId="3CBA2128" w14:textId="77777777" w:rsidR="00000357" w:rsidRPr="00602915" w:rsidRDefault="00000357"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Dizziness</w:t>
            </w:r>
          </w:p>
          <w:p w14:paraId="29C124E5" w14:textId="77777777" w:rsidR="00000357" w:rsidRPr="00602915" w:rsidRDefault="00000357"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Headache</w:t>
            </w:r>
          </w:p>
          <w:p w14:paraId="2B78F15A" w14:textId="71B136C9" w:rsidR="00000357" w:rsidRPr="00602915" w:rsidRDefault="00000357"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Insomnia</w:t>
            </w:r>
          </w:p>
        </w:tc>
      </w:tr>
      <w:tr w:rsidR="00582CE9" w:rsidRPr="00602915" w14:paraId="5DB857C6" w14:textId="77777777" w:rsidTr="00721011">
        <w:tc>
          <w:tcPr>
            <w:tcW w:w="0" w:type="auto"/>
            <w:hideMark/>
          </w:tcPr>
          <w:p w14:paraId="28DD126D" w14:textId="4B96C6AF"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Anticholinergics</w:t>
            </w:r>
          </w:p>
        </w:tc>
        <w:tc>
          <w:tcPr>
            <w:tcW w:w="0" w:type="auto"/>
            <w:hideMark/>
          </w:tcPr>
          <w:p w14:paraId="4418B311" w14:textId="77777777"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Oral</w:t>
            </w:r>
          </w:p>
        </w:tc>
        <w:tc>
          <w:tcPr>
            <w:tcW w:w="0" w:type="auto"/>
            <w:hideMark/>
          </w:tcPr>
          <w:p w14:paraId="69505579"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Trihexyphenidyl</w:t>
            </w:r>
          </w:p>
          <w:p w14:paraId="029A7A5B" w14:textId="77C8B18D"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Orphenadrine</w:t>
            </w:r>
          </w:p>
        </w:tc>
        <w:tc>
          <w:tcPr>
            <w:tcW w:w="0" w:type="auto"/>
            <w:hideMark/>
          </w:tcPr>
          <w:p w14:paraId="7B54AD1A" w14:textId="77777777"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Can be useful to manage tremor</w:t>
            </w:r>
          </w:p>
        </w:tc>
        <w:tc>
          <w:tcPr>
            <w:tcW w:w="0" w:type="auto"/>
            <w:hideMark/>
          </w:tcPr>
          <w:p w14:paraId="7A42BB9A"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Confusion</w:t>
            </w:r>
          </w:p>
          <w:p w14:paraId="1AECCB4B"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Hallucinations</w:t>
            </w:r>
          </w:p>
          <w:p w14:paraId="6E1F3D07"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Dry mouth</w:t>
            </w:r>
          </w:p>
          <w:p w14:paraId="0CE6C5CB"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Constipation</w:t>
            </w:r>
          </w:p>
          <w:p w14:paraId="7A81B98D" w14:textId="3F752A5B"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Urinary retention</w:t>
            </w:r>
          </w:p>
        </w:tc>
      </w:tr>
      <w:tr w:rsidR="00582CE9" w:rsidRPr="00602915" w14:paraId="4B88CE94" w14:textId="77777777" w:rsidTr="00721011">
        <w:tc>
          <w:tcPr>
            <w:tcW w:w="0" w:type="auto"/>
            <w:hideMark/>
          </w:tcPr>
          <w:p w14:paraId="040C2305" w14:textId="77777777"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(Uncertain mode of action; weak NMDA receptor antagonist)</w:t>
            </w:r>
          </w:p>
        </w:tc>
        <w:tc>
          <w:tcPr>
            <w:tcW w:w="0" w:type="auto"/>
            <w:hideMark/>
          </w:tcPr>
          <w:p w14:paraId="60A8335B" w14:textId="77777777"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Oral</w:t>
            </w:r>
          </w:p>
        </w:tc>
        <w:tc>
          <w:tcPr>
            <w:tcW w:w="0" w:type="auto"/>
            <w:hideMark/>
          </w:tcPr>
          <w:p w14:paraId="2FC72145" w14:textId="77777777"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Amantadine</w:t>
            </w:r>
          </w:p>
        </w:tc>
        <w:tc>
          <w:tcPr>
            <w:tcW w:w="0" w:type="auto"/>
            <w:hideMark/>
          </w:tcPr>
          <w:p w14:paraId="05542D89" w14:textId="77777777"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Can improve dyskinesias</w:t>
            </w:r>
          </w:p>
        </w:tc>
        <w:tc>
          <w:tcPr>
            <w:tcW w:w="0" w:type="auto"/>
            <w:hideMark/>
          </w:tcPr>
          <w:p w14:paraId="5ED84B66"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Confusion</w:t>
            </w:r>
          </w:p>
          <w:p w14:paraId="4112186B"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Hallucinations</w:t>
            </w:r>
          </w:p>
          <w:p w14:paraId="1A699AEB" w14:textId="77777777" w:rsidR="00696452"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Peripheral oedema</w:t>
            </w:r>
          </w:p>
          <w:p w14:paraId="09638F9A" w14:textId="6E3FA353" w:rsidR="00E21E9B" w:rsidRPr="00602915" w:rsidRDefault="00E21E9B" w:rsidP="00582CE9">
            <w:pPr>
              <w:spacing w:after="0" w:line="240" w:lineRule="auto"/>
              <w:rPr>
                <w:rFonts w:ascii="Arial" w:eastAsia="Times New Roman" w:hAnsi="Arial" w:cs="Arial"/>
                <w:sz w:val="20"/>
                <w:szCs w:val="20"/>
                <w:lang w:val="en-GB" w:eastAsia="en-GB"/>
              </w:rPr>
            </w:pPr>
            <w:r w:rsidRPr="00602915">
              <w:rPr>
                <w:rFonts w:ascii="Arial" w:eastAsia="Times New Roman" w:hAnsi="Arial" w:cs="Arial"/>
                <w:sz w:val="20"/>
                <w:szCs w:val="20"/>
                <w:lang w:val="en-GB" w:eastAsia="en-GB"/>
              </w:rPr>
              <w:t>Livedo reticularis</w:t>
            </w:r>
          </w:p>
        </w:tc>
      </w:tr>
      <w:tr w:rsidR="00084AA2" w:rsidRPr="00602915" w14:paraId="3CBEAC1F" w14:textId="77777777" w:rsidTr="00721011">
        <w:tc>
          <w:tcPr>
            <w:tcW w:w="0" w:type="auto"/>
            <w:gridSpan w:val="5"/>
            <w:vAlign w:val="center"/>
          </w:tcPr>
          <w:p w14:paraId="5597C085" w14:textId="77777777" w:rsidR="00084AA2" w:rsidRPr="00602915" w:rsidRDefault="00084AA2" w:rsidP="00582CE9">
            <w:pPr>
              <w:spacing w:after="0" w:line="240" w:lineRule="auto"/>
              <w:rPr>
                <w:rFonts w:ascii="Arial" w:eastAsia="Times New Roman" w:hAnsi="Arial" w:cs="Arial"/>
                <w:sz w:val="20"/>
                <w:szCs w:val="20"/>
                <w:lang w:val="en-GB" w:eastAsia="en-GB"/>
              </w:rPr>
            </w:pPr>
          </w:p>
          <w:p w14:paraId="0B5AFD93" w14:textId="321CAD25" w:rsidR="00084AA2" w:rsidRPr="00602915" w:rsidRDefault="00084AA2" w:rsidP="00582CE9">
            <w:pPr>
              <w:spacing w:after="0" w:line="240" w:lineRule="auto"/>
              <w:rPr>
                <w:rFonts w:ascii="Arial" w:eastAsia="Times New Roman" w:hAnsi="Arial" w:cs="Arial"/>
                <w:sz w:val="16"/>
                <w:szCs w:val="16"/>
                <w:lang w:val="en-GB" w:eastAsia="en-GB"/>
              </w:rPr>
            </w:pPr>
            <w:r w:rsidRPr="00602915">
              <w:rPr>
                <w:rFonts w:ascii="Arial" w:eastAsia="Times New Roman" w:hAnsi="Arial" w:cs="Arial"/>
                <w:sz w:val="16"/>
                <w:szCs w:val="16"/>
                <w:lang w:val="en-GB" w:eastAsia="en-GB"/>
              </w:rPr>
              <w:t xml:space="preserve">DDC, dopa decarboxylase; NMDA, </w:t>
            </w:r>
            <w:r w:rsidRPr="00602915">
              <w:rPr>
                <w:rFonts w:ascii="Arial" w:eastAsia="Times New Roman" w:hAnsi="Arial" w:cs="Arial"/>
                <w:i/>
                <w:iCs/>
                <w:sz w:val="16"/>
                <w:szCs w:val="16"/>
                <w:lang w:val="en-GB" w:eastAsia="en-GB"/>
              </w:rPr>
              <w:t>N</w:t>
            </w:r>
            <w:r w:rsidRPr="00602915">
              <w:rPr>
                <w:rFonts w:ascii="Arial" w:eastAsia="Times New Roman" w:hAnsi="Arial" w:cs="Arial"/>
                <w:sz w:val="16"/>
                <w:szCs w:val="16"/>
                <w:lang w:val="en-GB" w:eastAsia="en-GB"/>
              </w:rPr>
              <w:t>-methyl-</w:t>
            </w:r>
            <w:r w:rsidRPr="00602915">
              <w:rPr>
                <w:rFonts w:ascii="Arial" w:eastAsia="Times New Roman" w:hAnsi="Arial" w:cs="Arial"/>
                <w:smallCaps/>
                <w:sz w:val="16"/>
                <w:szCs w:val="16"/>
                <w:lang w:val="en-GB" w:eastAsia="en-GB"/>
              </w:rPr>
              <w:t>d</w:t>
            </w:r>
            <w:r w:rsidRPr="00602915">
              <w:rPr>
                <w:rFonts w:ascii="Arial" w:eastAsia="Times New Roman" w:hAnsi="Arial" w:cs="Arial"/>
                <w:sz w:val="16"/>
                <w:szCs w:val="16"/>
                <w:lang w:val="en-GB" w:eastAsia="en-GB"/>
              </w:rPr>
              <w:t>-aspartate receptor.</w:t>
            </w:r>
          </w:p>
        </w:tc>
      </w:tr>
    </w:tbl>
    <w:p w14:paraId="5A69D01E" w14:textId="399A1488" w:rsidR="00E21E9B" w:rsidRPr="00602915" w:rsidRDefault="00E21E9B" w:rsidP="00582CE9">
      <w:pPr>
        <w:spacing w:after="0" w:line="240" w:lineRule="auto"/>
        <w:rPr>
          <w:rFonts w:ascii="Arial" w:eastAsia="Times New Roman" w:hAnsi="Arial" w:cs="Arial"/>
          <w:sz w:val="20"/>
          <w:szCs w:val="20"/>
          <w:lang w:val="en-GB" w:eastAsia="en-GB"/>
        </w:rPr>
      </w:pPr>
    </w:p>
    <w:p w14:paraId="263EA3EA" w14:textId="77777777" w:rsidR="000C547E" w:rsidRPr="00602915" w:rsidRDefault="00084AA2" w:rsidP="00582CE9">
      <w:pPr>
        <w:spacing w:after="0" w:line="240" w:lineRule="auto"/>
        <w:rPr>
          <w:rFonts w:ascii="Arial" w:eastAsia="Times New Roman" w:hAnsi="Arial" w:cs="Arial"/>
          <w:b/>
          <w:sz w:val="20"/>
          <w:szCs w:val="20"/>
          <w:lang w:val="en-GB" w:eastAsia="en-GB"/>
        </w:rPr>
      </w:pPr>
      <w:r w:rsidRPr="00602915">
        <w:rPr>
          <w:rFonts w:ascii="Arial" w:eastAsia="Times New Roman" w:hAnsi="Arial" w:cs="Arial"/>
          <w:b/>
          <w:sz w:val="20"/>
          <w:szCs w:val="20"/>
          <w:lang w:val="en-GB" w:eastAsia="en-GB"/>
        </w:rPr>
        <w:t xml:space="preserve">Table 2. </w:t>
      </w:r>
    </w:p>
    <w:p w14:paraId="7658873B" w14:textId="77777777" w:rsidR="000C547E" w:rsidRPr="00602915" w:rsidRDefault="000C547E" w:rsidP="00582CE9">
      <w:pPr>
        <w:spacing w:after="0" w:line="240" w:lineRule="auto"/>
        <w:rPr>
          <w:rFonts w:ascii="Arial" w:eastAsia="Times New Roman" w:hAnsi="Arial" w:cs="Arial"/>
          <w:b/>
          <w:sz w:val="20"/>
          <w:szCs w:val="20"/>
          <w:lang w:val="en-GB" w:eastAsia="en-GB"/>
        </w:rPr>
      </w:pPr>
    </w:p>
    <w:p w14:paraId="2FEC1BCF" w14:textId="77777777" w:rsidR="000C547E" w:rsidRPr="00602915" w:rsidRDefault="000C547E" w:rsidP="00582CE9">
      <w:pPr>
        <w:spacing w:after="0" w:line="240" w:lineRule="auto"/>
        <w:rPr>
          <w:rFonts w:ascii="Arial" w:eastAsia="Times New Roman" w:hAnsi="Arial" w:cs="Arial"/>
          <w:b/>
          <w:sz w:val="20"/>
          <w:szCs w:val="20"/>
          <w:lang w:val="en-GB" w:eastAsia="en-GB"/>
        </w:rPr>
      </w:pPr>
    </w:p>
    <w:p w14:paraId="311E9AB0" w14:textId="77777777" w:rsidR="00005C31" w:rsidRPr="00602915" w:rsidRDefault="00005C31" w:rsidP="00582CE9">
      <w:pPr>
        <w:spacing w:after="0" w:line="240" w:lineRule="auto"/>
        <w:rPr>
          <w:rFonts w:ascii="Arial" w:hAnsi="Arial" w:cs="Arial"/>
          <w:b/>
          <w:sz w:val="20"/>
          <w:szCs w:val="20"/>
          <w:lang w:val="en-GB"/>
        </w:rPr>
        <w:sectPr w:rsidR="00005C31" w:rsidRPr="00602915" w:rsidSect="00F6355C">
          <w:pgSz w:w="15840" w:h="12240" w:orient="landscape"/>
          <w:pgMar w:top="1440" w:right="1440" w:bottom="1440" w:left="1440" w:header="709" w:footer="709" w:gutter="0"/>
          <w:cols w:space="708"/>
          <w:docGrid w:linePitch="360"/>
        </w:sectPr>
      </w:pPr>
    </w:p>
    <w:p w14:paraId="2861EC43" w14:textId="7E2115D2" w:rsidR="00E21E9B" w:rsidRPr="00602915" w:rsidRDefault="00E21E9B" w:rsidP="00582CE9">
      <w:pPr>
        <w:spacing w:after="0" w:line="240" w:lineRule="auto"/>
        <w:rPr>
          <w:rFonts w:ascii="Arial" w:hAnsi="Arial" w:cs="Arial"/>
          <w:b/>
          <w:sz w:val="20"/>
          <w:szCs w:val="20"/>
          <w:lang w:val="en-GB"/>
        </w:rPr>
      </w:pPr>
    </w:p>
    <w:p w14:paraId="06E36631" w14:textId="77777777" w:rsidR="00554A19" w:rsidRPr="00602915" w:rsidRDefault="00554A19" w:rsidP="00554A19">
      <w:pPr>
        <w:pStyle w:val="Body"/>
        <w:jc w:val="both"/>
        <w:rPr>
          <w:rFonts w:ascii="Arial" w:eastAsia="Arial" w:hAnsi="Arial" w:cs="Arial"/>
          <w:b/>
          <w:bCs/>
          <w:color w:val="0070C0"/>
          <w:sz w:val="20"/>
          <w:szCs w:val="20"/>
        </w:rPr>
      </w:pPr>
      <w:r w:rsidRPr="00602915">
        <w:rPr>
          <w:rFonts w:ascii="Arial" w:eastAsia="Arial" w:hAnsi="Arial" w:cs="Arial"/>
          <w:b/>
          <w:bCs/>
          <w:color w:val="0070C0"/>
          <w:sz w:val="20"/>
          <w:szCs w:val="20"/>
        </w:rPr>
        <w:t>TEST YOURSELF</w:t>
      </w:r>
    </w:p>
    <w:p w14:paraId="5CD41D2C" w14:textId="77777777" w:rsidR="00554A19" w:rsidRPr="00602915" w:rsidRDefault="00554A19" w:rsidP="00554A19">
      <w:pPr>
        <w:spacing w:after="0" w:line="240" w:lineRule="auto"/>
        <w:jc w:val="both"/>
        <w:rPr>
          <w:rFonts w:ascii="Arial" w:hAnsi="Arial" w:cs="Arial"/>
          <w:sz w:val="20"/>
          <w:szCs w:val="20"/>
          <w:lang w:val="en-GB"/>
        </w:rPr>
      </w:pPr>
      <w:r w:rsidRPr="00602915">
        <w:rPr>
          <w:rFonts w:ascii="Arial" w:hAnsi="Arial" w:cs="Arial"/>
          <w:color w:val="000000"/>
          <w:sz w:val="20"/>
          <w:szCs w:val="20"/>
          <w:lang w:val="en-GB"/>
        </w:rPr>
        <w:t xml:space="preserve">To test your knowledge based on the article you have just read, please complete the questions below. The answers can be found at the end of the issue or online </w:t>
      </w:r>
      <w:r w:rsidRPr="00602915">
        <w:rPr>
          <w:rFonts w:ascii="Arial" w:hAnsi="Arial" w:cs="Arial"/>
          <w:color w:val="2197D2"/>
          <w:sz w:val="20"/>
          <w:szCs w:val="20"/>
          <w:lang w:val="en-GB"/>
        </w:rPr>
        <w:t>here.</w:t>
      </w:r>
    </w:p>
    <w:p w14:paraId="3E16AC79" w14:textId="77777777" w:rsidR="00554A19" w:rsidRPr="00602915" w:rsidRDefault="00554A19" w:rsidP="000C547E">
      <w:pPr>
        <w:autoSpaceDE w:val="0"/>
        <w:autoSpaceDN w:val="0"/>
        <w:adjustRightInd w:val="0"/>
        <w:spacing w:after="0" w:line="240" w:lineRule="auto"/>
        <w:rPr>
          <w:rFonts w:ascii="Arial" w:hAnsi="Arial" w:cs="Arial"/>
          <w:b/>
          <w:sz w:val="20"/>
          <w:szCs w:val="20"/>
          <w:lang w:val="en-GB"/>
        </w:rPr>
      </w:pPr>
    </w:p>
    <w:p w14:paraId="2B391AF6" w14:textId="77777777" w:rsidR="00554A19" w:rsidRPr="00602915" w:rsidRDefault="00554A19" w:rsidP="00554A19">
      <w:pPr>
        <w:autoSpaceDE w:val="0"/>
        <w:autoSpaceDN w:val="0"/>
        <w:adjustRightInd w:val="0"/>
        <w:spacing w:after="0" w:line="240" w:lineRule="auto"/>
        <w:rPr>
          <w:rFonts w:ascii="Arial" w:hAnsi="Arial" w:cs="Arial"/>
          <w:b/>
          <w:sz w:val="20"/>
          <w:szCs w:val="20"/>
          <w:lang w:val="en-GB"/>
        </w:rPr>
      </w:pPr>
      <w:r w:rsidRPr="00602915">
        <w:rPr>
          <w:rFonts w:ascii="Arial" w:hAnsi="Arial" w:cs="Arial"/>
          <w:b/>
          <w:sz w:val="20"/>
          <w:szCs w:val="20"/>
          <w:lang w:val="en-GB"/>
        </w:rPr>
        <w:t>Question 1</w:t>
      </w:r>
    </w:p>
    <w:p w14:paraId="48CC1F04" w14:textId="69819240" w:rsidR="00554A19"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 xml:space="preserve">A 75-year-old man presented for review with his wife. She </w:t>
      </w:r>
      <w:r w:rsidRPr="00602915">
        <w:rPr>
          <w:rFonts w:ascii="Arial" w:hAnsi="Arial" w:cs="Arial"/>
          <w:sz w:val="20"/>
          <w:szCs w:val="20"/>
          <w:lang w:val="en-GB"/>
        </w:rPr>
        <w:t>was concerned that he was becoming forgetful, and that his behaviour towards her had become more hostile in recent months.</w:t>
      </w:r>
      <w:r w:rsidR="00696452" w:rsidRPr="00602915">
        <w:rPr>
          <w:rFonts w:ascii="Arial" w:hAnsi="Arial" w:cs="Arial"/>
          <w:sz w:val="20"/>
          <w:szCs w:val="20"/>
          <w:lang w:val="en-GB"/>
        </w:rPr>
        <w:t xml:space="preserve"> </w:t>
      </w:r>
      <w:r w:rsidRPr="00602915">
        <w:rPr>
          <w:rFonts w:ascii="Arial" w:hAnsi="Arial" w:cs="Arial"/>
          <w:sz w:val="20"/>
          <w:szCs w:val="20"/>
          <w:lang w:val="en-GB"/>
        </w:rPr>
        <w:t>He was suspicious that she was having an extramarital affair. He had also reported seeing small children in their house in the evenings.</w:t>
      </w:r>
      <w:r w:rsidR="00696452" w:rsidRPr="00602915">
        <w:rPr>
          <w:rFonts w:ascii="Arial" w:hAnsi="Arial" w:cs="Arial"/>
          <w:sz w:val="20"/>
          <w:szCs w:val="20"/>
          <w:lang w:val="en-GB"/>
        </w:rPr>
        <w:t xml:space="preserve"> </w:t>
      </w:r>
      <w:r w:rsidRPr="00602915">
        <w:rPr>
          <w:rFonts w:ascii="Arial" w:hAnsi="Arial" w:cs="Arial"/>
          <w:sz w:val="20"/>
          <w:szCs w:val="20"/>
          <w:lang w:val="en-GB"/>
        </w:rPr>
        <w:t xml:space="preserve">He had been found to have Parkinson’s disease 12 years previously. </w:t>
      </w:r>
      <w:r w:rsidRPr="00602915">
        <w:rPr>
          <w:rFonts w:ascii="Arial" w:hAnsi="Arial" w:cs="Arial"/>
          <w:sz w:val="20"/>
          <w:szCs w:val="20"/>
          <w:lang w:val="en-GB"/>
        </w:rPr>
        <w:t xml:space="preserve">His motor symptoms were reasonably well controlled. He walked with a stick and had no significant dyskinesia. </w:t>
      </w:r>
      <w:r w:rsidRPr="00602915">
        <w:rPr>
          <w:rFonts w:ascii="Arial" w:hAnsi="Arial" w:cs="Arial"/>
          <w:sz w:val="20"/>
          <w:szCs w:val="20"/>
          <w:lang w:val="en-GB"/>
        </w:rPr>
        <w:t>He was taking amantadine 200</w:t>
      </w:r>
      <w:r w:rsidR="00C136E8" w:rsidRPr="00602915">
        <w:rPr>
          <w:rFonts w:ascii="Arial" w:hAnsi="Arial" w:cs="Arial"/>
          <w:sz w:val="20"/>
          <w:szCs w:val="20"/>
          <w:lang w:val="en-GB"/>
        </w:rPr>
        <w:t xml:space="preserve"> </w:t>
      </w:r>
      <w:r w:rsidRPr="00602915">
        <w:rPr>
          <w:rFonts w:ascii="Arial" w:hAnsi="Arial" w:cs="Arial"/>
          <w:sz w:val="20"/>
          <w:szCs w:val="20"/>
          <w:lang w:val="en-GB"/>
        </w:rPr>
        <w:t>mg 12</w:t>
      </w:r>
      <w:r w:rsidR="00C136E8" w:rsidRPr="00602915">
        <w:rPr>
          <w:rFonts w:ascii="Arial" w:hAnsi="Arial" w:cs="Arial"/>
          <w:sz w:val="20"/>
          <w:szCs w:val="20"/>
          <w:lang w:val="en-GB"/>
        </w:rPr>
        <w:t>-</w:t>
      </w:r>
      <w:r w:rsidRPr="00602915">
        <w:rPr>
          <w:rFonts w:ascii="Arial" w:hAnsi="Arial" w:cs="Arial"/>
          <w:sz w:val="20"/>
          <w:szCs w:val="20"/>
          <w:lang w:val="en-GB"/>
        </w:rPr>
        <w:t>hourly and co-beneldopa 100</w:t>
      </w:r>
      <w:r w:rsidR="00C136E8" w:rsidRPr="00602915">
        <w:rPr>
          <w:rFonts w:ascii="Arial" w:hAnsi="Arial" w:cs="Arial"/>
          <w:sz w:val="20"/>
          <w:szCs w:val="20"/>
          <w:lang w:val="en-GB"/>
        </w:rPr>
        <w:t xml:space="preserve"> </w:t>
      </w:r>
      <w:r w:rsidRPr="00602915">
        <w:rPr>
          <w:rFonts w:ascii="Arial" w:hAnsi="Arial" w:cs="Arial"/>
          <w:sz w:val="20"/>
          <w:szCs w:val="20"/>
          <w:lang w:val="en-GB"/>
        </w:rPr>
        <w:t>mg/25</w:t>
      </w:r>
      <w:r w:rsidR="00C136E8" w:rsidRPr="00602915">
        <w:rPr>
          <w:rFonts w:ascii="Arial" w:hAnsi="Arial" w:cs="Arial"/>
          <w:sz w:val="20"/>
          <w:szCs w:val="20"/>
          <w:lang w:val="en-GB"/>
        </w:rPr>
        <w:t xml:space="preserve"> </w:t>
      </w:r>
      <w:r w:rsidRPr="00602915">
        <w:rPr>
          <w:rFonts w:ascii="Arial" w:hAnsi="Arial" w:cs="Arial"/>
          <w:sz w:val="20"/>
          <w:szCs w:val="20"/>
          <w:lang w:val="en-GB"/>
        </w:rPr>
        <w:t>mg 6</w:t>
      </w:r>
      <w:r w:rsidR="00C136E8" w:rsidRPr="00602915">
        <w:rPr>
          <w:rFonts w:ascii="Arial" w:hAnsi="Arial" w:cs="Arial"/>
          <w:sz w:val="20"/>
          <w:szCs w:val="20"/>
          <w:lang w:val="en-GB"/>
        </w:rPr>
        <w:t>-</w:t>
      </w:r>
      <w:r w:rsidRPr="00602915">
        <w:rPr>
          <w:rFonts w:ascii="Arial" w:hAnsi="Arial" w:cs="Arial"/>
          <w:sz w:val="20"/>
          <w:szCs w:val="20"/>
          <w:lang w:val="en-GB"/>
        </w:rPr>
        <w:t xml:space="preserve">hourly </w:t>
      </w:r>
    </w:p>
    <w:p w14:paraId="59CEB983" w14:textId="77777777" w:rsidR="00554A19" w:rsidRPr="00602915" w:rsidRDefault="00554A19" w:rsidP="00554A19">
      <w:pPr>
        <w:autoSpaceDE w:val="0"/>
        <w:autoSpaceDN w:val="0"/>
        <w:adjustRightInd w:val="0"/>
        <w:spacing w:after="0" w:line="240" w:lineRule="auto"/>
        <w:rPr>
          <w:rFonts w:ascii="Arial" w:hAnsi="Arial" w:cs="Arial"/>
          <w:sz w:val="20"/>
          <w:szCs w:val="20"/>
          <w:lang w:val="en-GB"/>
        </w:rPr>
      </w:pPr>
    </w:p>
    <w:p w14:paraId="6AAFC75B" w14:textId="77777777" w:rsidR="00554A19" w:rsidRPr="00602915" w:rsidRDefault="00554A19" w:rsidP="00554A19">
      <w:pPr>
        <w:autoSpaceDE w:val="0"/>
        <w:autoSpaceDN w:val="0"/>
        <w:adjustRightInd w:val="0"/>
        <w:spacing w:after="0" w:line="240" w:lineRule="auto"/>
        <w:rPr>
          <w:rFonts w:ascii="Arial" w:hAnsi="Arial" w:cs="Arial"/>
          <w:b/>
          <w:bCs/>
          <w:sz w:val="20"/>
          <w:szCs w:val="20"/>
          <w:lang w:val="en-GB"/>
        </w:rPr>
      </w:pPr>
      <w:r w:rsidRPr="00602915">
        <w:rPr>
          <w:rFonts w:ascii="Arial" w:hAnsi="Arial" w:cs="Arial"/>
          <w:b/>
          <w:bCs/>
          <w:sz w:val="20"/>
          <w:szCs w:val="20"/>
          <w:lang w:val="en-GB"/>
        </w:rPr>
        <w:t>What is the most appropriate next step in his management?</w:t>
      </w:r>
    </w:p>
    <w:p w14:paraId="747FD60E" w14:textId="77777777" w:rsidR="00554A19" w:rsidRPr="00602915" w:rsidRDefault="00554A19" w:rsidP="00554A19">
      <w:pPr>
        <w:autoSpaceDE w:val="0"/>
        <w:autoSpaceDN w:val="0"/>
        <w:adjustRightInd w:val="0"/>
        <w:spacing w:after="0" w:line="240" w:lineRule="auto"/>
        <w:rPr>
          <w:rFonts w:ascii="Arial" w:hAnsi="Arial" w:cs="Arial"/>
          <w:b/>
          <w:bCs/>
          <w:sz w:val="20"/>
          <w:szCs w:val="20"/>
          <w:lang w:val="en-GB"/>
        </w:rPr>
      </w:pPr>
    </w:p>
    <w:p w14:paraId="6743DBC8" w14:textId="600E0AC9" w:rsidR="00554A19"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A.</w:t>
      </w:r>
      <w:r w:rsidRPr="00602915">
        <w:rPr>
          <w:rFonts w:ascii="Arial" w:hAnsi="Arial" w:cs="Arial"/>
          <w:sz w:val="20"/>
          <w:szCs w:val="20"/>
          <w:lang w:val="en-GB"/>
        </w:rPr>
        <w:tab/>
        <w:t xml:space="preserve">Arrange a CT </w:t>
      </w:r>
      <w:r w:rsidR="007F15CB" w:rsidRPr="00602915">
        <w:rPr>
          <w:rFonts w:ascii="Arial" w:hAnsi="Arial" w:cs="Arial"/>
          <w:sz w:val="20"/>
          <w:szCs w:val="20"/>
          <w:lang w:val="en-GB"/>
        </w:rPr>
        <w:t xml:space="preserve">of the </w:t>
      </w:r>
      <w:r w:rsidRPr="00602915">
        <w:rPr>
          <w:rFonts w:ascii="Arial" w:hAnsi="Arial" w:cs="Arial"/>
          <w:sz w:val="20"/>
          <w:szCs w:val="20"/>
          <w:lang w:val="en-GB"/>
        </w:rPr>
        <w:t xml:space="preserve">head </w:t>
      </w:r>
    </w:p>
    <w:p w14:paraId="31537BDF" w14:textId="77777777" w:rsidR="00554A19"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B.</w:t>
      </w:r>
      <w:r w:rsidRPr="00602915">
        <w:rPr>
          <w:rFonts w:ascii="Arial" w:hAnsi="Arial" w:cs="Arial"/>
          <w:sz w:val="20"/>
          <w:szCs w:val="20"/>
          <w:lang w:val="en-GB"/>
        </w:rPr>
        <w:tab/>
        <w:t>Withdraw the amantadine</w:t>
      </w:r>
    </w:p>
    <w:p w14:paraId="6AC3E949" w14:textId="77777777" w:rsidR="00554A19"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C.</w:t>
      </w:r>
      <w:r w:rsidRPr="00602915">
        <w:rPr>
          <w:rFonts w:ascii="Arial" w:hAnsi="Arial" w:cs="Arial"/>
          <w:sz w:val="20"/>
          <w:szCs w:val="20"/>
          <w:lang w:val="en-GB"/>
        </w:rPr>
        <w:tab/>
        <w:t>Reduce the dose of co-beneldopa</w:t>
      </w:r>
    </w:p>
    <w:p w14:paraId="78D97619" w14:textId="77777777" w:rsidR="00554A19"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D.</w:t>
      </w:r>
      <w:r w:rsidRPr="00602915">
        <w:rPr>
          <w:rFonts w:ascii="Arial" w:hAnsi="Arial" w:cs="Arial"/>
          <w:sz w:val="20"/>
          <w:szCs w:val="20"/>
          <w:lang w:val="en-GB"/>
        </w:rPr>
        <w:tab/>
        <w:t xml:space="preserve">Commence rivastigmine </w:t>
      </w:r>
    </w:p>
    <w:p w14:paraId="4994A274" w14:textId="77777777" w:rsidR="00554A19"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E.</w:t>
      </w:r>
      <w:r w:rsidRPr="00602915">
        <w:rPr>
          <w:rFonts w:ascii="Arial" w:hAnsi="Arial" w:cs="Arial"/>
          <w:sz w:val="20"/>
          <w:szCs w:val="20"/>
          <w:lang w:val="en-GB"/>
        </w:rPr>
        <w:tab/>
        <w:t>Commence quetiapine</w:t>
      </w:r>
    </w:p>
    <w:p w14:paraId="66292244" w14:textId="77777777" w:rsidR="00554A19" w:rsidRPr="00602915" w:rsidRDefault="00554A19" w:rsidP="00554A19">
      <w:pPr>
        <w:autoSpaceDE w:val="0"/>
        <w:autoSpaceDN w:val="0"/>
        <w:adjustRightInd w:val="0"/>
        <w:spacing w:after="0" w:line="240" w:lineRule="auto"/>
        <w:rPr>
          <w:rFonts w:ascii="Arial" w:hAnsi="Arial" w:cs="Arial"/>
          <w:sz w:val="20"/>
          <w:szCs w:val="20"/>
          <w:lang w:val="en-GB"/>
        </w:rPr>
      </w:pPr>
    </w:p>
    <w:p w14:paraId="53B1F404" w14:textId="265926F6" w:rsidR="00554A19"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b/>
          <w:bCs/>
          <w:sz w:val="20"/>
          <w:szCs w:val="20"/>
          <w:lang w:val="en-GB"/>
        </w:rPr>
        <w:t>Correct answer</w:t>
      </w:r>
      <w:r w:rsidR="007F15CB" w:rsidRPr="00602915">
        <w:rPr>
          <w:rFonts w:ascii="Arial" w:hAnsi="Arial" w:cs="Arial"/>
          <w:b/>
          <w:bCs/>
          <w:sz w:val="20"/>
          <w:szCs w:val="20"/>
          <w:lang w:val="en-GB"/>
        </w:rPr>
        <w:t>:</w:t>
      </w:r>
      <w:r w:rsidRPr="00602915">
        <w:rPr>
          <w:rFonts w:ascii="Arial" w:hAnsi="Arial" w:cs="Arial"/>
          <w:b/>
          <w:bCs/>
          <w:sz w:val="20"/>
          <w:szCs w:val="20"/>
          <w:lang w:val="en-GB"/>
        </w:rPr>
        <w:t xml:space="preserve"> B.</w:t>
      </w:r>
      <w:r w:rsidR="007F15CB" w:rsidRPr="00602915">
        <w:rPr>
          <w:rFonts w:ascii="Arial" w:hAnsi="Arial" w:cs="Arial"/>
          <w:b/>
          <w:bCs/>
          <w:sz w:val="20"/>
          <w:szCs w:val="20"/>
          <w:lang w:val="en-GB"/>
        </w:rPr>
        <w:t xml:space="preserve"> </w:t>
      </w:r>
      <w:r w:rsidRPr="00602915">
        <w:rPr>
          <w:rFonts w:ascii="Arial" w:hAnsi="Arial" w:cs="Arial"/>
          <w:sz w:val="20"/>
          <w:szCs w:val="20"/>
          <w:lang w:val="en-GB"/>
        </w:rPr>
        <w:t xml:space="preserve">Cognitive and neuropsychiatric symptoms are common in advanced </w:t>
      </w:r>
      <w:r w:rsidR="000B72F9" w:rsidRPr="00602915">
        <w:rPr>
          <w:rFonts w:ascii="Arial" w:hAnsi="Arial" w:cs="Arial"/>
          <w:sz w:val="20"/>
          <w:szCs w:val="20"/>
          <w:lang w:val="en-GB"/>
        </w:rPr>
        <w:t>Parkinson’s disease (</w:t>
      </w:r>
      <w:r w:rsidRPr="00602915">
        <w:rPr>
          <w:rFonts w:ascii="Arial" w:hAnsi="Arial" w:cs="Arial"/>
          <w:sz w:val="20"/>
          <w:szCs w:val="20"/>
          <w:lang w:val="en-GB"/>
        </w:rPr>
        <w:t>PD</w:t>
      </w:r>
      <w:r w:rsidR="000B72F9" w:rsidRPr="00602915">
        <w:rPr>
          <w:rFonts w:ascii="Arial" w:hAnsi="Arial" w:cs="Arial"/>
          <w:sz w:val="20"/>
          <w:szCs w:val="20"/>
          <w:lang w:val="en-GB"/>
        </w:rPr>
        <w:t>)</w:t>
      </w:r>
      <w:r w:rsidRPr="00602915">
        <w:rPr>
          <w:rFonts w:ascii="Arial" w:hAnsi="Arial" w:cs="Arial"/>
          <w:sz w:val="20"/>
          <w:szCs w:val="20"/>
          <w:lang w:val="en-GB"/>
        </w:rPr>
        <w:t xml:space="preserve"> and their emergence does not necessitate brain imaging (A) unless the onset is particularly abrupt or accompanied by atypical features such as seizures or new focal neurological deficits. The amantadine is likely to be contributing to his cognitive and neuropsychiatric symptoms and should be withdrawn as the first step. He is on a relatively modest dose of co-beneldopa (C) </w:t>
      </w:r>
      <w:r w:rsidR="007F15CB" w:rsidRPr="00602915">
        <w:rPr>
          <w:rFonts w:ascii="Arial" w:hAnsi="Arial" w:cs="Arial"/>
          <w:sz w:val="20"/>
          <w:szCs w:val="20"/>
          <w:lang w:val="en-GB"/>
        </w:rPr>
        <w:t xml:space="preserve">so </w:t>
      </w:r>
      <w:r w:rsidRPr="00602915">
        <w:rPr>
          <w:rFonts w:ascii="Arial" w:hAnsi="Arial" w:cs="Arial"/>
          <w:sz w:val="20"/>
          <w:szCs w:val="20"/>
          <w:lang w:val="en-GB"/>
        </w:rPr>
        <w:t xml:space="preserve">reduction </w:t>
      </w:r>
      <w:r w:rsidR="00161136" w:rsidRPr="00602915">
        <w:rPr>
          <w:rFonts w:ascii="Arial" w:hAnsi="Arial" w:cs="Arial"/>
          <w:sz w:val="20"/>
          <w:szCs w:val="20"/>
          <w:lang w:val="en-GB"/>
        </w:rPr>
        <w:t>may</w:t>
      </w:r>
      <w:r w:rsidRPr="00602915">
        <w:rPr>
          <w:rFonts w:ascii="Arial" w:hAnsi="Arial" w:cs="Arial"/>
          <w:sz w:val="20"/>
          <w:szCs w:val="20"/>
          <w:lang w:val="en-GB"/>
        </w:rPr>
        <w:t xml:space="preserve"> lead to worsening of his motor symptoms and mobility. The cholinesterase inhibitor rivastigmine (D) has proven efficacy for cognitive and behavioural symptoms in PD, and would be an appropriate first</w:t>
      </w:r>
      <w:r w:rsidR="007F15CB" w:rsidRPr="00602915">
        <w:rPr>
          <w:rFonts w:ascii="Arial" w:hAnsi="Arial" w:cs="Arial"/>
          <w:sz w:val="20"/>
          <w:szCs w:val="20"/>
          <w:lang w:val="en-GB"/>
        </w:rPr>
        <w:t>-</w:t>
      </w:r>
      <w:r w:rsidRPr="00602915">
        <w:rPr>
          <w:rFonts w:ascii="Arial" w:hAnsi="Arial" w:cs="Arial"/>
          <w:sz w:val="20"/>
          <w:szCs w:val="20"/>
          <w:lang w:val="en-GB"/>
        </w:rPr>
        <w:t>line therapy if the symptoms fail</w:t>
      </w:r>
      <w:r w:rsidR="00B95D14" w:rsidRPr="00602915">
        <w:rPr>
          <w:rFonts w:ascii="Arial" w:hAnsi="Arial" w:cs="Arial"/>
          <w:sz w:val="20"/>
          <w:szCs w:val="20"/>
          <w:lang w:val="en-GB"/>
        </w:rPr>
        <w:t>ed</w:t>
      </w:r>
      <w:r w:rsidRPr="00602915">
        <w:rPr>
          <w:rFonts w:ascii="Arial" w:hAnsi="Arial" w:cs="Arial"/>
          <w:sz w:val="20"/>
          <w:szCs w:val="20"/>
          <w:lang w:val="en-GB"/>
        </w:rPr>
        <w:t xml:space="preserve"> to improve </w:t>
      </w:r>
      <w:r w:rsidR="00161136" w:rsidRPr="00602915">
        <w:rPr>
          <w:rFonts w:ascii="Arial" w:hAnsi="Arial" w:cs="Arial"/>
          <w:sz w:val="20"/>
          <w:szCs w:val="20"/>
          <w:lang w:val="en-GB"/>
        </w:rPr>
        <w:t>after</w:t>
      </w:r>
      <w:r w:rsidRPr="00602915">
        <w:rPr>
          <w:rFonts w:ascii="Arial" w:hAnsi="Arial" w:cs="Arial"/>
          <w:sz w:val="20"/>
          <w:szCs w:val="20"/>
          <w:lang w:val="en-GB"/>
        </w:rPr>
        <w:t xml:space="preserve"> amantadine withdrawal. Quetiapine (E) is a suitable treatment for hallucinations and delusions but has less effect on cognitive symptoms. </w:t>
      </w:r>
    </w:p>
    <w:p w14:paraId="6CEB22C1" w14:textId="77777777" w:rsidR="00554A19"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 </w:t>
      </w:r>
    </w:p>
    <w:p w14:paraId="13A13622" w14:textId="77777777" w:rsidR="00554A19" w:rsidRPr="00602915" w:rsidRDefault="00554A19" w:rsidP="00554A19">
      <w:pPr>
        <w:autoSpaceDE w:val="0"/>
        <w:autoSpaceDN w:val="0"/>
        <w:adjustRightInd w:val="0"/>
        <w:spacing w:after="0" w:line="240" w:lineRule="auto"/>
        <w:rPr>
          <w:rFonts w:ascii="Arial" w:hAnsi="Arial" w:cs="Arial"/>
          <w:b/>
          <w:sz w:val="20"/>
          <w:szCs w:val="20"/>
          <w:lang w:val="en-GB"/>
        </w:rPr>
      </w:pPr>
    </w:p>
    <w:p w14:paraId="2AA67F1C" w14:textId="13792922" w:rsidR="00554A19" w:rsidRPr="00602915" w:rsidRDefault="00554A19" w:rsidP="00554A19">
      <w:pPr>
        <w:autoSpaceDE w:val="0"/>
        <w:autoSpaceDN w:val="0"/>
        <w:adjustRightInd w:val="0"/>
        <w:spacing w:after="0" w:line="240" w:lineRule="auto"/>
        <w:rPr>
          <w:rFonts w:ascii="Arial" w:hAnsi="Arial" w:cs="Arial"/>
          <w:b/>
          <w:sz w:val="20"/>
          <w:szCs w:val="20"/>
          <w:lang w:val="en-GB"/>
        </w:rPr>
      </w:pPr>
      <w:r w:rsidRPr="00602915">
        <w:rPr>
          <w:rFonts w:ascii="Arial" w:hAnsi="Arial" w:cs="Arial"/>
          <w:b/>
          <w:sz w:val="20"/>
          <w:szCs w:val="20"/>
          <w:lang w:val="en-GB"/>
        </w:rPr>
        <w:t>Question 2</w:t>
      </w:r>
    </w:p>
    <w:p w14:paraId="7B65C761" w14:textId="3BC1A9C8" w:rsidR="00E5296C"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A 65-year-old man presented with a 6</w:t>
      </w:r>
      <w:r w:rsidR="00E5296C" w:rsidRPr="00602915">
        <w:rPr>
          <w:rFonts w:ascii="Arial" w:hAnsi="Arial" w:cs="Arial"/>
          <w:sz w:val="20"/>
          <w:szCs w:val="20"/>
          <w:lang w:val="en-GB"/>
        </w:rPr>
        <w:t>-</w:t>
      </w:r>
      <w:r w:rsidRPr="00602915">
        <w:rPr>
          <w:rFonts w:ascii="Arial" w:hAnsi="Arial" w:cs="Arial"/>
          <w:sz w:val="20"/>
          <w:szCs w:val="20"/>
          <w:lang w:val="en-GB"/>
        </w:rPr>
        <w:t>month history of difficulty walking and poor balance. His speech had become less distinct, with a tendency to stammer. He had had several falls, one of which was backwards. There was no history of REM sleep behavioural disorder,</w:t>
      </w:r>
      <w:r w:rsidR="00696452" w:rsidRPr="00602915">
        <w:rPr>
          <w:rFonts w:ascii="Arial" w:hAnsi="Arial" w:cs="Arial"/>
          <w:sz w:val="20"/>
          <w:szCs w:val="20"/>
          <w:lang w:val="en-GB"/>
        </w:rPr>
        <w:t xml:space="preserve"> </w:t>
      </w:r>
      <w:r w:rsidRPr="00602915">
        <w:rPr>
          <w:rFonts w:ascii="Arial" w:hAnsi="Arial" w:cs="Arial"/>
          <w:sz w:val="20"/>
          <w:szCs w:val="20"/>
          <w:lang w:val="en-GB"/>
        </w:rPr>
        <w:t>and his sense of smell was normal. He had mild urinary frequency with no incontinence.</w:t>
      </w:r>
      <w:r w:rsidR="00696452" w:rsidRPr="00602915">
        <w:rPr>
          <w:rFonts w:ascii="Arial" w:hAnsi="Arial" w:cs="Arial"/>
          <w:sz w:val="20"/>
          <w:szCs w:val="20"/>
          <w:lang w:val="en-GB"/>
        </w:rPr>
        <w:t xml:space="preserve"> </w:t>
      </w:r>
      <w:r w:rsidRPr="00602915">
        <w:rPr>
          <w:rFonts w:ascii="Arial" w:hAnsi="Arial" w:cs="Arial"/>
          <w:sz w:val="20"/>
          <w:szCs w:val="20"/>
          <w:lang w:val="en-GB"/>
        </w:rPr>
        <w:t>He had become more irascible and less interested in his hobbies.</w:t>
      </w:r>
    </w:p>
    <w:p w14:paraId="506716F5" w14:textId="3B893FFC" w:rsidR="00554A19"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 xml:space="preserve">On examination, his speech was ‘slurred’, he </w:t>
      </w:r>
      <w:r w:rsidR="00E5296C" w:rsidRPr="00602915">
        <w:rPr>
          <w:rFonts w:ascii="Arial" w:hAnsi="Arial" w:cs="Arial"/>
          <w:sz w:val="20"/>
          <w:szCs w:val="20"/>
          <w:lang w:val="en-GB"/>
        </w:rPr>
        <w:t xml:space="preserve">was </w:t>
      </w:r>
      <w:r w:rsidRPr="00602915">
        <w:rPr>
          <w:rFonts w:ascii="Arial" w:hAnsi="Arial" w:cs="Arial"/>
          <w:sz w:val="20"/>
          <w:szCs w:val="20"/>
          <w:lang w:val="en-GB"/>
        </w:rPr>
        <w:t>unsteady on his feet, but not classically shuffling,</w:t>
      </w:r>
      <w:r w:rsidR="002F7F5D" w:rsidRPr="00602915">
        <w:rPr>
          <w:rFonts w:ascii="Arial" w:hAnsi="Arial" w:cs="Arial"/>
          <w:sz w:val="20"/>
          <w:szCs w:val="20"/>
          <w:lang w:val="en-GB"/>
        </w:rPr>
        <w:t xml:space="preserve"> and</w:t>
      </w:r>
      <w:r w:rsidRPr="00602915">
        <w:rPr>
          <w:rFonts w:ascii="Arial" w:hAnsi="Arial" w:cs="Arial"/>
          <w:sz w:val="20"/>
          <w:szCs w:val="20"/>
          <w:lang w:val="en-GB"/>
        </w:rPr>
        <w:t xml:space="preserve"> there was no orthostatic hypotension</w:t>
      </w:r>
      <w:r w:rsidR="002F7F5D" w:rsidRPr="00602915">
        <w:rPr>
          <w:rFonts w:ascii="Arial" w:hAnsi="Arial" w:cs="Arial"/>
          <w:sz w:val="20"/>
          <w:szCs w:val="20"/>
          <w:lang w:val="en-GB"/>
        </w:rPr>
        <w:t>.</w:t>
      </w:r>
      <w:r w:rsidRPr="00602915">
        <w:rPr>
          <w:rFonts w:ascii="Arial" w:hAnsi="Arial" w:cs="Arial"/>
          <w:sz w:val="20"/>
          <w:szCs w:val="20"/>
          <w:lang w:val="en-GB"/>
        </w:rPr>
        <w:t xml:space="preserve"> </w:t>
      </w:r>
      <w:r w:rsidR="002F7F5D" w:rsidRPr="00602915">
        <w:rPr>
          <w:rFonts w:ascii="Arial" w:hAnsi="Arial" w:cs="Arial"/>
          <w:sz w:val="20"/>
          <w:szCs w:val="20"/>
          <w:lang w:val="en-GB"/>
        </w:rPr>
        <w:t xml:space="preserve">His </w:t>
      </w:r>
      <w:r w:rsidRPr="00602915">
        <w:rPr>
          <w:rFonts w:ascii="Arial" w:hAnsi="Arial" w:cs="Arial"/>
          <w:sz w:val="20"/>
          <w:szCs w:val="20"/>
          <w:lang w:val="en-GB"/>
        </w:rPr>
        <w:t xml:space="preserve">eye movements were abnormal with limitation of downgaze. </w:t>
      </w:r>
    </w:p>
    <w:p w14:paraId="1DE8A147" w14:textId="77777777" w:rsidR="00554A19" w:rsidRPr="00602915" w:rsidRDefault="00554A19" w:rsidP="00554A19">
      <w:pPr>
        <w:autoSpaceDE w:val="0"/>
        <w:autoSpaceDN w:val="0"/>
        <w:adjustRightInd w:val="0"/>
        <w:spacing w:after="0" w:line="240" w:lineRule="auto"/>
        <w:rPr>
          <w:rFonts w:ascii="Arial" w:hAnsi="Arial" w:cs="Arial"/>
          <w:sz w:val="20"/>
          <w:szCs w:val="20"/>
          <w:lang w:val="en-GB"/>
        </w:rPr>
      </w:pPr>
    </w:p>
    <w:p w14:paraId="007FE655" w14:textId="77777777" w:rsidR="00554A19" w:rsidRPr="00602915" w:rsidRDefault="00554A19" w:rsidP="00554A19">
      <w:pPr>
        <w:autoSpaceDE w:val="0"/>
        <w:autoSpaceDN w:val="0"/>
        <w:adjustRightInd w:val="0"/>
        <w:spacing w:after="0" w:line="240" w:lineRule="auto"/>
        <w:rPr>
          <w:rFonts w:ascii="Arial" w:hAnsi="Arial" w:cs="Arial"/>
          <w:b/>
          <w:bCs/>
          <w:sz w:val="20"/>
          <w:szCs w:val="20"/>
          <w:lang w:val="en-GB"/>
        </w:rPr>
      </w:pPr>
      <w:r w:rsidRPr="00602915">
        <w:rPr>
          <w:rFonts w:ascii="Arial" w:hAnsi="Arial" w:cs="Arial"/>
          <w:b/>
          <w:bCs/>
          <w:sz w:val="20"/>
          <w:szCs w:val="20"/>
          <w:lang w:val="en-GB"/>
        </w:rPr>
        <w:t>What is the most likely diagnosis?</w:t>
      </w:r>
    </w:p>
    <w:p w14:paraId="45B3ED92" w14:textId="77777777" w:rsidR="00554A19"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A.</w:t>
      </w:r>
      <w:r w:rsidRPr="00602915">
        <w:rPr>
          <w:rFonts w:ascii="Arial" w:hAnsi="Arial" w:cs="Arial"/>
          <w:sz w:val="20"/>
          <w:szCs w:val="20"/>
          <w:lang w:val="en-GB"/>
        </w:rPr>
        <w:tab/>
        <w:t>Parkinson’s disease</w:t>
      </w:r>
    </w:p>
    <w:p w14:paraId="22ADD7B4" w14:textId="77777777" w:rsidR="00554A19"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B.</w:t>
      </w:r>
      <w:r w:rsidRPr="00602915">
        <w:rPr>
          <w:rFonts w:ascii="Arial" w:hAnsi="Arial" w:cs="Arial"/>
          <w:sz w:val="20"/>
          <w:szCs w:val="20"/>
          <w:lang w:val="en-GB"/>
        </w:rPr>
        <w:tab/>
        <w:t>Multiple systems atrophy</w:t>
      </w:r>
    </w:p>
    <w:p w14:paraId="0238D548" w14:textId="77777777" w:rsidR="00554A19"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C.</w:t>
      </w:r>
      <w:r w:rsidRPr="00602915">
        <w:rPr>
          <w:rFonts w:ascii="Arial" w:hAnsi="Arial" w:cs="Arial"/>
          <w:sz w:val="20"/>
          <w:szCs w:val="20"/>
          <w:lang w:val="en-GB"/>
        </w:rPr>
        <w:tab/>
        <w:t>Progressive supranuclear palsy</w:t>
      </w:r>
    </w:p>
    <w:p w14:paraId="595AEA2B" w14:textId="77777777" w:rsidR="00554A19"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D.</w:t>
      </w:r>
      <w:r w:rsidRPr="00602915">
        <w:rPr>
          <w:rFonts w:ascii="Arial" w:hAnsi="Arial" w:cs="Arial"/>
          <w:sz w:val="20"/>
          <w:szCs w:val="20"/>
          <w:lang w:val="en-GB"/>
        </w:rPr>
        <w:tab/>
        <w:t>Drug-induced parkinsonism</w:t>
      </w:r>
    </w:p>
    <w:p w14:paraId="0FD66A9D" w14:textId="77777777" w:rsidR="00554A19"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E.</w:t>
      </w:r>
      <w:r w:rsidRPr="00602915">
        <w:rPr>
          <w:rFonts w:ascii="Arial" w:hAnsi="Arial" w:cs="Arial"/>
          <w:sz w:val="20"/>
          <w:szCs w:val="20"/>
          <w:lang w:val="en-GB"/>
        </w:rPr>
        <w:tab/>
        <w:t>Vascular parkinsonism</w:t>
      </w:r>
    </w:p>
    <w:p w14:paraId="2FC4BE3C" w14:textId="77777777" w:rsidR="00554A19" w:rsidRPr="00602915" w:rsidRDefault="00554A19" w:rsidP="00554A19">
      <w:pPr>
        <w:autoSpaceDE w:val="0"/>
        <w:autoSpaceDN w:val="0"/>
        <w:adjustRightInd w:val="0"/>
        <w:spacing w:after="0" w:line="240" w:lineRule="auto"/>
        <w:rPr>
          <w:rFonts w:ascii="Arial" w:hAnsi="Arial" w:cs="Arial"/>
          <w:b/>
          <w:bCs/>
          <w:sz w:val="20"/>
          <w:szCs w:val="20"/>
          <w:lang w:val="en-GB"/>
        </w:rPr>
      </w:pPr>
    </w:p>
    <w:p w14:paraId="481F76D2" w14:textId="0414B190" w:rsidR="00554A19"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b/>
          <w:bCs/>
          <w:sz w:val="20"/>
          <w:szCs w:val="20"/>
          <w:lang w:val="en-GB"/>
        </w:rPr>
        <w:t>Correct answer</w:t>
      </w:r>
      <w:r w:rsidR="004A53AE" w:rsidRPr="00602915">
        <w:rPr>
          <w:rFonts w:ascii="Arial" w:hAnsi="Arial" w:cs="Arial"/>
          <w:b/>
          <w:bCs/>
          <w:sz w:val="20"/>
          <w:szCs w:val="20"/>
          <w:lang w:val="en-GB"/>
        </w:rPr>
        <w:t>:</w:t>
      </w:r>
      <w:r w:rsidRPr="00602915">
        <w:rPr>
          <w:rFonts w:ascii="Arial" w:hAnsi="Arial" w:cs="Arial"/>
          <w:b/>
          <w:bCs/>
          <w:sz w:val="20"/>
          <w:szCs w:val="20"/>
          <w:lang w:val="en-GB"/>
        </w:rPr>
        <w:t xml:space="preserve"> C.</w:t>
      </w:r>
      <w:r w:rsidR="004A53AE" w:rsidRPr="00602915">
        <w:rPr>
          <w:rFonts w:ascii="Arial" w:hAnsi="Arial" w:cs="Arial"/>
          <w:b/>
          <w:bCs/>
          <w:sz w:val="20"/>
          <w:szCs w:val="20"/>
          <w:lang w:val="en-GB"/>
        </w:rPr>
        <w:t xml:space="preserve"> </w:t>
      </w:r>
      <w:r w:rsidRPr="00602915">
        <w:rPr>
          <w:rFonts w:ascii="Arial" w:hAnsi="Arial" w:cs="Arial"/>
          <w:iCs/>
          <w:sz w:val="20"/>
          <w:szCs w:val="20"/>
          <w:lang w:val="en-GB"/>
        </w:rPr>
        <w:t xml:space="preserve">Atypical parkinsonian disorders often represent a diagnostic challenge. Patients </w:t>
      </w:r>
      <w:r w:rsidR="004A53AE" w:rsidRPr="00602915">
        <w:rPr>
          <w:rFonts w:ascii="Arial" w:hAnsi="Arial" w:cs="Arial"/>
          <w:iCs/>
          <w:sz w:val="20"/>
          <w:szCs w:val="20"/>
          <w:lang w:val="en-GB"/>
        </w:rPr>
        <w:t>can</w:t>
      </w:r>
      <w:r w:rsidRPr="00602915">
        <w:rPr>
          <w:rFonts w:ascii="Arial" w:hAnsi="Arial" w:cs="Arial"/>
          <w:iCs/>
          <w:sz w:val="20"/>
          <w:szCs w:val="20"/>
          <w:lang w:val="en-GB"/>
        </w:rPr>
        <w:t xml:space="preserve"> present with some features consistent with Parkinson’s disease, but other features that are considered to be ‘red flags’ suggestive of an alternative diagnosis.</w:t>
      </w:r>
      <w:r w:rsidR="00696452" w:rsidRPr="00602915">
        <w:rPr>
          <w:rFonts w:ascii="Arial" w:hAnsi="Arial" w:cs="Arial"/>
          <w:iCs/>
          <w:sz w:val="20"/>
          <w:szCs w:val="20"/>
          <w:lang w:val="en-GB"/>
        </w:rPr>
        <w:t xml:space="preserve"> </w:t>
      </w:r>
      <w:r w:rsidRPr="00602915">
        <w:rPr>
          <w:rFonts w:ascii="Arial" w:hAnsi="Arial" w:cs="Arial"/>
          <w:iCs/>
          <w:sz w:val="20"/>
          <w:szCs w:val="20"/>
          <w:lang w:val="en-GB"/>
        </w:rPr>
        <w:t xml:space="preserve">In the early stages, there is often considerable overlap in the clinical features, with no one clinical feature being specific to Parkinson’s disease or any other atypical parkinsonian disorder. Reviewing the diagnosis at every opportunity is advised. In this case, early, unprovoked falls, especially backwards, a change in personality or behaviour suggestive of a frontal cognitive disorder, stammering speech and crucially a limitation of eye movements, particularly downgaze, is supportive of a diagnosis of progressive supranuclear palsy (PSP). The absence of both </w:t>
      </w:r>
      <w:r w:rsidRPr="00602915">
        <w:rPr>
          <w:rFonts w:ascii="Arial" w:hAnsi="Arial" w:cs="Arial"/>
          <w:iCs/>
          <w:sz w:val="20"/>
          <w:szCs w:val="20"/>
          <w:lang w:val="en-GB"/>
        </w:rPr>
        <w:lastRenderedPageBreak/>
        <w:t xml:space="preserve">hyposmia and REM </w:t>
      </w:r>
      <w:r w:rsidR="00E66B29" w:rsidRPr="00602915">
        <w:rPr>
          <w:rFonts w:ascii="Arial" w:hAnsi="Arial" w:cs="Arial"/>
          <w:iCs/>
          <w:sz w:val="20"/>
          <w:szCs w:val="20"/>
          <w:lang w:val="en-GB"/>
        </w:rPr>
        <w:t xml:space="preserve">(rapid eye movement) </w:t>
      </w:r>
      <w:r w:rsidRPr="00602915">
        <w:rPr>
          <w:rFonts w:ascii="Arial" w:hAnsi="Arial" w:cs="Arial"/>
          <w:iCs/>
          <w:sz w:val="20"/>
          <w:szCs w:val="20"/>
          <w:lang w:val="en-GB"/>
        </w:rPr>
        <w:t>sleep behavioural disorder, whil</w:t>
      </w:r>
      <w:r w:rsidR="005E0CEE" w:rsidRPr="00602915">
        <w:rPr>
          <w:rFonts w:ascii="Arial" w:hAnsi="Arial" w:cs="Arial"/>
          <w:iCs/>
          <w:sz w:val="20"/>
          <w:szCs w:val="20"/>
          <w:lang w:val="en-GB"/>
        </w:rPr>
        <w:t>e</w:t>
      </w:r>
      <w:r w:rsidRPr="00602915">
        <w:rPr>
          <w:rFonts w:ascii="Arial" w:hAnsi="Arial" w:cs="Arial"/>
          <w:iCs/>
          <w:sz w:val="20"/>
          <w:szCs w:val="20"/>
          <w:lang w:val="en-GB"/>
        </w:rPr>
        <w:t xml:space="preserve"> not excluding Parkinson’s disease (A), is in keeping with the diagnosis of PSP, in which these features are less likely to be encountered. </w:t>
      </w:r>
      <w:r w:rsidR="00A90C04">
        <w:rPr>
          <w:rFonts w:ascii="Arial" w:hAnsi="Arial" w:cs="Arial"/>
          <w:iCs/>
          <w:sz w:val="20"/>
          <w:szCs w:val="20"/>
          <w:lang w:val="en-GB"/>
        </w:rPr>
        <w:t xml:space="preserve">Vascular parkinsonism (E) can also present with gait unsteadiness, but the early speech disturbance and eye movement abnormalities would not be expected; the usual clinical presentation is lower limb predominant parkinsonism, often with pyramidal signs. </w:t>
      </w:r>
      <w:r w:rsidRPr="00602915">
        <w:rPr>
          <w:rFonts w:ascii="Arial" w:hAnsi="Arial" w:cs="Arial"/>
          <w:iCs/>
          <w:sz w:val="20"/>
          <w:szCs w:val="20"/>
          <w:lang w:val="en-GB"/>
        </w:rPr>
        <w:t xml:space="preserve">In multiple systems atrophy (B), prominent autonomic disturbance would be expected, including orthostatic hypotension, urinary frequency and incontinence, and the eye movements would generally not be limited, but there </w:t>
      </w:r>
      <w:r w:rsidR="00E66B29" w:rsidRPr="00602915">
        <w:rPr>
          <w:rFonts w:ascii="Arial" w:hAnsi="Arial" w:cs="Arial"/>
          <w:iCs/>
          <w:sz w:val="20"/>
          <w:szCs w:val="20"/>
          <w:lang w:val="en-GB"/>
        </w:rPr>
        <w:t>could</w:t>
      </w:r>
      <w:r w:rsidRPr="00602915">
        <w:rPr>
          <w:rFonts w:ascii="Arial" w:hAnsi="Arial" w:cs="Arial"/>
          <w:iCs/>
          <w:sz w:val="20"/>
          <w:szCs w:val="20"/>
          <w:lang w:val="en-GB"/>
        </w:rPr>
        <w:t xml:space="preserve"> be cerebellar eye signs such as broken pursuit</w:t>
      </w:r>
      <w:bookmarkStart w:id="6" w:name="_GoBack"/>
      <w:bookmarkEnd w:id="6"/>
      <w:r w:rsidRPr="00602915">
        <w:rPr>
          <w:rFonts w:ascii="Arial" w:hAnsi="Arial" w:cs="Arial"/>
          <w:iCs/>
          <w:sz w:val="20"/>
          <w:szCs w:val="20"/>
          <w:lang w:val="en-GB"/>
        </w:rPr>
        <w:t xml:space="preserve">. </w:t>
      </w:r>
      <w:r w:rsidR="006D4701">
        <w:rPr>
          <w:rFonts w:ascii="Arial" w:hAnsi="Arial" w:cs="Arial"/>
          <w:iCs/>
          <w:sz w:val="20"/>
          <w:szCs w:val="20"/>
          <w:lang w:val="en-GB"/>
        </w:rPr>
        <w:t xml:space="preserve">Drug-induced parkinsonism (D) </w:t>
      </w:r>
      <w:r w:rsidR="00276203">
        <w:rPr>
          <w:rFonts w:ascii="Arial" w:hAnsi="Arial" w:cs="Arial"/>
          <w:iCs/>
          <w:sz w:val="20"/>
          <w:szCs w:val="20"/>
          <w:lang w:val="en-GB"/>
        </w:rPr>
        <w:t xml:space="preserve">can follow prolonged </w:t>
      </w:r>
      <w:r w:rsidR="00384317">
        <w:rPr>
          <w:rFonts w:ascii="Arial" w:hAnsi="Arial" w:cs="Arial"/>
          <w:iCs/>
          <w:sz w:val="20"/>
          <w:szCs w:val="20"/>
          <w:lang w:val="en-GB"/>
        </w:rPr>
        <w:t>use of dopamine blocking drugs including antipsychotics and anti-emetics</w:t>
      </w:r>
      <w:r w:rsidR="00276203">
        <w:rPr>
          <w:rFonts w:ascii="Arial" w:hAnsi="Arial" w:cs="Arial"/>
          <w:iCs/>
          <w:sz w:val="20"/>
          <w:szCs w:val="20"/>
          <w:lang w:val="en-GB"/>
        </w:rPr>
        <w:t xml:space="preserve">. This </w:t>
      </w:r>
      <w:r w:rsidR="006D4701">
        <w:rPr>
          <w:rFonts w:ascii="Arial" w:hAnsi="Arial" w:cs="Arial"/>
          <w:iCs/>
          <w:sz w:val="20"/>
          <w:szCs w:val="20"/>
          <w:lang w:val="en-GB"/>
        </w:rPr>
        <w:t>typically presents with symmetrical bradykinesia and rigidity</w:t>
      </w:r>
      <w:r w:rsidR="00276203">
        <w:rPr>
          <w:rFonts w:ascii="Arial" w:hAnsi="Arial" w:cs="Arial"/>
          <w:iCs/>
          <w:sz w:val="20"/>
          <w:szCs w:val="20"/>
          <w:lang w:val="en-GB"/>
        </w:rPr>
        <w:t xml:space="preserve">; </w:t>
      </w:r>
      <w:r w:rsidR="00A90C04">
        <w:rPr>
          <w:rFonts w:ascii="Arial" w:hAnsi="Arial" w:cs="Arial"/>
          <w:iCs/>
          <w:sz w:val="20"/>
          <w:szCs w:val="20"/>
          <w:lang w:val="en-GB"/>
        </w:rPr>
        <w:t>co-existing</w:t>
      </w:r>
      <w:r w:rsidR="006D4701">
        <w:rPr>
          <w:rFonts w:ascii="Arial" w:hAnsi="Arial" w:cs="Arial"/>
          <w:iCs/>
          <w:sz w:val="20"/>
          <w:szCs w:val="20"/>
          <w:lang w:val="en-GB"/>
        </w:rPr>
        <w:t xml:space="preserve"> orolingual dyskinesia</w:t>
      </w:r>
      <w:r w:rsidR="00A90C04">
        <w:rPr>
          <w:rFonts w:ascii="Arial" w:hAnsi="Arial" w:cs="Arial"/>
          <w:iCs/>
          <w:sz w:val="20"/>
          <w:szCs w:val="20"/>
          <w:lang w:val="en-GB"/>
        </w:rPr>
        <w:t xml:space="preserve"> may also be present and is an important diagnostic clue. </w:t>
      </w:r>
    </w:p>
    <w:p w14:paraId="7A1E4421" w14:textId="77777777" w:rsidR="00554A19" w:rsidRPr="00602915" w:rsidRDefault="00554A19" w:rsidP="00554A19">
      <w:pPr>
        <w:autoSpaceDE w:val="0"/>
        <w:autoSpaceDN w:val="0"/>
        <w:adjustRightInd w:val="0"/>
        <w:spacing w:after="0" w:line="240" w:lineRule="auto"/>
        <w:rPr>
          <w:rFonts w:ascii="Arial" w:hAnsi="Arial" w:cs="Arial"/>
          <w:b/>
          <w:sz w:val="20"/>
          <w:szCs w:val="20"/>
          <w:lang w:val="en-GB"/>
        </w:rPr>
      </w:pPr>
      <w:r w:rsidRPr="00602915">
        <w:rPr>
          <w:rFonts w:ascii="Arial" w:hAnsi="Arial" w:cs="Arial"/>
          <w:b/>
          <w:sz w:val="20"/>
          <w:szCs w:val="20"/>
          <w:lang w:val="en-GB"/>
        </w:rPr>
        <w:t>Question 3</w:t>
      </w:r>
    </w:p>
    <w:p w14:paraId="122024AB" w14:textId="22131AF2" w:rsidR="00554A19" w:rsidRPr="00602915" w:rsidRDefault="00554A19" w:rsidP="00554A19">
      <w:pPr>
        <w:autoSpaceDE w:val="0"/>
        <w:autoSpaceDN w:val="0"/>
        <w:adjustRightInd w:val="0"/>
        <w:spacing w:after="0" w:line="240" w:lineRule="auto"/>
        <w:rPr>
          <w:rFonts w:ascii="Arial" w:hAnsi="Arial" w:cs="Arial"/>
          <w:sz w:val="20"/>
          <w:szCs w:val="20"/>
          <w:lang w:val="en-GB"/>
        </w:rPr>
      </w:pPr>
      <w:bookmarkStart w:id="7" w:name="_Hlk33277082"/>
      <w:r w:rsidRPr="00602915">
        <w:rPr>
          <w:rFonts w:ascii="Arial" w:hAnsi="Arial" w:cs="Arial"/>
          <w:sz w:val="20"/>
          <w:szCs w:val="20"/>
          <w:lang w:val="en-GB"/>
        </w:rPr>
        <w:t xml:space="preserve">A 55-year-old man presented with </w:t>
      </w:r>
      <w:r w:rsidRPr="00602915">
        <w:rPr>
          <w:rFonts w:ascii="Arial" w:hAnsi="Arial" w:cs="Arial"/>
          <w:sz w:val="20"/>
          <w:szCs w:val="20"/>
          <w:lang w:val="en-GB"/>
        </w:rPr>
        <w:t>symptoms of depression with feelings of hopelessness and early morning wakening. He had also started to gamble £100 per week</w:t>
      </w:r>
      <w:r w:rsidR="00E66B29" w:rsidRPr="00602915">
        <w:rPr>
          <w:rFonts w:ascii="Arial" w:hAnsi="Arial" w:cs="Arial"/>
          <w:sz w:val="20"/>
          <w:szCs w:val="20"/>
          <w:lang w:val="en-GB"/>
        </w:rPr>
        <w:t>,</w:t>
      </w:r>
      <w:r w:rsidRPr="00602915">
        <w:rPr>
          <w:rFonts w:ascii="Arial" w:hAnsi="Arial" w:cs="Arial"/>
          <w:sz w:val="20"/>
          <w:szCs w:val="20"/>
          <w:lang w:val="en-GB"/>
        </w:rPr>
        <w:t xml:space="preserve"> which he had been concealing from his wife. He had been found to have </w:t>
      </w:r>
      <w:r w:rsidRPr="00602915">
        <w:rPr>
          <w:rFonts w:ascii="Arial" w:hAnsi="Arial" w:cs="Arial"/>
          <w:sz w:val="20"/>
          <w:szCs w:val="20"/>
          <w:lang w:val="en-GB"/>
        </w:rPr>
        <w:t>Parkinson’s disease at the age of 50, and had been taking ropinirole 16</w:t>
      </w:r>
      <w:r w:rsidR="00E66B29" w:rsidRPr="00602915">
        <w:rPr>
          <w:rFonts w:ascii="Arial" w:hAnsi="Arial" w:cs="Arial"/>
          <w:sz w:val="20"/>
          <w:szCs w:val="20"/>
          <w:lang w:val="en-GB"/>
        </w:rPr>
        <w:t xml:space="preserve"> </w:t>
      </w:r>
      <w:r w:rsidRPr="00602915">
        <w:rPr>
          <w:rFonts w:ascii="Arial" w:hAnsi="Arial" w:cs="Arial"/>
          <w:sz w:val="20"/>
          <w:szCs w:val="20"/>
          <w:lang w:val="en-GB"/>
        </w:rPr>
        <w:t xml:space="preserve">mg daily for control of his motor symptoms since then. He had </w:t>
      </w:r>
      <w:r w:rsidR="005E0CEE" w:rsidRPr="00602915">
        <w:rPr>
          <w:rFonts w:ascii="Arial" w:hAnsi="Arial" w:cs="Arial"/>
          <w:sz w:val="20"/>
          <w:szCs w:val="20"/>
          <w:lang w:val="en-GB"/>
        </w:rPr>
        <w:t xml:space="preserve">initially </w:t>
      </w:r>
      <w:r w:rsidRPr="00602915">
        <w:rPr>
          <w:rFonts w:ascii="Arial" w:hAnsi="Arial" w:cs="Arial"/>
          <w:sz w:val="20"/>
          <w:szCs w:val="20"/>
          <w:lang w:val="en-GB"/>
        </w:rPr>
        <w:t>had a good response to this treatment, but co-careldopa 25/100</w:t>
      </w:r>
      <w:r w:rsidR="00330669">
        <w:rPr>
          <w:rFonts w:ascii="Arial" w:hAnsi="Arial" w:cs="Arial"/>
          <w:sz w:val="20"/>
          <w:szCs w:val="20"/>
          <w:lang w:val="en-GB"/>
        </w:rPr>
        <w:t>mg</w:t>
      </w:r>
      <w:r w:rsidRPr="00602915">
        <w:rPr>
          <w:rFonts w:ascii="Arial" w:hAnsi="Arial" w:cs="Arial"/>
          <w:sz w:val="20"/>
          <w:szCs w:val="20"/>
          <w:lang w:val="en-GB"/>
        </w:rPr>
        <w:t xml:space="preserve"> 8</w:t>
      </w:r>
      <w:r w:rsidR="00E66B29" w:rsidRPr="00602915">
        <w:rPr>
          <w:rFonts w:ascii="Arial" w:hAnsi="Arial" w:cs="Arial"/>
          <w:sz w:val="20"/>
          <w:szCs w:val="20"/>
          <w:lang w:val="en-GB"/>
        </w:rPr>
        <w:t>-</w:t>
      </w:r>
      <w:r w:rsidRPr="00602915">
        <w:rPr>
          <w:rFonts w:ascii="Arial" w:hAnsi="Arial" w:cs="Arial"/>
          <w:sz w:val="20"/>
          <w:szCs w:val="20"/>
          <w:lang w:val="en-GB"/>
        </w:rPr>
        <w:t xml:space="preserve">hourly </w:t>
      </w:r>
      <w:r w:rsidR="00E66B29" w:rsidRPr="00602915">
        <w:rPr>
          <w:rFonts w:ascii="Arial" w:hAnsi="Arial" w:cs="Arial"/>
          <w:sz w:val="20"/>
          <w:szCs w:val="20"/>
          <w:lang w:val="en-GB"/>
        </w:rPr>
        <w:t>had been</w:t>
      </w:r>
      <w:r w:rsidRPr="00602915">
        <w:rPr>
          <w:rFonts w:ascii="Arial" w:hAnsi="Arial" w:cs="Arial"/>
          <w:sz w:val="20"/>
          <w:szCs w:val="20"/>
          <w:lang w:val="en-GB"/>
        </w:rPr>
        <w:t xml:space="preserve"> added in </w:t>
      </w:r>
      <w:r w:rsidR="00E66B29" w:rsidRPr="00602915">
        <w:rPr>
          <w:rFonts w:ascii="Arial" w:hAnsi="Arial" w:cs="Arial"/>
          <w:sz w:val="20"/>
          <w:szCs w:val="20"/>
          <w:lang w:val="en-GB"/>
        </w:rPr>
        <w:t xml:space="preserve">2 </w:t>
      </w:r>
      <w:r w:rsidRPr="00602915">
        <w:rPr>
          <w:rFonts w:ascii="Arial" w:hAnsi="Arial" w:cs="Arial"/>
          <w:sz w:val="20"/>
          <w:szCs w:val="20"/>
          <w:lang w:val="en-GB"/>
        </w:rPr>
        <w:t>years previously owing to deterioration in his motor symptoms. Entacapone 200</w:t>
      </w:r>
      <w:r w:rsidR="00E66B29" w:rsidRPr="00602915">
        <w:rPr>
          <w:rFonts w:ascii="Arial" w:hAnsi="Arial" w:cs="Arial"/>
          <w:sz w:val="20"/>
          <w:szCs w:val="20"/>
          <w:lang w:val="en-GB"/>
        </w:rPr>
        <w:t xml:space="preserve"> </w:t>
      </w:r>
      <w:r w:rsidRPr="00602915">
        <w:rPr>
          <w:rFonts w:ascii="Arial" w:hAnsi="Arial" w:cs="Arial"/>
          <w:sz w:val="20"/>
          <w:szCs w:val="20"/>
          <w:lang w:val="en-GB"/>
        </w:rPr>
        <w:t>mg 8</w:t>
      </w:r>
      <w:r w:rsidR="00E66B29" w:rsidRPr="00602915">
        <w:rPr>
          <w:rFonts w:ascii="Arial" w:hAnsi="Arial" w:cs="Arial"/>
          <w:sz w:val="20"/>
          <w:szCs w:val="20"/>
          <w:lang w:val="en-GB"/>
        </w:rPr>
        <w:t>-</w:t>
      </w:r>
      <w:r w:rsidRPr="00602915">
        <w:rPr>
          <w:rFonts w:ascii="Arial" w:hAnsi="Arial" w:cs="Arial"/>
          <w:sz w:val="20"/>
          <w:szCs w:val="20"/>
          <w:lang w:val="en-GB"/>
        </w:rPr>
        <w:t xml:space="preserve">hourly </w:t>
      </w:r>
      <w:r w:rsidR="00E66B29" w:rsidRPr="00602915">
        <w:rPr>
          <w:rFonts w:ascii="Arial" w:hAnsi="Arial" w:cs="Arial"/>
          <w:sz w:val="20"/>
          <w:szCs w:val="20"/>
          <w:lang w:val="en-GB"/>
        </w:rPr>
        <w:t xml:space="preserve">had been </w:t>
      </w:r>
      <w:r w:rsidRPr="00602915">
        <w:rPr>
          <w:rFonts w:ascii="Arial" w:hAnsi="Arial" w:cs="Arial"/>
          <w:sz w:val="20"/>
          <w:szCs w:val="20"/>
          <w:lang w:val="en-GB"/>
        </w:rPr>
        <w:t>added a year previously to manage wearing off between doses.</w:t>
      </w:r>
      <w:r w:rsidR="00696452" w:rsidRPr="00602915">
        <w:rPr>
          <w:rFonts w:ascii="Arial" w:hAnsi="Arial" w:cs="Arial"/>
          <w:sz w:val="20"/>
          <w:szCs w:val="20"/>
          <w:lang w:val="en-GB"/>
        </w:rPr>
        <w:t xml:space="preserve"> </w:t>
      </w:r>
    </w:p>
    <w:bookmarkEnd w:id="7"/>
    <w:p w14:paraId="762B7A53" w14:textId="77777777" w:rsidR="00554A19" w:rsidRPr="00602915" w:rsidRDefault="00554A19" w:rsidP="00554A19">
      <w:pPr>
        <w:autoSpaceDE w:val="0"/>
        <w:autoSpaceDN w:val="0"/>
        <w:adjustRightInd w:val="0"/>
        <w:spacing w:after="0" w:line="240" w:lineRule="auto"/>
        <w:rPr>
          <w:rFonts w:ascii="Arial" w:hAnsi="Arial" w:cs="Arial"/>
          <w:sz w:val="20"/>
          <w:szCs w:val="20"/>
          <w:lang w:val="en-GB"/>
        </w:rPr>
      </w:pPr>
    </w:p>
    <w:p w14:paraId="7D00C9EB" w14:textId="77777777" w:rsidR="00554A19" w:rsidRPr="00602915" w:rsidRDefault="00554A19" w:rsidP="00554A19">
      <w:pPr>
        <w:autoSpaceDE w:val="0"/>
        <w:autoSpaceDN w:val="0"/>
        <w:adjustRightInd w:val="0"/>
        <w:spacing w:after="0" w:line="240" w:lineRule="auto"/>
        <w:rPr>
          <w:rFonts w:ascii="Arial" w:hAnsi="Arial" w:cs="Arial"/>
          <w:b/>
          <w:bCs/>
          <w:sz w:val="20"/>
          <w:szCs w:val="20"/>
          <w:lang w:val="en-GB"/>
        </w:rPr>
      </w:pPr>
      <w:r w:rsidRPr="00602915">
        <w:rPr>
          <w:rFonts w:ascii="Arial" w:hAnsi="Arial" w:cs="Arial"/>
          <w:b/>
          <w:bCs/>
          <w:sz w:val="20"/>
          <w:szCs w:val="20"/>
          <w:lang w:val="en-GB"/>
        </w:rPr>
        <w:t>What is the most appropriate course of action to be made in clinic?</w:t>
      </w:r>
    </w:p>
    <w:p w14:paraId="224F41AC" w14:textId="77777777" w:rsidR="00554A19"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A.</w:t>
      </w:r>
      <w:r w:rsidRPr="00602915">
        <w:rPr>
          <w:rFonts w:ascii="Arial" w:hAnsi="Arial" w:cs="Arial"/>
          <w:sz w:val="20"/>
          <w:szCs w:val="20"/>
          <w:lang w:val="en-GB"/>
        </w:rPr>
        <w:tab/>
        <w:t>Reassure the patient and refer him to a psychiatrist for management of depression</w:t>
      </w:r>
    </w:p>
    <w:p w14:paraId="55971C5B" w14:textId="77777777" w:rsidR="00554A19"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B.</w:t>
      </w:r>
      <w:r w:rsidRPr="00602915">
        <w:rPr>
          <w:rFonts w:ascii="Arial" w:hAnsi="Arial" w:cs="Arial"/>
          <w:sz w:val="20"/>
          <w:szCs w:val="20"/>
          <w:lang w:val="en-GB"/>
        </w:rPr>
        <w:tab/>
        <w:t>Reduce the dose of co-careldopa</w:t>
      </w:r>
    </w:p>
    <w:p w14:paraId="2127A3BB" w14:textId="77777777" w:rsidR="00554A19"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C.</w:t>
      </w:r>
      <w:r w:rsidRPr="00602915">
        <w:rPr>
          <w:rFonts w:ascii="Arial" w:hAnsi="Arial" w:cs="Arial"/>
          <w:sz w:val="20"/>
          <w:szCs w:val="20"/>
          <w:lang w:val="en-GB"/>
        </w:rPr>
        <w:tab/>
        <w:t>Start an antidepressant</w:t>
      </w:r>
    </w:p>
    <w:p w14:paraId="08C0FA27" w14:textId="77777777" w:rsidR="00554A19"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D.</w:t>
      </w:r>
      <w:r w:rsidRPr="00602915">
        <w:rPr>
          <w:rFonts w:ascii="Arial" w:hAnsi="Arial" w:cs="Arial"/>
          <w:sz w:val="20"/>
          <w:szCs w:val="20"/>
          <w:lang w:val="en-GB"/>
        </w:rPr>
        <w:tab/>
        <w:t>Reduce the ropinirole</w:t>
      </w:r>
    </w:p>
    <w:p w14:paraId="6E496D00" w14:textId="77777777" w:rsidR="00554A19" w:rsidRPr="00602915" w:rsidRDefault="00554A19" w:rsidP="00554A19">
      <w:pPr>
        <w:autoSpaceDE w:val="0"/>
        <w:autoSpaceDN w:val="0"/>
        <w:adjustRightInd w:val="0"/>
        <w:spacing w:after="0" w:line="240" w:lineRule="auto"/>
        <w:rPr>
          <w:rFonts w:ascii="Arial" w:hAnsi="Arial" w:cs="Arial"/>
          <w:sz w:val="20"/>
          <w:szCs w:val="20"/>
          <w:lang w:val="en-GB"/>
        </w:rPr>
      </w:pPr>
      <w:r w:rsidRPr="00602915">
        <w:rPr>
          <w:rFonts w:ascii="Arial" w:hAnsi="Arial" w:cs="Arial"/>
          <w:sz w:val="20"/>
          <w:szCs w:val="20"/>
          <w:lang w:val="en-GB"/>
        </w:rPr>
        <w:t>E.</w:t>
      </w:r>
      <w:r w:rsidRPr="00602915">
        <w:rPr>
          <w:rFonts w:ascii="Arial" w:hAnsi="Arial" w:cs="Arial"/>
          <w:sz w:val="20"/>
          <w:szCs w:val="20"/>
          <w:lang w:val="en-GB"/>
        </w:rPr>
        <w:tab/>
        <w:t>Stop the entacapone</w:t>
      </w:r>
    </w:p>
    <w:p w14:paraId="11E79A1B" w14:textId="77777777" w:rsidR="00554A19" w:rsidRPr="00602915" w:rsidRDefault="00554A19" w:rsidP="00554A19">
      <w:pPr>
        <w:autoSpaceDE w:val="0"/>
        <w:autoSpaceDN w:val="0"/>
        <w:adjustRightInd w:val="0"/>
        <w:spacing w:after="0" w:line="240" w:lineRule="auto"/>
        <w:rPr>
          <w:rFonts w:ascii="Arial" w:hAnsi="Arial" w:cs="Arial"/>
          <w:b/>
          <w:bCs/>
          <w:sz w:val="20"/>
          <w:szCs w:val="20"/>
          <w:lang w:val="en-GB"/>
        </w:rPr>
      </w:pPr>
    </w:p>
    <w:p w14:paraId="5DE31142" w14:textId="03DA2036" w:rsidR="00554A19" w:rsidRPr="00AE6A82" w:rsidRDefault="00554A19" w:rsidP="00554A19">
      <w:pPr>
        <w:autoSpaceDE w:val="0"/>
        <w:autoSpaceDN w:val="0"/>
        <w:adjustRightInd w:val="0"/>
        <w:spacing w:after="0" w:line="240" w:lineRule="auto"/>
        <w:rPr>
          <w:rFonts w:ascii="Arial" w:hAnsi="Arial" w:cs="Arial"/>
          <w:iCs/>
          <w:sz w:val="20"/>
          <w:szCs w:val="20"/>
          <w:lang w:val="en-GB"/>
        </w:rPr>
      </w:pPr>
      <w:r w:rsidRPr="00602915">
        <w:rPr>
          <w:rFonts w:ascii="Arial" w:hAnsi="Arial" w:cs="Arial"/>
          <w:b/>
          <w:bCs/>
          <w:sz w:val="20"/>
          <w:szCs w:val="20"/>
          <w:lang w:val="en-GB"/>
        </w:rPr>
        <w:t>Correct answer</w:t>
      </w:r>
      <w:r w:rsidR="005D3446" w:rsidRPr="00602915">
        <w:rPr>
          <w:rFonts w:ascii="Arial" w:hAnsi="Arial" w:cs="Arial"/>
          <w:b/>
          <w:bCs/>
          <w:sz w:val="20"/>
          <w:szCs w:val="20"/>
          <w:lang w:val="en-GB"/>
        </w:rPr>
        <w:t>:</w:t>
      </w:r>
      <w:r w:rsidRPr="00602915">
        <w:rPr>
          <w:rFonts w:ascii="Arial" w:hAnsi="Arial" w:cs="Arial"/>
          <w:b/>
          <w:bCs/>
          <w:sz w:val="20"/>
          <w:szCs w:val="20"/>
          <w:lang w:val="en-GB"/>
        </w:rPr>
        <w:t xml:space="preserve"> D.</w:t>
      </w:r>
      <w:r w:rsidR="005D3446" w:rsidRPr="00602915">
        <w:rPr>
          <w:rFonts w:ascii="Arial" w:hAnsi="Arial" w:cs="Arial"/>
          <w:b/>
          <w:bCs/>
          <w:sz w:val="20"/>
          <w:szCs w:val="20"/>
          <w:lang w:val="en-GB"/>
        </w:rPr>
        <w:t xml:space="preserve"> </w:t>
      </w:r>
      <w:r w:rsidRPr="00602915">
        <w:rPr>
          <w:rFonts w:ascii="Arial" w:hAnsi="Arial" w:cs="Arial"/>
          <w:iCs/>
          <w:sz w:val="20"/>
          <w:szCs w:val="20"/>
          <w:lang w:val="en-GB"/>
        </w:rPr>
        <w:t xml:space="preserve">This is a common scenario. A younger man with </w:t>
      </w:r>
      <w:r w:rsidR="005D3446" w:rsidRPr="00602915">
        <w:rPr>
          <w:rFonts w:ascii="Arial" w:hAnsi="Arial" w:cs="Arial"/>
          <w:iCs/>
          <w:sz w:val="20"/>
          <w:szCs w:val="20"/>
          <w:lang w:val="en-GB"/>
        </w:rPr>
        <w:t xml:space="preserve">Parkinson’s disease </w:t>
      </w:r>
      <w:r w:rsidRPr="00602915">
        <w:rPr>
          <w:rFonts w:ascii="Arial" w:hAnsi="Arial" w:cs="Arial"/>
          <w:iCs/>
          <w:sz w:val="20"/>
          <w:szCs w:val="20"/>
          <w:lang w:val="en-GB"/>
        </w:rPr>
        <w:t>develops symptoms of impulse control disorder (ICD) in the form of gambling. Other manifestations of this complication of therapy that should be routinely monitored include hypersexuality, compulsive shopping and binge eating</w:t>
      </w:r>
      <w:r w:rsidR="005D3446" w:rsidRPr="00602915">
        <w:rPr>
          <w:rFonts w:ascii="Arial" w:hAnsi="Arial" w:cs="Arial"/>
          <w:iCs/>
          <w:sz w:val="20"/>
          <w:szCs w:val="20"/>
          <w:lang w:val="en-GB"/>
        </w:rPr>
        <w:t>; they</w:t>
      </w:r>
      <w:r w:rsidRPr="00602915">
        <w:rPr>
          <w:rFonts w:ascii="Arial" w:hAnsi="Arial" w:cs="Arial"/>
          <w:iCs/>
          <w:sz w:val="20"/>
          <w:szCs w:val="20"/>
          <w:lang w:val="en-GB"/>
        </w:rPr>
        <w:t xml:space="preserve"> are more likely to occur in younger men with premorbid psychiatric problems and a history of substance abuse including alcoholism. Dopamine agonists such as ropinirole are approximately three times more likely than levodopa when used as monotherapy to produce ICDs. In combination with levodopa, the risk is increased when compared </w:t>
      </w:r>
      <w:r w:rsidR="004130D5" w:rsidRPr="00602915">
        <w:rPr>
          <w:rFonts w:ascii="Arial" w:hAnsi="Arial" w:cs="Arial"/>
          <w:iCs/>
          <w:sz w:val="20"/>
          <w:szCs w:val="20"/>
          <w:lang w:val="en-GB"/>
        </w:rPr>
        <w:t xml:space="preserve">with </w:t>
      </w:r>
      <w:r w:rsidRPr="00602915">
        <w:rPr>
          <w:rFonts w:ascii="Arial" w:hAnsi="Arial" w:cs="Arial"/>
          <w:iCs/>
          <w:sz w:val="20"/>
          <w:szCs w:val="20"/>
          <w:lang w:val="en-GB"/>
        </w:rPr>
        <w:t xml:space="preserve">dopamine agonist monotherapy. Depression (A, C) is commonly a feature of patients with this condition and should be assessed and treated. However, </w:t>
      </w:r>
      <w:r w:rsidR="004130D5" w:rsidRPr="00602915">
        <w:rPr>
          <w:rFonts w:ascii="Arial" w:hAnsi="Arial" w:cs="Arial"/>
          <w:iCs/>
          <w:sz w:val="20"/>
          <w:szCs w:val="20"/>
          <w:lang w:val="en-GB"/>
        </w:rPr>
        <w:t xml:space="preserve">a </w:t>
      </w:r>
      <w:r w:rsidRPr="00602915">
        <w:rPr>
          <w:rFonts w:ascii="Arial" w:hAnsi="Arial" w:cs="Arial"/>
          <w:iCs/>
          <w:sz w:val="20"/>
          <w:szCs w:val="20"/>
          <w:lang w:val="en-GB"/>
        </w:rPr>
        <w:t xml:space="preserve">reduction and/or complete cessation of the dopamine agonist is the most important therapeutic intervention in the clinic. This </w:t>
      </w:r>
      <w:r w:rsidR="004130D5" w:rsidRPr="00602915">
        <w:rPr>
          <w:rFonts w:ascii="Arial" w:hAnsi="Arial" w:cs="Arial"/>
          <w:iCs/>
          <w:sz w:val="20"/>
          <w:szCs w:val="20"/>
          <w:lang w:val="en-GB"/>
        </w:rPr>
        <w:t>can</w:t>
      </w:r>
      <w:r w:rsidRPr="00602915">
        <w:rPr>
          <w:rFonts w:ascii="Arial" w:hAnsi="Arial" w:cs="Arial"/>
          <w:iCs/>
          <w:sz w:val="20"/>
          <w:szCs w:val="20"/>
          <w:lang w:val="en-GB"/>
        </w:rPr>
        <w:t xml:space="preserve"> result in some troublesome symptoms emerging</w:t>
      </w:r>
      <w:r w:rsidR="00AC2682" w:rsidRPr="00602915">
        <w:rPr>
          <w:rFonts w:ascii="Arial" w:hAnsi="Arial" w:cs="Arial"/>
          <w:iCs/>
          <w:sz w:val="20"/>
          <w:szCs w:val="20"/>
          <w:lang w:val="en-GB"/>
        </w:rPr>
        <w:t>,</w:t>
      </w:r>
      <w:r w:rsidRPr="00602915">
        <w:rPr>
          <w:rFonts w:ascii="Arial" w:hAnsi="Arial" w:cs="Arial"/>
          <w:iCs/>
          <w:sz w:val="20"/>
          <w:szCs w:val="20"/>
          <w:lang w:val="en-GB"/>
        </w:rPr>
        <w:t xml:space="preserve"> such as anxiety, sweating and deterioration in motor symptoms</w:t>
      </w:r>
      <w:r w:rsidR="00AC2682" w:rsidRPr="00602915">
        <w:rPr>
          <w:rFonts w:ascii="Arial" w:hAnsi="Arial" w:cs="Arial"/>
          <w:iCs/>
          <w:sz w:val="20"/>
          <w:szCs w:val="20"/>
          <w:lang w:val="en-GB"/>
        </w:rPr>
        <w:t>,</w:t>
      </w:r>
      <w:r w:rsidRPr="00602915">
        <w:rPr>
          <w:rFonts w:ascii="Arial" w:hAnsi="Arial" w:cs="Arial"/>
          <w:iCs/>
          <w:sz w:val="20"/>
          <w:szCs w:val="20"/>
          <w:lang w:val="en-GB"/>
        </w:rPr>
        <w:t xml:space="preserve"> known as DAWS (dopamine agonist withdrawal syndrome), but usually results in significant improvement in the ICD symptoms.</w:t>
      </w:r>
      <w:r w:rsidR="00696452">
        <w:rPr>
          <w:rFonts w:ascii="Arial" w:hAnsi="Arial" w:cs="Arial"/>
          <w:iCs/>
          <w:sz w:val="20"/>
          <w:szCs w:val="20"/>
          <w:lang w:val="en-GB"/>
        </w:rPr>
        <w:t xml:space="preserve"> </w:t>
      </w:r>
    </w:p>
    <w:p w14:paraId="0A9B38FE" w14:textId="4264AC77" w:rsidR="00E21E9B" w:rsidRPr="00AE6A82" w:rsidRDefault="000C547E" w:rsidP="00554A19">
      <w:pPr>
        <w:autoSpaceDE w:val="0"/>
        <w:autoSpaceDN w:val="0"/>
        <w:adjustRightInd w:val="0"/>
        <w:spacing w:after="0" w:line="240" w:lineRule="auto"/>
        <w:rPr>
          <w:rFonts w:ascii="Arial" w:hAnsi="Arial" w:cs="Arial"/>
          <w:i/>
          <w:sz w:val="20"/>
          <w:szCs w:val="20"/>
          <w:lang w:val="en-GB"/>
        </w:rPr>
      </w:pPr>
      <w:r w:rsidRPr="00AE6A82">
        <w:rPr>
          <w:rFonts w:ascii="Arial" w:hAnsi="Arial" w:cs="Arial"/>
          <w:i/>
          <w:sz w:val="20"/>
          <w:szCs w:val="20"/>
          <w:lang w:val="en-GB"/>
        </w:rPr>
        <w:t xml:space="preserve"> </w:t>
      </w:r>
    </w:p>
    <w:sectPr w:rsidR="00E21E9B" w:rsidRPr="00AE6A82" w:rsidSect="00005C31">
      <w:pgSz w:w="12240" w:h="15840"/>
      <w:pgMar w:top="1440" w:right="1440" w:bottom="1440" w:left="1440"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46EBAC" w16cex:dateUtc="2020-04-19T14:24:00Z"/>
  <w16cex:commentExtensible w16cex:durableId="2246D7F5" w16cex:dateUtc="2020-04-19T13:00:00Z"/>
  <w16cex:commentExtensible w16cex:durableId="2246DB1A" w16cex:dateUtc="2020-04-19T13:13:00Z"/>
  <w16cex:commentExtensible w16cex:durableId="2246E1CE" w16cex:dateUtc="2020-04-19T13:42:00Z"/>
  <w16cex:commentExtensible w16cex:durableId="2246E27A" w16cex:dateUtc="2020-04-19T13:45:00Z"/>
  <w16cex:commentExtensible w16cex:durableId="2246E2DA" w16cex:dateUtc="2020-04-19T13:46:00Z"/>
  <w16cex:commentExtensible w16cex:durableId="2246E4B3" w16cex:dateUtc="2020-04-19T13:54:00Z"/>
  <w16cex:commentExtensible w16cex:durableId="2246EA83" w16cex:dateUtc="2020-04-19T14:1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57AE054" w16cid:durableId="21EFBBD1"/>
  <w16cid:commentId w16cid:paraId="109687CA" w16cid:durableId="2246D7F5"/>
  <w16cid:commentId w16cid:paraId="4AC78648" w16cid:durableId="2246DB1A"/>
  <w16cid:commentId w16cid:paraId="20634013" w16cid:durableId="22282F21"/>
  <w16cid:commentId w16cid:paraId="3E8E8879" w16cid:durableId="2246E1CE"/>
  <w16cid:commentId w16cid:paraId="5FC6B201" w16cid:durableId="2246E27A"/>
  <w16cid:commentId w16cid:paraId="1BFE0F89" w16cid:durableId="2246E2DA"/>
  <w16cid:commentId w16cid:paraId="738776C5" w16cid:durableId="2246E4B3"/>
  <w16cid:commentId w16cid:paraId="6B1A0616" w16cid:durableId="21FBC388"/>
  <w16cid:commentId w16cid:paraId="7E0D14F4" w16cid:durableId="2246EA83"/>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1E9B"/>
    <w:rsid w:val="00000357"/>
    <w:rsid w:val="00005C31"/>
    <w:rsid w:val="00020FBC"/>
    <w:rsid w:val="000419CC"/>
    <w:rsid w:val="000438ED"/>
    <w:rsid w:val="0007393E"/>
    <w:rsid w:val="000745CF"/>
    <w:rsid w:val="000778C3"/>
    <w:rsid w:val="00084AA2"/>
    <w:rsid w:val="00094156"/>
    <w:rsid w:val="000959E7"/>
    <w:rsid w:val="000B72F9"/>
    <w:rsid w:val="000C2B8E"/>
    <w:rsid w:val="000C2F21"/>
    <w:rsid w:val="000C547E"/>
    <w:rsid w:val="000C5EE4"/>
    <w:rsid w:val="000C6F1D"/>
    <w:rsid w:val="000D61D8"/>
    <w:rsid w:val="000D63EC"/>
    <w:rsid w:val="000F44EA"/>
    <w:rsid w:val="00105D42"/>
    <w:rsid w:val="00106804"/>
    <w:rsid w:val="0011292C"/>
    <w:rsid w:val="00161136"/>
    <w:rsid w:val="00163FCE"/>
    <w:rsid w:val="00194581"/>
    <w:rsid w:val="001A52E5"/>
    <w:rsid w:val="001B79C1"/>
    <w:rsid w:val="001E1712"/>
    <w:rsid w:val="002013C9"/>
    <w:rsid w:val="00205A95"/>
    <w:rsid w:val="002255F6"/>
    <w:rsid w:val="00231A5F"/>
    <w:rsid w:val="00237F67"/>
    <w:rsid w:val="0024107D"/>
    <w:rsid w:val="002503AE"/>
    <w:rsid w:val="002529F7"/>
    <w:rsid w:val="00255344"/>
    <w:rsid w:val="00272294"/>
    <w:rsid w:val="00276203"/>
    <w:rsid w:val="002B5691"/>
    <w:rsid w:val="002B7267"/>
    <w:rsid w:val="002C34A3"/>
    <w:rsid w:val="002D0B9E"/>
    <w:rsid w:val="002E4190"/>
    <w:rsid w:val="002E7681"/>
    <w:rsid w:val="002F6F9E"/>
    <w:rsid w:val="002F7F5D"/>
    <w:rsid w:val="0031464A"/>
    <w:rsid w:val="00323C00"/>
    <w:rsid w:val="00330669"/>
    <w:rsid w:val="00347A35"/>
    <w:rsid w:val="0036065A"/>
    <w:rsid w:val="0036589C"/>
    <w:rsid w:val="00384317"/>
    <w:rsid w:val="003A1534"/>
    <w:rsid w:val="003B3D25"/>
    <w:rsid w:val="003B64E2"/>
    <w:rsid w:val="003C1B0A"/>
    <w:rsid w:val="003C2DD1"/>
    <w:rsid w:val="003C4528"/>
    <w:rsid w:val="003C71FC"/>
    <w:rsid w:val="003D6ABD"/>
    <w:rsid w:val="003E1EDF"/>
    <w:rsid w:val="00412076"/>
    <w:rsid w:val="004130D5"/>
    <w:rsid w:val="0041576D"/>
    <w:rsid w:val="00450A1E"/>
    <w:rsid w:val="0045253D"/>
    <w:rsid w:val="00462E2A"/>
    <w:rsid w:val="0048478A"/>
    <w:rsid w:val="004A53AE"/>
    <w:rsid w:val="004F15A5"/>
    <w:rsid w:val="0050202C"/>
    <w:rsid w:val="005055C0"/>
    <w:rsid w:val="00526821"/>
    <w:rsid w:val="005439D6"/>
    <w:rsid w:val="005517ED"/>
    <w:rsid w:val="00554A19"/>
    <w:rsid w:val="00582CE9"/>
    <w:rsid w:val="00597DF0"/>
    <w:rsid w:val="005A7B1C"/>
    <w:rsid w:val="005B4191"/>
    <w:rsid w:val="005B5CBC"/>
    <w:rsid w:val="005D3446"/>
    <w:rsid w:val="005D6DDA"/>
    <w:rsid w:val="005E0CEE"/>
    <w:rsid w:val="005E522C"/>
    <w:rsid w:val="005E7759"/>
    <w:rsid w:val="00602915"/>
    <w:rsid w:val="0060339D"/>
    <w:rsid w:val="006070CE"/>
    <w:rsid w:val="00620EF4"/>
    <w:rsid w:val="00640A60"/>
    <w:rsid w:val="00654814"/>
    <w:rsid w:val="0067531D"/>
    <w:rsid w:val="0069078D"/>
    <w:rsid w:val="00696452"/>
    <w:rsid w:val="006A7A5F"/>
    <w:rsid w:val="006D10FC"/>
    <w:rsid w:val="006D19BD"/>
    <w:rsid w:val="006D4701"/>
    <w:rsid w:val="006D4A90"/>
    <w:rsid w:val="006E5FEE"/>
    <w:rsid w:val="006F0205"/>
    <w:rsid w:val="006F7994"/>
    <w:rsid w:val="00704285"/>
    <w:rsid w:val="00706155"/>
    <w:rsid w:val="0071075B"/>
    <w:rsid w:val="00721011"/>
    <w:rsid w:val="00741B13"/>
    <w:rsid w:val="00766E5B"/>
    <w:rsid w:val="00770B78"/>
    <w:rsid w:val="007A3575"/>
    <w:rsid w:val="007C6158"/>
    <w:rsid w:val="007D4F1F"/>
    <w:rsid w:val="007D64D6"/>
    <w:rsid w:val="007F15CB"/>
    <w:rsid w:val="007F3384"/>
    <w:rsid w:val="007F6BFA"/>
    <w:rsid w:val="00812086"/>
    <w:rsid w:val="00817C63"/>
    <w:rsid w:val="00821F0C"/>
    <w:rsid w:val="008258EC"/>
    <w:rsid w:val="00834994"/>
    <w:rsid w:val="00837D2C"/>
    <w:rsid w:val="00867D8A"/>
    <w:rsid w:val="00871879"/>
    <w:rsid w:val="00894CF5"/>
    <w:rsid w:val="008A2928"/>
    <w:rsid w:val="008A63B8"/>
    <w:rsid w:val="008D02C5"/>
    <w:rsid w:val="008E0608"/>
    <w:rsid w:val="008F3E38"/>
    <w:rsid w:val="008F4358"/>
    <w:rsid w:val="00901E66"/>
    <w:rsid w:val="00910835"/>
    <w:rsid w:val="00923BE0"/>
    <w:rsid w:val="00925B05"/>
    <w:rsid w:val="00937560"/>
    <w:rsid w:val="00937E10"/>
    <w:rsid w:val="009517F3"/>
    <w:rsid w:val="00953131"/>
    <w:rsid w:val="00961A63"/>
    <w:rsid w:val="00966708"/>
    <w:rsid w:val="00967C09"/>
    <w:rsid w:val="00971ED7"/>
    <w:rsid w:val="009A4B36"/>
    <w:rsid w:val="009E6BEA"/>
    <w:rsid w:val="009F2909"/>
    <w:rsid w:val="00A23F5B"/>
    <w:rsid w:val="00A30A93"/>
    <w:rsid w:val="00A47253"/>
    <w:rsid w:val="00A64714"/>
    <w:rsid w:val="00A71B7F"/>
    <w:rsid w:val="00A777AE"/>
    <w:rsid w:val="00A85A14"/>
    <w:rsid w:val="00A90C04"/>
    <w:rsid w:val="00A91601"/>
    <w:rsid w:val="00AB4C8D"/>
    <w:rsid w:val="00AC047B"/>
    <w:rsid w:val="00AC2682"/>
    <w:rsid w:val="00AD0B3F"/>
    <w:rsid w:val="00AE378D"/>
    <w:rsid w:val="00AE6A82"/>
    <w:rsid w:val="00AE7625"/>
    <w:rsid w:val="00B24C30"/>
    <w:rsid w:val="00B34B95"/>
    <w:rsid w:val="00B565CC"/>
    <w:rsid w:val="00B611B7"/>
    <w:rsid w:val="00B629C3"/>
    <w:rsid w:val="00B64BB2"/>
    <w:rsid w:val="00B95D14"/>
    <w:rsid w:val="00BB3DC1"/>
    <w:rsid w:val="00BB6E09"/>
    <w:rsid w:val="00BC446D"/>
    <w:rsid w:val="00BD0852"/>
    <w:rsid w:val="00BE6911"/>
    <w:rsid w:val="00BF5F51"/>
    <w:rsid w:val="00C136E8"/>
    <w:rsid w:val="00C16D84"/>
    <w:rsid w:val="00C210F8"/>
    <w:rsid w:val="00C21BA2"/>
    <w:rsid w:val="00C21C13"/>
    <w:rsid w:val="00C3131B"/>
    <w:rsid w:val="00C3573E"/>
    <w:rsid w:val="00C95B2E"/>
    <w:rsid w:val="00CB4CB5"/>
    <w:rsid w:val="00D1111A"/>
    <w:rsid w:val="00D24E7E"/>
    <w:rsid w:val="00D3198F"/>
    <w:rsid w:val="00D31C50"/>
    <w:rsid w:val="00D32A47"/>
    <w:rsid w:val="00D34B3C"/>
    <w:rsid w:val="00D35E6D"/>
    <w:rsid w:val="00D856A9"/>
    <w:rsid w:val="00D91D2A"/>
    <w:rsid w:val="00D9234E"/>
    <w:rsid w:val="00DA2331"/>
    <w:rsid w:val="00DB12FD"/>
    <w:rsid w:val="00DC1619"/>
    <w:rsid w:val="00DC7C1D"/>
    <w:rsid w:val="00DD728D"/>
    <w:rsid w:val="00DF24BB"/>
    <w:rsid w:val="00E14398"/>
    <w:rsid w:val="00E20907"/>
    <w:rsid w:val="00E21E9B"/>
    <w:rsid w:val="00E52019"/>
    <w:rsid w:val="00E5296C"/>
    <w:rsid w:val="00E66B29"/>
    <w:rsid w:val="00E86034"/>
    <w:rsid w:val="00E90B70"/>
    <w:rsid w:val="00E921E5"/>
    <w:rsid w:val="00EA1929"/>
    <w:rsid w:val="00EA5799"/>
    <w:rsid w:val="00EB0022"/>
    <w:rsid w:val="00EC6146"/>
    <w:rsid w:val="00ED3116"/>
    <w:rsid w:val="00ED3E33"/>
    <w:rsid w:val="00EE1F3F"/>
    <w:rsid w:val="00EF08E5"/>
    <w:rsid w:val="00EF3A21"/>
    <w:rsid w:val="00F14F49"/>
    <w:rsid w:val="00F1548C"/>
    <w:rsid w:val="00F17A49"/>
    <w:rsid w:val="00F30DD6"/>
    <w:rsid w:val="00F32398"/>
    <w:rsid w:val="00F35D32"/>
    <w:rsid w:val="00F43B1F"/>
    <w:rsid w:val="00F4641F"/>
    <w:rsid w:val="00F469A5"/>
    <w:rsid w:val="00F512CA"/>
    <w:rsid w:val="00F57797"/>
    <w:rsid w:val="00F619B5"/>
    <w:rsid w:val="00F6355C"/>
    <w:rsid w:val="00F7021B"/>
    <w:rsid w:val="00F84739"/>
    <w:rsid w:val="00F940C7"/>
    <w:rsid w:val="00F958A9"/>
    <w:rsid w:val="00FA5A5A"/>
    <w:rsid w:val="00FA7D60"/>
    <w:rsid w:val="00FB3568"/>
    <w:rsid w:val="00FB744A"/>
    <w:rsid w:val="00FC55C7"/>
    <w:rsid w:val="00FC5D77"/>
    <w:rsid w:val="00FE4009"/>
    <w:rsid w:val="00FE6BBF"/>
    <w:rsid w:val="00FF381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8202584"/>
  <w15:docId w15:val="{D30BCC70-2782-4168-A730-32126C3F8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E21E9B"/>
    <w:pPr>
      <w:spacing w:before="161" w:after="161" w:line="240" w:lineRule="auto"/>
      <w:outlineLvl w:val="0"/>
    </w:pPr>
    <w:rPr>
      <w:rFonts w:ascii="Times New Roman" w:eastAsia="Times New Roman" w:hAnsi="Times New Roman" w:cs="Times New Roman"/>
      <w:color w:val="505050"/>
      <w:kern w:val="36"/>
      <w:sz w:val="42"/>
      <w:szCs w:val="42"/>
      <w:lang w:val="en-GB" w:eastAsia="en-GB"/>
    </w:rPr>
  </w:style>
  <w:style w:type="paragraph" w:styleId="Heading2">
    <w:name w:val="heading 2"/>
    <w:basedOn w:val="Normal"/>
    <w:next w:val="Normal"/>
    <w:link w:val="Heading2Char"/>
    <w:uiPriority w:val="9"/>
    <w:semiHidden/>
    <w:unhideWhenUsed/>
    <w:qFormat/>
    <w:rsid w:val="00E21E9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E21E9B"/>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1E9B"/>
    <w:rPr>
      <w:rFonts w:ascii="Times New Roman" w:eastAsia="Times New Roman" w:hAnsi="Times New Roman" w:cs="Times New Roman"/>
      <w:color w:val="505050"/>
      <w:kern w:val="36"/>
      <w:sz w:val="42"/>
      <w:szCs w:val="42"/>
      <w:lang w:val="en-GB" w:eastAsia="en-GB"/>
    </w:rPr>
  </w:style>
  <w:style w:type="character" w:customStyle="1" w:styleId="title-text">
    <w:name w:val="title-text"/>
    <w:basedOn w:val="DefaultParagraphFont"/>
    <w:rsid w:val="00E21E9B"/>
  </w:style>
  <w:style w:type="character" w:customStyle="1" w:styleId="sr-only1">
    <w:name w:val="sr-only1"/>
    <w:basedOn w:val="DefaultParagraphFont"/>
    <w:rsid w:val="00E21E9B"/>
    <w:rPr>
      <w:bdr w:val="none" w:sz="0" w:space="0" w:color="auto" w:frame="1"/>
    </w:rPr>
  </w:style>
  <w:style w:type="character" w:customStyle="1" w:styleId="text2">
    <w:name w:val="text2"/>
    <w:basedOn w:val="DefaultParagraphFont"/>
    <w:rsid w:val="00E21E9B"/>
  </w:style>
  <w:style w:type="character" w:customStyle="1" w:styleId="Heading2Char">
    <w:name w:val="Heading 2 Char"/>
    <w:basedOn w:val="DefaultParagraphFont"/>
    <w:link w:val="Heading2"/>
    <w:uiPriority w:val="9"/>
    <w:semiHidden/>
    <w:rsid w:val="00E21E9B"/>
    <w:rPr>
      <w:rFonts w:asciiTheme="majorHAnsi" w:eastAsiaTheme="majorEastAsia" w:hAnsiTheme="majorHAnsi" w:cstheme="majorBidi"/>
      <w:color w:val="365F91" w:themeColor="accent1" w:themeShade="BF"/>
      <w:sz w:val="26"/>
      <w:szCs w:val="26"/>
    </w:rPr>
  </w:style>
  <w:style w:type="character" w:styleId="Hyperlink">
    <w:name w:val="Hyperlink"/>
    <w:basedOn w:val="DefaultParagraphFont"/>
    <w:uiPriority w:val="99"/>
    <w:semiHidden/>
    <w:unhideWhenUsed/>
    <w:rsid w:val="00E21E9B"/>
    <w:rPr>
      <w:strike w:val="0"/>
      <w:dstrike w:val="0"/>
      <w:color w:val="007398"/>
      <w:u w:val="none"/>
      <w:effect w:val="none"/>
      <w:shd w:val="clear" w:color="auto" w:fill="auto"/>
    </w:rPr>
  </w:style>
  <w:style w:type="character" w:customStyle="1" w:styleId="Heading3Char">
    <w:name w:val="Heading 3 Char"/>
    <w:basedOn w:val="DefaultParagraphFont"/>
    <w:link w:val="Heading3"/>
    <w:uiPriority w:val="9"/>
    <w:semiHidden/>
    <w:rsid w:val="00E21E9B"/>
    <w:rPr>
      <w:rFonts w:asciiTheme="majorHAnsi" w:eastAsiaTheme="majorEastAsia" w:hAnsiTheme="majorHAnsi" w:cstheme="majorBidi"/>
      <w:color w:val="243F60" w:themeColor="accent1" w:themeShade="7F"/>
      <w:sz w:val="24"/>
      <w:szCs w:val="24"/>
    </w:rPr>
  </w:style>
  <w:style w:type="character" w:styleId="Emphasis">
    <w:name w:val="Emphasis"/>
    <w:basedOn w:val="DefaultParagraphFont"/>
    <w:uiPriority w:val="20"/>
    <w:qFormat/>
    <w:rsid w:val="00E21E9B"/>
    <w:rPr>
      <w:i/>
      <w:iCs/>
    </w:rPr>
  </w:style>
  <w:style w:type="character" w:customStyle="1" w:styleId="small-caps">
    <w:name w:val="small-caps"/>
    <w:basedOn w:val="DefaultParagraphFont"/>
    <w:rsid w:val="00E21E9B"/>
    <w:rPr>
      <w:smallCaps/>
    </w:rPr>
  </w:style>
  <w:style w:type="paragraph" w:customStyle="1" w:styleId="captions2">
    <w:name w:val="captions2"/>
    <w:basedOn w:val="Normal"/>
    <w:rsid w:val="00E21E9B"/>
    <w:pPr>
      <w:spacing w:before="240" w:after="240" w:line="330" w:lineRule="atLeast"/>
      <w:ind w:left="360" w:right="360"/>
    </w:pPr>
    <w:rPr>
      <w:rFonts w:ascii="Times New Roman" w:eastAsia="Times New Roman" w:hAnsi="Times New Roman" w:cs="Times New Roman"/>
      <w:color w:val="323232"/>
      <w:sz w:val="24"/>
      <w:szCs w:val="24"/>
      <w:lang w:val="en-GB" w:eastAsia="en-GB"/>
    </w:rPr>
  </w:style>
  <w:style w:type="character" w:customStyle="1" w:styleId="label5">
    <w:name w:val="label5"/>
    <w:basedOn w:val="DefaultParagraphFont"/>
    <w:rsid w:val="00E21E9B"/>
  </w:style>
  <w:style w:type="character" w:styleId="CommentReference">
    <w:name w:val="annotation reference"/>
    <w:basedOn w:val="DefaultParagraphFont"/>
    <w:uiPriority w:val="99"/>
    <w:semiHidden/>
    <w:unhideWhenUsed/>
    <w:rsid w:val="00640A60"/>
    <w:rPr>
      <w:sz w:val="16"/>
      <w:szCs w:val="16"/>
    </w:rPr>
  </w:style>
  <w:style w:type="paragraph" w:styleId="CommentText">
    <w:name w:val="annotation text"/>
    <w:basedOn w:val="Normal"/>
    <w:link w:val="CommentTextChar"/>
    <w:uiPriority w:val="99"/>
    <w:unhideWhenUsed/>
    <w:rsid w:val="00640A60"/>
    <w:pPr>
      <w:spacing w:line="240" w:lineRule="auto"/>
    </w:pPr>
    <w:rPr>
      <w:sz w:val="20"/>
      <w:szCs w:val="20"/>
    </w:rPr>
  </w:style>
  <w:style w:type="character" w:customStyle="1" w:styleId="CommentTextChar">
    <w:name w:val="Comment Text Char"/>
    <w:basedOn w:val="DefaultParagraphFont"/>
    <w:link w:val="CommentText"/>
    <w:uiPriority w:val="99"/>
    <w:rsid w:val="00640A60"/>
    <w:rPr>
      <w:sz w:val="20"/>
      <w:szCs w:val="20"/>
    </w:rPr>
  </w:style>
  <w:style w:type="paragraph" w:styleId="CommentSubject">
    <w:name w:val="annotation subject"/>
    <w:basedOn w:val="CommentText"/>
    <w:next w:val="CommentText"/>
    <w:link w:val="CommentSubjectChar"/>
    <w:uiPriority w:val="99"/>
    <w:semiHidden/>
    <w:unhideWhenUsed/>
    <w:rsid w:val="00640A60"/>
    <w:rPr>
      <w:b/>
      <w:bCs/>
    </w:rPr>
  </w:style>
  <w:style w:type="character" w:customStyle="1" w:styleId="CommentSubjectChar">
    <w:name w:val="Comment Subject Char"/>
    <w:basedOn w:val="CommentTextChar"/>
    <w:link w:val="CommentSubject"/>
    <w:uiPriority w:val="99"/>
    <w:semiHidden/>
    <w:rsid w:val="00640A60"/>
    <w:rPr>
      <w:b/>
      <w:bCs/>
      <w:sz w:val="20"/>
      <w:szCs w:val="20"/>
    </w:rPr>
  </w:style>
  <w:style w:type="paragraph" w:styleId="BalloonText">
    <w:name w:val="Balloon Text"/>
    <w:basedOn w:val="Normal"/>
    <w:link w:val="BalloonTextChar"/>
    <w:uiPriority w:val="99"/>
    <w:semiHidden/>
    <w:unhideWhenUsed/>
    <w:rsid w:val="00640A6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40A60"/>
    <w:rPr>
      <w:rFonts w:ascii="Segoe UI" w:hAnsi="Segoe UI" w:cs="Segoe UI"/>
      <w:sz w:val="18"/>
      <w:szCs w:val="18"/>
    </w:rPr>
  </w:style>
  <w:style w:type="paragraph" w:styleId="ListParagraph">
    <w:name w:val="List Paragraph"/>
    <w:basedOn w:val="Normal"/>
    <w:uiPriority w:val="34"/>
    <w:qFormat/>
    <w:rsid w:val="00BD0852"/>
    <w:pPr>
      <w:ind w:left="720"/>
      <w:contextualSpacing/>
    </w:pPr>
  </w:style>
  <w:style w:type="character" w:styleId="FollowedHyperlink">
    <w:name w:val="FollowedHyperlink"/>
    <w:basedOn w:val="DefaultParagraphFont"/>
    <w:uiPriority w:val="99"/>
    <w:semiHidden/>
    <w:unhideWhenUsed/>
    <w:rsid w:val="00A47253"/>
    <w:rPr>
      <w:color w:val="800080" w:themeColor="followedHyperlink"/>
      <w:u w:val="single"/>
    </w:rPr>
  </w:style>
  <w:style w:type="paragraph" w:styleId="Revision">
    <w:name w:val="Revision"/>
    <w:hidden/>
    <w:uiPriority w:val="99"/>
    <w:semiHidden/>
    <w:rsid w:val="00C3131B"/>
    <w:pPr>
      <w:spacing w:after="0" w:line="240" w:lineRule="auto"/>
    </w:pPr>
  </w:style>
  <w:style w:type="paragraph" w:customStyle="1" w:styleId="Body">
    <w:name w:val="Body"/>
    <w:rsid w:val="00554A19"/>
    <w:pPr>
      <w:spacing w:after="0" w:line="240" w:lineRule="auto"/>
    </w:pPr>
    <w:rPr>
      <w:rFonts w:ascii="Times New Roman" w:eastAsia="Times New Roman" w:hAnsi="Times New Roman" w:cs="Times New Roman"/>
      <w:color w:val="000000"/>
      <w:sz w:val="24"/>
      <w:szCs w:val="24"/>
      <w:u w:color="000000"/>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373701">
      <w:bodyDiv w:val="1"/>
      <w:marLeft w:val="0"/>
      <w:marRight w:val="0"/>
      <w:marTop w:val="0"/>
      <w:marBottom w:val="0"/>
      <w:divBdr>
        <w:top w:val="none" w:sz="0" w:space="0" w:color="auto"/>
        <w:left w:val="none" w:sz="0" w:space="0" w:color="auto"/>
        <w:bottom w:val="none" w:sz="0" w:space="0" w:color="auto"/>
        <w:right w:val="none" w:sz="0" w:space="0" w:color="auto"/>
      </w:divBdr>
      <w:divsChild>
        <w:div w:id="1392466020">
          <w:marLeft w:val="0"/>
          <w:marRight w:val="0"/>
          <w:marTop w:val="0"/>
          <w:marBottom w:val="0"/>
          <w:divBdr>
            <w:top w:val="none" w:sz="0" w:space="0" w:color="auto"/>
            <w:left w:val="none" w:sz="0" w:space="0" w:color="auto"/>
            <w:bottom w:val="none" w:sz="0" w:space="0" w:color="auto"/>
            <w:right w:val="none" w:sz="0" w:space="0" w:color="auto"/>
          </w:divBdr>
          <w:divsChild>
            <w:div w:id="299843467">
              <w:marLeft w:val="0"/>
              <w:marRight w:val="0"/>
              <w:marTop w:val="100"/>
              <w:marBottom w:val="100"/>
              <w:divBdr>
                <w:top w:val="none" w:sz="0" w:space="0" w:color="auto"/>
                <w:left w:val="none" w:sz="0" w:space="0" w:color="auto"/>
                <w:bottom w:val="none" w:sz="0" w:space="0" w:color="auto"/>
                <w:right w:val="none" w:sz="0" w:space="0" w:color="auto"/>
              </w:divBdr>
              <w:divsChild>
                <w:div w:id="1437991166">
                  <w:marLeft w:val="0"/>
                  <w:marRight w:val="0"/>
                  <w:marTop w:val="0"/>
                  <w:marBottom w:val="0"/>
                  <w:divBdr>
                    <w:top w:val="none" w:sz="0" w:space="0" w:color="auto"/>
                    <w:left w:val="none" w:sz="0" w:space="0" w:color="auto"/>
                    <w:bottom w:val="none" w:sz="0" w:space="0" w:color="auto"/>
                    <w:right w:val="none" w:sz="0" w:space="0" w:color="auto"/>
                  </w:divBdr>
                  <w:divsChild>
                    <w:div w:id="851607146">
                      <w:marLeft w:val="0"/>
                      <w:marRight w:val="0"/>
                      <w:marTop w:val="0"/>
                      <w:marBottom w:val="0"/>
                      <w:divBdr>
                        <w:top w:val="none" w:sz="0" w:space="0" w:color="auto"/>
                        <w:left w:val="none" w:sz="0" w:space="0" w:color="auto"/>
                        <w:bottom w:val="none" w:sz="0" w:space="0" w:color="auto"/>
                        <w:right w:val="none" w:sz="0" w:space="0" w:color="auto"/>
                      </w:divBdr>
                      <w:divsChild>
                        <w:div w:id="752551457">
                          <w:marLeft w:val="0"/>
                          <w:marRight w:val="0"/>
                          <w:marTop w:val="100"/>
                          <w:marBottom w:val="100"/>
                          <w:divBdr>
                            <w:top w:val="none" w:sz="0" w:space="0" w:color="auto"/>
                            <w:left w:val="none" w:sz="0" w:space="0" w:color="auto"/>
                            <w:bottom w:val="none" w:sz="0" w:space="0" w:color="auto"/>
                            <w:right w:val="none" w:sz="0" w:space="0" w:color="auto"/>
                          </w:divBdr>
                          <w:divsChild>
                            <w:div w:id="277414800">
                              <w:marLeft w:val="0"/>
                              <w:marRight w:val="0"/>
                              <w:marTop w:val="0"/>
                              <w:marBottom w:val="0"/>
                              <w:divBdr>
                                <w:top w:val="none" w:sz="0" w:space="0" w:color="auto"/>
                                <w:left w:val="none" w:sz="0" w:space="0" w:color="auto"/>
                                <w:bottom w:val="none" w:sz="0" w:space="0" w:color="auto"/>
                                <w:right w:val="none" w:sz="0" w:space="0" w:color="auto"/>
                              </w:divBdr>
                              <w:divsChild>
                                <w:div w:id="425201085">
                                  <w:marLeft w:val="0"/>
                                  <w:marRight w:val="0"/>
                                  <w:marTop w:val="0"/>
                                  <w:marBottom w:val="0"/>
                                  <w:divBdr>
                                    <w:top w:val="none" w:sz="0" w:space="0" w:color="auto"/>
                                    <w:left w:val="none" w:sz="0" w:space="0" w:color="auto"/>
                                    <w:bottom w:val="none" w:sz="0" w:space="0" w:color="auto"/>
                                    <w:right w:val="none" w:sz="0" w:space="0" w:color="auto"/>
                                  </w:divBdr>
                                  <w:divsChild>
                                    <w:div w:id="960380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68010183">
      <w:bodyDiv w:val="1"/>
      <w:marLeft w:val="0"/>
      <w:marRight w:val="0"/>
      <w:marTop w:val="0"/>
      <w:marBottom w:val="0"/>
      <w:divBdr>
        <w:top w:val="none" w:sz="0" w:space="0" w:color="auto"/>
        <w:left w:val="none" w:sz="0" w:space="0" w:color="auto"/>
        <w:bottom w:val="none" w:sz="0" w:space="0" w:color="auto"/>
        <w:right w:val="none" w:sz="0" w:space="0" w:color="auto"/>
      </w:divBdr>
      <w:divsChild>
        <w:div w:id="1668551719">
          <w:marLeft w:val="0"/>
          <w:marRight w:val="0"/>
          <w:marTop w:val="0"/>
          <w:marBottom w:val="0"/>
          <w:divBdr>
            <w:top w:val="none" w:sz="0" w:space="0" w:color="auto"/>
            <w:left w:val="none" w:sz="0" w:space="0" w:color="auto"/>
            <w:bottom w:val="none" w:sz="0" w:space="0" w:color="auto"/>
            <w:right w:val="none" w:sz="0" w:space="0" w:color="auto"/>
          </w:divBdr>
          <w:divsChild>
            <w:div w:id="1298103768">
              <w:marLeft w:val="0"/>
              <w:marRight w:val="0"/>
              <w:marTop w:val="100"/>
              <w:marBottom w:val="100"/>
              <w:divBdr>
                <w:top w:val="none" w:sz="0" w:space="0" w:color="auto"/>
                <w:left w:val="none" w:sz="0" w:space="0" w:color="auto"/>
                <w:bottom w:val="none" w:sz="0" w:space="0" w:color="auto"/>
                <w:right w:val="none" w:sz="0" w:space="0" w:color="auto"/>
              </w:divBdr>
              <w:divsChild>
                <w:div w:id="1165440696">
                  <w:marLeft w:val="0"/>
                  <w:marRight w:val="0"/>
                  <w:marTop w:val="0"/>
                  <w:marBottom w:val="0"/>
                  <w:divBdr>
                    <w:top w:val="none" w:sz="0" w:space="0" w:color="auto"/>
                    <w:left w:val="none" w:sz="0" w:space="0" w:color="auto"/>
                    <w:bottom w:val="none" w:sz="0" w:space="0" w:color="auto"/>
                    <w:right w:val="none" w:sz="0" w:space="0" w:color="auto"/>
                  </w:divBdr>
                  <w:divsChild>
                    <w:div w:id="1744599954">
                      <w:marLeft w:val="0"/>
                      <w:marRight w:val="0"/>
                      <w:marTop w:val="0"/>
                      <w:marBottom w:val="0"/>
                      <w:divBdr>
                        <w:top w:val="none" w:sz="0" w:space="0" w:color="auto"/>
                        <w:left w:val="none" w:sz="0" w:space="0" w:color="auto"/>
                        <w:bottom w:val="none" w:sz="0" w:space="0" w:color="auto"/>
                        <w:right w:val="none" w:sz="0" w:space="0" w:color="auto"/>
                      </w:divBdr>
                      <w:divsChild>
                        <w:div w:id="2104301722">
                          <w:marLeft w:val="0"/>
                          <w:marRight w:val="0"/>
                          <w:marTop w:val="100"/>
                          <w:marBottom w:val="100"/>
                          <w:divBdr>
                            <w:top w:val="none" w:sz="0" w:space="0" w:color="auto"/>
                            <w:left w:val="none" w:sz="0" w:space="0" w:color="auto"/>
                            <w:bottom w:val="none" w:sz="0" w:space="0" w:color="auto"/>
                            <w:right w:val="none" w:sz="0" w:space="0" w:color="auto"/>
                          </w:divBdr>
                          <w:divsChild>
                            <w:div w:id="93717848">
                              <w:marLeft w:val="0"/>
                              <w:marRight w:val="0"/>
                              <w:marTop w:val="0"/>
                              <w:marBottom w:val="120"/>
                              <w:divBdr>
                                <w:top w:val="none" w:sz="0" w:space="0" w:color="auto"/>
                                <w:left w:val="none" w:sz="0" w:space="0" w:color="auto"/>
                                <w:bottom w:val="none" w:sz="0" w:space="0" w:color="auto"/>
                                <w:right w:val="none" w:sz="0" w:space="0" w:color="auto"/>
                              </w:divBdr>
                              <w:divsChild>
                                <w:div w:id="1637567533">
                                  <w:marLeft w:val="0"/>
                                  <w:marRight w:val="0"/>
                                  <w:marTop w:val="0"/>
                                  <w:marBottom w:val="0"/>
                                  <w:divBdr>
                                    <w:top w:val="none" w:sz="0" w:space="0" w:color="auto"/>
                                    <w:left w:val="none" w:sz="0" w:space="0" w:color="auto"/>
                                    <w:bottom w:val="none" w:sz="0" w:space="0" w:color="auto"/>
                                    <w:right w:val="none" w:sz="0" w:space="0" w:color="auto"/>
                                  </w:divBdr>
                                  <w:divsChild>
                                    <w:div w:id="508835112">
                                      <w:marLeft w:val="0"/>
                                      <w:marRight w:val="0"/>
                                      <w:marTop w:val="0"/>
                                      <w:marBottom w:val="0"/>
                                      <w:divBdr>
                                        <w:top w:val="none" w:sz="0" w:space="0" w:color="auto"/>
                                        <w:left w:val="none" w:sz="0" w:space="0" w:color="auto"/>
                                        <w:bottom w:val="none" w:sz="0" w:space="0" w:color="auto"/>
                                        <w:right w:val="none" w:sz="0" w:space="0" w:color="auto"/>
                                      </w:divBdr>
                                      <w:divsChild>
                                        <w:div w:id="206845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23122714">
      <w:bodyDiv w:val="1"/>
      <w:marLeft w:val="0"/>
      <w:marRight w:val="0"/>
      <w:marTop w:val="0"/>
      <w:marBottom w:val="0"/>
      <w:divBdr>
        <w:top w:val="none" w:sz="0" w:space="0" w:color="auto"/>
        <w:left w:val="none" w:sz="0" w:space="0" w:color="auto"/>
        <w:bottom w:val="none" w:sz="0" w:space="0" w:color="auto"/>
        <w:right w:val="none" w:sz="0" w:space="0" w:color="auto"/>
      </w:divBdr>
      <w:divsChild>
        <w:div w:id="1179125888">
          <w:marLeft w:val="0"/>
          <w:marRight w:val="0"/>
          <w:marTop w:val="0"/>
          <w:marBottom w:val="0"/>
          <w:divBdr>
            <w:top w:val="none" w:sz="0" w:space="0" w:color="auto"/>
            <w:left w:val="none" w:sz="0" w:space="0" w:color="auto"/>
            <w:bottom w:val="none" w:sz="0" w:space="0" w:color="auto"/>
            <w:right w:val="none" w:sz="0" w:space="0" w:color="auto"/>
          </w:divBdr>
          <w:divsChild>
            <w:div w:id="1586911580">
              <w:marLeft w:val="0"/>
              <w:marRight w:val="0"/>
              <w:marTop w:val="100"/>
              <w:marBottom w:val="100"/>
              <w:divBdr>
                <w:top w:val="none" w:sz="0" w:space="0" w:color="auto"/>
                <w:left w:val="none" w:sz="0" w:space="0" w:color="auto"/>
                <w:bottom w:val="none" w:sz="0" w:space="0" w:color="auto"/>
                <w:right w:val="none" w:sz="0" w:space="0" w:color="auto"/>
              </w:divBdr>
              <w:divsChild>
                <w:div w:id="2109232974">
                  <w:marLeft w:val="0"/>
                  <w:marRight w:val="0"/>
                  <w:marTop w:val="0"/>
                  <w:marBottom w:val="0"/>
                  <w:divBdr>
                    <w:top w:val="none" w:sz="0" w:space="0" w:color="auto"/>
                    <w:left w:val="none" w:sz="0" w:space="0" w:color="auto"/>
                    <w:bottom w:val="none" w:sz="0" w:space="0" w:color="auto"/>
                    <w:right w:val="none" w:sz="0" w:space="0" w:color="auto"/>
                  </w:divBdr>
                  <w:divsChild>
                    <w:div w:id="1386568140">
                      <w:marLeft w:val="0"/>
                      <w:marRight w:val="0"/>
                      <w:marTop w:val="0"/>
                      <w:marBottom w:val="0"/>
                      <w:divBdr>
                        <w:top w:val="none" w:sz="0" w:space="0" w:color="auto"/>
                        <w:left w:val="none" w:sz="0" w:space="0" w:color="auto"/>
                        <w:bottom w:val="none" w:sz="0" w:space="0" w:color="auto"/>
                        <w:right w:val="none" w:sz="0" w:space="0" w:color="auto"/>
                      </w:divBdr>
                      <w:divsChild>
                        <w:div w:id="986935169">
                          <w:marLeft w:val="0"/>
                          <w:marRight w:val="0"/>
                          <w:marTop w:val="100"/>
                          <w:marBottom w:val="100"/>
                          <w:divBdr>
                            <w:top w:val="none" w:sz="0" w:space="0" w:color="auto"/>
                            <w:left w:val="none" w:sz="0" w:space="0" w:color="auto"/>
                            <w:bottom w:val="none" w:sz="0" w:space="0" w:color="auto"/>
                            <w:right w:val="none" w:sz="0" w:space="0" w:color="auto"/>
                          </w:divBdr>
                          <w:divsChild>
                            <w:div w:id="214198050">
                              <w:marLeft w:val="0"/>
                              <w:marRight w:val="0"/>
                              <w:marTop w:val="0"/>
                              <w:marBottom w:val="0"/>
                              <w:divBdr>
                                <w:top w:val="none" w:sz="0" w:space="0" w:color="auto"/>
                                <w:left w:val="none" w:sz="0" w:space="0" w:color="auto"/>
                                <w:bottom w:val="none" w:sz="0" w:space="0" w:color="auto"/>
                                <w:right w:val="none" w:sz="0" w:space="0" w:color="auto"/>
                              </w:divBdr>
                              <w:divsChild>
                                <w:div w:id="660085595">
                                  <w:marLeft w:val="0"/>
                                  <w:marRight w:val="0"/>
                                  <w:marTop w:val="0"/>
                                  <w:marBottom w:val="0"/>
                                  <w:divBdr>
                                    <w:top w:val="none" w:sz="0" w:space="0" w:color="auto"/>
                                    <w:left w:val="none" w:sz="0" w:space="0" w:color="auto"/>
                                    <w:bottom w:val="none" w:sz="0" w:space="0" w:color="auto"/>
                                    <w:right w:val="none" w:sz="0" w:space="0" w:color="auto"/>
                                  </w:divBdr>
                                  <w:divsChild>
                                    <w:div w:id="1853176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8452045">
      <w:bodyDiv w:val="1"/>
      <w:marLeft w:val="0"/>
      <w:marRight w:val="0"/>
      <w:marTop w:val="0"/>
      <w:marBottom w:val="0"/>
      <w:divBdr>
        <w:top w:val="none" w:sz="0" w:space="0" w:color="auto"/>
        <w:left w:val="none" w:sz="0" w:space="0" w:color="auto"/>
        <w:bottom w:val="none" w:sz="0" w:space="0" w:color="auto"/>
        <w:right w:val="none" w:sz="0" w:space="0" w:color="auto"/>
      </w:divBdr>
      <w:divsChild>
        <w:div w:id="299313213">
          <w:marLeft w:val="0"/>
          <w:marRight w:val="0"/>
          <w:marTop w:val="0"/>
          <w:marBottom w:val="0"/>
          <w:divBdr>
            <w:top w:val="none" w:sz="0" w:space="0" w:color="auto"/>
            <w:left w:val="none" w:sz="0" w:space="0" w:color="auto"/>
            <w:bottom w:val="none" w:sz="0" w:space="0" w:color="auto"/>
            <w:right w:val="none" w:sz="0" w:space="0" w:color="auto"/>
          </w:divBdr>
          <w:divsChild>
            <w:div w:id="734082709">
              <w:marLeft w:val="0"/>
              <w:marRight w:val="0"/>
              <w:marTop w:val="100"/>
              <w:marBottom w:val="100"/>
              <w:divBdr>
                <w:top w:val="none" w:sz="0" w:space="0" w:color="auto"/>
                <w:left w:val="none" w:sz="0" w:space="0" w:color="auto"/>
                <w:bottom w:val="none" w:sz="0" w:space="0" w:color="auto"/>
                <w:right w:val="none" w:sz="0" w:space="0" w:color="auto"/>
              </w:divBdr>
              <w:divsChild>
                <w:div w:id="2146925327">
                  <w:marLeft w:val="0"/>
                  <w:marRight w:val="0"/>
                  <w:marTop w:val="0"/>
                  <w:marBottom w:val="0"/>
                  <w:divBdr>
                    <w:top w:val="none" w:sz="0" w:space="0" w:color="auto"/>
                    <w:left w:val="none" w:sz="0" w:space="0" w:color="auto"/>
                    <w:bottom w:val="none" w:sz="0" w:space="0" w:color="auto"/>
                    <w:right w:val="none" w:sz="0" w:space="0" w:color="auto"/>
                  </w:divBdr>
                  <w:divsChild>
                    <w:div w:id="291523382">
                      <w:marLeft w:val="0"/>
                      <w:marRight w:val="0"/>
                      <w:marTop w:val="0"/>
                      <w:marBottom w:val="0"/>
                      <w:divBdr>
                        <w:top w:val="none" w:sz="0" w:space="0" w:color="auto"/>
                        <w:left w:val="none" w:sz="0" w:space="0" w:color="auto"/>
                        <w:bottom w:val="none" w:sz="0" w:space="0" w:color="auto"/>
                        <w:right w:val="none" w:sz="0" w:space="0" w:color="auto"/>
                      </w:divBdr>
                      <w:divsChild>
                        <w:div w:id="2116291759">
                          <w:marLeft w:val="0"/>
                          <w:marRight w:val="0"/>
                          <w:marTop w:val="100"/>
                          <w:marBottom w:val="100"/>
                          <w:divBdr>
                            <w:top w:val="none" w:sz="0" w:space="0" w:color="auto"/>
                            <w:left w:val="none" w:sz="0" w:space="0" w:color="auto"/>
                            <w:bottom w:val="none" w:sz="0" w:space="0" w:color="auto"/>
                            <w:right w:val="none" w:sz="0" w:space="0" w:color="auto"/>
                          </w:divBdr>
                          <w:divsChild>
                            <w:div w:id="1167478426">
                              <w:marLeft w:val="0"/>
                              <w:marRight w:val="0"/>
                              <w:marTop w:val="0"/>
                              <w:marBottom w:val="0"/>
                              <w:divBdr>
                                <w:top w:val="none" w:sz="0" w:space="0" w:color="auto"/>
                                <w:left w:val="none" w:sz="0" w:space="0" w:color="auto"/>
                                <w:bottom w:val="none" w:sz="0" w:space="0" w:color="auto"/>
                                <w:right w:val="none" w:sz="0" w:space="0" w:color="auto"/>
                              </w:divBdr>
                              <w:divsChild>
                                <w:div w:id="947395151">
                                  <w:marLeft w:val="0"/>
                                  <w:marRight w:val="0"/>
                                  <w:marTop w:val="0"/>
                                  <w:marBottom w:val="0"/>
                                  <w:divBdr>
                                    <w:top w:val="none" w:sz="0" w:space="0" w:color="auto"/>
                                    <w:left w:val="none" w:sz="0" w:space="0" w:color="auto"/>
                                    <w:bottom w:val="none" w:sz="0" w:space="0" w:color="auto"/>
                                    <w:right w:val="none" w:sz="0" w:space="0" w:color="auto"/>
                                  </w:divBdr>
                                  <w:divsChild>
                                    <w:div w:id="588201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6251689">
      <w:bodyDiv w:val="1"/>
      <w:marLeft w:val="0"/>
      <w:marRight w:val="0"/>
      <w:marTop w:val="0"/>
      <w:marBottom w:val="0"/>
      <w:divBdr>
        <w:top w:val="none" w:sz="0" w:space="0" w:color="auto"/>
        <w:left w:val="none" w:sz="0" w:space="0" w:color="auto"/>
        <w:bottom w:val="none" w:sz="0" w:space="0" w:color="auto"/>
        <w:right w:val="none" w:sz="0" w:space="0" w:color="auto"/>
      </w:divBdr>
      <w:divsChild>
        <w:div w:id="1932203895">
          <w:marLeft w:val="0"/>
          <w:marRight w:val="0"/>
          <w:marTop w:val="0"/>
          <w:marBottom w:val="0"/>
          <w:divBdr>
            <w:top w:val="none" w:sz="0" w:space="0" w:color="auto"/>
            <w:left w:val="none" w:sz="0" w:space="0" w:color="auto"/>
            <w:bottom w:val="none" w:sz="0" w:space="0" w:color="auto"/>
            <w:right w:val="none" w:sz="0" w:space="0" w:color="auto"/>
          </w:divBdr>
          <w:divsChild>
            <w:div w:id="2052414343">
              <w:marLeft w:val="0"/>
              <w:marRight w:val="0"/>
              <w:marTop w:val="100"/>
              <w:marBottom w:val="100"/>
              <w:divBdr>
                <w:top w:val="none" w:sz="0" w:space="0" w:color="auto"/>
                <w:left w:val="none" w:sz="0" w:space="0" w:color="auto"/>
                <w:bottom w:val="none" w:sz="0" w:space="0" w:color="auto"/>
                <w:right w:val="none" w:sz="0" w:space="0" w:color="auto"/>
              </w:divBdr>
              <w:divsChild>
                <w:div w:id="910310981">
                  <w:marLeft w:val="0"/>
                  <w:marRight w:val="0"/>
                  <w:marTop w:val="0"/>
                  <w:marBottom w:val="0"/>
                  <w:divBdr>
                    <w:top w:val="none" w:sz="0" w:space="0" w:color="auto"/>
                    <w:left w:val="none" w:sz="0" w:space="0" w:color="auto"/>
                    <w:bottom w:val="none" w:sz="0" w:space="0" w:color="auto"/>
                    <w:right w:val="none" w:sz="0" w:space="0" w:color="auto"/>
                  </w:divBdr>
                  <w:divsChild>
                    <w:div w:id="1638299491">
                      <w:marLeft w:val="0"/>
                      <w:marRight w:val="0"/>
                      <w:marTop w:val="0"/>
                      <w:marBottom w:val="0"/>
                      <w:divBdr>
                        <w:top w:val="none" w:sz="0" w:space="0" w:color="auto"/>
                        <w:left w:val="none" w:sz="0" w:space="0" w:color="auto"/>
                        <w:bottom w:val="none" w:sz="0" w:space="0" w:color="auto"/>
                        <w:right w:val="none" w:sz="0" w:space="0" w:color="auto"/>
                      </w:divBdr>
                      <w:divsChild>
                        <w:div w:id="1572426470">
                          <w:marLeft w:val="0"/>
                          <w:marRight w:val="0"/>
                          <w:marTop w:val="100"/>
                          <w:marBottom w:val="100"/>
                          <w:divBdr>
                            <w:top w:val="none" w:sz="0" w:space="0" w:color="auto"/>
                            <w:left w:val="none" w:sz="0" w:space="0" w:color="auto"/>
                            <w:bottom w:val="none" w:sz="0" w:space="0" w:color="auto"/>
                            <w:right w:val="none" w:sz="0" w:space="0" w:color="auto"/>
                          </w:divBdr>
                          <w:divsChild>
                            <w:div w:id="1683361278">
                              <w:marLeft w:val="0"/>
                              <w:marRight w:val="0"/>
                              <w:marTop w:val="0"/>
                              <w:marBottom w:val="0"/>
                              <w:divBdr>
                                <w:top w:val="none" w:sz="0" w:space="0" w:color="auto"/>
                                <w:left w:val="none" w:sz="0" w:space="0" w:color="auto"/>
                                <w:bottom w:val="none" w:sz="0" w:space="0" w:color="auto"/>
                                <w:right w:val="none" w:sz="0" w:space="0" w:color="auto"/>
                              </w:divBdr>
                              <w:divsChild>
                                <w:div w:id="724568167">
                                  <w:marLeft w:val="0"/>
                                  <w:marRight w:val="0"/>
                                  <w:marTop w:val="0"/>
                                  <w:marBottom w:val="0"/>
                                  <w:divBdr>
                                    <w:top w:val="none" w:sz="0" w:space="0" w:color="auto"/>
                                    <w:left w:val="none" w:sz="0" w:space="0" w:color="auto"/>
                                    <w:bottom w:val="none" w:sz="0" w:space="0" w:color="auto"/>
                                    <w:right w:val="none" w:sz="0" w:space="0" w:color="auto"/>
                                  </w:divBdr>
                                  <w:divsChild>
                                    <w:div w:id="2017340211">
                                      <w:marLeft w:val="0"/>
                                      <w:marRight w:val="0"/>
                                      <w:marTop w:val="0"/>
                                      <w:marBottom w:val="0"/>
                                      <w:divBdr>
                                        <w:top w:val="none" w:sz="0" w:space="0" w:color="auto"/>
                                        <w:left w:val="none" w:sz="0" w:space="0" w:color="auto"/>
                                        <w:bottom w:val="none" w:sz="0" w:space="0" w:color="auto"/>
                                        <w:right w:val="none" w:sz="0" w:space="0" w:color="auto"/>
                                      </w:divBdr>
                                    </w:div>
                                    <w:div w:id="1343240146">
                                      <w:marLeft w:val="0"/>
                                      <w:marRight w:val="0"/>
                                      <w:marTop w:val="0"/>
                                      <w:marBottom w:val="0"/>
                                      <w:divBdr>
                                        <w:top w:val="none" w:sz="0" w:space="0" w:color="auto"/>
                                        <w:left w:val="none" w:sz="0" w:space="0" w:color="auto"/>
                                        <w:bottom w:val="none" w:sz="0" w:space="0" w:color="auto"/>
                                        <w:right w:val="none" w:sz="0" w:space="0" w:color="auto"/>
                                      </w:divBdr>
                                    </w:div>
                                    <w:div w:id="342712149">
                                      <w:marLeft w:val="0"/>
                                      <w:marRight w:val="0"/>
                                      <w:marTop w:val="0"/>
                                      <w:marBottom w:val="0"/>
                                      <w:divBdr>
                                        <w:top w:val="none" w:sz="0" w:space="0" w:color="auto"/>
                                        <w:left w:val="none" w:sz="0" w:space="0" w:color="auto"/>
                                        <w:bottom w:val="none" w:sz="0" w:space="0" w:color="auto"/>
                                        <w:right w:val="none" w:sz="0" w:space="0" w:color="auto"/>
                                      </w:divBdr>
                                    </w:div>
                                    <w:div w:id="1423717900">
                                      <w:marLeft w:val="0"/>
                                      <w:marRight w:val="0"/>
                                      <w:marTop w:val="0"/>
                                      <w:marBottom w:val="0"/>
                                      <w:divBdr>
                                        <w:top w:val="none" w:sz="0" w:space="0" w:color="auto"/>
                                        <w:left w:val="none" w:sz="0" w:space="0" w:color="auto"/>
                                        <w:bottom w:val="none" w:sz="0" w:space="0" w:color="auto"/>
                                        <w:right w:val="none" w:sz="0" w:space="0" w:color="auto"/>
                                      </w:divBdr>
                                    </w:div>
                                    <w:div w:id="355615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13943800">
      <w:bodyDiv w:val="1"/>
      <w:marLeft w:val="0"/>
      <w:marRight w:val="0"/>
      <w:marTop w:val="0"/>
      <w:marBottom w:val="0"/>
      <w:divBdr>
        <w:top w:val="none" w:sz="0" w:space="0" w:color="auto"/>
        <w:left w:val="none" w:sz="0" w:space="0" w:color="auto"/>
        <w:bottom w:val="none" w:sz="0" w:space="0" w:color="auto"/>
        <w:right w:val="none" w:sz="0" w:space="0" w:color="auto"/>
      </w:divBdr>
      <w:divsChild>
        <w:div w:id="737360168">
          <w:marLeft w:val="0"/>
          <w:marRight w:val="0"/>
          <w:marTop w:val="0"/>
          <w:marBottom w:val="0"/>
          <w:divBdr>
            <w:top w:val="none" w:sz="0" w:space="0" w:color="auto"/>
            <w:left w:val="none" w:sz="0" w:space="0" w:color="auto"/>
            <w:bottom w:val="none" w:sz="0" w:space="0" w:color="auto"/>
            <w:right w:val="none" w:sz="0" w:space="0" w:color="auto"/>
          </w:divBdr>
          <w:divsChild>
            <w:div w:id="206257034">
              <w:marLeft w:val="0"/>
              <w:marRight w:val="0"/>
              <w:marTop w:val="100"/>
              <w:marBottom w:val="100"/>
              <w:divBdr>
                <w:top w:val="none" w:sz="0" w:space="0" w:color="auto"/>
                <w:left w:val="none" w:sz="0" w:space="0" w:color="auto"/>
                <w:bottom w:val="none" w:sz="0" w:space="0" w:color="auto"/>
                <w:right w:val="none" w:sz="0" w:space="0" w:color="auto"/>
              </w:divBdr>
              <w:divsChild>
                <w:div w:id="460265157">
                  <w:marLeft w:val="0"/>
                  <w:marRight w:val="0"/>
                  <w:marTop w:val="0"/>
                  <w:marBottom w:val="0"/>
                  <w:divBdr>
                    <w:top w:val="none" w:sz="0" w:space="0" w:color="auto"/>
                    <w:left w:val="none" w:sz="0" w:space="0" w:color="auto"/>
                    <w:bottom w:val="none" w:sz="0" w:space="0" w:color="auto"/>
                    <w:right w:val="none" w:sz="0" w:space="0" w:color="auto"/>
                  </w:divBdr>
                  <w:divsChild>
                    <w:div w:id="1133715462">
                      <w:marLeft w:val="0"/>
                      <w:marRight w:val="0"/>
                      <w:marTop w:val="0"/>
                      <w:marBottom w:val="0"/>
                      <w:divBdr>
                        <w:top w:val="none" w:sz="0" w:space="0" w:color="auto"/>
                        <w:left w:val="none" w:sz="0" w:space="0" w:color="auto"/>
                        <w:bottom w:val="none" w:sz="0" w:space="0" w:color="auto"/>
                        <w:right w:val="none" w:sz="0" w:space="0" w:color="auto"/>
                      </w:divBdr>
                      <w:divsChild>
                        <w:div w:id="646203756">
                          <w:marLeft w:val="0"/>
                          <w:marRight w:val="0"/>
                          <w:marTop w:val="100"/>
                          <w:marBottom w:val="100"/>
                          <w:divBdr>
                            <w:top w:val="none" w:sz="0" w:space="0" w:color="auto"/>
                            <w:left w:val="none" w:sz="0" w:space="0" w:color="auto"/>
                            <w:bottom w:val="none" w:sz="0" w:space="0" w:color="auto"/>
                            <w:right w:val="none" w:sz="0" w:space="0" w:color="auto"/>
                          </w:divBdr>
                          <w:divsChild>
                            <w:div w:id="22753514">
                              <w:marLeft w:val="0"/>
                              <w:marRight w:val="0"/>
                              <w:marTop w:val="0"/>
                              <w:marBottom w:val="0"/>
                              <w:divBdr>
                                <w:top w:val="none" w:sz="0" w:space="0" w:color="auto"/>
                                <w:left w:val="none" w:sz="0" w:space="0" w:color="auto"/>
                                <w:bottom w:val="none" w:sz="0" w:space="0" w:color="auto"/>
                                <w:right w:val="none" w:sz="0" w:space="0" w:color="auto"/>
                              </w:divBdr>
                              <w:divsChild>
                                <w:div w:id="143211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81002916">
      <w:bodyDiv w:val="1"/>
      <w:marLeft w:val="0"/>
      <w:marRight w:val="0"/>
      <w:marTop w:val="0"/>
      <w:marBottom w:val="0"/>
      <w:divBdr>
        <w:top w:val="none" w:sz="0" w:space="0" w:color="auto"/>
        <w:left w:val="none" w:sz="0" w:space="0" w:color="auto"/>
        <w:bottom w:val="none" w:sz="0" w:space="0" w:color="auto"/>
        <w:right w:val="none" w:sz="0" w:space="0" w:color="auto"/>
      </w:divBdr>
      <w:divsChild>
        <w:div w:id="1022702948">
          <w:marLeft w:val="0"/>
          <w:marRight w:val="0"/>
          <w:marTop w:val="0"/>
          <w:marBottom w:val="0"/>
          <w:divBdr>
            <w:top w:val="none" w:sz="0" w:space="0" w:color="auto"/>
            <w:left w:val="none" w:sz="0" w:space="0" w:color="auto"/>
            <w:bottom w:val="none" w:sz="0" w:space="0" w:color="auto"/>
            <w:right w:val="none" w:sz="0" w:space="0" w:color="auto"/>
          </w:divBdr>
          <w:divsChild>
            <w:div w:id="1840004782">
              <w:marLeft w:val="0"/>
              <w:marRight w:val="0"/>
              <w:marTop w:val="100"/>
              <w:marBottom w:val="100"/>
              <w:divBdr>
                <w:top w:val="none" w:sz="0" w:space="0" w:color="auto"/>
                <w:left w:val="none" w:sz="0" w:space="0" w:color="auto"/>
                <w:bottom w:val="none" w:sz="0" w:space="0" w:color="auto"/>
                <w:right w:val="none" w:sz="0" w:space="0" w:color="auto"/>
              </w:divBdr>
              <w:divsChild>
                <w:div w:id="1867060608">
                  <w:marLeft w:val="0"/>
                  <w:marRight w:val="0"/>
                  <w:marTop w:val="0"/>
                  <w:marBottom w:val="0"/>
                  <w:divBdr>
                    <w:top w:val="none" w:sz="0" w:space="0" w:color="auto"/>
                    <w:left w:val="none" w:sz="0" w:space="0" w:color="auto"/>
                    <w:bottom w:val="none" w:sz="0" w:space="0" w:color="auto"/>
                    <w:right w:val="none" w:sz="0" w:space="0" w:color="auto"/>
                  </w:divBdr>
                  <w:divsChild>
                    <w:div w:id="1360624711">
                      <w:marLeft w:val="0"/>
                      <w:marRight w:val="0"/>
                      <w:marTop w:val="0"/>
                      <w:marBottom w:val="0"/>
                      <w:divBdr>
                        <w:top w:val="none" w:sz="0" w:space="0" w:color="auto"/>
                        <w:left w:val="none" w:sz="0" w:space="0" w:color="auto"/>
                        <w:bottom w:val="none" w:sz="0" w:space="0" w:color="auto"/>
                        <w:right w:val="none" w:sz="0" w:space="0" w:color="auto"/>
                      </w:divBdr>
                      <w:divsChild>
                        <w:div w:id="1259100842">
                          <w:marLeft w:val="0"/>
                          <w:marRight w:val="0"/>
                          <w:marTop w:val="100"/>
                          <w:marBottom w:val="100"/>
                          <w:divBdr>
                            <w:top w:val="none" w:sz="0" w:space="0" w:color="auto"/>
                            <w:left w:val="none" w:sz="0" w:space="0" w:color="auto"/>
                            <w:bottom w:val="none" w:sz="0" w:space="0" w:color="auto"/>
                            <w:right w:val="none" w:sz="0" w:space="0" w:color="auto"/>
                          </w:divBdr>
                          <w:divsChild>
                            <w:div w:id="1738673285">
                              <w:marLeft w:val="0"/>
                              <w:marRight w:val="0"/>
                              <w:marTop w:val="0"/>
                              <w:marBottom w:val="0"/>
                              <w:divBdr>
                                <w:top w:val="none" w:sz="0" w:space="0" w:color="auto"/>
                                <w:left w:val="none" w:sz="0" w:space="0" w:color="auto"/>
                                <w:bottom w:val="none" w:sz="0" w:space="0" w:color="auto"/>
                                <w:right w:val="none" w:sz="0" w:space="0" w:color="auto"/>
                              </w:divBdr>
                              <w:divsChild>
                                <w:div w:id="1063212084">
                                  <w:marLeft w:val="0"/>
                                  <w:marRight w:val="0"/>
                                  <w:marTop w:val="0"/>
                                  <w:marBottom w:val="0"/>
                                  <w:divBdr>
                                    <w:top w:val="none" w:sz="0" w:space="0" w:color="auto"/>
                                    <w:left w:val="none" w:sz="0" w:space="0" w:color="auto"/>
                                    <w:bottom w:val="none" w:sz="0" w:space="0" w:color="auto"/>
                                    <w:right w:val="none" w:sz="0" w:space="0" w:color="auto"/>
                                  </w:divBdr>
                                  <w:divsChild>
                                    <w:div w:id="1712195276">
                                      <w:marLeft w:val="0"/>
                                      <w:marRight w:val="0"/>
                                      <w:marTop w:val="0"/>
                                      <w:marBottom w:val="0"/>
                                      <w:divBdr>
                                        <w:top w:val="none" w:sz="0" w:space="0" w:color="auto"/>
                                        <w:left w:val="none" w:sz="0" w:space="0" w:color="auto"/>
                                        <w:bottom w:val="none" w:sz="0" w:space="0" w:color="auto"/>
                                        <w:right w:val="none" w:sz="0" w:space="0" w:color="auto"/>
                                      </w:divBdr>
                                      <w:divsChild>
                                        <w:div w:id="2133010951">
                                          <w:marLeft w:val="0"/>
                                          <w:marRight w:val="0"/>
                                          <w:marTop w:val="240"/>
                                          <w:marBottom w:val="240"/>
                                          <w:divBdr>
                                            <w:top w:val="single" w:sz="12" w:space="0" w:color="EBEBEB"/>
                                            <w:left w:val="none" w:sz="0" w:space="0" w:color="auto"/>
                                            <w:bottom w:val="single" w:sz="12" w:space="0" w:color="EBEBEB"/>
                                            <w:right w:val="none" w:sz="0" w:space="0" w:color="auto"/>
                                          </w:divBdr>
                                          <w:divsChild>
                                            <w:div w:id="27679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87050081">
      <w:bodyDiv w:val="1"/>
      <w:marLeft w:val="0"/>
      <w:marRight w:val="0"/>
      <w:marTop w:val="0"/>
      <w:marBottom w:val="0"/>
      <w:divBdr>
        <w:top w:val="none" w:sz="0" w:space="0" w:color="auto"/>
        <w:left w:val="none" w:sz="0" w:space="0" w:color="auto"/>
        <w:bottom w:val="none" w:sz="0" w:space="0" w:color="auto"/>
        <w:right w:val="none" w:sz="0" w:space="0" w:color="auto"/>
      </w:divBdr>
      <w:divsChild>
        <w:div w:id="1917204310">
          <w:marLeft w:val="0"/>
          <w:marRight w:val="0"/>
          <w:marTop w:val="0"/>
          <w:marBottom w:val="0"/>
          <w:divBdr>
            <w:top w:val="none" w:sz="0" w:space="0" w:color="auto"/>
            <w:left w:val="none" w:sz="0" w:space="0" w:color="auto"/>
            <w:bottom w:val="none" w:sz="0" w:space="0" w:color="auto"/>
            <w:right w:val="none" w:sz="0" w:space="0" w:color="auto"/>
          </w:divBdr>
          <w:divsChild>
            <w:div w:id="296960221">
              <w:marLeft w:val="0"/>
              <w:marRight w:val="0"/>
              <w:marTop w:val="100"/>
              <w:marBottom w:val="100"/>
              <w:divBdr>
                <w:top w:val="none" w:sz="0" w:space="0" w:color="auto"/>
                <w:left w:val="none" w:sz="0" w:space="0" w:color="auto"/>
                <w:bottom w:val="none" w:sz="0" w:space="0" w:color="auto"/>
                <w:right w:val="none" w:sz="0" w:space="0" w:color="auto"/>
              </w:divBdr>
              <w:divsChild>
                <w:div w:id="1400400180">
                  <w:marLeft w:val="0"/>
                  <w:marRight w:val="0"/>
                  <w:marTop w:val="0"/>
                  <w:marBottom w:val="0"/>
                  <w:divBdr>
                    <w:top w:val="none" w:sz="0" w:space="0" w:color="auto"/>
                    <w:left w:val="none" w:sz="0" w:space="0" w:color="auto"/>
                    <w:bottom w:val="none" w:sz="0" w:space="0" w:color="auto"/>
                    <w:right w:val="none" w:sz="0" w:space="0" w:color="auto"/>
                  </w:divBdr>
                  <w:divsChild>
                    <w:div w:id="1133061798">
                      <w:marLeft w:val="0"/>
                      <w:marRight w:val="0"/>
                      <w:marTop w:val="0"/>
                      <w:marBottom w:val="0"/>
                      <w:divBdr>
                        <w:top w:val="none" w:sz="0" w:space="0" w:color="auto"/>
                        <w:left w:val="none" w:sz="0" w:space="0" w:color="auto"/>
                        <w:bottom w:val="none" w:sz="0" w:space="0" w:color="auto"/>
                        <w:right w:val="none" w:sz="0" w:space="0" w:color="auto"/>
                      </w:divBdr>
                      <w:divsChild>
                        <w:div w:id="1873834661">
                          <w:marLeft w:val="0"/>
                          <w:marRight w:val="0"/>
                          <w:marTop w:val="100"/>
                          <w:marBottom w:val="100"/>
                          <w:divBdr>
                            <w:top w:val="none" w:sz="0" w:space="0" w:color="auto"/>
                            <w:left w:val="none" w:sz="0" w:space="0" w:color="auto"/>
                            <w:bottom w:val="none" w:sz="0" w:space="0" w:color="auto"/>
                            <w:right w:val="none" w:sz="0" w:space="0" w:color="auto"/>
                          </w:divBdr>
                          <w:divsChild>
                            <w:div w:id="92213952">
                              <w:marLeft w:val="0"/>
                              <w:marRight w:val="0"/>
                              <w:marTop w:val="0"/>
                              <w:marBottom w:val="0"/>
                              <w:divBdr>
                                <w:top w:val="none" w:sz="0" w:space="0" w:color="auto"/>
                                <w:left w:val="none" w:sz="0" w:space="0" w:color="auto"/>
                                <w:bottom w:val="none" w:sz="0" w:space="0" w:color="auto"/>
                                <w:right w:val="none" w:sz="0" w:space="0" w:color="auto"/>
                              </w:divBdr>
                              <w:divsChild>
                                <w:div w:id="1209953758">
                                  <w:marLeft w:val="0"/>
                                  <w:marRight w:val="0"/>
                                  <w:marTop w:val="0"/>
                                  <w:marBottom w:val="0"/>
                                  <w:divBdr>
                                    <w:top w:val="none" w:sz="0" w:space="0" w:color="auto"/>
                                    <w:left w:val="none" w:sz="0" w:space="0" w:color="auto"/>
                                    <w:bottom w:val="none" w:sz="0" w:space="0" w:color="auto"/>
                                    <w:right w:val="none" w:sz="0" w:space="0" w:color="auto"/>
                                  </w:divBdr>
                                  <w:divsChild>
                                    <w:div w:id="1373113260">
                                      <w:marLeft w:val="0"/>
                                      <w:marRight w:val="0"/>
                                      <w:marTop w:val="240"/>
                                      <w:marBottom w:val="240"/>
                                      <w:divBdr>
                                        <w:top w:val="none" w:sz="0" w:space="0" w:color="auto"/>
                                        <w:left w:val="none" w:sz="0" w:space="0" w:color="auto"/>
                                        <w:bottom w:val="none" w:sz="0" w:space="0" w:color="auto"/>
                                        <w:right w:val="none" w:sz="0" w:space="0" w:color="auto"/>
                                      </w:divBdr>
                                      <w:divsChild>
                                        <w:div w:id="41027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17321399">
      <w:bodyDiv w:val="1"/>
      <w:marLeft w:val="0"/>
      <w:marRight w:val="0"/>
      <w:marTop w:val="0"/>
      <w:marBottom w:val="0"/>
      <w:divBdr>
        <w:top w:val="none" w:sz="0" w:space="0" w:color="auto"/>
        <w:left w:val="none" w:sz="0" w:space="0" w:color="auto"/>
        <w:bottom w:val="none" w:sz="0" w:space="0" w:color="auto"/>
        <w:right w:val="none" w:sz="0" w:space="0" w:color="auto"/>
      </w:divBdr>
      <w:divsChild>
        <w:div w:id="471411448">
          <w:marLeft w:val="0"/>
          <w:marRight w:val="0"/>
          <w:marTop w:val="0"/>
          <w:marBottom w:val="0"/>
          <w:divBdr>
            <w:top w:val="none" w:sz="0" w:space="0" w:color="auto"/>
            <w:left w:val="none" w:sz="0" w:space="0" w:color="auto"/>
            <w:bottom w:val="none" w:sz="0" w:space="0" w:color="auto"/>
            <w:right w:val="none" w:sz="0" w:space="0" w:color="auto"/>
          </w:divBdr>
          <w:divsChild>
            <w:div w:id="345717011">
              <w:marLeft w:val="0"/>
              <w:marRight w:val="0"/>
              <w:marTop w:val="100"/>
              <w:marBottom w:val="100"/>
              <w:divBdr>
                <w:top w:val="none" w:sz="0" w:space="0" w:color="auto"/>
                <w:left w:val="none" w:sz="0" w:space="0" w:color="auto"/>
                <w:bottom w:val="none" w:sz="0" w:space="0" w:color="auto"/>
                <w:right w:val="none" w:sz="0" w:space="0" w:color="auto"/>
              </w:divBdr>
              <w:divsChild>
                <w:div w:id="1815944541">
                  <w:marLeft w:val="0"/>
                  <w:marRight w:val="0"/>
                  <w:marTop w:val="0"/>
                  <w:marBottom w:val="0"/>
                  <w:divBdr>
                    <w:top w:val="none" w:sz="0" w:space="0" w:color="auto"/>
                    <w:left w:val="none" w:sz="0" w:space="0" w:color="auto"/>
                    <w:bottom w:val="none" w:sz="0" w:space="0" w:color="auto"/>
                    <w:right w:val="none" w:sz="0" w:space="0" w:color="auto"/>
                  </w:divBdr>
                  <w:divsChild>
                    <w:div w:id="1978801287">
                      <w:marLeft w:val="0"/>
                      <w:marRight w:val="0"/>
                      <w:marTop w:val="0"/>
                      <w:marBottom w:val="0"/>
                      <w:divBdr>
                        <w:top w:val="none" w:sz="0" w:space="0" w:color="auto"/>
                        <w:left w:val="none" w:sz="0" w:space="0" w:color="auto"/>
                        <w:bottom w:val="none" w:sz="0" w:space="0" w:color="auto"/>
                        <w:right w:val="none" w:sz="0" w:space="0" w:color="auto"/>
                      </w:divBdr>
                      <w:divsChild>
                        <w:div w:id="178205432">
                          <w:marLeft w:val="0"/>
                          <w:marRight w:val="0"/>
                          <w:marTop w:val="100"/>
                          <w:marBottom w:val="100"/>
                          <w:divBdr>
                            <w:top w:val="none" w:sz="0" w:space="0" w:color="auto"/>
                            <w:left w:val="none" w:sz="0" w:space="0" w:color="auto"/>
                            <w:bottom w:val="none" w:sz="0" w:space="0" w:color="auto"/>
                            <w:right w:val="none" w:sz="0" w:space="0" w:color="auto"/>
                          </w:divBdr>
                          <w:divsChild>
                            <w:div w:id="2131585051">
                              <w:marLeft w:val="0"/>
                              <w:marRight w:val="0"/>
                              <w:marTop w:val="0"/>
                              <w:marBottom w:val="0"/>
                              <w:divBdr>
                                <w:top w:val="none" w:sz="0" w:space="0" w:color="auto"/>
                                <w:left w:val="none" w:sz="0" w:space="0" w:color="auto"/>
                                <w:bottom w:val="none" w:sz="0" w:space="0" w:color="auto"/>
                                <w:right w:val="none" w:sz="0" w:space="0" w:color="auto"/>
                              </w:divBdr>
                              <w:divsChild>
                                <w:div w:id="874655694">
                                  <w:marLeft w:val="0"/>
                                  <w:marRight w:val="0"/>
                                  <w:marTop w:val="0"/>
                                  <w:marBottom w:val="0"/>
                                  <w:divBdr>
                                    <w:top w:val="none" w:sz="0" w:space="0" w:color="auto"/>
                                    <w:left w:val="none" w:sz="0" w:space="0" w:color="auto"/>
                                    <w:bottom w:val="none" w:sz="0" w:space="0" w:color="auto"/>
                                    <w:right w:val="none" w:sz="0" w:space="0" w:color="auto"/>
                                  </w:divBdr>
                                  <w:divsChild>
                                    <w:div w:id="950208587">
                                      <w:marLeft w:val="0"/>
                                      <w:marRight w:val="0"/>
                                      <w:marTop w:val="0"/>
                                      <w:marBottom w:val="0"/>
                                      <w:divBdr>
                                        <w:top w:val="none" w:sz="0" w:space="0" w:color="auto"/>
                                        <w:left w:val="none" w:sz="0" w:space="0" w:color="auto"/>
                                        <w:bottom w:val="none" w:sz="0" w:space="0" w:color="auto"/>
                                        <w:right w:val="none" w:sz="0" w:space="0" w:color="auto"/>
                                      </w:divBdr>
                                      <w:divsChild>
                                        <w:div w:id="142477624">
                                          <w:marLeft w:val="0"/>
                                          <w:marRight w:val="0"/>
                                          <w:marTop w:val="240"/>
                                          <w:marBottom w:val="240"/>
                                          <w:divBdr>
                                            <w:top w:val="single" w:sz="12" w:space="0" w:color="EBEBEB"/>
                                            <w:left w:val="none" w:sz="0" w:space="0" w:color="auto"/>
                                            <w:bottom w:val="single" w:sz="12" w:space="0" w:color="EBEBEB"/>
                                            <w:right w:val="none" w:sz="0" w:space="0" w:color="auto"/>
                                          </w:divBdr>
                                          <w:divsChild>
                                            <w:div w:id="394863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customXml" Target="../customXml/item4.xml"/><Relationship Id="rId9" Type="http://schemas.openxmlformats.org/officeDocument/2006/relationships/theme" Target="theme/theme1.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3663E4A26D1414A8236525FA080867F" ma:contentTypeVersion="10" ma:contentTypeDescription="Create a new document." ma:contentTypeScope="" ma:versionID="7a40aa879bd02c8e1f2acb9866c5f1ea">
  <xsd:schema xmlns:xsd="http://www.w3.org/2001/XMLSchema" xmlns:xs="http://www.w3.org/2001/XMLSchema" xmlns:p="http://schemas.microsoft.com/office/2006/metadata/properties" xmlns:ns3="287a08cf-4c9e-4532-ba81-2b6c52a16464" targetNamespace="http://schemas.microsoft.com/office/2006/metadata/properties" ma:root="true" ma:fieldsID="01d0cc3c6b0d2ab303a37d35a208ed35" ns3:_="">
    <xsd:import namespace="287a08cf-4c9e-4532-ba81-2b6c52a16464"/>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Location" minOccurs="0"/>
                <xsd:element ref="ns3:MediaServiceOCR"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7a08cf-4c9e-4532-ba81-2b6c52a164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677325-7776-4F93-959A-18F7B5E371F1}">
  <ds:schemaRefs>
    <ds:schemaRef ds:uri="http://schemas.microsoft.com/sharepoint/v3/contenttype/forms"/>
  </ds:schemaRefs>
</ds:datastoreItem>
</file>

<file path=customXml/itemProps2.xml><?xml version="1.0" encoding="utf-8"?>
<ds:datastoreItem xmlns:ds="http://schemas.openxmlformats.org/officeDocument/2006/customXml" ds:itemID="{B084A413-6718-464A-B9D8-BA9CF22F34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7a08cf-4c9e-4532-ba81-2b6c52a164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53932DD-AB07-43FA-BFBA-4C38EC9B0CF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8AFC9D5-92B0-492C-931A-55A802E39D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Pages>
  <Words>4898</Words>
  <Characters>27925</Characters>
  <Application>Microsoft Office Word</Application>
  <DocSecurity>0</DocSecurity>
  <Lines>232</Lines>
  <Paragraphs>65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32758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Carnell, Rachel (ELS-OXF)</dc:creator>
  <cp:lastModifiedBy>Caroline Williams-Gray</cp:lastModifiedBy>
  <cp:revision>3</cp:revision>
  <dcterms:created xsi:type="dcterms:W3CDTF">2020-08-13T15:10:00Z</dcterms:created>
  <dcterms:modified xsi:type="dcterms:W3CDTF">2020-08-13T15:12:00Z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0x010100A3663E4A26D1414A8236525FA080867F</vt:lpwstr>
  </property>
</Properties>
</file>