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62E1A0" w14:textId="77777777" w:rsidR="003A293D" w:rsidRPr="006A03C4" w:rsidRDefault="003A293D" w:rsidP="007400D6">
      <w:pPr>
        <w:tabs>
          <w:tab w:val="left" w:pos="3640"/>
        </w:tabs>
        <w:spacing w:line="480" w:lineRule="auto"/>
        <w:jc w:val="center"/>
        <w:rPr>
          <w:rFonts w:ascii="Times New Roman" w:hAnsi="Times New Roman" w:cs="Times New Roman"/>
          <w:b/>
          <w:sz w:val="28"/>
          <w:szCs w:val="28"/>
          <w:lang w:val="en-GB"/>
        </w:rPr>
      </w:pPr>
      <w:r w:rsidRPr="00DA65D8">
        <w:rPr>
          <w:rFonts w:ascii="Times New Roman" w:hAnsi="Times New Roman" w:cs="Times New Roman"/>
          <w:b/>
          <w:sz w:val="28"/>
          <w:szCs w:val="28"/>
          <w:lang w:val="en-GB"/>
        </w:rPr>
        <w:t>Correlation of microglia</w:t>
      </w:r>
      <w:r w:rsidRPr="006A03C4">
        <w:rPr>
          <w:rFonts w:ascii="Times New Roman" w:hAnsi="Times New Roman" w:cs="Times New Roman"/>
          <w:b/>
          <w:sz w:val="28"/>
          <w:szCs w:val="28"/>
          <w:lang w:val="en-GB"/>
        </w:rPr>
        <w:t>l activation with white matter changes in dementia with Lewy bodies</w:t>
      </w:r>
      <w:r w:rsidRPr="006A03C4">
        <w:rPr>
          <w:rFonts w:ascii="Times New Roman" w:hAnsi="Times New Roman" w:cs="Times New Roman"/>
          <w:sz w:val="24"/>
          <w:szCs w:val="24"/>
          <w:lang w:val="en-GB"/>
        </w:rPr>
        <w:tab/>
      </w:r>
    </w:p>
    <w:p w14:paraId="70769E13" w14:textId="77777777" w:rsidR="003A293D" w:rsidRPr="006A03C4" w:rsidRDefault="003A293D" w:rsidP="008D2D9C">
      <w:pPr>
        <w:tabs>
          <w:tab w:val="left" w:pos="3640"/>
        </w:tabs>
        <w:spacing w:line="240" w:lineRule="auto"/>
        <w:jc w:val="both"/>
        <w:outlineLvl w:val="0"/>
        <w:rPr>
          <w:rFonts w:ascii="Times New Roman" w:hAnsi="Times New Roman" w:cs="Times New Roman"/>
          <w:b/>
          <w:sz w:val="24"/>
          <w:szCs w:val="24"/>
          <w:lang w:val="en-GB"/>
        </w:rPr>
      </w:pPr>
      <w:r w:rsidRPr="006A03C4">
        <w:rPr>
          <w:rFonts w:ascii="Times New Roman" w:hAnsi="Times New Roman" w:cs="Times New Roman"/>
          <w:b/>
          <w:sz w:val="24"/>
          <w:szCs w:val="24"/>
          <w:lang w:val="en-GB"/>
        </w:rPr>
        <w:t>AUTHORS AND AFFILIATIONS:</w:t>
      </w:r>
    </w:p>
    <w:p w14:paraId="119B2EC6" w14:textId="6DCC662E" w:rsidR="003A293D" w:rsidRPr="006A03C4" w:rsidRDefault="003A293D" w:rsidP="00035580">
      <w:pPr>
        <w:tabs>
          <w:tab w:val="left" w:pos="3640"/>
        </w:tabs>
        <w:spacing w:line="36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Nicolas NICASTRO (MD)*</w:t>
      </w:r>
      <w:r w:rsidRPr="006A03C4">
        <w:rPr>
          <w:rFonts w:ascii="Times New Roman" w:hAnsi="Times New Roman" w:cs="Times New Roman"/>
          <w:sz w:val="24"/>
          <w:szCs w:val="24"/>
          <w:vertAlign w:val="superscript"/>
          <w:lang w:val="en-GB"/>
        </w:rPr>
        <w:t>1,2</w:t>
      </w:r>
      <w:r w:rsidRPr="006A03C4">
        <w:rPr>
          <w:rFonts w:ascii="Times New Roman" w:hAnsi="Times New Roman" w:cs="Times New Roman"/>
          <w:sz w:val="24"/>
          <w:szCs w:val="24"/>
          <w:lang w:val="en-GB"/>
        </w:rPr>
        <w:t>, Elijah MAK (PhD)*</w:t>
      </w:r>
      <w:r w:rsidRPr="006A03C4">
        <w:rPr>
          <w:rFonts w:ascii="Times New Roman" w:hAnsi="Times New Roman" w:cs="Times New Roman"/>
          <w:sz w:val="24"/>
          <w:szCs w:val="24"/>
          <w:vertAlign w:val="superscript"/>
          <w:lang w:val="en-GB"/>
        </w:rPr>
        <w:t>1</w:t>
      </w:r>
      <w:r w:rsidRPr="006A03C4">
        <w:rPr>
          <w:rFonts w:ascii="Times New Roman" w:hAnsi="Times New Roman" w:cs="Times New Roman"/>
          <w:sz w:val="24"/>
          <w:szCs w:val="24"/>
          <w:lang w:val="en-GB"/>
        </w:rPr>
        <w:t xml:space="preserve">, Guy B. </w:t>
      </w:r>
      <w:r w:rsidRPr="006A03C4">
        <w:rPr>
          <w:rStyle w:val="s1"/>
          <w:rFonts w:ascii="Times New Roman" w:hAnsi="Times New Roman" w:cs="Times New Roman"/>
          <w:sz w:val="24"/>
          <w:szCs w:val="24"/>
          <w:lang w:val="en-GB"/>
        </w:rPr>
        <w:t>WILLIAMS (PhD)</w:t>
      </w:r>
      <w:r w:rsidRPr="006A03C4">
        <w:rPr>
          <w:rStyle w:val="s1"/>
          <w:rFonts w:ascii="Times New Roman" w:hAnsi="Times New Roman" w:cs="Times New Roman"/>
          <w:sz w:val="24"/>
          <w:szCs w:val="24"/>
          <w:vertAlign w:val="superscript"/>
          <w:lang w:val="en-GB"/>
        </w:rPr>
        <w:t>3</w:t>
      </w:r>
      <w:r w:rsidRPr="006A03C4">
        <w:rPr>
          <w:rStyle w:val="s1"/>
          <w:rFonts w:ascii="Times New Roman" w:hAnsi="Times New Roman" w:cs="Times New Roman"/>
          <w:sz w:val="24"/>
          <w:szCs w:val="24"/>
          <w:lang w:val="en-GB"/>
        </w:rPr>
        <w:t xml:space="preserve">, </w:t>
      </w:r>
      <w:proofErr w:type="spellStart"/>
      <w:r w:rsidRPr="006A03C4">
        <w:rPr>
          <w:rStyle w:val="s1"/>
          <w:rFonts w:ascii="Times New Roman" w:hAnsi="Times New Roman" w:cs="Times New Roman"/>
          <w:sz w:val="24"/>
          <w:szCs w:val="24"/>
          <w:lang w:val="en-GB"/>
        </w:rPr>
        <w:t>Ajenthan</w:t>
      </w:r>
      <w:proofErr w:type="spellEnd"/>
      <w:r w:rsidRPr="006A03C4">
        <w:rPr>
          <w:rStyle w:val="s1"/>
          <w:rFonts w:ascii="Times New Roman" w:hAnsi="Times New Roman" w:cs="Times New Roman"/>
          <w:sz w:val="24"/>
          <w:szCs w:val="24"/>
          <w:lang w:val="en-GB"/>
        </w:rPr>
        <w:t xml:space="preserve"> SURENDRANATHAN (MBBS, PhD)</w:t>
      </w:r>
      <w:r w:rsidRPr="006A03C4">
        <w:rPr>
          <w:rStyle w:val="s1"/>
          <w:rFonts w:ascii="Times New Roman" w:hAnsi="Times New Roman" w:cs="Times New Roman"/>
          <w:sz w:val="24"/>
          <w:szCs w:val="24"/>
          <w:vertAlign w:val="superscript"/>
          <w:lang w:val="en-GB"/>
        </w:rPr>
        <w:t>1</w:t>
      </w:r>
      <w:r w:rsidRPr="006A03C4">
        <w:rPr>
          <w:rStyle w:val="s1"/>
          <w:rFonts w:ascii="Times New Roman" w:hAnsi="Times New Roman" w:cs="Times New Roman"/>
          <w:sz w:val="24"/>
          <w:szCs w:val="24"/>
          <w:lang w:val="en-GB"/>
        </w:rPr>
        <w:t xml:space="preserve">, </w:t>
      </w:r>
      <w:r w:rsidRPr="006A03C4">
        <w:rPr>
          <w:rFonts w:ascii="Times New Roman" w:hAnsi="Times New Roman" w:cs="Times New Roman"/>
          <w:sz w:val="24"/>
          <w:szCs w:val="24"/>
          <w:lang w:val="en-GB"/>
        </w:rPr>
        <w:t>William Richard BEVAN-JONES (MD)</w:t>
      </w:r>
      <w:r w:rsidRPr="006A03C4">
        <w:rPr>
          <w:rStyle w:val="s1"/>
          <w:rFonts w:ascii="Times New Roman" w:hAnsi="Times New Roman" w:cs="Times New Roman"/>
          <w:sz w:val="24"/>
          <w:szCs w:val="24"/>
          <w:vertAlign w:val="superscript"/>
          <w:lang w:val="en-GB"/>
        </w:rPr>
        <w:t>4</w:t>
      </w:r>
      <w:r w:rsidRPr="006A03C4">
        <w:rPr>
          <w:rStyle w:val="s1"/>
          <w:rFonts w:ascii="Times New Roman" w:hAnsi="Times New Roman" w:cs="Times New Roman"/>
          <w:sz w:val="24"/>
          <w:szCs w:val="24"/>
          <w:lang w:val="en-GB"/>
        </w:rPr>
        <w:t>, Luca PASSAMONTI (MD)</w:t>
      </w:r>
      <w:r w:rsidRPr="006A03C4">
        <w:rPr>
          <w:rStyle w:val="s1"/>
          <w:rFonts w:ascii="Times New Roman" w:hAnsi="Times New Roman" w:cs="Times New Roman"/>
          <w:sz w:val="24"/>
          <w:szCs w:val="24"/>
          <w:vertAlign w:val="superscript"/>
          <w:lang w:val="en-GB"/>
        </w:rPr>
        <w:t>4,5</w:t>
      </w:r>
      <w:r w:rsidRPr="006A03C4">
        <w:rPr>
          <w:rStyle w:val="s1"/>
          <w:rFonts w:ascii="Times New Roman" w:hAnsi="Times New Roman" w:cs="Times New Roman"/>
          <w:sz w:val="24"/>
          <w:szCs w:val="24"/>
          <w:lang w:val="en-GB"/>
        </w:rPr>
        <w:t>, Patricia VAZQUEZ RODRIGUEZ (MPhil)</w:t>
      </w:r>
      <w:r w:rsidRPr="006A03C4">
        <w:rPr>
          <w:rStyle w:val="s1"/>
          <w:rFonts w:ascii="Times New Roman" w:hAnsi="Times New Roman" w:cs="Times New Roman"/>
          <w:sz w:val="24"/>
          <w:szCs w:val="24"/>
          <w:vertAlign w:val="superscript"/>
          <w:lang w:val="en-GB"/>
        </w:rPr>
        <w:t>4</w:t>
      </w:r>
      <w:r w:rsidRPr="006A03C4">
        <w:rPr>
          <w:rStyle w:val="s1"/>
          <w:rFonts w:ascii="Times New Roman" w:hAnsi="Times New Roman" w:cs="Times New Roman"/>
          <w:sz w:val="24"/>
          <w:szCs w:val="24"/>
          <w:lang w:val="en-GB"/>
        </w:rPr>
        <w:t>, Li SU (PhD)</w:t>
      </w:r>
      <w:r w:rsidRPr="006A03C4">
        <w:rPr>
          <w:rStyle w:val="s1"/>
          <w:rFonts w:ascii="Times New Roman" w:hAnsi="Times New Roman" w:cs="Times New Roman"/>
          <w:sz w:val="24"/>
          <w:szCs w:val="24"/>
          <w:vertAlign w:val="superscript"/>
          <w:lang w:val="en-GB"/>
        </w:rPr>
        <w:t>1,6</w:t>
      </w:r>
      <w:r w:rsidRPr="006A03C4">
        <w:rPr>
          <w:rStyle w:val="s1"/>
          <w:rFonts w:ascii="Times New Roman" w:hAnsi="Times New Roman" w:cs="Times New Roman"/>
          <w:sz w:val="24"/>
          <w:szCs w:val="24"/>
          <w:lang w:val="en-GB"/>
        </w:rPr>
        <w:t>, Robert ARNOLD (MSc)</w:t>
      </w:r>
      <w:r w:rsidRPr="006A03C4">
        <w:rPr>
          <w:rStyle w:val="s1"/>
          <w:rFonts w:ascii="Times New Roman" w:hAnsi="Times New Roman" w:cs="Times New Roman"/>
          <w:sz w:val="24"/>
          <w:szCs w:val="24"/>
          <w:vertAlign w:val="superscript"/>
          <w:lang w:val="en-GB"/>
        </w:rPr>
        <w:t>4</w:t>
      </w:r>
      <w:r w:rsidRPr="006A03C4">
        <w:rPr>
          <w:rStyle w:val="s1"/>
          <w:rFonts w:ascii="Times New Roman" w:hAnsi="Times New Roman" w:cs="Times New Roman"/>
          <w:sz w:val="24"/>
          <w:szCs w:val="24"/>
          <w:lang w:val="en-GB"/>
        </w:rPr>
        <w:t xml:space="preserve">, </w:t>
      </w:r>
      <w:r w:rsidR="00C83A9D" w:rsidRPr="006A03C4">
        <w:rPr>
          <w:rStyle w:val="s1"/>
          <w:rFonts w:ascii="Times New Roman" w:hAnsi="Times New Roman" w:cs="Times New Roman"/>
          <w:sz w:val="24"/>
          <w:szCs w:val="24"/>
          <w:lang w:val="en-GB"/>
        </w:rPr>
        <w:t>Tim D. FRYER (PhD)</w:t>
      </w:r>
      <w:r w:rsidR="00C83A9D" w:rsidRPr="006A03C4">
        <w:rPr>
          <w:rStyle w:val="s1"/>
          <w:rFonts w:ascii="Times New Roman" w:hAnsi="Times New Roman" w:cs="Times New Roman"/>
          <w:sz w:val="24"/>
          <w:szCs w:val="24"/>
          <w:vertAlign w:val="superscript"/>
          <w:lang w:val="en-GB"/>
        </w:rPr>
        <w:t>3,4</w:t>
      </w:r>
      <w:r w:rsidR="00C83A9D" w:rsidRPr="006A03C4">
        <w:rPr>
          <w:rStyle w:val="s1"/>
          <w:rFonts w:ascii="Times New Roman" w:hAnsi="Times New Roman" w:cs="Times New Roman"/>
          <w:sz w:val="24"/>
          <w:szCs w:val="24"/>
          <w:lang w:val="en-GB"/>
        </w:rPr>
        <w:t>, Young T. HONG (PhD)</w:t>
      </w:r>
      <w:r w:rsidR="00C83A9D" w:rsidRPr="006A03C4">
        <w:rPr>
          <w:rStyle w:val="s1"/>
          <w:rFonts w:ascii="Times New Roman" w:hAnsi="Times New Roman" w:cs="Times New Roman"/>
          <w:sz w:val="24"/>
          <w:szCs w:val="24"/>
          <w:vertAlign w:val="superscript"/>
          <w:lang w:val="en-GB"/>
        </w:rPr>
        <w:t>3,4</w:t>
      </w:r>
      <w:r w:rsidR="00C83A9D" w:rsidRPr="006A03C4">
        <w:rPr>
          <w:rStyle w:val="s1"/>
          <w:rFonts w:ascii="Times New Roman" w:hAnsi="Times New Roman" w:cs="Times New Roman"/>
          <w:sz w:val="24"/>
          <w:szCs w:val="24"/>
          <w:lang w:val="en-GB"/>
        </w:rPr>
        <w:t xml:space="preserve">, </w:t>
      </w:r>
      <w:r w:rsidRPr="006A03C4">
        <w:rPr>
          <w:rStyle w:val="s1"/>
          <w:rFonts w:ascii="Times New Roman" w:hAnsi="Times New Roman" w:cs="Times New Roman"/>
          <w:sz w:val="24"/>
          <w:szCs w:val="24"/>
          <w:lang w:val="en-GB"/>
        </w:rPr>
        <w:t>Franklin I. AIGBIRHIO (PhD)</w:t>
      </w:r>
      <w:r w:rsidRPr="006A03C4">
        <w:rPr>
          <w:rStyle w:val="s1"/>
          <w:rFonts w:ascii="Times New Roman" w:hAnsi="Times New Roman" w:cs="Times New Roman"/>
          <w:sz w:val="24"/>
          <w:szCs w:val="24"/>
          <w:vertAlign w:val="superscript"/>
          <w:lang w:val="en-GB"/>
        </w:rPr>
        <w:t>3</w:t>
      </w:r>
      <w:r w:rsidRPr="006A03C4">
        <w:rPr>
          <w:rStyle w:val="s1"/>
          <w:rFonts w:ascii="Times New Roman" w:hAnsi="Times New Roman" w:cs="Times New Roman"/>
          <w:sz w:val="24"/>
          <w:szCs w:val="24"/>
          <w:lang w:val="en-GB"/>
        </w:rPr>
        <w:t>, James B. ROWE (MD, PhD)</w:t>
      </w:r>
      <w:r w:rsidRPr="006A03C4">
        <w:rPr>
          <w:rStyle w:val="s1"/>
          <w:rFonts w:ascii="Times New Roman" w:hAnsi="Times New Roman" w:cs="Times New Roman"/>
          <w:sz w:val="24"/>
          <w:szCs w:val="24"/>
          <w:vertAlign w:val="superscript"/>
          <w:lang w:val="en-GB"/>
        </w:rPr>
        <w:t>4,7+</w:t>
      </w:r>
      <w:r w:rsidRPr="006A03C4">
        <w:rPr>
          <w:rStyle w:val="s1"/>
          <w:rFonts w:ascii="Times New Roman" w:hAnsi="Times New Roman" w:cs="Times New Roman"/>
          <w:sz w:val="24"/>
          <w:szCs w:val="24"/>
          <w:lang w:val="en-GB"/>
        </w:rPr>
        <w:t>, John T. O’BRIEN (DM)</w:t>
      </w:r>
      <w:r w:rsidRPr="006A03C4">
        <w:rPr>
          <w:rFonts w:ascii="Times New Roman" w:hAnsi="Times New Roman" w:cs="Times New Roman"/>
          <w:sz w:val="24"/>
          <w:szCs w:val="24"/>
          <w:vertAlign w:val="superscript"/>
          <w:lang w:val="en-GB"/>
        </w:rPr>
        <w:t>1+</w:t>
      </w:r>
    </w:p>
    <w:p w14:paraId="095E1CC1" w14:textId="77777777" w:rsidR="003A293D" w:rsidRPr="006A03C4" w:rsidRDefault="003A293D" w:rsidP="00C02187">
      <w:pPr>
        <w:tabs>
          <w:tab w:val="left" w:pos="3640"/>
        </w:tabs>
        <w:spacing w:line="240" w:lineRule="auto"/>
        <w:jc w:val="both"/>
        <w:rPr>
          <w:rStyle w:val="s1"/>
          <w:rFonts w:ascii="Times New Roman" w:hAnsi="Times New Roman" w:cs="Times New Roman"/>
          <w:sz w:val="24"/>
          <w:szCs w:val="24"/>
          <w:lang w:val="en-GB"/>
        </w:rPr>
      </w:pPr>
    </w:p>
    <w:p w14:paraId="7A81BBC7" w14:textId="77777777" w:rsidR="003A293D" w:rsidRPr="006A03C4" w:rsidRDefault="003A293D" w:rsidP="00C02187">
      <w:pPr>
        <w:tabs>
          <w:tab w:val="left" w:pos="6775"/>
        </w:tabs>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 xml:space="preserve">1 </w:t>
      </w:r>
      <w:r w:rsidRPr="006A03C4">
        <w:rPr>
          <w:rFonts w:ascii="Times New Roman" w:hAnsi="Times New Roman" w:cs="Times New Roman"/>
          <w:iCs/>
          <w:sz w:val="24"/>
          <w:szCs w:val="24"/>
          <w:lang w:val="en-GB"/>
        </w:rPr>
        <w:t>Department of Psychiatry, University of Cambridge, UK.</w:t>
      </w:r>
    </w:p>
    <w:p w14:paraId="5E0DACD0" w14:textId="77777777" w:rsidR="003A293D" w:rsidRPr="006A03C4" w:rsidRDefault="003A293D" w:rsidP="00C02187">
      <w:pPr>
        <w:tabs>
          <w:tab w:val="left" w:pos="6775"/>
        </w:tabs>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 xml:space="preserve">2 </w:t>
      </w:r>
      <w:r w:rsidRPr="006A03C4">
        <w:rPr>
          <w:rFonts w:ascii="Times New Roman" w:hAnsi="Times New Roman" w:cs="Times New Roman"/>
          <w:iCs/>
          <w:sz w:val="24"/>
          <w:szCs w:val="24"/>
          <w:lang w:val="en-GB"/>
        </w:rPr>
        <w:t>Department of Clinical Neurosciences, Geneva University Hospitals, Switzerland</w:t>
      </w:r>
    </w:p>
    <w:p w14:paraId="4DAB9A94" w14:textId="77777777" w:rsidR="003A293D" w:rsidRPr="006A03C4" w:rsidRDefault="003A293D" w:rsidP="00C02187">
      <w:pPr>
        <w:spacing w:line="240" w:lineRule="auto"/>
        <w:jc w:val="both"/>
        <w:rPr>
          <w:rFonts w:ascii="Times New Roman" w:hAnsi="Times New Roman" w:cs="Times New Roman"/>
          <w:iCs/>
          <w:sz w:val="24"/>
          <w:szCs w:val="24"/>
          <w:vertAlign w:val="superscript"/>
          <w:lang w:val="en-GB"/>
        </w:rPr>
      </w:pPr>
      <w:r w:rsidRPr="006A03C4">
        <w:rPr>
          <w:rFonts w:ascii="Times New Roman" w:hAnsi="Times New Roman" w:cs="Times New Roman"/>
          <w:iCs/>
          <w:sz w:val="24"/>
          <w:szCs w:val="24"/>
          <w:vertAlign w:val="superscript"/>
          <w:lang w:val="en-GB"/>
        </w:rPr>
        <w:t xml:space="preserve">3 </w:t>
      </w:r>
      <w:r w:rsidRPr="006A03C4">
        <w:rPr>
          <w:rFonts w:ascii="Times New Roman" w:hAnsi="Times New Roman" w:cs="Times New Roman"/>
          <w:iCs/>
          <w:sz w:val="24"/>
          <w:szCs w:val="24"/>
          <w:lang w:val="en-GB"/>
        </w:rPr>
        <w:t>Wolfson Brain Imaging Centre, Cognition University of Cambridge, UK.</w:t>
      </w:r>
      <w:r w:rsidRPr="006A03C4">
        <w:rPr>
          <w:rFonts w:ascii="Times New Roman" w:hAnsi="Times New Roman" w:cs="Times New Roman"/>
          <w:iCs/>
          <w:sz w:val="24"/>
          <w:szCs w:val="24"/>
          <w:vertAlign w:val="superscript"/>
          <w:lang w:val="en-GB"/>
        </w:rPr>
        <w:t xml:space="preserve"> </w:t>
      </w:r>
      <w:r w:rsidRPr="006A03C4">
        <w:rPr>
          <w:rFonts w:ascii="Times New Roman" w:hAnsi="Times New Roman" w:cs="Times New Roman"/>
          <w:iCs/>
          <w:sz w:val="24"/>
          <w:szCs w:val="24"/>
          <w:lang w:val="en-GB"/>
        </w:rPr>
        <w:tab/>
      </w:r>
    </w:p>
    <w:p w14:paraId="4B55F2A3" w14:textId="77777777" w:rsidR="003A293D" w:rsidRPr="006A03C4" w:rsidRDefault="003A293D" w:rsidP="00C02187">
      <w:pPr>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 xml:space="preserve">4 </w:t>
      </w:r>
      <w:r w:rsidRPr="006A03C4">
        <w:rPr>
          <w:rFonts w:ascii="Times New Roman" w:hAnsi="Times New Roman" w:cs="Times New Roman"/>
          <w:iCs/>
          <w:sz w:val="24"/>
          <w:szCs w:val="24"/>
          <w:lang w:val="en-GB"/>
        </w:rPr>
        <w:t>Department of Clinical Neurosciences, University of Cambridge, Cambridge, UK.</w:t>
      </w:r>
    </w:p>
    <w:p w14:paraId="3B4A2D02" w14:textId="77777777" w:rsidR="003A293D" w:rsidRPr="006A03C4" w:rsidRDefault="003A293D" w:rsidP="00C02187">
      <w:pPr>
        <w:spacing w:line="240" w:lineRule="auto"/>
        <w:jc w:val="both"/>
        <w:rPr>
          <w:rFonts w:ascii="Times New Roman" w:hAnsi="Times New Roman" w:cs="Times New Roman"/>
          <w:iCs/>
          <w:sz w:val="24"/>
          <w:szCs w:val="24"/>
        </w:rPr>
      </w:pPr>
      <w:r w:rsidRPr="006A03C4">
        <w:rPr>
          <w:rFonts w:ascii="Times New Roman" w:hAnsi="Times New Roman" w:cs="Times New Roman"/>
          <w:iCs/>
          <w:sz w:val="24"/>
          <w:szCs w:val="24"/>
          <w:vertAlign w:val="superscript"/>
        </w:rPr>
        <w:t>5</w:t>
      </w:r>
      <w:r w:rsidRPr="006A03C4">
        <w:rPr>
          <w:rFonts w:ascii="Times New Roman" w:hAnsi="Times New Roman" w:cs="Times New Roman"/>
          <w:iCs/>
          <w:sz w:val="24"/>
          <w:szCs w:val="24"/>
        </w:rPr>
        <w:t xml:space="preserve"> </w:t>
      </w:r>
      <w:proofErr w:type="spellStart"/>
      <w:r w:rsidRPr="006A03C4">
        <w:rPr>
          <w:rFonts w:ascii="Times New Roman" w:hAnsi="Times New Roman" w:cs="Times New Roman"/>
          <w:iCs/>
          <w:sz w:val="24"/>
          <w:szCs w:val="24"/>
        </w:rPr>
        <w:t>Consiglio</w:t>
      </w:r>
      <w:proofErr w:type="spellEnd"/>
      <w:r w:rsidRPr="006A03C4">
        <w:rPr>
          <w:rFonts w:ascii="Times New Roman" w:hAnsi="Times New Roman" w:cs="Times New Roman"/>
          <w:iCs/>
          <w:sz w:val="24"/>
          <w:szCs w:val="24"/>
        </w:rPr>
        <w:t xml:space="preserve"> Nazionale delle </w:t>
      </w:r>
      <w:proofErr w:type="spellStart"/>
      <w:r w:rsidRPr="006A03C4">
        <w:rPr>
          <w:rFonts w:ascii="Times New Roman" w:hAnsi="Times New Roman" w:cs="Times New Roman"/>
          <w:iCs/>
          <w:sz w:val="24"/>
          <w:szCs w:val="24"/>
        </w:rPr>
        <w:t>Ricerche</w:t>
      </w:r>
      <w:proofErr w:type="spellEnd"/>
      <w:r w:rsidRPr="006A03C4">
        <w:rPr>
          <w:rFonts w:ascii="Times New Roman" w:hAnsi="Times New Roman" w:cs="Times New Roman"/>
          <w:iCs/>
          <w:sz w:val="24"/>
          <w:szCs w:val="24"/>
        </w:rPr>
        <w:t xml:space="preserve"> (CNR), </w:t>
      </w:r>
      <w:proofErr w:type="spellStart"/>
      <w:r w:rsidRPr="006A03C4">
        <w:rPr>
          <w:rFonts w:ascii="Times New Roman" w:hAnsi="Times New Roman" w:cs="Times New Roman"/>
          <w:iCs/>
          <w:sz w:val="24"/>
          <w:szCs w:val="24"/>
        </w:rPr>
        <w:t>Istituto</w:t>
      </w:r>
      <w:proofErr w:type="spellEnd"/>
      <w:r w:rsidRPr="006A03C4">
        <w:rPr>
          <w:rFonts w:ascii="Times New Roman" w:hAnsi="Times New Roman" w:cs="Times New Roman"/>
          <w:iCs/>
          <w:sz w:val="24"/>
          <w:szCs w:val="24"/>
        </w:rPr>
        <w:t xml:space="preserve"> di </w:t>
      </w:r>
      <w:proofErr w:type="spellStart"/>
      <w:r w:rsidRPr="006A03C4">
        <w:rPr>
          <w:rFonts w:ascii="Times New Roman" w:hAnsi="Times New Roman" w:cs="Times New Roman"/>
          <w:iCs/>
          <w:sz w:val="24"/>
          <w:szCs w:val="24"/>
        </w:rPr>
        <w:t>Bioimmagini</w:t>
      </w:r>
      <w:proofErr w:type="spellEnd"/>
      <w:r w:rsidRPr="006A03C4">
        <w:rPr>
          <w:rFonts w:ascii="Times New Roman" w:hAnsi="Times New Roman" w:cs="Times New Roman"/>
          <w:iCs/>
          <w:sz w:val="24"/>
          <w:szCs w:val="24"/>
        </w:rPr>
        <w:t xml:space="preserve"> e </w:t>
      </w:r>
      <w:proofErr w:type="spellStart"/>
      <w:r w:rsidRPr="006A03C4">
        <w:rPr>
          <w:rFonts w:ascii="Times New Roman" w:hAnsi="Times New Roman" w:cs="Times New Roman"/>
          <w:iCs/>
          <w:sz w:val="24"/>
          <w:szCs w:val="24"/>
        </w:rPr>
        <w:t>Fisiologia</w:t>
      </w:r>
      <w:proofErr w:type="spellEnd"/>
      <w:r w:rsidRPr="006A03C4">
        <w:rPr>
          <w:rFonts w:ascii="Times New Roman" w:hAnsi="Times New Roman" w:cs="Times New Roman"/>
          <w:iCs/>
          <w:sz w:val="24"/>
          <w:szCs w:val="24"/>
        </w:rPr>
        <w:t xml:space="preserve"> </w:t>
      </w:r>
      <w:proofErr w:type="spellStart"/>
      <w:r w:rsidRPr="006A03C4">
        <w:rPr>
          <w:rFonts w:ascii="Times New Roman" w:hAnsi="Times New Roman" w:cs="Times New Roman"/>
          <w:iCs/>
          <w:sz w:val="24"/>
          <w:szCs w:val="24"/>
        </w:rPr>
        <w:t>Molecolare</w:t>
      </w:r>
      <w:proofErr w:type="spellEnd"/>
      <w:r w:rsidRPr="006A03C4">
        <w:rPr>
          <w:rFonts w:ascii="Times New Roman" w:hAnsi="Times New Roman" w:cs="Times New Roman"/>
          <w:iCs/>
          <w:sz w:val="24"/>
          <w:szCs w:val="24"/>
        </w:rPr>
        <w:t xml:space="preserve"> (IBFM), Milano, </w:t>
      </w:r>
      <w:proofErr w:type="spellStart"/>
      <w:r w:rsidRPr="006A03C4">
        <w:rPr>
          <w:rFonts w:ascii="Times New Roman" w:hAnsi="Times New Roman" w:cs="Times New Roman"/>
          <w:iCs/>
          <w:sz w:val="24"/>
          <w:szCs w:val="24"/>
        </w:rPr>
        <w:t>Italy</w:t>
      </w:r>
      <w:proofErr w:type="spellEnd"/>
    </w:p>
    <w:p w14:paraId="27AD7EBE" w14:textId="77777777" w:rsidR="003A293D" w:rsidRPr="006A03C4" w:rsidRDefault="003A293D" w:rsidP="00C02187">
      <w:pPr>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6</w:t>
      </w:r>
      <w:r w:rsidRPr="006A03C4">
        <w:rPr>
          <w:rFonts w:ascii="Times New Roman" w:hAnsi="Times New Roman" w:cs="Times New Roman"/>
          <w:iCs/>
          <w:sz w:val="24"/>
          <w:szCs w:val="24"/>
          <w:lang w:val="en-GB"/>
        </w:rPr>
        <w:t xml:space="preserve"> China-UK Centre for Cognition and Ageing Research, Southwest University, Chongqing, China.</w:t>
      </w:r>
    </w:p>
    <w:p w14:paraId="45E410C5" w14:textId="77777777" w:rsidR="003A293D" w:rsidRPr="006A03C4" w:rsidRDefault="003A293D" w:rsidP="00C02187">
      <w:pPr>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 xml:space="preserve">7 </w:t>
      </w:r>
      <w:r w:rsidRPr="006A03C4">
        <w:rPr>
          <w:rFonts w:ascii="Times New Roman" w:hAnsi="Times New Roman" w:cs="Times New Roman"/>
          <w:iCs/>
          <w:sz w:val="24"/>
          <w:szCs w:val="24"/>
          <w:lang w:val="en-GB"/>
        </w:rPr>
        <w:t>Medical Research Council Cognition and Brain Sciences Unit, Cambridge, UK.</w:t>
      </w:r>
    </w:p>
    <w:p w14:paraId="596435EC" w14:textId="77777777" w:rsidR="003A293D" w:rsidRPr="006A03C4" w:rsidRDefault="003A293D" w:rsidP="00C02187">
      <w:pPr>
        <w:tabs>
          <w:tab w:val="left" w:pos="3640"/>
        </w:tabs>
        <w:spacing w:line="240" w:lineRule="auto"/>
        <w:jc w:val="both"/>
        <w:rPr>
          <w:rFonts w:ascii="Times New Roman" w:hAnsi="Times New Roman" w:cs="Times New Roman"/>
          <w:sz w:val="24"/>
          <w:szCs w:val="24"/>
          <w:lang w:val="en-GB"/>
        </w:rPr>
      </w:pPr>
      <w:r w:rsidRPr="006A03C4">
        <w:rPr>
          <w:rFonts w:ascii="Times New Roman" w:hAnsi="Times New Roman" w:cs="Times New Roman"/>
          <w:iCs/>
          <w:sz w:val="24"/>
          <w:szCs w:val="24"/>
          <w:lang w:val="en-GB"/>
        </w:rPr>
        <w:t>* These authors contributed equally to the present work.</w:t>
      </w:r>
    </w:p>
    <w:p w14:paraId="74758F33" w14:textId="77777777" w:rsidR="003A293D" w:rsidRPr="006A03C4" w:rsidRDefault="003A293D" w:rsidP="00C02187">
      <w:pPr>
        <w:tabs>
          <w:tab w:val="left" w:pos="3640"/>
        </w:tabs>
        <w:spacing w:line="240" w:lineRule="auto"/>
        <w:jc w:val="both"/>
        <w:rPr>
          <w:rFonts w:ascii="Times New Roman" w:hAnsi="Times New Roman" w:cs="Times New Roman"/>
          <w:iCs/>
          <w:sz w:val="24"/>
          <w:szCs w:val="24"/>
          <w:lang w:val="en-GB"/>
        </w:rPr>
      </w:pPr>
      <w:r w:rsidRPr="006A03C4">
        <w:rPr>
          <w:rFonts w:ascii="Times New Roman" w:hAnsi="Times New Roman" w:cs="Times New Roman"/>
          <w:iCs/>
          <w:sz w:val="24"/>
          <w:szCs w:val="24"/>
          <w:vertAlign w:val="superscript"/>
          <w:lang w:val="en-GB"/>
        </w:rPr>
        <w:t>+</w:t>
      </w:r>
      <w:r w:rsidRPr="006A03C4">
        <w:rPr>
          <w:rFonts w:ascii="Times New Roman" w:hAnsi="Times New Roman" w:cs="Times New Roman"/>
          <w:iCs/>
          <w:sz w:val="24"/>
          <w:szCs w:val="24"/>
          <w:lang w:val="en-GB"/>
        </w:rPr>
        <w:t xml:space="preserve"> Co-Senior Authors</w:t>
      </w:r>
    </w:p>
    <w:p w14:paraId="5D038A04" w14:textId="77777777" w:rsidR="003A293D" w:rsidRPr="006A03C4" w:rsidRDefault="003A293D" w:rsidP="008D2D9C">
      <w:pPr>
        <w:tabs>
          <w:tab w:val="left" w:pos="3640"/>
        </w:tabs>
        <w:spacing w:line="240" w:lineRule="auto"/>
        <w:jc w:val="both"/>
        <w:rPr>
          <w:rFonts w:ascii="Times New Roman" w:hAnsi="Times New Roman" w:cs="Times New Roman"/>
          <w:b/>
          <w:sz w:val="24"/>
          <w:szCs w:val="24"/>
          <w:lang w:val="en-GB"/>
        </w:rPr>
      </w:pPr>
    </w:p>
    <w:p w14:paraId="6BD2AA45" w14:textId="77777777" w:rsidR="003A293D" w:rsidRPr="006A03C4" w:rsidRDefault="003A293D" w:rsidP="008D2D9C">
      <w:pPr>
        <w:tabs>
          <w:tab w:val="left" w:pos="3640"/>
        </w:tabs>
        <w:spacing w:line="240" w:lineRule="auto"/>
        <w:jc w:val="both"/>
        <w:outlineLvl w:val="0"/>
        <w:rPr>
          <w:rFonts w:ascii="Times New Roman" w:hAnsi="Times New Roman" w:cs="Times New Roman"/>
          <w:b/>
          <w:sz w:val="24"/>
          <w:szCs w:val="24"/>
          <w:lang w:val="en-GB"/>
        </w:rPr>
      </w:pPr>
      <w:r w:rsidRPr="006A03C4">
        <w:rPr>
          <w:rFonts w:ascii="Times New Roman" w:hAnsi="Times New Roman" w:cs="Times New Roman"/>
          <w:b/>
          <w:sz w:val="24"/>
          <w:szCs w:val="24"/>
          <w:lang w:val="en-GB"/>
        </w:rPr>
        <w:t>CORRESPONDENCE:</w:t>
      </w:r>
    </w:p>
    <w:p w14:paraId="0BDB0BB6" w14:textId="77777777" w:rsidR="003A293D" w:rsidRPr="006A03C4" w:rsidRDefault="003A293D" w:rsidP="008D2D9C">
      <w:pPr>
        <w:spacing w:line="240" w:lineRule="auto"/>
        <w:jc w:val="both"/>
        <w:outlineLvl w:val="0"/>
        <w:rPr>
          <w:rFonts w:ascii="Times New Roman" w:hAnsi="Times New Roman" w:cs="Times New Roman"/>
          <w:sz w:val="24"/>
          <w:szCs w:val="24"/>
          <w:lang w:val="en-GB"/>
        </w:rPr>
      </w:pPr>
      <w:r w:rsidRPr="006A03C4">
        <w:rPr>
          <w:rFonts w:ascii="Times New Roman" w:hAnsi="Times New Roman" w:cs="Times New Roman"/>
          <w:sz w:val="24"/>
          <w:szCs w:val="24"/>
          <w:lang w:val="en-GB"/>
        </w:rPr>
        <w:t>Prof. John T. O’Brien</w:t>
      </w:r>
    </w:p>
    <w:p w14:paraId="6D5CF54B" w14:textId="77777777" w:rsidR="003A293D" w:rsidRPr="006A03C4" w:rsidRDefault="003A293D" w:rsidP="008D2D9C">
      <w:pPr>
        <w:spacing w:line="240" w:lineRule="auto"/>
        <w:jc w:val="both"/>
        <w:rPr>
          <w:rFonts w:ascii="Times New Roman" w:hAnsi="Times New Roman" w:cs="Times New Roman"/>
          <w:iCs/>
          <w:sz w:val="24"/>
          <w:szCs w:val="24"/>
          <w:lang w:val="en-GB"/>
        </w:rPr>
      </w:pPr>
      <w:r w:rsidRPr="006A03C4">
        <w:rPr>
          <w:rFonts w:ascii="Times New Roman" w:hAnsi="Times New Roman" w:cs="Times New Roman"/>
          <w:sz w:val="24"/>
          <w:szCs w:val="24"/>
          <w:lang w:val="en-GB"/>
        </w:rPr>
        <w:t>Foundation Professor of Old Age Psychiatry</w:t>
      </w:r>
    </w:p>
    <w:p w14:paraId="223B3695" w14:textId="77777777" w:rsidR="003A293D" w:rsidRPr="006A03C4" w:rsidRDefault="003A293D" w:rsidP="008D2D9C">
      <w:pPr>
        <w:shd w:val="clear" w:color="auto" w:fill="FFFFFF"/>
        <w:spacing w:line="24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Department of Psychiatry</w:t>
      </w:r>
    </w:p>
    <w:p w14:paraId="54A9C12D" w14:textId="77777777" w:rsidR="003A293D" w:rsidRPr="006A03C4" w:rsidRDefault="003A293D" w:rsidP="008D2D9C">
      <w:pPr>
        <w:shd w:val="clear" w:color="auto" w:fill="FFFFFF"/>
        <w:spacing w:line="24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University of Cambridge School of Clinical Medicine</w:t>
      </w:r>
    </w:p>
    <w:p w14:paraId="0F64CD64" w14:textId="77777777" w:rsidR="003A293D" w:rsidRPr="006A03C4" w:rsidRDefault="003A293D" w:rsidP="008D2D9C">
      <w:pPr>
        <w:shd w:val="clear" w:color="auto" w:fill="FFFFFF"/>
        <w:spacing w:line="24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Box 189, Level E4 Cambridge Biomedical Campus</w:t>
      </w:r>
    </w:p>
    <w:p w14:paraId="29283A57" w14:textId="77777777" w:rsidR="003A293D" w:rsidRPr="006A03C4" w:rsidRDefault="003A293D" w:rsidP="00035580">
      <w:pPr>
        <w:shd w:val="clear" w:color="auto" w:fill="FFFFFF"/>
        <w:tabs>
          <w:tab w:val="center" w:pos="4150"/>
        </w:tabs>
        <w:spacing w:line="24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Cambridge CB2 0SP, UNITED KINGDOM</w:t>
      </w:r>
    </w:p>
    <w:p w14:paraId="0752DA40" w14:textId="77777777" w:rsidR="003A293D" w:rsidRPr="006A03C4" w:rsidRDefault="003A293D" w:rsidP="00035580">
      <w:pPr>
        <w:shd w:val="clear" w:color="auto" w:fill="FFFFFF"/>
        <w:tabs>
          <w:tab w:val="center" w:pos="4150"/>
        </w:tabs>
        <w:spacing w:line="240" w:lineRule="auto"/>
        <w:jc w:val="both"/>
        <w:rPr>
          <w:rFonts w:ascii="Times New Roman" w:hAnsi="Times New Roman" w:cs="Times New Roman"/>
          <w:sz w:val="24"/>
          <w:szCs w:val="24"/>
          <w:lang w:val="en-GB"/>
        </w:rPr>
      </w:pPr>
      <w:r w:rsidRPr="006A03C4">
        <w:rPr>
          <w:rFonts w:ascii="Times New Roman" w:hAnsi="Times New Roman" w:cs="Times New Roman"/>
          <w:sz w:val="24"/>
          <w:szCs w:val="24"/>
          <w:lang w:val="en-GB"/>
        </w:rPr>
        <w:t>Email: john.obrien@medschl.cam.ac.uk</w:t>
      </w:r>
    </w:p>
    <w:p w14:paraId="108B7709" w14:textId="77777777" w:rsidR="003A293D" w:rsidRPr="006A03C4" w:rsidRDefault="003A293D" w:rsidP="008D2D9C">
      <w:pPr>
        <w:pStyle w:val="AbstractSummary"/>
        <w:tabs>
          <w:tab w:val="left" w:pos="5110"/>
        </w:tabs>
        <w:jc w:val="both"/>
        <w:rPr>
          <w:rStyle w:val="s1"/>
          <w:rFonts w:eastAsia="Calibri"/>
          <w:lang w:val="en-GB" w:eastAsia="en-GB"/>
        </w:rPr>
      </w:pPr>
      <w:r w:rsidRPr="006A03C4">
        <w:rPr>
          <w:rStyle w:val="s1"/>
          <w:rFonts w:eastAsia="Calibri"/>
          <w:lang w:val="en-GB" w:eastAsia="en-GB"/>
        </w:rPr>
        <w:tab/>
      </w:r>
    </w:p>
    <w:p w14:paraId="51624712" w14:textId="77777777" w:rsidR="003A293D" w:rsidRPr="006A03C4" w:rsidRDefault="003A293D" w:rsidP="008D2D9C">
      <w:pPr>
        <w:pStyle w:val="AbstractSummary"/>
        <w:jc w:val="both"/>
        <w:rPr>
          <w:rStyle w:val="s1"/>
          <w:rFonts w:eastAsia="Calibri"/>
          <w:lang w:val="en-GB" w:eastAsia="en-GB"/>
        </w:rPr>
      </w:pPr>
    </w:p>
    <w:p w14:paraId="424D5D39" w14:textId="77777777" w:rsidR="003A293D" w:rsidRPr="006A03C4" w:rsidRDefault="003A293D" w:rsidP="009F1BB8">
      <w:pPr>
        <w:pStyle w:val="AbstractSummary"/>
        <w:jc w:val="both"/>
        <w:rPr>
          <w:rFonts w:eastAsia="Calibri"/>
          <w:b/>
          <w:lang w:val="en-GB" w:eastAsia="en-GB"/>
        </w:rPr>
      </w:pPr>
      <w:r w:rsidRPr="006A03C4">
        <w:rPr>
          <w:rFonts w:eastAsia="Calibri"/>
          <w:b/>
          <w:lang w:val="en-GB"/>
        </w:rPr>
        <w:br w:type="page"/>
      </w:r>
    </w:p>
    <w:p w14:paraId="2CFE2BD3" w14:textId="77777777" w:rsidR="003A293D" w:rsidRPr="006A03C4" w:rsidRDefault="003A293D" w:rsidP="00A57B98">
      <w:pPr>
        <w:pStyle w:val="AbstractSummary"/>
        <w:spacing w:line="480" w:lineRule="auto"/>
        <w:jc w:val="both"/>
        <w:outlineLvl w:val="0"/>
        <w:rPr>
          <w:rFonts w:eastAsia="Calibri"/>
          <w:b/>
          <w:lang w:val="en-GB"/>
        </w:rPr>
      </w:pPr>
      <w:r w:rsidRPr="006A03C4">
        <w:rPr>
          <w:rFonts w:eastAsia="Calibri"/>
          <w:b/>
          <w:lang w:val="en-GB"/>
        </w:rPr>
        <w:lastRenderedPageBreak/>
        <w:t>ABSTRACT</w:t>
      </w:r>
      <w:bookmarkStart w:id="0" w:name="OLE_LINK22"/>
      <w:bookmarkStart w:id="1" w:name="OLE_LINK32"/>
      <w:bookmarkStart w:id="2" w:name="OLE_LINK53"/>
      <w:bookmarkStart w:id="3" w:name="OLE_LINK56"/>
      <w:bookmarkStart w:id="4" w:name="OLE_LINK61"/>
      <w:bookmarkStart w:id="5" w:name="OLE_LINK62"/>
      <w:bookmarkStart w:id="6" w:name="OLE_LINK63"/>
      <w:bookmarkStart w:id="7" w:name="OLE_LINK64"/>
      <w:bookmarkStart w:id="8" w:name="OLE_LINK3"/>
    </w:p>
    <w:p w14:paraId="2DE40882" w14:textId="6FF1DDB7" w:rsidR="003A293D" w:rsidRPr="00477F48" w:rsidRDefault="003A293D" w:rsidP="00A57B98">
      <w:pPr>
        <w:pStyle w:val="AbstractSummary"/>
        <w:spacing w:line="480" w:lineRule="auto"/>
        <w:jc w:val="both"/>
        <w:outlineLvl w:val="0"/>
        <w:rPr>
          <w:lang w:val="en-GB"/>
        </w:rPr>
      </w:pPr>
      <w:r w:rsidRPr="006A03C4">
        <w:rPr>
          <w:lang w:val="en-GB"/>
        </w:rPr>
        <w:t>Dementia with Lewy bodies (DLB) is characterized by alpha-synuclein protein deposition with variable degree of concurrent Alzheimer’s pathology. Neuroinflammation is also increasingly recognized as a significant contributor to degeneration. We aimed to examine the relationship between microglial activation as measured with [</w:t>
      </w:r>
      <w:r w:rsidRPr="006A03C4">
        <w:rPr>
          <w:vertAlign w:val="superscript"/>
          <w:lang w:val="en-GB"/>
        </w:rPr>
        <w:t>11</w:t>
      </w:r>
      <w:r w:rsidRPr="006A03C4">
        <w:rPr>
          <w:lang w:val="en-GB"/>
        </w:rPr>
        <w:t xml:space="preserve">C]-PK11195 brain PET, MR diffusion tensor imaging (DTI) and grey </w:t>
      </w:r>
      <w:r w:rsidRPr="00477F48">
        <w:rPr>
          <w:lang w:val="en-GB"/>
        </w:rPr>
        <w:t xml:space="preserve">matter atrophy in DLB. </w:t>
      </w:r>
      <w:r w:rsidRPr="00477F48">
        <w:rPr>
          <w:rFonts w:eastAsia="Calibri"/>
          <w:bCs/>
          <w:lang w:val="en-GB"/>
        </w:rPr>
        <w:t>N</w:t>
      </w:r>
      <w:r w:rsidRPr="00477F48">
        <w:rPr>
          <w:lang w:val="en-GB"/>
        </w:rPr>
        <w:t xml:space="preserve">ineteen clinically probable DLB and 20 similarly aged controls underwent 3T structural MRI (T1-weighted) and diffusion-weighted imaging. Eighteen DLB subjects also underwent </w:t>
      </w:r>
      <w:bookmarkStart w:id="9" w:name="OLE_LINK4"/>
      <w:bookmarkStart w:id="10" w:name="OLE_LINK11"/>
      <w:bookmarkStart w:id="11" w:name="OLE_LINK14"/>
      <w:bookmarkStart w:id="12" w:name="OLE_LINK15"/>
      <w:r w:rsidRPr="00477F48">
        <w:rPr>
          <w:lang w:val="en-GB"/>
        </w:rPr>
        <w:t>[</w:t>
      </w:r>
      <w:r w:rsidRPr="00477F48">
        <w:rPr>
          <w:vertAlign w:val="superscript"/>
          <w:lang w:val="en-GB"/>
        </w:rPr>
        <w:t>11</w:t>
      </w:r>
      <w:r w:rsidRPr="00477F48">
        <w:rPr>
          <w:lang w:val="en-GB"/>
        </w:rPr>
        <w:t>C]-PK11195</w:t>
      </w:r>
      <w:bookmarkEnd w:id="9"/>
      <w:bookmarkEnd w:id="10"/>
      <w:r w:rsidRPr="00477F48">
        <w:rPr>
          <w:lang w:val="en-GB"/>
        </w:rPr>
        <w:t xml:space="preserve"> </w:t>
      </w:r>
      <w:bookmarkEnd w:id="11"/>
      <w:bookmarkEnd w:id="12"/>
      <w:r w:rsidRPr="00477F48">
        <w:rPr>
          <w:lang w:val="en-GB"/>
        </w:rPr>
        <w:t>PET imaging and 15 had [</w:t>
      </w:r>
      <w:r w:rsidRPr="00477F48">
        <w:rPr>
          <w:vertAlign w:val="superscript"/>
          <w:lang w:val="en-GB"/>
        </w:rPr>
        <w:t>11</w:t>
      </w:r>
      <w:r w:rsidRPr="00477F48">
        <w:rPr>
          <w:lang w:val="en-GB"/>
        </w:rPr>
        <w:t xml:space="preserve">C]-Pittsburgh compound B amyloid PET, resulting in 9/15 being amyloid-positive. </w:t>
      </w:r>
      <w:r w:rsidR="00621B5E" w:rsidRPr="00477F48">
        <w:rPr>
          <w:lang w:val="en-GB"/>
        </w:rPr>
        <w:t>We used Computational Anatomy Toolbox (CAT12) for volume-based morphometry</w:t>
      </w:r>
      <w:r w:rsidR="00FF54C3" w:rsidRPr="00477F48">
        <w:rPr>
          <w:lang w:val="en-GB"/>
        </w:rPr>
        <w:t xml:space="preserve"> (VBM)</w:t>
      </w:r>
      <w:r w:rsidR="00621B5E" w:rsidRPr="00477F48">
        <w:rPr>
          <w:lang w:val="en-GB"/>
        </w:rPr>
        <w:t xml:space="preserve"> and T</w:t>
      </w:r>
      <w:r w:rsidRPr="00477F48">
        <w:rPr>
          <w:lang w:val="en-GB"/>
        </w:rPr>
        <w:t>ract-Based Spatial Statistics (TBSS)</w:t>
      </w:r>
      <w:r w:rsidR="00621B5E" w:rsidRPr="00477F48">
        <w:rPr>
          <w:lang w:val="en-GB"/>
        </w:rPr>
        <w:t xml:space="preserve"> </w:t>
      </w:r>
      <w:r w:rsidRPr="00477F48">
        <w:rPr>
          <w:lang w:val="en-GB"/>
        </w:rPr>
        <w:t>for DTI</w:t>
      </w:r>
      <w:r w:rsidR="00621B5E" w:rsidRPr="00477F48">
        <w:rPr>
          <w:lang w:val="en-GB"/>
        </w:rPr>
        <w:t xml:space="preserve"> to assess group comparisons between DLB and controls and </w:t>
      </w:r>
      <w:r w:rsidR="00F72730" w:rsidRPr="00477F48">
        <w:rPr>
          <w:lang w:val="en-GB"/>
        </w:rPr>
        <w:t xml:space="preserve">to </w:t>
      </w:r>
      <w:r w:rsidRPr="00477F48">
        <w:rPr>
          <w:lang w:val="en-GB"/>
        </w:rPr>
        <w:t>identify associations of [</w:t>
      </w:r>
      <w:r w:rsidRPr="00477F48">
        <w:rPr>
          <w:vertAlign w:val="superscript"/>
          <w:lang w:val="en-GB"/>
        </w:rPr>
        <w:t>11</w:t>
      </w:r>
      <w:r w:rsidRPr="00477F48">
        <w:rPr>
          <w:lang w:val="en-GB"/>
        </w:rPr>
        <w:t xml:space="preserve">C]-PK11195 binding with </w:t>
      </w:r>
      <w:r w:rsidR="00990480" w:rsidRPr="00477F48">
        <w:rPr>
          <w:lang w:val="en-GB"/>
        </w:rPr>
        <w:t>grey/</w:t>
      </w:r>
      <w:r w:rsidRPr="00477F48">
        <w:rPr>
          <w:lang w:val="en-GB"/>
        </w:rPr>
        <w:t xml:space="preserve">white matter </w:t>
      </w:r>
      <w:r w:rsidR="00990480" w:rsidRPr="00477F48">
        <w:rPr>
          <w:lang w:val="en-GB"/>
        </w:rPr>
        <w:t>changes</w:t>
      </w:r>
      <w:r w:rsidRPr="00477F48">
        <w:rPr>
          <w:lang w:val="en-GB"/>
        </w:rPr>
        <w:t xml:space="preserve"> and cognitive score in DLB patients.</w:t>
      </w:r>
      <w:bookmarkEnd w:id="0"/>
      <w:bookmarkEnd w:id="1"/>
      <w:bookmarkEnd w:id="2"/>
      <w:bookmarkEnd w:id="3"/>
      <w:bookmarkEnd w:id="4"/>
      <w:bookmarkEnd w:id="5"/>
      <w:bookmarkEnd w:id="6"/>
      <w:bookmarkEnd w:id="7"/>
      <w:bookmarkEnd w:id="8"/>
      <w:r w:rsidR="00FF54C3" w:rsidRPr="00477F48">
        <w:rPr>
          <w:lang w:val="en-GB"/>
        </w:rPr>
        <w:t xml:space="preserve"> VBM analyses showed that DLB had </w:t>
      </w:r>
      <w:r w:rsidR="00A36A77" w:rsidRPr="00477F48">
        <w:rPr>
          <w:lang w:val="en-GB"/>
        </w:rPr>
        <w:t xml:space="preserve">extensive </w:t>
      </w:r>
      <w:r w:rsidR="00FF54C3" w:rsidRPr="00477F48">
        <w:rPr>
          <w:lang w:val="en-GB"/>
        </w:rPr>
        <w:t>reduc</w:t>
      </w:r>
      <w:r w:rsidR="00A36A77" w:rsidRPr="00477F48">
        <w:rPr>
          <w:lang w:val="en-GB"/>
        </w:rPr>
        <w:t>tion of</w:t>
      </w:r>
      <w:r w:rsidR="00FF54C3" w:rsidRPr="00477F48">
        <w:rPr>
          <w:lang w:val="en-GB"/>
        </w:rPr>
        <w:t xml:space="preserve"> grey matter volume in </w:t>
      </w:r>
      <w:r w:rsidR="004C14F9" w:rsidRPr="00477F48">
        <w:rPr>
          <w:lang w:val="en-GB"/>
        </w:rPr>
        <w:t xml:space="preserve">superior </w:t>
      </w:r>
      <w:r w:rsidR="00FF54C3" w:rsidRPr="00477F48">
        <w:rPr>
          <w:lang w:val="en-GB"/>
        </w:rPr>
        <w:t>frontal, temporal, parietal and occipital cortices (family-wise error (FWE)-corrected p&lt;0.05).</w:t>
      </w:r>
      <w:r w:rsidRPr="00477F48">
        <w:rPr>
          <w:lang w:val="en-GB"/>
        </w:rPr>
        <w:t xml:space="preserve"> TBSS showed widespread changes in DLB for all DTI parameters (reduced fractional anisotropy, increased diffusivity), in</w:t>
      </w:r>
      <w:r w:rsidR="00990480" w:rsidRPr="00477F48">
        <w:rPr>
          <w:lang w:val="en-GB"/>
        </w:rPr>
        <w:t>volving</w:t>
      </w:r>
      <w:r w:rsidRPr="00477F48">
        <w:rPr>
          <w:lang w:val="en-GB"/>
        </w:rPr>
        <w:t xml:space="preserve"> the corpus callosum, corona radiata and superior longitudinal fasciculus (FWE-corrected p&lt;0.05). Higher [</w:t>
      </w:r>
      <w:r w:rsidRPr="00477F48">
        <w:rPr>
          <w:vertAlign w:val="superscript"/>
          <w:lang w:val="en-GB"/>
        </w:rPr>
        <w:t>11</w:t>
      </w:r>
      <w:r w:rsidRPr="00477F48">
        <w:rPr>
          <w:lang w:val="en-GB"/>
        </w:rPr>
        <w:t>C]-PK11195 binding in parietal cortices correlated with widespread lower mean and radial diffusivity in DLB patients (FWE-corrected p&lt;0.05). Furthermore, preserved cognition in DLB (higher Addenbrookes Cognitive Evaluation revised score) also correlated with higher [</w:t>
      </w:r>
      <w:r w:rsidRPr="00477F48">
        <w:rPr>
          <w:vertAlign w:val="superscript"/>
          <w:lang w:val="en-GB"/>
        </w:rPr>
        <w:t>11</w:t>
      </w:r>
      <w:r w:rsidRPr="00477F48">
        <w:rPr>
          <w:lang w:val="en-GB"/>
        </w:rPr>
        <w:t xml:space="preserve">C]-PK11195 binding in frontal, temporal, and occipital lobes. However, microglial activation was not significantly </w:t>
      </w:r>
      <w:r w:rsidR="009B32A7" w:rsidRPr="00477F48">
        <w:rPr>
          <w:lang w:val="en-GB"/>
        </w:rPr>
        <w:t>associated</w:t>
      </w:r>
      <w:r w:rsidRPr="00477F48">
        <w:rPr>
          <w:lang w:val="en-GB"/>
        </w:rPr>
        <w:t xml:space="preserve"> with grey matter changes. Our study suggests that increased microglial activation is associated with a relative preservation of white matter and cognition in DLB, positioning neuroinflammation as a potential early marker of DLB </w:t>
      </w:r>
      <w:proofErr w:type="spellStart"/>
      <w:r w:rsidRPr="00477F48">
        <w:rPr>
          <w:lang w:val="en-GB"/>
        </w:rPr>
        <w:t>etio</w:t>
      </w:r>
      <w:proofErr w:type="spellEnd"/>
      <w:r w:rsidRPr="00477F48">
        <w:rPr>
          <w:lang w:val="en-GB"/>
        </w:rPr>
        <w:t xml:space="preserve">-pathogenesis. </w:t>
      </w:r>
    </w:p>
    <w:p w14:paraId="19424AAC" w14:textId="5E7B2F72" w:rsidR="003A293D" w:rsidRPr="00477F48" w:rsidRDefault="003A293D" w:rsidP="008D2D9C">
      <w:pPr>
        <w:spacing w:line="480" w:lineRule="auto"/>
        <w:jc w:val="both"/>
        <w:rPr>
          <w:rFonts w:ascii="Times New Roman" w:hAnsi="Times New Roman" w:cs="Times New Roman"/>
          <w:sz w:val="24"/>
          <w:szCs w:val="24"/>
        </w:rPr>
      </w:pPr>
      <w:proofErr w:type="gramStart"/>
      <w:r w:rsidRPr="00477F48">
        <w:rPr>
          <w:rFonts w:ascii="Times New Roman" w:hAnsi="Times New Roman" w:cs="Times New Roman"/>
          <w:sz w:val="24"/>
          <w:szCs w:val="24"/>
        </w:rPr>
        <w:t>Keywords:</w:t>
      </w:r>
      <w:proofErr w:type="gramEnd"/>
      <w:r w:rsidRPr="00477F48">
        <w:rPr>
          <w:rFonts w:ascii="Times New Roman" w:hAnsi="Times New Roman" w:cs="Times New Roman"/>
          <w:sz w:val="24"/>
          <w:szCs w:val="24"/>
        </w:rPr>
        <w:t xml:space="preserve"> </w:t>
      </w:r>
      <w:proofErr w:type="spellStart"/>
      <w:r w:rsidRPr="00477F48">
        <w:rPr>
          <w:rFonts w:ascii="Times New Roman" w:hAnsi="Times New Roman" w:cs="Times New Roman"/>
          <w:sz w:val="24"/>
          <w:szCs w:val="24"/>
        </w:rPr>
        <w:t>dementia</w:t>
      </w:r>
      <w:proofErr w:type="spellEnd"/>
      <w:r w:rsidRPr="00477F48">
        <w:rPr>
          <w:rFonts w:ascii="Times New Roman" w:hAnsi="Times New Roman" w:cs="Times New Roman"/>
          <w:sz w:val="24"/>
          <w:szCs w:val="24"/>
        </w:rPr>
        <w:t xml:space="preserve">; PET; </w:t>
      </w:r>
      <w:proofErr w:type="spellStart"/>
      <w:r w:rsidRPr="00477F48">
        <w:rPr>
          <w:rFonts w:ascii="Times New Roman" w:hAnsi="Times New Roman" w:cs="Times New Roman"/>
          <w:sz w:val="24"/>
          <w:szCs w:val="24"/>
        </w:rPr>
        <w:t>neuroinflammation</w:t>
      </w:r>
      <w:proofErr w:type="spellEnd"/>
      <w:r w:rsidRPr="00477F48">
        <w:rPr>
          <w:rFonts w:ascii="Times New Roman" w:hAnsi="Times New Roman" w:cs="Times New Roman"/>
          <w:sz w:val="24"/>
          <w:szCs w:val="24"/>
        </w:rPr>
        <w:t xml:space="preserve">; diffusion </w:t>
      </w:r>
      <w:proofErr w:type="spellStart"/>
      <w:r w:rsidRPr="00477F48">
        <w:rPr>
          <w:rFonts w:ascii="Times New Roman" w:hAnsi="Times New Roman" w:cs="Times New Roman"/>
          <w:sz w:val="24"/>
          <w:szCs w:val="24"/>
        </w:rPr>
        <w:t>tensor</w:t>
      </w:r>
      <w:proofErr w:type="spellEnd"/>
      <w:r w:rsidRPr="00477F48">
        <w:rPr>
          <w:rFonts w:ascii="Times New Roman" w:hAnsi="Times New Roman" w:cs="Times New Roman"/>
          <w:sz w:val="24"/>
          <w:szCs w:val="24"/>
        </w:rPr>
        <w:t xml:space="preserve"> </w:t>
      </w:r>
      <w:proofErr w:type="spellStart"/>
      <w:r w:rsidRPr="00477F48">
        <w:rPr>
          <w:rFonts w:ascii="Times New Roman" w:hAnsi="Times New Roman" w:cs="Times New Roman"/>
          <w:sz w:val="24"/>
          <w:szCs w:val="24"/>
        </w:rPr>
        <w:t>imaging</w:t>
      </w:r>
      <w:proofErr w:type="spellEnd"/>
    </w:p>
    <w:p w14:paraId="2E16ECC4" w14:textId="77777777" w:rsidR="003A293D" w:rsidRPr="00477F48" w:rsidRDefault="003A293D" w:rsidP="008D2D9C">
      <w:pPr>
        <w:spacing w:line="480" w:lineRule="auto"/>
        <w:jc w:val="both"/>
        <w:outlineLvl w:val="0"/>
        <w:rPr>
          <w:rFonts w:ascii="Times New Roman" w:hAnsi="Times New Roman" w:cs="Times New Roman"/>
          <w:b/>
          <w:sz w:val="24"/>
          <w:szCs w:val="24"/>
          <w:lang w:val="en-GB"/>
        </w:rPr>
      </w:pPr>
      <w:r w:rsidRPr="00477F48">
        <w:rPr>
          <w:rFonts w:ascii="Times New Roman" w:hAnsi="Times New Roman" w:cs="Times New Roman"/>
          <w:b/>
          <w:sz w:val="24"/>
          <w:szCs w:val="24"/>
          <w:lang w:val="en-GB"/>
        </w:rPr>
        <w:lastRenderedPageBreak/>
        <w:t xml:space="preserve">INTRODUCTION </w:t>
      </w:r>
    </w:p>
    <w:p w14:paraId="4085F75D" w14:textId="41B4CA62" w:rsidR="003A293D" w:rsidRPr="00477F48" w:rsidRDefault="003A293D" w:rsidP="008D2D9C">
      <w:pPr>
        <w:spacing w:line="480" w:lineRule="auto"/>
        <w:jc w:val="both"/>
        <w:rPr>
          <w:rFonts w:ascii="Times New Roman" w:hAnsi="Times New Roman" w:cs="Times New Roman"/>
          <w:sz w:val="24"/>
          <w:szCs w:val="24"/>
          <w:lang w:val="en-GB"/>
        </w:rPr>
      </w:pPr>
      <w:bookmarkStart w:id="13" w:name="OLE_LINK9"/>
      <w:bookmarkStart w:id="14" w:name="OLE_LINK10"/>
      <w:r w:rsidRPr="00477F48">
        <w:rPr>
          <w:rFonts w:ascii="Times New Roman" w:hAnsi="Times New Roman" w:cs="Times New Roman"/>
          <w:sz w:val="24"/>
          <w:szCs w:val="24"/>
          <w:lang w:val="en-GB"/>
        </w:rPr>
        <w:t xml:space="preserve">Dementia with Lewy bodies (DLB) is the second-leading degenerative dementia in older people </w:t>
      </w:r>
      <w:r w:rsidRPr="00477F48">
        <w:rPr>
          <w:rFonts w:ascii="Times New Roman" w:hAnsi="Times New Roman" w:cs="Times New Roman"/>
          <w:noProof/>
          <w:sz w:val="24"/>
          <w:szCs w:val="24"/>
          <w:lang w:val="en-GB"/>
        </w:rPr>
        <w:t>(Vann Jones and O'Brien, 2014)</w:t>
      </w:r>
      <w:r w:rsidRPr="00477F48">
        <w:rPr>
          <w:rFonts w:ascii="Times New Roman" w:hAnsi="Times New Roman" w:cs="Times New Roman"/>
          <w:sz w:val="24"/>
          <w:szCs w:val="24"/>
          <w:lang w:val="en-GB"/>
        </w:rPr>
        <w:t>. It is characterized by alpha-synuclein protein deposition</w:t>
      </w:r>
      <w:bookmarkStart w:id="15" w:name="OLE_LINK50"/>
      <w:bookmarkStart w:id="16" w:name="OLE_LINK51"/>
      <w:r w:rsidRPr="00477F48">
        <w:rPr>
          <w:rFonts w:ascii="Times New Roman" w:hAnsi="Times New Roman" w:cs="Times New Roman"/>
          <w:sz w:val="24"/>
          <w:szCs w:val="24"/>
          <w:lang w:val="en-GB"/>
        </w:rPr>
        <w:t xml:space="preserve"> in the form of intra-neuronal Lewy bodies as well as Lewy neurites, with a variable degree of concurrent Alzheimer’s disease (AD) pathology </w:t>
      </w:r>
      <w:r w:rsidRPr="00477F48">
        <w:rPr>
          <w:rFonts w:ascii="Times New Roman" w:hAnsi="Times New Roman" w:cs="Times New Roman"/>
          <w:noProof/>
          <w:sz w:val="24"/>
          <w:szCs w:val="24"/>
          <w:lang w:val="en-GB"/>
        </w:rPr>
        <w:t>(Spillantini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1997, Gomperts, 2016)</w:t>
      </w:r>
      <w:r w:rsidRPr="00477F48">
        <w:rPr>
          <w:rFonts w:ascii="Times New Roman" w:hAnsi="Times New Roman" w:cs="Times New Roman"/>
          <w:sz w:val="24"/>
          <w:szCs w:val="24"/>
          <w:lang w:val="en-GB"/>
        </w:rPr>
        <w:t xml:space="preserve">. </w:t>
      </w:r>
      <w:bookmarkEnd w:id="13"/>
      <w:bookmarkEnd w:id="14"/>
      <w:bookmarkEnd w:id="15"/>
      <w:bookmarkEnd w:id="16"/>
      <w:r w:rsidRPr="00477F48">
        <w:rPr>
          <w:rFonts w:ascii="Times New Roman" w:hAnsi="Times New Roman" w:cs="Times New Roman"/>
          <w:sz w:val="24"/>
          <w:szCs w:val="24"/>
          <w:lang w:val="en-GB"/>
        </w:rPr>
        <w:t xml:space="preserve">Neuroinflammation and, more specifically microglial activation, is increasingly recognized as a key </w:t>
      </w:r>
      <w:proofErr w:type="spellStart"/>
      <w:r w:rsidRPr="00477F48">
        <w:rPr>
          <w:rFonts w:ascii="Times New Roman" w:hAnsi="Times New Roman" w:cs="Times New Roman"/>
          <w:sz w:val="24"/>
          <w:szCs w:val="24"/>
          <w:lang w:val="en-GB"/>
        </w:rPr>
        <w:t>etio</w:t>
      </w:r>
      <w:proofErr w:type="spellEnd"/>
      <w:r w:rsidRPr="00477F48">
        <w:rPr>
          <w:rFonts w:ascii="Times New Roman" w:hAnsi="Times New Roman" w:cs="Times New Roman"/>
          <w:sz w:val="24"/>
          <w:szCs w:val="24"/>
          <w:lang w:val="en-GB"/>
        </w:rPr>
        <w:t xml:space="preserve">-pathogenic mechanism in DLB which can be assessed </w:t>
      </w:r>
      <w:r w:rsidRPr="00477F48">
        <w:rPr>
          <w:rFonts w:ascii="Times New Roman" w:hAnsi="Times New Roman" w:cs="Times New Roman"/>
          <w:i/>
          <w:iCs/>
          <w:sz w:val="24"/>
          <w:szCs w:val="24"/>
          <w:lang w:val="en-GB"/>
        </w:rPr>
        <w:t>in vivo</w:t>
      </w:r>
      <w:r w:rsidRPr="00477F48">
        <w:rPr>
          <w:rFonts w:ascii="Times New Roman" w:hAnsi="Times New Roman" w:cs="Times New Roman"/>
          <w:sz w:val="24"/>
          <w:szCs w:val="24"/>
          <w:lang w:val="en-GB"/>
        </w:rPr>
        <w:t xml:space="preserve"> via different PET tracers including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vertAlign w:val="superscript"/>
          <w:lang w:val="en-GB"/>
        </w:rPr>
        <w:t>11</w:t>
      </w:r>
      <w:r w:rsidRPr="00477F48">
        <w:rPr>
          <w:rFonts w:ascii="Times New Roman" w:hAnsi="Times New Roman" w:cs="Times New Roman"/>
          <w:sz w:val="24"/>
          <w:szCs w:val="24"/>
          <w:lang w:val="en-GB"/>
        </w:rPr>
        <w:t>C</w:t>
      </w:r>
      <w:r w:rsidRPr="00477F48">
        <w:rPr>
          <w:rFonts w:ascii="Times New Roman" w:hAnsi="Times New Roman" w:cs="Times New Roman"/>
          <w:sz w:val="24"/>
          <w:szCs w:val="24"/>
          <w:lang w:val="en-GB"/>
        </w:rPr>
        <w:sym w:font="Symbol" w:char="F05D"/>
      </w:r>
      <w:r w:rsidRPr="00477F48">
        <w:rPr>
          <w:rFonts w:ascii="Times New Roman" w:hAnsi="Times New Roman" w:cs="Times New Roman"/>
          <w:sz w:val="24"/>
          <w:szCs w:val="24"/>
          <w:lang w:val="en-GB"/>
        </w:rPr>
        <w:t xml:space="preserve">-PK11195 (PK11195) </w:t>
      </w:r>
      <w:r w:rsidRPr="00477F48">
        <w:rPr>
          <w:rFonts w:ascii="Times New Roman" w:hAnsi="Times New Roman" w:cs="Times New Roman"/>
          <w:noProof/>
          <w:sz w:val="24"/>
          <w:szCs w:val="24"/>
          <w:lang w:val="en-GB"/>
        </w:rPr>
        <w:t>(Turkheimer</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2007)</w:t>
      </w:r>
      <w:r w:rsidRPr="00477F48">
        <w:rPr>
          <w:rFonts w:ascii="Times New Roman" w:hAnsi="Times New Roman" w:cs="Times New Roman"/>
          <w:sz w:val="24"/>
          <w:szCs w:val="24"/>
          <w:lang w:val="en-GB"/>
        </w:rPr>
        <w:t xml:space="preserve">. In DLB, increased microglial activation as assessed via PK11195 has been observed in the striatum, substantia </w:t>
      </w:r>
      <w:proofErr w:type="spellStart"/>
      <w:r w:rsidRPr="00477F48">
        <w:rPr>
          <w:rFonts w:ascii="Times New Roman" w:hAnsi="Times New Roman" w:cs="Times New Roman"/>
          <w:sz w:val="24"/>
          <w:szCs w:val="24"/>
          <w:lang w:val="en-GB"/>
        </w:rPr>
        <w:t>nigra</w:t>
      </w:r>
      <w:proofErr w:type="spellEnd"/>
      <w:r w:rsidRPr="00477F48">
        <w:rPr>
          <w:rFonts w:ascii="Times New Roman" w:hAnsi="Times New Roman" w:cs="Times New Roman"/>
          <w:sz w:val="24"/>
          <w:szCs w:val="24"/>
          <w:lang w:val="en-GB"/>
        </w:rPr>
        <w:t xml:space="preserve">, and several cortical regions </w:t>
      </w:r>
      <w:r w:rsidRPr="00477F48">
        <w:rPr>
          <w:rFonts w:ascii="Times New Roman" w:hAnsi="Times New Roman" w:cs="Times New Roman"/>
          <w:noProof/>
          <w:sz w:val="24"/>
          <w:szCs w:val="24"/>
          <w:lang w:val="en-GB"/>
        </w:rPr>
        <w:t>(Iannaccone</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2013, Surendranathan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2018)</w:t>
      </w:r>
      <w:r w:rsidRPr="00477F48">
        <w:rPr>
          <w:rFonts w:ascii="Times New Roman" w:hAnsi="Times New Roman" w:cs="Times New Roman"/>
          <w:sz w:val="24"/>
          <w:szCs w:val="24"/>
          <w:lang w:val="en-GB"/>
        </w:rPr>
        <w:t xml:space="preserve">. Intriguingly, we have recently found that patients with cognitively mild forms of DLB have higher PK11195 binding than those with moderate cognitive impairment in the caudate, thalamus as well as frontal, temporal, and parietal cortices </w:t>
      </w:r>
      <w:r w:rsidR="0074003A" w:rsidRPr="00477F48">
        <w:rPr>
          <w:rFonts w:ascii="Times New Roman" w:hAnsi="Times New Roman" w:cs="Times New Roman"/>
          <w:sz w:val="24"/>
          <w:szCs w:val="24"/>
          <w:lang w:val="en-GB"/>
        </w:rPr>
        <w:t>(</w:t>
      </w:r>
      <w:proofErr w:type="spellStart"/>
      <w:r w:rsidR="0074003A" w:rsidRPr="00477F48">
        <w:rPr>
          <w:rFonts w:ascii="Times New Roman" w:hAnsi="Times New Roman" w:cs="Times New Roman"/>
          <w:sz w:val="24"/>
          <w:szCs w:val="24"/>
          <w:lang w:val="en-GB"/>
        </w:rPr>
        <w:t>Surendranathan</w:t>
      </w:r>
      <w:proofErr w:type="spellEnd"/>
      <w:r w:rsidR="0074003A" w:rsidRPr="00477F48">
        <w:rPr>
          <w:rFonts w:ascii="Times New Roman" w:hAnsi="Times New Roman" w:cs="Times New Roman"/>
          <w:sz w:val="24"/>
          <w:szCs w:val="24"/>
          <w:lang w:val="en-GB"/>
        </w:rPr>
        <w:t xml:space="preserve"> </w:t>
      </w:r>
      <w:r w:rsidR="0074003A" w:rsidRPr="00477F48">
        <w:rPr>
          <w:rFonts w:ascii="Times New Roman" w:hAnsi="Times New Roman" w:cs="Times New Roman"/>
          <w:i/>
          <w:iCs/>
          <w:sz w:val="24"/>
          <w:szCs w:val="24"/>
          <w:lang w:val="en-GB"/>
        </w:rPr>
        <w:t>et al.,</w:t>
      </w:r>
      <w:r w:rsidR="0074003A" w:rsidRPr="00477F48">
        <w:rPr>
          <w:rFonts w:ascii="Times New Roman" w:hAnsi="Times New Roman" w:cs="Times New Roman"/>
          <w:sz w:val="24"/>
          <w:szCs w:val="24"/>
          <w:lang w:val="en-GB"/>
        </w:rPr>
        <w:t xml:space="preserve"> 2018)</w:t>
      </w:r>
      <w:r w:rsidRPr="00477F48">
        <w:rPr>
          <w:rFonts w:ascii="Times New Roman" w:hAnsi="Times New Roman" w:cs="Times New Roman"/>
          <w:sz w:val="24"/>
          <w:szCs w:val="24"/>
          <w:lang w:val="en-GB"/>
        </w:rPr>
        <w:t xml:space="preserve">. Other studies have also shown that microglial activation is an initial event in AD, mirroring the neuropathological changes primarily involving temporo-parietal regions </w:t>
      </w:r>
      <w:r w:rsidRPr="00477F48">
        <w:rPr>
          <w:rFonts w:ascii="Times New Roman" w:hAnsi="Times New Roman" w:cs="Times New Roman"/>
          <w:noProof/>
          <w:sz w:val="24"/>
          <w:szCs w:val="24"/>
          <w:lang w:val="en-GB"/>
        </w:rPr>
        <w:t>(Hamelin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2016, Passamonti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2018)</w:t>
      </w:r>
      <w:r w:rsidRPr="00477F48">
        <w:rPr>
          <w:rFonts w:ascii="Times New Roman" w:hAnsi="Times New Roman" w:cs="Times New Roman"/>
          <w:sz w:val="24"/>
          <w:szCs w:val="24"/>
          <w:lang w:val="en-GB"/>
        </w:rPr>
        <w:t xml:space="preserve">. In addition, longitudinal data regarding neuroinflammation activation in mild cognitive impairment (MCI) have shown a decreased microglial activation at 14-month follow-up </w:t>
      </w:r>
      <w:r w:rsidRPr="00477F48">
        <w:rPr>
          <w:rFonts w:ascii="Times New Roman" w:hAnsi="Times New Roman" w:cs="Times New Roman"/>
          <w:noProof/>
          <w:sz w:val="24"/>
          <w:szCs w:val="24"/>
          <w:lang w:val="en-GB"/>
        </w:rPr>
        <w:t>(Fan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2017)</w:t>
      </w:r>
      <w:r w:rsidRPr="00477F48">
        <w:rPr>
          <w:rFonts w:ascii="Times New Roman" w:hAnsi="Times New Roman" w:cs="Times New Roman"/>
          <w:sz w:val="24"/>
          <w:szCs w:val="24"/>
          <w:lang w:val="en-GB"/>
        </w:rPr>
        <w:t>. Increased microglial activation in MCI was also associat</w:t>
      </w:r>
      <w:r w:rsidR="00990480" w:rsidRPr="00477F48">
        <w:rPr>
          <w:rFonts w:ascii="Times New Roman" w:hAnsi="Times New Roman" w:cs="Times New Roman"/>
          <w:sz w:val="24"/>
          <w:szCs w:val="24"/>
          <w:lang w:val="en-GB"/>
        </w:rPr>
        <w:t>ed</w:t>
      </w:r>
      <w:r w:rsidRPr="00477F48">
        <w:rPr>
          <w:rFonts w:ascii="Times New Roman" w:hAnsi="Times New Roman" w:cs="Times New Roman"/>
          <w:sz w:val="24"/>
          <w:szCs w:val="24"/>
          <w:lang w:val="en-GB"/>
        </w:rPr>
        <w:t xml:space="preserve"> with a preserved hippocampal volume </w:t>
      </w:r>
      <w:r w:rsidRPr="00477F48">
        <w:rPr>
          <w:rFonts w:ascii="Times New Roman" w:hAnsi="Times New Roman" w:cs="Times New Roman"/>
          <w:noProof/>
          <w:sz w:val="24"/>
          <w:szCs w:val="24"/>
          <w:lang w:val="en-GB"/>
        </w:rPr>
        <w:t>(Femminella</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2019)</w:t>
      </w:r>
      <w:r w:rsidRPr="00477F48">
        <w:rPr>
          <w:rFonts w:ascii="Times New Roman" w:hAnsi="Times New Roman" w:cs="Times New Roman"/>
          <w:sz w:val="24"/>
          <w:szCs w:val="24"/>
          <w:lang w:val="en-GB"/>
        </w:rPr>
        <w:t xml:space="preserve">. Together, these results suggest that neuroinflammation represents an early event in the neurodegeneration process and could be a potential therapeutic target in dementia. In fact, unlike molecules targeting protein accumulation which are currently at an experimental stage, anti-inflammatory drugs are </w:t>
      </w:r>
      <w:r w:rsidR="00675B66" w:rsidRPr="00477F48">
        <w:rPr>
          <w:rFonts w:ascii="Times New Roman" w:hAnsi="Times New Roman" w:cs="Times New Roman"/>
          <w:sz w:val="24"/>
          <w:szCs w:val="24"/>
          <w:lang w:val="en-GB"/>
        </w:rPr>
        <w:t xml:space="preserve">readily </w:t>
      </w:r>
      <w:r w:rsidRPr="00477F48">
        <w:rPr>
          <w:rFonts w:ascii="Times New Roman" w:hAnsi="Times New Roman" w:cs="Times New Roman"/>
          <w:sz w:val="24"/>
          <w:szCs w:val="24"/>
          <w:lang w:val="en-GB"/>
        </w:rPr>
        <w:t xml:space="preserve">available and could be employed more quickly into clinical drug trials. </w:t>
      </w:r>
      <w:r w:rsidR="00675B66" w:rsidRPr="00477F48">
        <w:rPr>
          <w:rFonts w:ascii="Times New Roman" w:hAnsi="Times New Roman" w:cs="Times New Roman"/>
          <w:sz w:val="24"/>
          <w:szCs w:val="24"/>
          <w:lang w:val="en-GB"/>
        </w:rPr>
        <w:t>An important prerequisite for such an endeavour is a better</w:t>
      </w:r>
      <w:r w:rsidRPr="00477F48">
        <w:rPr>
          <w:rFonts w:ascii="Times New Roman" w:hAnsi="Times New Roman" w:cs="Times New Roman"/>
          <w:sz w:val="24"/>
          <w:szCs w:val="24"/>
          <w:lang w:val="en-GB"/>
        </w:rPr>
        <w:t xml:space="preserve"> understanding of the temporal ordering and clinical relevance of protein accumulation, neuroinflammation, and structural brain changes. </w:t>
      </w:r>
    </w:p>
    <w:p w14:paraId="6E6F94A8" w14:textId="2CD39C35" w:rsidR="003A293D" w:rsidRPr="00477F48" w:rsidRDefault="00675B66"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lastRenderedPageBreak/>
        <w:t>White matter microstructure has received growing research attention as a sensitive marker for early structural brain changes</w:t>
      </w:r>
      <w:r w:rsidR="00D933A1" w:rsidRPr="00477F48">
        <w:rPr>
          <w:rFonts w:ascii="Times New Roman" w:hAnsi="Times New Roman" w:cs="Times New Roman"/>
          <w:sz w:val="24"/>
          <w:szCs w:val="24"/>
          <w:lang w:val="en-GB"/>
        </w:rPr>
        <w:t>. Diffusion-tensor imaging (DTI) is sensitive to Brownian motion of water molecules</w:t>
      </w:r>
      <w:r w:rsidR="00636544" w:rsidRPr="00477F48">
        <w:rPr>
          <w:rFonts w:ascii="Times New Roman" w:hAnsi="Times New Roman" w:cs="Times New Roman"/>
          <w:sz w:val="24"/>
          <w:szCs w:val="24"/>
          <w:lang w:val="en-GB"/>
        </w:rPr>
        <w:t>, from which microstructural features and associated pathological processes can be inferred from the relative coherence or magnitude of diffusion along the major axis of a white matter bundle</w:t>
      </w:r>
      <w:r w:rsidR="00A72FDF" w:rsidRPr="00477F48">
        <w:rPr>
          <w:rFonts w:ascii="Times New Roman" w:hAnsi="Times New Roman" w:cs="Times New Roman"/>
          <w:sz w:val="24"/>
          <w:szCs w:val="24"/>
          <w:lang w:val="en-GB"/>
        </w:rPr>
        <w:t>. Fractiona</w:t>
      </w:r>
      <w:r w:rsidR="003A293D" w:rsidRPr="00477F48">
        <w:rPr>
          <w:rFonts w:ascii="Times New Roman" w:hAnsi="Times New Roman" w:cs="Times New Roman"/>
          <w:sz w:val="24"/>
          <w:szCs w:val="24"/>
          <w:lang w:val="en-GB"/>
        </w:rPr>
        <w:t>l anisotropy (FA)</w:t>
      </w:r>
      <w:r w:rsidR="00A72FDF" w:rsidRPr="00477F48">
        <w:rPr>
          <w:rFonts w:ascii="Times New Roman" w:hAnsi="Times New Roman" w:cs="Times New Roman"/>
          <w:sz w:val="24"/>
          <w:szCs w:val="24"/>
          <w:lang w:val="en-GB"/>
        </w:rPr>
        <w:t xml:space="preserve"> is a scalar index (range: 0-1) reflecting the directional coherence of water diffusion.</w:t>
      </w:r>
      <w:r w:rsidR="00FA5117" w:rsidRPr="00477F48">
        <w:rPr>
          <w:rFonts w:ascii="Times New Roman" w:hAnsi="Times New Roman" w:cs="Times New Roman"/>
          <w:sz w:val="24"/>
          <w:szCs w:val="24"/>
          <w:lang w:val="en-GB"/>
        </w:rPr>
        <w:t xml:space="preserve"> Mean </w:t>
      </w:r>
      <w:r w:rsidR="003A293D" w:rsidRPr="00477F48">
        <w:rPr>
          <w:rFonts w:ascii="Times New Roman" w:hAnsi="Times New Roman" w:cs="Times New Roman"/>
          <w:sz w:val="24"/>
          <w:szCs w:val="24"/>
          <w:lang w:val="en-GB"/>
        </w:rPr>
        <w:t>diffusivity (MD</w:t>
      </w:r>
      <w:r w:rsidR="00FA5117" w:rsidRPr="00477F48">
        <w:rPr>
          <w:rFonts w:ascii="Times New Roman" w:hAnsi="Times New Roman" w:cs="Times New Roman"/>
          <w:sz w:val="24"/>
          <w:szCs w:val="24"/>
          <w:lang w:val="en-GB"/>
        </w:rPr>
        <w:t>) represents the overall magnitude of diffusion and is widely thought to be sensitive</w:t>
      </w:r>
      <w:r w:rsidR="002F6425" w:rsidRPr="00477F48">
        <w:rPr>
          <w:rFonts w:ascii="Times New Roman" w:hAnsi="Times New Roman" w:cs="Times New Roman"/>
          <w:sz w:val="24"/>
          <w:szCs w:val="24"/>
          <w:lang w:val="en-GB"/>
        </w:rPr>
        <w:t xml:space="preserve"> to cell loss, cellularity, </w:t>
      </w:r>
      <w:proofErr w:type="spellStart"/>
      <w:r w:rsidR="002F6425" w:rsidRPr="00477F48">
        <w:rPr>
          <w:rFonts w:ascii="Times New Roman" w:hAnsi="Times New Roman" w:cs="Times New Roman"/>
          <w:sz w:val="24"/>
          <w:szCs w:val="24"/>
          <w:lang w:val="en-GB"/>
        </w:rPr>
        <w:t>edema</w:t>
      </w:r>
      <w:proofErr w:type="spellEnd"/>
      <w:r w:rsidR="002F6425" w:rsidRPr="00477F48">
        <w:rPr>
          <w:rFonts w:ascii="Times New Roman" w:hAnsi="Times New Roman" w:cs="Times New Roman"/>
          <w:sz w:val="24"/>
          <w:szCs w:val="24"/>
          <w:lang w:val="en-GB"/>
        </w:rPr>
        <w:t xml:space="preserve"> and necrosis</w:t>
      </w:r>
      <w:r w:rsidR="00A36A77" w:rsidRPr="00477F48">
        <w:rPr>
          <w:rFonts w:ascii="Times New Roman" w:hAnsi="Times New Roman" w:cs="Times New Roman"/>
          <w:sz w:val="24"/>
          <w:szCs w:val="24"/>
          <w:lang w:val="en-GB"/>
        </w:rPr>
        <w:t xml:space="preserve"> (</w:t>
      </w:r>
      <w:proofErr w:type="spellStart"/>
      <w:r w:rsidR="008F31B6" w:rsidRPr="00477F48">
        <w:rPr>
          <w:rFonts w:ascii="Times New Roman" w:hAnsi="Times New Roman" w:cs="Times New Roman"/>
          <w:sz w:val="24"/>
          <w:szCs w:val="24"/>
          <w:lang w:val="en-GB"/>
        </w:rPr>
        <w:t>Pierpaoli</w:t>
      </w:r>
      <w:proofErr w:type="spellEnd"/>
      <w:r w:rsidR="008F31B6" w:rsidRPr="00477F48">
        <w:rPr>
          <w:rFonts w:ascii="Times New Roman" w:hAnsi="Times New Roman" w:cs="Times New Roman"/>
          <w:sz w:val="24"/>
          <w:szCs w:val="24"/>
          <w:lang w:val="en-GB"/>
        </w:rPr>
        <w:t xml:space="preserve"> and </w:t>
      </w:r>
      <w:proofErr w:type="spellStart"/>
      <w:r w:rsidR="008F31B6" w:rsidRPr="00477F48">
        <w:rPr>
          <w:rFonts w:ascii="Times New Roman" w:hAnsi="Times New Roman" w:cs="Times New Roman"/>
          <w:sz w:val="24"/>
          <w:szCs w:val="24"/>
          <w:lang w:val="en-GB"/>
        </w:rPr>
        <w:t>Basser</w:t>
      </w:r>
      <w:proofErr w:type="spellEnd"/>
      <w:r w:rsidR="008F31B6" w:rsidRPr="00477F48">
        <w:rPr>
          <w:rFonts w:ascii="Times New Roman" w:hAnsi="Times New Roman" w:cs="Times New Roman"/>
          <w:sz w:val="24"/>
          <w:szCs w:val="24"/>
          <w:lang w:val="en-GB"/>
        </w:rPr>
        <w:t xml:space="preserve">, 1996; </w:t>
      </w:r>
      <w:r w:rsidR="00A36A77" w:rsidRPr="00477F48">
        <w:rPr>
          <w:rFonts w:ascii="Times New Roman" w:hAnsi="Times New Roman" w:cs="Times New Roman"/>
          <w:sz w:val="24"/>
          <w:szCs w:val="24"/>
          <w:lang w:val="en-GB"/>
        </w:rPr>
        <w:t>Alexander et al., 2007)</w:t>
      </w:r>
      <w:r w:rsidR="002F6425" w:rsidRPr="00477F48">
        <w:rPr>
          <w:rFonts w:ascii="Times New Roman" w:hAnsi="Times New Roman" w:cs="Times New Roman"/>
          <w:sz w:val="24"/>
          <w:szCs w:val="24"/>
          <w:lang w:val="en-GB"/>
        </w:rPr>
        <w:t>. A less commonly studied marker is radial diffusivity (</w:t>
      </w:r>
      <w:r w:rsidR="003A293D" w:rsidRPr="00477F48">
        <w:rPr>
          <w:rFonts w:ascii="Times New Roman" w:hAnsi="Times New Roman" w:cs="Times New Roman"/>
          <w:sz w:val="24"/>
          <w:szCs w:val="24"/>
          <w:lang w:val="en-GB"/>
        </w:rPr>
        <w:t>RD</w:t>
      </w:r>
      <w:r w:rsidR="002F6425" w:rsidRPr="00477F48">
        <w:rPr>
          <w:rFonts w:ascii="Times New Roman" w:hAnsi="Times New Roman" w:cs="Times New Roman"/>
          <w:sz w:val="24"/>
          <w:szCs w:val="24"/>
          <w:lang w:val="en-GB"/>
        </w:rPr>
        <w:t>)</w:t>
      </w:r>
      <w:r w:rsidR="003A293D" w:rsidRPr="00477F48">
        <w:rPr>
          <w:rFonts w:ascii="Times New Roman" w:hAnsi="Times New Roman" w:cs="Times New Roman"/>
          <w:sz w:val="24"/>
          <w:szCs w:val="24"/>
          <w:lang w:val="en-GB"/>
        </w:rPr>
        <w:t>,</w:t>
      </w:r>
      <w:r w:rsidR="0072694E" w:rsidRPr="00477F48">
        <w:rPr>
          <w:rFonts w:ascii="Times New Roman" w:hAnsi="Times New Roman" w:cs="Times New Roman"/>
          <w:sz w:val="24"/>
          <w:szCs w:val="24"/>
          <w:lang w:val="en-GB"/>
        </w:rPr>
        <w:t xml:space="preserve"> which has been linked to demyelination as well as pathological changes in axonal density</w:t>
      </w:r>
      <w:r w:rsidR="00765729" w:rsidRPr="00477F48">
        <w:rPr>
          <w:rFonts w:ascii="Times New Roman" w:hAnsi="Times New Roman" w:cs="Times New Roman"/>
          <w:sz w:val="24"/>
          <w:szCs w:val="24"/>
          <w:lang w:val="en-GB"/>
        </w:rPr>
        <w:t xml:space="preserve"> (Klawiter </w:t>
      </w:r>
      <w:r w:rsidR="00765729" w:rsidRPr="00477F48">
        <w:rPr>
          <w:rFonts w:ascii="Times New Roman" w:hAnsi="Times New Roman" w:cs="Times New Roman"/>
          <w:i/>
          <w:iCs/>
          <w:sz w:val="24"/>
          <w:szCs w:val="24"/>
          <w:lang w:val="en-GB"/>
        </w:rPr>
        <w:t>et al.</w:t>
      </w:r>
      <w:r w:rsidR="00765729" w:rsidRPr="00477F48">
        <w:rPr>
          <w:rFonts w:ascii="Times New Roman" w:hAnsi="Times New Roman" w:cs="Times New Roman"/>
          <w:sz w:val="24"/>
          <w:szCs w:val="24"/>
          <w:lang w:val="en-GB"/>
        </w:rPr>
        <w:t>, 2011)</w:t>
      </w:r>
      <w:r w:rsidR="0008682B" w:rsidRPr="00477F48">
        <w:rPr>
          <w:rFonts w:ascii="Times New Roman" w:hAnsi="Times New Roman" w:cs="Times New Roman"/>
          <w:sz w:val="24"/>
          <w:szCs w:val="24"/>
          <w:lang w:val="en-GB"/>
        </w:rPr>
        <w:t>. T</w:t>
      </w:r>
      <w:r w:rsidR="007E5181" w:rsidRPr="00477F48">
        <w:rPr>
          <w:rFonts w:ascii="Times New Roman" w:hAnsi="Times New Roman" w:cs="Times New Roman"/>
          <w:sz w:val="24"/>
          <w:szCs w:val="24"/>
          <w:lang w:val="en-GB"/>
        </w:rPr>
        <w:t>he literature has consistently shown reduced FA and increased MD/RD</w:t>
      </w:r>
      <w:r w:rsidR="005948A5" w:rsidRPr="00477F48">
        <w:rPr>
          <w:rFonts w:ascii="Times New Roman" w:hAnsi="Times New Roman" w:cs="Times New Roman"/>
          <w:sz w:val="24"/>
          <w:szCs w:val="24"/>
          <w:lang w:val="en-GB"/>
        </w:rPr>
        <w:t xml:space="preserve"> in DLB, </w:t>
      </w:r>
      <w:r w:rsidR="003A293D" w:rsidRPr="00477F48">
        <w:rPr>
          <w:rFonts w:ascii="Times New Roman" w:hAnsi="Times New Roman" w:cs="Times New Roman"/>
          <w:sz w:val="24"/>
          <w:szCs w:val="24"/>
          <w:lang w:val="en-GB"/>
        </w:rPr>
        <w:t>especially in the absence of the marked brain atrophy</w:t>
      </w:r>
      <w:r w:rsidR="00151B69" w:rsidRPr="00477F48">
        <w:rPr>
          <w:rFonts w:ascii="Times New Roman" w:hAnsi="Times New Roman" w:cs="Times New Roman"/>
          <w:sz w:val="24"/>
          <w:szCs w:val="24"/>
          <w:lang w:val="en-GB"/>
        </w:rPr>
        <w:t xml:space="preserve"> that is</w:t>
      </w:r>
      <w:r w:rsidR="003A293D" w:rsidRPr="00477F48">
        <w:rPr>
          <w:rFonts w:ascii="Times New Roman" w:hAnsi="Times New Roman" w:cs="Times New Roman"/>
          <w:sz w:val="24"/>
          <w:szCs w:val="24"/>
          <w:lang w:val="en-GB"/>
        </w:rPr>
        <w:t xml:space="preserve"> </w:t>
      </w:r>
      <w:r w:rsidR="00151B69" w:rsidRPr="00477F48">
        <w:rPr>
          <w:rFonts w:ascii="Times New Roman" w:hAnsi="Times New Roman" w:cs="Times New Roman"/>
          <w:sz w:val="24"/>
          <w:szCs w:val="24"/>
          <w:lang w:val="en-GB"/>
        </w:rPr>
        <w:t xml:space="preserve">typically </w:t>
      </w:r>
      <w:r w:rsidR="003A293D" w:rsidRPr="00477F48">
        <w:rPr>
          <w:rFonts w:ascii="Times New Roman" w:hAnsi="Times New Roman" w:cs="Times New Roman"/>
          <w:sz w:val="24"/>
          <w:szCs w:val="24"/>
          <w:lang w:val="en-GB"/>
        </w:rPr>
        <w:t>seen in</w:t>
      </w:r>
      <w:r w:rsidR="00151B69" w:rsidRPr="00477F48">
        <w:rPr>
          <w:rFonts w:ascii="Times New Roman" w:hAnsi="Times New Roman" w:cs="Times New Roman"/>
          <w:sz w:val="24"/>
          <w:szCs w:val="24"/>
          <w:lang w:val="en-GB"/>
        </w:rPr>
        <w:t xml:space="preserve"> late-onset</w:t>
      </w:r>
      <w:r w:rsidR="003A293D" w:rsidRPr="00477F48">
        <w:rPr>
          <w:rFonts w:ascii="Times New Roman" w:hAnsi="Times New Roman" w:cs="Times New Roman"/>
          <w:sz w:val="24"/>
          <w:szCs w:val="24"/>
          <w:lang w:val="en-GB"/>
        </w:rPr>
        <w:t xml:space="preserve"> AD </w:t>
      </w:r>
      <w:r w:rsidR="003A293D" w:rsidRPr="00477F48">
        <w:rPr>
          <w:rFonts w:ascii="Times New Roman" w:hAnsi="Times New Roman" w:cs="Times New Roman"/>
          <w:noProof/>
          <w:sz w:val="24"/>
          <w:szCs w:val="24"/>
          <w:lang w:val="en-GB"/>
        </w:rPr>
        <w:t>(Kantarci</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2010, Watson</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2012, Nedelska</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2015)</w:t>
      </w:r>
      <w:r w:rsidR="003A293D" w:rsidRPr="00477F48">
        <w:rPr>
          <w:rFonts w:ascii="Times New Roman" w:hAnsi="Times New Roman" w:cs="Times New Roman"/>
          <w:sz w:val="24"/>
          <w:szCs w:val="24"/>
          <w:lang w:val="en-GB"/>
        </w:rPr>
        <w:t xml:space="preserve">. Several pathological mechanisms for such white matter changes have been described in dementia, including ischaemia, demyelination and </w:t>
      </w:r>
      <w:proofErr w:type="spellStart"/>
      <w:r w:rsidR="003A293D" w:rsidRPr="00477F48">
        <w:rPr>
          <w:rFonts w:ascii="Times New Roman" w:hAnsi="Times New Roman" w:cs="Times New Roman"/>
          <w:sz w:val="24"/>
          <w:szCs w:val="24"/>
          <w:lang w:val="en-GB"/>
        </w:rPr>
        <w:t>amyoid</w:t>
      </w:r>
      <w:proofErr w:type="spellEnd"/>
      <w:r w:rsidR="003A293D" w:rsidRPr="00477F48">
        <w:rPr>
          <w:rFonts w:ascii="Times New Roman" w:hAnsi="Times New Roman" w:cs="Times New Roman"/>
          <w:sz w:val="24"/>
          <w:szCs w:val="24"/>
          <w:lang w:val="en-GB"/>
        </w:rPr>
        <w:t xml:space="preserve"> angiopathy </w:t>
      </w:r>
      <w:r w:rsidR="003A293D" w:rsidRPr="00477F48">
        <w:rPr>
          <w:rFonts w:ascii="Times New Roman" w:hAnsi="Times New Roman" w:cs="Times New Roman"/>
          <w:noProof/>
          <w:sz w:val="24"/>
          <w:szCs w:val="24"/>
          <w:lang w:val="en-GB"/>
        </w:rPr>
        <w:t>(Gold</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2012, Chao</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2013, Kantarci</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2017)</w:t>
      </w:r>
      <w:r w:rsidR="003A293D" w:rsidRPr="00477F48">
        <w:rPr>
          <w:rFonts w:ascii="Times New Roman" w:hAnsi="Times New Roman" w:cs="Times New Roman"/>
          <w:sz w:val="24"/>
          <w:szCs w:val="24"/>
          <w:lang w:val="en-GB"/>
        </w:rPr>
        <w:t>. In addition to white matter changes secondary to grey matter atrophy and amyloid burden (</w:t>
      </w:r>
      <w:r w:rsidR="00151B69" w:rsidRPr="00477F48">
        <w:rPr>
          <w:rFonts w:ascii="Times New Roman" w:hAnsi="Times New Roman" w:cs="Times New Roman"/>
          <w:sz w:val="24"/>
          <w:szCs w:val="24"/>
          <w:lang w:val="en-GB"/>
        </w:rPr>
        <w:t xml:space="preserve">i.e. </w:t>
      </w:r>
      <w:r w:rsidR="003A293D" w:rsidRPr="00477F48">
        <w:rPr>
          <w:rFonts w:ascii="Times New Roman" w:hAnsi="Times New Roman" w:cs="Times New Roman"/>
          <w:sz w:val="24"/>
          <w:szCs w:val="24"/>
          <w:lang w:val="en-GB"/>
        </w:rPr>
        <w:t xml:space="preserve">Wallerian degeneration) </w:t>
      </w:r>
      <w:r w:rsidR="003A293D" w:rsidRPr="00477F48">
        <w:rPr>
          <w:rFonts w:ascii="Times New Roman" w:hAnsi="Times New Roman" w:cs="Times New Roman"/>
          <w:noProof/>
          <w:sz w:val="24"/>
          <w:szCs w:val="24"/>
          <w:lang w:val="en-GB"/>
        </w:rPr>
        <w:t>(Amlien and Fjell, 2014)</w:t>
      </w:r>
      <w:r w:rsidR="003A293D" w:rsidRPr="00477F48">
        <w:rPr>
          <w:rFonts w:ascii="Times New Roman" w:hAnsi="Times New Roman" w:cs="Times New Roman"/>
          <w:sz w:val="24"/>
          <w:szCs w:val="24"/>
          <w:lang w:val="en-GB"/>
        </w:rPr>
        <w:t xml:space="preserve">, several other contributors such as vascular damage and tau deposition can contribute to primary white matter changes, especially in late-myelinated projection </w:t>
      </w:r>
      <w:proofErr w:type="spellStart"/>
      <w:r w:rsidR="003A293D" w:rsidRPr="00477F48">
        <w:rPr>
          <w:rFonts w:ascii="Times New Roman" w:hAnsi="Times New Roman" w:cs="Times New Roman"/>
          <w:sz w:val="24"/>
          <w:szCs w:val="24"/>
          <w:lang w:val="en-GB"/>
        </w:rPr>
        <w:t>fibers</w:t>
      </w:r>
      <w:proofErr w:type="spellEnd"/>
      <w:r w:rsidR="003A293D" w:rsidRPr="00477F48">
        <w:rPr>
          <w:rFonts w:ascii="Times New Roman" w:hAnsi="Times New Roman" w:cs="Times New Roman"/>
          <w:sz w:val="24"/>
          <w:szCs w:val="24"/>
          <w:lang w:val="en-GB"/>
        </w:rPr>
        <w:t xml:space="preserve"> </w:t>
      </w:r>
      <w:r w:rsidR="003A293D" w:rsidRPr="00477F48">
        <w:rPr>
          <w:rFonts w:ascii="Times New Roman" w:hAnsi="Times New Roman" w:cs="Times New Roman"/>
          <w:noProof/>
          <w:sz w:val="24"/>
          <w:szCs w:val="24"/>
          <w:lang w:val="en-GB"/>
        </w:rPr>
        <w:t>(Bartzokis</w:t>
      </w:r>
      <w:r w:rsidR="003A293D" w:rsidRPr="00477F48">
        <w:rPr>
          <w:rFonts w:ascii="Times New Roman" w:hAnsi="Times New Roman" w:cs="Times New Roman"/>
          <w:i/>
          <w:noProof/>
          <w:sz w:val="24"/>
          <w:szCs w:val="24"/>
          <w:lang w:val="en-GB"/>
        </w:rPr>
        <w:t xml:space="preserve"> et al.</w:t>
      </w:r>
      <w:r w:rsidR="003A293D" w:rsidRPr="00477F48">
        <w:rPr>
          <w:rFonts w:ascii="Times New Roman" w:hAnsi="Times New Roman" w:cs="Times New Roman"/>
          <w:noProof/>
          <w:sz w:val="24"/>
          <w:szCs w:val="24"/>
          <w:lang w:val="en-GB"/>
        </w:rPr>
        <w:t>, 2007)</w:t>
      </w:r>
      <w:r w:rsidR="003A293D" w:rsidRPr="00477F48">
        <w:rPr>
          <w:rFonts w:ascii="Times New Roman" w:hAnsi="Times New Roman" w:cs="Times New Roman"/>
          <w:sz w:val="24"/>
          <w:szCs w:val="24"/>
          <w:lang w:val="en-GB"/>
        </w:rPr>
        <w:t>.</w:t>
      </w:r>
    </w:p>
    <w:p w14:paraId="49A6E41F" w14:textId="6773A877" w:rsidR="003A293D" w:rsidRPr="00477F48" w:rsidRDefault="003A293D" w:rsidP="00A2013F">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In the present study, we aimed to characterize the relationship between microglial activation as measured with PK11195 PET and </w:t>
      </w:r>
      <w:r w:rsidR="00990480" w:rsidRPr="00477F48">
        <w:rPr>
          <w:rFonts w:ascii="Times New Roman" w:hAnsi="Times New Roman" w:cs="Times New Roman"/>
          <w:sz w:val="24"/>
          <w:szCs w:val="24"/>
          <w:lang w:val="en-GB"/>
        </w:rPr>
        <w:t>DTI</w:t>
      </w:r>
      <w:r w:rsidRPr="00477F48">
        <w:rPr>
          <w:rFonts w:ascii="Times New Roman" w:hAnsi="Times New Roman" w:cs="Times New Roman"/>
          <w:sz w:val="24"/>
          <w:szCs w:val="24"/>
          <w:lang w:val="en-GB"/>
        </w:rPr>
        <w:t xml:space="preserve"> impairment in a cross-sectional group of subjects with probable DLB, most of which having amyloid status additionally confirmed through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PET imaging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lang w:val="en-GB"/>
        </w:rPr>
        <w:t>6</w:t>
      </w:r>
      <w:r w:rsidRPr="00477F48">
        <w:rPr>
          <w:rFonts w:ascii="Times New Roman" w:hAnsi="Times New Roman" w:cs="Times New Roman"/>
          <w:sz w:val="24"/>
          <w:szCs w:val="24"/>
          <w:lang w:val="en-GB"/>
        </w:rPr>
        <w:sym w:font="Symbol" w:char="F05D"/>
      </w:r>
      <w:r w:rsidRPr="00477F48">
        <w:rPr>
          <w:rFonts w:ascii="Times New Roman" w:hAnsi="Times New Roman" w:cs="Times New Roman"/>
          <w:sz w:val="24"/>
          <w:szCs w:val="24"/>
          <w:lang w:val="en-GB"/>
        </w:rPr>
        <w:t>.</w:t>
      </w:r>
      <w:r w:rsidRPr="00477F48">
        <w:rPr>
          <w:rFonts w:ascii="Times New Roman" w:hAnsi="Times New Roman" w:cs="Times New Roman"/>
          <w:b/>
          <w:sz w:val="24"/>
          <w:szCs w:val="24"/>
          <w:lang w:val="en-GB"/>
        </w:rPr>
        <w:t xml:space="preserve"> </w:t>
      </w:r>
      <w:r w:rsidRPr="00477F48">
        <w:rPr>
          <w:rFonts w:ascii="Times New Roman" w:hAnsi="Times New Roman" w:cs="Times New Roman"/>
          <w:bCs/>
          <w:sz w:val="24"/>
          <w:szCs w:val="24"/>
          <w:lang w:val="en-GB"/>
        </w:rPr>
        <w:t>W</w:t>
      </w:r>
      <w:r w:rsidRPr="00477F48">
        <w:rPr>
          <w:rFonts w:ascii="Times New Roman" w:hAnsi="Times New Roman" w:cs="Times New Roman"/>
          <w:sz w:val="24"/>
          <w:szCs w:val="24"/>
          <w:lang w:val="en-GB"/>
        </w:rPr>
        <w:t>e recently observed that DLB subjects with a milder cognitive impairment had widespread higher cortical PK11195 binding. In addition, recent studies in MCI suggest an early peak of microglial activation in MCI. Therefore, we hypothesized that higher microglial activation would correlate with a relative preservation of white matter microstructural integrity.</w:t>
      </w:r>
    </w:p>
    <w:p w14:paraId="228A531A" w14:textId="77777777" w:rsidR="003A293D" w:rsidRPr="00477F48" w:rsidRDefault="003A293D" w:rsidP="008D2D9C">
      <w:pPr>
        <w:spacing w:line="480" w:lineRule="auto"/>
        <w:jc w:val="both"/>
        <w:rPr>
          <w:rFonts w:ascii="Times New Roman" w:hAnsi="Times New Roman" w:cs="Times New Roman"/>
          <w:b/>
          <w:sz w:val="24"/>
          <w:szCs w:val="24"/>
          <w:lang w:val="en-GB"/>
        </w:rPr>
      </w:pPr>
    </w:p>
    <w:p w14:paraId="2FA2DE1E" w14:textId="77777777" w:rsidR="003A293D" w:rsidRPr="00477F48" w:rsidRDefault="003A293D" w:rsidP="008D2D9C">
      <w:pPr>
        <w:spacing w:line="480" w:lineRule="auto"/>
        <w:jc w:val="both"/>
        <w:outlineLvl w:val="0"/>
        <w:rPr>
          <w:rFonts w:ascii="Times New Roman" w:hAnsi="Times New Roman" w:cs="Times New Roman"/>
          <w:b/>
          <w:sz w:val="24"/>
          <w:szCs w:val="24"/>
          <w:lang w:val="en-GB"/>
        </w:rPr>
      </w:pPr>
      <w:r w:rsidRPr="00477F48">
        <w:rPr>
          <w:rFonts w:ascii="Times New Roman" w:hAnsi="Times New Roman" w:cs="Times New Roman"/>
          <w:b/>
          <w:sz w:val="24"/>
          <w:szCs w:val="24"/>
          <w:lang w:val="en-GB"/>
        </w:rPr>
        <w:t>METHODS</w:t>
      </w:r>
    </w:p>
    <w:p w14:paraId="162FFE4A" w14:textId="77777777" w:rsidR="003A293D" w:rsidRPr="00477F48" w:rsidRDefault="003A293D" w:rsidP="008D2D9C">
      <w:pPr>
        <w:spacing w:line="480" w:lineRule="auto"/>
        <w:jc w:val="both"/>
        <w:outlineLvl w:val="0"/>
        <w:rPr>
          <w:rFonts w:ascii="Times New Roman" w:hAnsi="Times New Roman" w:cs="Times New Roman"/>
          <w:b/>
          <w:i/>
          <w:sz w:val="24"/>
          <w:szCs w:val="24"/>
          <w:lang w:val="en-GB"/>
        </w:rPr>
      </w:pPr>
      <w:r w:rsidRPr="00477F48">
        <w:rPr>
          <w:rFonts w:ascii="Times New Roman" w:hAnsi="Times New Roman" w:cs="Times New Roman"/>
          <w:b/>
          <w:i/>
          <w:sz w:val="24"/>
          <w:szCs w:val="24"/>
          <w:lang w:val="en-GB"/>
        </w:rPr>
        <w:t>Participants</w:t>
      </w:r>
    </w:p>
    <w:p w14:paraId="4A3B2B1C" w14:textId="77777777" w:rsidR="003A293D" w:rsidRPr="00477F48" w:rsidRDefault="003A293D" w:rsidP="008D2D9C">
      <w:pPr>
        <w:autoSpaceDE w:val="0"/>
        <w:autoSpaceDN w:val="0"/>
        <w:adjustRightInd w:val="0"/>
        <w:spacing w:after="0"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The present work is part of the Neuroimaging of Inflammation in </w:t>
      </w:r>
      <w:proofErr w:type="spellStart"/>
      <w:r w:rsidRPr="00477F48">
        <w:rPr>
          <w:rFonts w:ascii="Times New Roman" w:hAnsi="Times New Roman" w:cs="Times New Roman"/>
          <w:sz w:val="24"/>
          <w:szCs w:val="24"/>
          <w:lang w:val="en-GB"/>
        </w:rPr>
        <w:t>MemoRy</w:t>
      </w:r>
      <w:proofErr w:type="spellEnd"/>
      <w:r w:rsidRPr="00477F48">
        <w:rPr>
          <w:rFonts w:ascii="Times New Roman" w:hAnsi="Times New Roman" w:cs="Times New Roman"/>
          <w:sz w:val="24"/>
          <w:szCs w:val="24"/>
          <w:lang w:val="en-GB"/>
        </w:rPr>
        <w:t xml:space="preserve"> and Other Disorders (NIMROD) study </w:t>
      </w:r>
      <w:r w:rsidRPr="00477F48">
        <w:rPr>
          <w:rFonts w:ascii="Times New Roman" w:hAnsi="Times New Roman" w:cs="Times New Roman"/>
          <w:noProof/>
          <w:sz w:val="24"/>
          <w:szCs w:val="24"/>
          <w:lang w:val="en-GB"/>
        </w:rPr>
        <w:t>(Bevan-Jones</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2017)</w:t>
      </w:r>
      <w:r w:rsidRPr="00477F48">
        <w:rPr>
          <w:rFonts w:ascii="Times New Roman" w:hAnsi="Times New Roman" w:cs="Times New Roman"/>
          <w:sz w:val="24"/>
          <w:szCs w:val="24"/>
          <w:lang w:val="en-GB"/>
        </w:rPr>
        <w:t xml:space="preserve">. All participants were aged over 50 years and had </w:t>
      </w:r>
      <w:proofErr w:type="gramStart"/>
      <w:r w:rsidRPr="00477F48">
        <w:rPr>
          <w:rFonts w:ascii="Times New Roman" w:hAnsi="Times New Roman" w:cs="Times New Roman"/>
          <w:sz w:val="24"/>
          <w:szCs w:val="24"/>
          <w:lang w:val="en-GB"/>
        </w:rPr>
        <w:t>sufficient</w:t>
      </w:r>
      <w:proofErr w:type="gramEnd"/>
      <w:r w:rsidRPr="00477F48">
        <w:rPr>
          <w:rFonts w:ascii="Times New Roman" w:hAnsi="Times New Roman" w:cs="Times New Roman"/>
          <w:sz w:val="24"/>
          <w:szCs w:val="24"/>
          <w:lang w:val="en-GB"/>
        </w:rPr>
        <w:t xml:space="preserve"> proficiency in English for cognitive testing. We included 19 participants with probable DLB according to both 2005 and 2017 consensus criteria </w:t>
      </w:r>
      <w:r w:rsidRPr="00477F48">
        <w:rPr>
          <w:rFonts w:ascii="Times New Roman" w:hAnsi="Times New Roman" w:cs="Times New Roman"/>
          <w:noProof/>
          <w:sz w:val="24"/>
          <w:szCs w:val="24"/>
          <w:lang w:val="en-GB"/>
        </w:rPr>
        <w:t>(McKeith</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2005, McKeith</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xml:space="preserve">, 2017) as described in Surendranathan et al.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lang w:val="en-GB"/>
        </w:rPr>
        <w:t>6</w:t>
      </w:r>
      <w:r w:rsidRPr="00477F48">
        <w:rPr>
          <w:rFonts w:ascii="Times New Roman" w:hAnsi="Times New Roman" w:cs="Times New Roman"/>
          <w:sz w:val="24"/>
          <w:szCs w:val="24"/>
          <w:lang w:val="en-GB"/>
        </w:rPr>
        <w:sym w:font="Symbol" w:char="F05D"/>
      </w:r>
      <w:r w:rsidRPr="00477F48">
        <w:rPr>
          <w:rFonts w:ascii="Times New Roman" w:hAnsi="Times New Roman" w:cs="Times New Roman"/>
          <w:sz w:val="24"/>
          <w:szCs w:val="24"/>
          <w:lang w:val="en-GB"/>
        </w:rPr>
        <w:t xml:space="preserve">. In addition, subjects had at least two years clinical follow-up to confirm clinical progression and no change of diagnosis. We also recruited 20 similarly aged healthy controls, with MMSE scores greater than 26, absence of regular memory complaints, and no unstable or significant medical illnesses. A detailed clinical and neuropsychological assessment was performed </w:t>
      </w:r>
      <w:r w:rsidRPr="00477F48">
        <w:rPr>
          <w:rFonts w:ascii="Times New Roman" w:hAnsi="Times New Roman" w:cs="Times New Roman"/>
          <w:noProof/>
          <w:sz w:val="24"/>
          <w:szCs w:val="24"/>
          <w:lang w:val="en-GB"/>
        </w:rPr>
        <w:t>(Bevan-Jones</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2017)</w:t>
      </w:r>
      <w:r w:rsidRPr="00477F48">
        <w:rPr>
          <w:rFonts w:ascii="Times New Roman" w:hAnsi="Times New Roman" w:cs="Times New Roman"/>
          <w:sz w:val="24"/>
          <w:szCs w:val="24"/>
          <w:lang w:val="en-GB"/>
        </w:rPr>
        <w:t xml:space="preserve">. This included Addenbrooke’s Cognitive Examination Revised test (ACE-R) which is a 100-point test incorporating five key cognitive domains in dementia disorders (orientation/attention, memory, verbal fluency, language, and visuo-spatial) </w:t>
      </w:r>
      <w:r w:rsidRPr="00477F48">
        <w:rPr>
          <w:rFonts w:ascii="Times New Roman" w:hAnsi="Times New Roman" w:cs="Times New Roman"/>
          <w:noProof/>
          <w:sz w:val="24"/>
          <w:szCs w:val="24"/>
          <w:lang w:val="en-GB"/>
        </w:rPr>
        <w:t>(Mioshi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2006)</w:t>
      </w:r>
      <w:r w:rsidRPr="00477F48">
        <w:rPr>
          <w:rFonts w:ascii="Times New Roman" w:hAnsi="Times New Roman" w:cs="Times New Roman"/>
          <w:sz w:val="24"/>
          <w:szCs w:val="24"/>
          <w:lang w:val="en-GB"/>
        </w:rPr>
        <w:t>.</w:t>
      </w:r>
    </w:p>
    <w:p w14:paraId="5AF19CEC" w14:textId="77777777" w:rsidR="003A293D" w:rsidRPr="00477F48" w:rsidRDefault="003A293D" w:rsidP="008D2D9C">
      <w:pPr>
        <w:autoSpaceDE w:val="0"/>
        <w:autoSpaceDN w:val="0"/>
        <w:adjustRightInd w:val="0"/>
        <w:spacing w:after="0" w:line="480" w:lineRule="auto"/>
        <w:jc w:val="both"/>
        <w:rPr>
          <w:rFonts w:ascii="Times New Roman" w:hAnsi="Times New Roman" w:cs="Times New Roman"/>
          <w:sz w:val="24"/>
          <w:szCs w:val="24"/>
          <w:lang w:val="en-GB"/>
        </w:rPr>
      </w:pPr>
      <w:r w:rsidRPr="00477F48">
        <w:rPr>
          <w:rFonts w:ascii="Times New Roman" w:eastAsia="Times New Roman" w:hAnsi="Times New Roman" w:cs="Times New Roman"/>
          <w:sz w:val="24"/>
          <w:szCs w:val="24"/>
          <w:lang w:val="en-GB"/>
        </w:rPr>
        <w:t>Patients were identified from the Memory clinic at the Cambridge University Hospitals NHS Trust, other local memory clinics, and from the Dementias and Neurodegenerative Diseases Research Network (</w:t>
      </w:r>
      <w:proofErr w:type="spellStart"/>
      <w:r w:rsidRPr="00477F48">
        <w:rPr>
          <w:rFonts w:ascii="Times New Roman" w:eastAsia="Times New Roman" w:hAnsi="Times New Roman" w:cs="Times New Roman"/>
          <w:sz w:val="24"/>
          <w:szCs w:val="24"/>
          <w:lang w:val="en-GB"/>
        </w:rPr>
        <w:t>DeNDRoN</w:t>
      </w:r>
      <w:proofErr w:type="spellEnd"/>
      <w:r w:rsidRPr="00477F48">
        <w:rPr>
          <w:rFonts w:ascii="Times New Roman" w:eastAsia="Times New Roman" w:hAnsi="Times New Roman" w:cs="Times New Roman"/>
          <w:sz w:val="24"/>
          <w:szCs w:val="24"/>
          <w:lang w:val="en-GB"/>
        </w:rPr>
        <w:t xml:space="preserve">) volunteer registers. Healthy controls were recruited via </w:t>
      </w:r>
      <w:proofErr w:type="spellStart"/>
      <w:r w:rsidRPr="00477F48">
        <w:rPr>
          <w:rFonts w:ascii="Times New Roman" w:eastAsia="Times New Roman" w:hAnsi="Times New Roman" w:cs="Times New Roman"/>
          <w:sz w:val="24"/>
          <w:szCs w:val="24"/>
          <w:lang w:val="en-GB"/>
        </w:rPr>
        <w:t>DeNDRoN</w:t>
      </w:r>
      <w:proofErr w:type="spellEnd"/>
      <w:r w:rsidRPr="00477F48">
        <w:rPr>
          <w:rFonts w:ascii="Times New Roman" w:eastAsia="Times New Roman" w:hAnsi="Times New Roman" w:cs="Times New Roman"/>
          <w:sz w:val="24"/>
          <w:szCs w:val="24"/>
          <w:lang w:val="en-GB"/>
        </w:rPr>
        <w:t xml:space="preserve"> as well as from spouses and partners of participants. Informed written consent was obtained in accordance with the Declaration of Helsinki. The study received a favourable opinion from the East of England Ethics Committee (Cambridge Central Research, Ref. </w:t>
      </w:r>
      <w:r w:rsidRPr="00477F48">
        <w:rPr>
          <w:rFonts w:ascii="Times New Roman" w:hAnsi="Times New Roman" w:cs="Times New Roman"/>
          <w:sz w:val="24"/>
          <w:szCs w:val="24"/>
          <w:lang w:val="en-GB"/>
        </w:rPr>
        <w:t>13/EE/0104).</w:t>
      </w:r>
    </w:p>
    <w:p w14:paraId="021DFC14" w14:textId="77777777" w:rsidR="003A293D" w:rsidRPr="00477F48" w:rsidRDefault="003A293D" w:rsidP="008D2D9C">
      <w:pPr>
        <w:pStyle w:val="Paragraph"/>
        <w:spacing w:line="480" w:lineRule="auto"/>
        <w:ind w:firstLine="0"/>
        <w:jc w:val="both"/>
        <w:rPr>
          <w:b/>
          <w:lang w:val="en-GB"/>
        </w:rPr>
      </w:pPr>
    </w:p>
    <w:p w14:paraId="535C45C9" w14:textId="77777777" w:rsidR="003A293D" w:rsidRPr="00477F48" w:rsidRDefault="003A293D" w:rsidP="008D2D9C">
      <w:pPr>
        <w:spacing w:after="200" w:line="480" w:lineRule="auto"/>
        <w:jc w:val="both"/>
        <w:outlineLvl w:val="0"/>
        <w:rPr>
          <w:rFonts w:ascii="Times New Roman" w:hAnsi="Times New Roman" w:cs="Times New Roman"/>
          <w:i/>
          <w:sz w:val="24"/>
          <w:szCs w:val="24"/>
          <w:lang w:val="en-GB"/>
        </w:rPr>
      </w:pPr>
      <w:r w:rsidRPr="00477F48">
        <w:rPr>
          <w:rFonts w:ascii="Times New Roman" w:hAnsi="Times New Roman" w:cs="Times New Roman"/>
          <w:b/>
          <w:i/>
          <w:sz w:val="24"/>
          <w:szCs w:val="24"/>
          <w:lang w:val="en-GB"/>
        </w:rPr>
        <w:t>MRI and PET acquisition</w:t>
      </w:r>
    </w:p>
    <w:p w14:paraId="15EE048B" w14:textId="48F86141" w:rsidR="003A293D" w:rsidRPr="00477F48" w:rsidRDefault="003A293D" w:rsidP="00FD47BF">
      <w:pPr>
        <w:pStyle w:val="Paragraph"/>
        <w:tabs>
          <w:tab w:val="left" w:pos="1072"/>
        </w:tabs>
        <w:spacing w:line="480" w:lineRule="auto"/>
        <w:ind w:firstLine="0"/>
        <w:jc w:val="both"/>
        <w:rPr>
          <w:lang w:val="en-GB"/>
        </w:rPr>
      </w:pPr>
      <w:r w:rsidRPr="00477F48">
        <w:rPr>
          <w:lang w:val="en-GB"/>
        </w:rPr>
        <w:lastRenderedPageBreak/>
        <w:t>Nineteen subjects with probable DLB underwent multi-modal 3T MPRAGE and diffusion-weighted imaging (DWI) as described in detail below. 18/19 DLB participants also had [</w:t>
      </w:r>
      <w:r w:rsidRPr="00477F48">
        <w:rPr>
          <w:vertAlign w:val="superscript"/>
          <w:lang w:val="en-GB"/>
        </w:rPr>
        <w:t>11</w:t>
      </w:r>
      <w:r w:rsidRPr="00477F48">
        <w:rPr>
          <w:lang w:val="en-GB"/>
        </w:rPr>
        <w:t>C]-PK11195 PET imaging on a GE Advance or GE Discovery 6</w:t>
      </w:r>
      <w:r w:rsidR="00612E43" w:rsidRPr="00477F48">
        <w:rPr>
          <w:lang w:val="en-GB"/>
        </w:rPr>
        <w:t>9</w:t>
      </w:r>
      <w:r w:rsidRPr="00477F48">
        <w:rPr>
          <w:lang w:val="en-GB"/>
        </w:rPr>
        <w:t xml:space="preserve">0 </w:t>
      </w:r>
      <w:r w:rsidR="00612E43" w:rsidRPr="00477F48">
        <w:rPr>
          <w:lang w:val="en-GB"/>
        </w:rPr>
        <w:t>PET/</w:t>
      </w:r>
      <w:r w:rsidRPr="00477F48">
        <w:rPr>
          <w:lang w:val="en-GB"/>
        </w:rPr>
        <w:t xml:space="preserve">CT scanner. To ensure accurate correlations between MRI and PET imaging, we aimed at keeping scan interval between MRI and PET within 3 months (mean interval 2.4 months). </w:t>
      </w:r>
      <w:r w:rsidR="00BE5922" w:rsidRPr="00477F48">
        <w:rPr>
          <w:lang w:val="en-GB"/>
        </w:rPr>
        <w:t>Each</w:t>
      </w:r>
      <w:r w:rsidRPr="00477F48">
        <w:rPr>
          <w:lang w:val="en-GB"/>
        </w:rPr>
        <w:t xml:space="preserve"> [</w:t>
      </w:r>
      <w:r w:rsidRPr="00477F48">
        <w:rPr>
          <w:vertAlign w:val="superscript"/>
          <w:lang w:val="en-GB"/>
        </w:rPr>
        <w:t>11</w:t>
      </w:r>
      <w:r w:rsidRPr="00477F48">
        <w:rPr>
          <w:lang w:val="en-GB"/>
        </w:rPr>
        <w:t>C]-PK11195 PET image series w</w:t>
      </w:r>
      <w:r w:rsidR="00BE5922" w:rsidRPr="00477F48">
        <w:rPr>
          <w:lang w:val="en-GB"/>
        </w:rPr>
        <w:t>as</w:t>
      </w:r>
      <w:r w:rsidRPr="00477F48">
        <w:rPr>
          <w:lang w:val="en-GB"/>
        </w:rPr>
        <w:t xml:space="preserve"> aligned across the</w:t>
      </w:r>
      <w:r w:rsidR="00BE5922" w:rsidRPr="00477F48">
        <w:rPr>
          <w:lang w:val="en-GB"/>
        </w:rPr>
        <w:t xml:space="preserve"> time</w:t>
      </w:r>
      <w:r w:rsidRPr="00477F48">
        <w:rPr>
          <w:lang w:val="en-GB"/>
        </w:rPr>
        <w:t xml:space="preserve"> frames</w:t>
      </w:r>
      <w:r w:rsidR="004B75F8" w:rsidRPr="00477F48">
        <w:rPr>
          <w:lang w:val="en-GB"/>
        </w:rPr>
        <w:t xml:space="preserve"> with SPM12</w:t>
      </w:r>
      <w:r w:rsidRPr="00477F48">
        <w:rPr>
          <w:lang w:val="en-GB"/>
        </w:rPr>
        <w:t xml:space="preserve"> to </w:t>
      </w:r>
      <w:r w:rsidR="004B75F8" w:rsidRPr="00477F48">
        <w:rPr>
          <w:lang w:val="en-GB"/>
        </w:rPr>
        <w:t>ameliorate the impact of</w:t>
      </w:r>
      <w:r w:rsidRPr="00477F48">
        <w:rPr>
          <w:lang w:val="en-GB"/>
        </w:rPr>
        <w:t xml:space="preserve"> head motion during data acquisition. The realigned dynamic </w:t>
      </w:r>
      <w:r w:rsidR="001369AD" w:rsidRPr="00477F48">
        <w:rPr>
          <w:lang w:val="en-GB"/>
        </w:rPr>
        <w:t xml:space="preserve">PET </w:t>
      </w:r>
      <w:r w:rsidR="00836B6E" w:rsidRPr="00477F48">
        <w:rPr>
          <w:lang w:val="en-GB"/>
        </w:rPr>
        <w:t>images</w:t>
      </w:r>
      <w:r w:rsidRPr="00477F48">
        <w:rPr>
          <w:lang w:val="en-GB"/>
        </w:rPr>
        <w:t xml:space="preserve"> were co-registered to the </w:t>
      </w:r>
      <w:r w:rsidR="0050548C" w:rsidRPr="00477F48">
        <w:rPr>
          <w:lang w:val="en-GB"/>
        </w:rPr>
        <w:t xml:space="preserve">corresponding </w:t>
      </w:r>
      <w:r w:rsidRPr="00477F48">
        <w:rPr>
          <w:lang w:val="en-GB"/>
        </w:rPr>
        <w:t>T1-weighted MPRAGE images</w:t>
      </w:r>
      <w:r w:rsidR="00615547" w:rsidRPr="00477F48">
        <w:rPr>
          <w:lang w:val="en-GB"/>
        </w:rPr>
        <w:t>, as were regions of interest (ROIs) from the Hammers atlas (</w:t>
      </w:r>
      <w:r w:rsidR="000F5080" w:rsidRPr="00477F48">
        <w:rPr>
          <w:lang w:val="en-GB"/>
        </w:rPr>
        <w:t xml:space="preserve">Hammers </w:t>
      </w:r>
      <w:r w:rsidR="000F5080" w:rsidRPr="00477F48">
        <w:rPr>
          <w:i/>
          <w:iCs/>
          <w:lang w:val="en-GB"/>
        </w:rPr>
        <w:t>et al.,</w:t>
      </w:r>
      <w:r w:rsidR="000F5080" w:rsidRPr="00477F48">
        <w:rPr>
          <w:lang w:val="en-GB"/>
        </w:rPr>
        <w:t xml:space="preserve"> 2003</w:t>
      </w:r>
      <w:r w:rsidR="00615547" w:rsidRPr="00477F48">
        <w:rPr>
          <w:lang w:val="en-GB"/>
        </w:rPr>
        <w:t>)</w:t>
      </w:r>
      <w:r w:rsidR="00097585" w:rsidRPr="00477F48">
        <w:rPr>
          <w:lang w:val="en-GB"/>
        </w:rPr>
        <w:t xml:space="preserve"> using ANTs for the inverse spatial normalisation from MNI to MPRAGE space</w:t>
      </w:r>
      <w:r w:rsidRPr="00477F48">
        <w:rPr>
          <w:lang w:val="en-GB"/>
        </w:rPr>
        <w:t>.</w:t>
      </w:r>
      <w:r w:rsidR="00680997" w:rsidRPr="00477F48">
        <w:rPr>
          <w:lang w:val="en-GB"/>
        </w:rPr>
        <w:t xml:space="preserve"> Prior to kinetic modelling, regional time-activity</w:t>
      </w:r>
      <w:r w:rsidR="0026061F" w:rsidRPr="00477F48">
        <w:rPr>
          <w:lang w:val="en-GB"/>
        </w:rPr>
        <w:t xml:space="preserve"> curves (TACs) were corrected for CSF contamination</w:t>
      </w:r>
      <w:r w:rsidR="006E1128" w:rsidRPr="00477F48">
        <w:rPr>
          <w:lang w:val="en-GB"/>
        </w:rPr>
        <w:t xml:space="preserve"> through division by the mean ROI fraction of grey plus white matter, using SPM12 tissue probability maps smoothed to PET spatial resolution</w:t>
      </w:r>
      <w:r w:rsidR="00B308A9" w:rsidRPr="00477F48">
        <w:rPr>
          <w:lang w:val="en-GB"/>
        </w:rPr>
        <w:t>.</w:t>
      </w:r>
      <w:r w:rsidRPr="00477F48">
        <w:rPr>
          <w:lang w:val="en-GB"/>
        </w:rPr>
        <w:t xml:space="preserve"> B</w:t>
      </w:r>
      <w:proofErr w:type="spellStart"/>
      <w:r w:rsidRPr="00477F48">
        <w:t>inding</w:t>
      </w:r>
      <w:proofErr w:type="spellEnd"/>
      <w:r w:rsidRPr="00477F48">
        <w:t xml:space="preserve"> in each </w:t>
      </w:r>
      <w:r w:rsidR="00B308A9" w:rsidRPr="00477F48">
        <w:t>ROI</w:t>
      </w:r>
      <w:r w:rsidRPr="00477F48">
        <w:t xml:space="preserve"> was quantified using non-displaceable binding potential (BP</w:t>
      </w:r>
      <w:r w:rsidRPr="00477F48">
        <w:rPr>
          <w:vertAlign w:val="subscript"/>
        </w:rPr>
        <w:t>ND</w:t>
      </w:r>
      <w:r w:rsidRPr="00477F48">
        <w:t>) determined with</w:t>
      </w:r>
      <w:r w:rsidR="00375AC0" w:rsidRPr="00477F48">
        <w:t xml:space="preserve"> reference tissue TAC estimation from</w:t>
      </w:r>
      <w:r w:rsidR="00164D4B" w:rsidRPr="00477F48">
        <w:t xml:space="preserve"> supervised cluster analysis and</w:t>
      </w:r>
      <w:r w:rsidRPr="00477F48">
        <w:t xml:space="preserve"> a simplified reference tissue model incorporating vascular binding correction </w:t>
      </w:r>
      <w:r w:rsidR="006F406B" w:rsidRPr="00477F48">
        <w:t>(</w:t>
      </w:r>
      <w:proofErr w:type="spellStart"/>
      <w:r w:rsidR="000F5080" w:rsidRPr="00477F48">
        <w:t>Ya</w:t>
      </w:r>
      <w:r w:rsidR="006F406B" w:rsidRPr="00477F48">
        <w:t>qub</w:t>
      </w:r>
      <w:proofErr w:type="spellEnd"/>
      <w:r w:rsidR="006F406B" w:rsidRPr="00477F48">
        <w:t xml:space="preserve"> </w:t>
      </w:r>
      <w:r w:rsidR="006F406B" w:rsidRPr="00477F48">
        <w:rPr>
          <w:i/>
          <w:iCs/>
        </w:rPr>
        <w:t>et al</w:t>
      </w:r>
      <w:r w:rsidR="000F5080" w:rsidRPr="00477F48">
        <w:rPr>
          <w:i/>
          <w:iCs/>
        </w:rPr>
        <w:t>.,</w:t>
      </w:r>
      <w:r w:rsidR="006F406B" w:rsidRPr="00477F48">
        <w:t xml:space="preserve"> 2012)</w:t>
      </w:r>
      <w:r w:rsidR="000512DB" w:rsidRPr="00477F48">
        <w:t>.</w:t>
      </w:r>
      <w:r w:rsidR="002159A9" w:rsidRPr="00477F48">
        <w:t xml:space="preserve"> </w:t>
      </w:r>
      <w:r w:rsidR="00937E5E" w:rsidRPr="00477F48">
        <w:t>In fact, the partial volume correction</w:t>
      </w:r>
      <w:r w:rsidR="002159A9" w:rsidRPr="00477F48">
        <w:t xml:space="preserve"> method applied to the dynamic PK11195 images to address differential atrophy is the two-compartment (brain, CSF) Meltzer method, which has been shown to be more robust to registration and segmentation errors than the three-compartment version.  Furthermore, this method is well suited to the production of the PK11195 reference time activity curve</w:t>
      </w:r>
      <w:r w:rsidR="00B61EAA" w:rsidRPr="00477F48">
        <w:t xml:space="preserve"> </w:t>
      </w:r>
      <w:r w:rsidR="002159A9" w:rsidRPr="00477F48">
        <w:t xml:space="preserve">from supervised cluster analysis (SCA), whereas the geometric transfer matrix (GTM) approach cannot be applied given that SCA is a voxel-wise technique.   </w:t>
      </w:r>
    </w:p>
    <w:p w14:paraId="67310EC7" w14:textId="060C9821" w:rsidR="003A293D" w:rsidRPr="00477F48" w:rsidRDefault="003A293D" w:rsidP="008D2D9C">
      <w:pPr>
        <w:pStyle w:val="Paragraph"/>
        <w:tabs>
          <w:tab w:val="left" w:pos="1072"/>
        </w:tabs>
        <w:spacing w:line="480" w:lineRule="auto"/>
        <w:ind w:firstLine="0"/>
        <w:jc w:val="both"/>
        <w:rPr>
          <w:lang w:val="en-GB"/>
        </w:rPr>
      </w:pPr>
      <w:r w:rsidRPr="00477F48">
        <w:rPr>
          <w:lang w:val="en-GB"/>
        </w:rPr>
        <w:t xml:space="preserve"> For each subject, we derived a composite PK11195 </w:t>
      </w:r>
      <w:r w:rsidR="00585D32" w:rsidRPr="00477F48">
        <w:rPr>
          <w:lang w:val="en-GB"/>
        </w:rPr>
        <w:t>BP</w:t>
      </w:r>
      <w:r w:rsidR="00585D32" w:rsidRPr="00477F48">
        <w:rPr>
          <w:vertAlign w:val="subscript"/>
          <w:lang w:val="en-GB"/>
        </w:rPr>
        <w:t>ND</w:t>
      </w:r>
      <w:r w:rsidRPr="00477F48">
        <w:rPr>
          <w:lang w:val="en-GB"/>
        </w:rPr>
        <w:t xml:space="preserve"> (global) by averaging the PK11195 binding across each cortical ROI and hemisphere from the Hammers atlas, as well as lobar PK11195 </w:t>
      </w:r>
      <w:r w:rsidR="000C1592" w:rsidRPr="00477F48">
        <w:rPr>
          <w:lang w:val="en-GB"/>
        </w:rPr>
        <w:t>BP</w:t>
      </w:r>
      <w:r w:rsidR="000C1592" w:rsidRPr="00477F48">
        <w:rPr>
          <w:vertAlign w:val="subscript"/>
          <w:lang w:val="en-GB"/>
        </w:rPr>
        <w:t>ND</w:t>
      </w:r>
      <w:r w:rsidRPr="00477F48">
        <w:rPr>
          <w:lang w:val="en-GB"/>
        </w:rPr>
        <w:t xml:space="preserve"> (i.e., frontal, temporal, parietal, occipital). In addition, 15 DLB subjects underwent [</w:t>
      </w:r>
      <w:r w:rsidRPr="00477F48">
        <w:rPr>
          <w:vertAlign w:val="superscript"/>
          <w:lang w:val="en-GB"/>
        </w:rPr>
        <w:t>11</w:t>
      </w:r>
      <w:r w:rsidRPr="00477F48">
        <w:rPr>
          <w:lang w:val="en-GB"/>
        </w:rPr>
        <w:t>C]-</w:t>
      </w:r>
      <w:proofErr w:type="spellStart"/>
      <w:r w:rsidRPr="00477F48">
        <w:rPr>
          <w:lang w:val="en-GB"/>
        </w:rPr>
        <w:t>PiB</w:t>
      </w:r>
      <w:proofErr w:type="spellEnd"/>
      <w:r w:rsidRPr="00477F48">
        <w:rPr>
          <w:lang w:val="en-GB"/>
        </w:rPr>
        <w:t xml:space="preserve"> PET imaging to quantify the density of fibrillar </w:t>
      </w:r>
      <w:r w:rsidRPr="00477F48">
        <w:rPr>
          <w:shd w:val="clear" w:color="auto" w:fill="FFFFFF"/>
          <w:lang w:val="en-GB"/>
        </w:rPr>
        <w:t>A</w:t>
      </w:r>
      <w:r w:rsidRPr="00477F48">
        <w:rPr>
          <w:lang w:val="en-GB"/>
        </w:rPr>
        <w:t xml:space="preserve">β deposits for </w:t>
      </w:r>
      <w:r w:rsidRPr="00477F48">
        <w:rPr>
          <w:lang w:val="en-GB"/>
        </w:rPr>
        <w:lastRenderedPageBreak/>
        <w:t xml:space="preserve">classification of </w:t>
      </w:r>
      <w:r w:rsidRPr="00477F48">
        <w:rPr>
          <w:shd w:val="clear" w:color="auto" w:fill="FFFFFF"/>
          <w:lang w:val="en-GB"/>
        </w:rPr>
        <w:t>A</w:t>
      </w:r>
      <w:r w:rsidRPr="00477F48">
        <w:rPr>
          <w:lang w:val="en-GB"/>
        </w:rPr>
        <w:t xml:space="preserve">β status (positive when </w:t>
      </w:r>
      <w:proofErr w:type="spellStart"/>
      <w:r w:rsidRPr="00477F48">
        <w:rPr>
          <w:lang w:val="en-GB"/>
        </w:rPr>
        <w:t>PiB</w:t>
      </w:r>
      <w:proofErr w:type="spellEnd"/>
      <w:r w:rsidRPr="00477F48">
        <w:rPr>
          <w:lang w:val="en-GB"/>
        </w:rPr>
        <w:t xml:space="preserve"> cortical standardized uptake value ratio (SUVR) &gt; 1.5) </w:t>
      </w:r>
      <w:r w:rsidRPr="00477F48">
        <w:rPr>
          <w:noProof/>
          <w:lang w:val="en-GB"/>
        </w:rPr>
        <w:t>(Jagust</w:t>
      </w:r>
      <w:r w:rsidRPr="00477F48">
        <w:rPr>
          <w:i/>
          <w:noProof/>
          <w:lang w:val="en-GB"/>
        </w:rPr>
        <w:t xml:space="preserve"> et al.</w:t>
      </w:r>
      <w:r w:rsidRPr="00477F48">
        <w:rPr>
          <w:noProof/>
          <w:lang w:val="en-GB"/>
        </w:rPr>
        <w:t>, 2010)</w:t>
      </w:r>
      <w:r w:rsidRPr="00477F48">
        <w:rPr>
          <w:lang w:val="en-GB"/>
        </w:rPr>
        <w:t>. [</w:t>
      </w:r>
      <w:r w:rsidRPr="00477F48">
        <w:rPr>
          <w:vertAlign w:val="superscript"/>
          <w:lang w:val="en-GB"/>
        </w:rPr>
        <w:t>11</w:t>
      </w:r>
      <w:r w:rsidRPr="00477F48">
        <w:rPr>
          <w:lang w:val="en-GB"/>
        </w:rPr>
        <w:t>C]-</w:t>
      </w:r>
      <w:proofErr w:type="spellStart"/>
      <w:r w:rsidRPr="00477F48">
        <w:rPr>
          <w:lang w:val="en-GB"/>
        </w:rPr>
        <w:t>PiB</w:t>
      </w:r>
      <w:proofErr w:type="spellEnd"/>
      <w:r w:rsidRPr="00477F48">
        <w:rPr>
          <w:lang w:val="en-GB"/>
        </w:rPr>
        <w:t xml:space="preserve"> data were quantified using SUVR with the superior cerebellar grey matter as the reference region. The [</w:t>
      </w:r>
      <w:r w:rsidRPr="00477F48">
        <w:rPr>
          <w:vertAlign w:val="superscript"/>
          <w:lang w:val="en-GB"/>
        </w:rPr>
        <w:t>11</w:t>
      </w:r>
      <w:r w:rsidRPr="00477F48">
        <w:rPr>
          <w:lang w:val="en-GB"/>
        </w:rPr>
        <w:t>C]-</w:t>
      </w:r>
      <w:proofErr w:type="spellStart"/>
      <w:r w:rsidRPr="00477F48">
        <w:rPr>
          <w:lang w:val="en-GB"/>
        </w:rPr>
        <w:t>PiB</w:t>
      </w:r>
      <w:proofErr w:type="spellEnd"/>
      <w:r w:rsidRPr="00477F48">
        <w:rPr>
          <w:lang w:val="en-GB"/>
        </w:rPr>
        <w:t xml:space="preserve"> SUVR data were subjected to the </w:t>
      </w:r>
      <w:r w:rsidR="00990480" w:rsidRPr="00477F48">
        <w:rPr>
          <w:lang w:val="en-GB"/>
        </w:rPr>
        <w:t>GTM</w:t>
      </w:r>
      <w:r w:rsidRPr="00477F48">
        <w:rPr>
          <w:lang w:val="en-GB"/>
        </w:rPr>
        <w:t xml:space="preserve"> technique using </w:t>
      </w:r>
      <w:proofErr w:type="spellStart"/>
      <w:r w:rsidRPr="00477F48">
        <w:rPr>
          <w:lang w:val="en-GB"/>
        </w:rPr>
        <w:t>Freesurfer’s</w:t>
      </w:r>
      <w:proofErr w:type="spellEnd"/>
      <w:r w:rsidRPr="00477F48">
        <w:rPr>
          <w:lang w:val="en-GB"/>
        </w:rPr>
        <w:t xml:space="preserve"> </w:t>
      </w:r>
      <w:proofErr w:type="spellStart"/>
      <w:r w:rsidRPr="00477F48">
        <w:rPr>
          <w:lang w:val="en-GB"/>
        </w:rPr>
        <w:t>PETsurfer</w:t>
      </w:r>
      <w:proofErr w:type="spellEnd"/>
      <w:r w:rsidRPr="00477F48">
        <w:rPr>
          <w:lang w:val="en-GB"/>
        </w:rPr>
        <w:t xml:space="preserve"> </w:t>
      </w:r>
      <w:r w:rsidRPr="00477F48">
        <w:rPr>
          <w:noProof/>
          <w:lang w:val="en-GB"/>
        </w:rPr>
        <w:t>(Greve</w:t>
      </w:r>
      <w:r w:rsidRPr="00477F48">
        <w:rPr>
          <w:i/>
          <w:noProof/>
          <w:lang w:val="en-GB"/>
        </w:rPr>
        <w:t xml:space="preserve"> et al.</w:t>
      </w:r>
      <w:r w:rsidRPr="00477F48">
        <w:rPr>
          <w:noProof/>
          <w:lang w:val="en-GB"/>
        </w:rPr>
        <w:t>, 2014)</w:t>
      </w:r>
      <w:r w:rsidRPr="00477F48">
        <w:rPr>
          <w:lang w:val="en-GB"/>
        </w:rPr>
        <w:t xml:space="preserve">, including partial volume correction. </w:t>
      </w:r>
    </w:p>
    <w:p w14:paraId="6010D0AB" w14:textId="77777777" w:rsidR="003A293D" w:rsidRPr="00477F48" w:rsidRDefault="003A293D" w:rsidP="008D2D9C">
      <w:pPr>
        <w:spacing w:after="200" w:line="480" w:lineRule="auto"/>
        <w:jc w:val="both"/>
        <w:outlineLvl w:val="0"/>
        <w:rPr>
          <w:rFonts w:ascii="Times New Roman" w:hAnsi="Times New Roman" w:cs="Times New Roman"/>
          <w:b/>
          <w:i/>
          <w:sz w:val="24"/>
          <w:szCs w:val="24"/>
          <w:lang w:val="en-US"/>
        </w:rPr>
      </w:pPr>
    </w:p>
    <w:p w14:paraId="00220AF0" w14:textId="77777777" w:rsidR="003A293D" w:rsidRPr="00477F48" w:rsidRDefault="003A293D" w:rsidP="008D2D9C">
      <w:pPr>
        <w:spacing w:after="200" w:line="480" w:lineRule="auto"/>
        <w:jc w:val="both"/>
        <w:outlineLvl w:val="0"/>
        <w:rPr>
          <w:rFonts w:ascii="Times New Roman" w:hAnsi="Times New Roman" w:cs="Times New Roman"/>
          <w:i/>
          <w:sz w:val="24"/>
          <w:szCs w:val="24"/>
          <w:lang w:val="en-US"/>
        </w:rPr>
      </w:pPr>
      <w:r w:rsidRPr="00477F48">
        <w:rPr>
          <w:rFonts w:ascii="Times New Roman" w:hAnsi="Times New Roman" w:cs="Times New Roman"/>
          <w:b/>
          <w:i/>
          <w:sz w:val="24"/>
          <w:szCs w:val="24"/>
          <w:lang w:val="en-US"/>
        </w:rPr>
        <w:t xml:space="preserve">Diffusion-weighted imaging </w:t>
      </w:r>
    </w:p>
    <w:p w14:paraId="68065D9A" w14:textId="41F44EF4"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The DWI acquisition protocol was as follows: 63 slices of 2.0mm thickness, TE = 106 </w:t>
      </w:r>
      <w:proofErr w:type="spellStart"/>
      <w:r w:rsidRPr="00477F48">
        <w:rPr>
          <w:rFonts w:ascii="Times New Roman" w:hAnsi="Times New Roman" w:cs="Times New Roman"/>
          <w:sz w:val="24"/>
          <w:szCs w:val="24"/>
          <w:lang w:val="en-GB"/>
        </w:rPr>
        <w:t>ms</w:t>
      </w:r>
      <w:proofErr w:type="spellEnd"/>
      <w:r w:rsidRPr="00477F48">
        <w:rPr>
          <w:rFonts w:ascii="Times New Roman" w:hAnsi="Times New Roman" w:cs="Times New Roman"/>
          <w:sz w:val="24"/>
          <w:szCs w:val="24"/>
          <w:lang w:val="en-GB"/>
        </w:rPr>
        <w:t xml:space="preserve">, TR = 11700 </w:t>
      </w:r>
      <w:proofErr w:type="spellStart"/>
      <w:r w:rsidRPr="00477F48">
        <w:rPr>
          <w:rFonts w:ascii="Times New Roman" w:hAnsi="Times New Roman" w:cs="Times New Roman"/>
          <w:sz w:val="24"/>
          <w:szCs w:val="24"/>
          <w:lang w:val="en-GB"/>
        </w:rPr>
        <w:t>ms</w:t>
      </w:r>
      <w:proofErr w:type="spellEnd"/>
      <w:r w:rsidRPr="00477F48">
        <w:rPr>
          <w:rFonts w:ascii="Times New Roman" w:hAnsi="Times New Roman" w:cs="Times New Roman"/>
          <w:sz w:val="24"/>
          <w:szCs w:val="24"/>
          <w:lang w:val="en-GB"/>
        </w:rPr>
        <w:t>, SENSE = 2, field of view = 192 x 192 mm</w:t>
      </w:r>
      <w:r w:rsidRPr="00477F48">
        <w:rPr>
          <w:rFonts w:ascii="Times New Roman" w:hAnsi="Times New Roman" w:cs="Times New Roman"/>
          <w:sz w:val="24"/>
          <w:szCs w:val="24"/>
          <w:vertAlign w:val="superscript"/>
          <w:lang w:val="en-GB"/>
        </w:rPr>
        <w:t>2</w:t>
      </w:r>
      <w:r w:rsidRPr="00477F48">
        <w:rPr>
          <w:rFonts w:ascii="Times New Roman" w:hAnsi="Times New Roman" w:cs="Times New Roman"/>
          <w:sz w:val="24"/>
          <w:szCs w:val="24"/>
          <w:lang w:val="en-GB"/>
        </w:rPr>
        <w:t xml:space="preserve">. The data were </w:t>
      </w:r>
      <w:proofErr w:type="spellStart"/>
      <w:r w:rsidRPr="00477F48">
        <w:rPr>
          <w:rFonts w:ascii="Times New Roman" w:hAnsi="Times New Roman" w:cs="Times New Roman"/>
          <w:sz w:val="24"/>
          <w:szCs w:val="24"/>
          <w:lang w:val="en-GB"/>
        </w:rPr>
        <w:t>preprocessed</w:t>
      </w:r>
      <w:proofErr w:type="spellEnd"/>
      <w:r w:rsidRPr="00477F48">
        <w:rPr>
          <w:rFonts w:ascii="Times New Roman" w:hAnsi="Times New Roman" w:cs="Times New Roman"/>
          <w:sz w:val="24"/>
          <w:szCs w:val="24"/>
          <w:lang w:val="en-GB"/>
        </w:rPr>
        <w:t xml:space="preserve"> with the FSL 5.0 software package (</w:t>
      </w:r>
      <w:hyperlink r:id="rId8" w:history="1">
        <w:r w:rsidRPr="00477F48">
          <w:rPr>
            <w:rStyle w:val="Lienhypertexte"/>
            <w:rFonts w:ascii="Times New Roman" w:hAnsi="Times New Roman" w:cs="Times New Roman"/>
            <w:color w:val="auto"/>
            <w:sz w:val="24"/>
            <w:szCs w:val="24"/>
            <w:lang w:val="en-GB"/>
          </w:rPr>
          <w:t>http://www.fmrib.ox.ac.uk/fsl)</w:t>
        </w:r>
      </w:hyperlink>
      <w:r w:rsidRPr="00477F48">
        <w:rPr>
          <w:rFonts w:ascii="Times New Roman" w:hAnsi="Times New Roman" w:cs="Times New Roman"/>
          <w:sz w:val="24"/>
          <w:szCs w:val="24"/>
          <w:lang w:val="en-GB"/>
        </w:rPr>
        <w:t>. This included registration of all diffusion-weighted images to the b=0 (i.e. no diffusion) volume using the FSL Diffusion Toolbox (</w:t>
      </w:r>
      <w:r w:rsidRPr="00477F48">
        <w:rPr>
          <w:rFonts w:ascii="Times New Roman" w:hAnsi="Times New Roman" w:cs="Times New Roman"/>
          <w:i/>
          <w:sz w:val="24"/>
          <w:szCs w:val="24"/>
          <w:lang w:val="en-GB"/>
        </w:rPr>
        <w:t>FDT</w:t>
      </w:r>
      <w:r w:rsidRPr="00477F48">
        <w:rPr>
          <w:rFonts w:ascii="Times New Roman" w:hAnsi="Times New Roman" w:cs="Times New Roman"/>
          <w:sz w:val="24"/>
          <w:szCs w:val="24"/>
          <w:lang w:val="en-GB"/>
        </w:rPr>
        <w:t xml:space="preserve">), followed by brain masks creation with </w:t>
      </w:r>
      <w:r w:rsidRPr="00477F48">
        <w:rPr>
          <w:rFonts w:ascii="Times New Roman" w:hAnsi="Times New Roman" w:cs="Times New Roman"/>
          <w:i/>
          <w:sz w:val="24"/>
          <w:szCs w:val="24"/>
          <w:lang w:val="en-GB"/>
        </w:rPr>
        <w:t>Brain Extraction Tool</w:t>
      </w:r>
      <w:r w:rsidRPr="00477F48">
        <w:rPr>
          <w:rFonts w:ascii="Times New Roman" w:hAnsi="Times New Roman" w:cs="Times New Roman"/>
          <w:sz w:val="24"/>
          <w:szCs w:val="24"/>
          <w:lang w:val="en-GB"/>
        </w:rPr>
        <w:t xml:space="preserve"> (</w:t>
      </w:r>
      <w:r w:rsidRPr="00477F48">
        <w:rPr>
          <w:rFonts w:ascii="Times New Roman" w:hAnsi="Times New Roman" w:cs="Times New Roman"/>
          <w:i/>
          <w:sz w:val="24"/>
          <w:szCs w:val="24"/>
          <w:lang w:val="en-GB"/>
        </w:rPr>
        <w:t>BET</w:t>
      </w:r>
      <w:r w:rsidRPr="00477F48">
        <w:rPr>
          <w:rFonts w:ascii="Times New Roman" w:hAnsi="Times New Roman" w:cs="Times New Roman"/>
          <w:sz w:val="24"/>
          <w:szCs w:val="24"/>
          <w:lang w:val="en-GB"/>
        </w:rPr>
        <w:t xml:space="preserve">), head movement and eddy currents correction. We then used </w:t>
      </w:r>
      <w:proofErr w:type="spellStart"/>
      <w:r w:rsidRPr="00477F48">
        <w:rPr>
          <w:rFonts w:ascii="Times New Roman" w:hAnsi="Times New Roman" w:cs="Times New Roman"/>
          <w:i/>
          <w:sz w:val="24"/>
          <w:szCs w:val="24"/>
          <w:lang w:val="en-GB"/>
        </w:rPr>
        <w:t>DTIfit</w:t>
      </w:r>
      <w:proofErr w:type="spellEnd"/>
      <w:r w:rsidRPr="00477F48">
        <w:rPr>
          <w:rFonts w:ascii="Times New Roman" w:hAnsi="Times New Roman" w:cs="Times New Roman"/>
          <w:sz w:val="24"/>
          <w:szCs w:val="24"/>
          <w:lang w:val="en-GB"/>
        </w:rPr>
        <w:t xml:space="preserve"> to independently fit the diffusion tensor for each voxel, resulting in the derivation of FA, MD and RD. </w:t>
      </w:r>
    </w:p>
    <w:p w14:paraId="5485C713" w14:textId="77777777" w:rsidR="00E71D84" w:rsidRPr="00477F48" w:rsidRDefault="00E71D84" w:rsidP="008D2D9C">
      <w:pPr>
        <w:spacing w:line="480" w:lineRule="auto"/>
        <w:jc w:val="both"/>
        <w:rPr>
          <w:rFonts w:ascii="Times New Roman" w:hAnsi="Times New Roman" w:cs="Times New Roman"/>
          <w:sz w:val="24"/>
          <w:szCs w:val="24"/>
          <w:lang w:val="en-GB"/>
        </w:rPr>
      </w:pPr>
    </w:p>
    <w:p w14:paraId="5741BE6D" w14:textId="77777777" w:rsidR="003A293D" w:rsidRPr="00477F48" w:rsidRDefault="003A293D" w:rsidP="008D2D9C">
      <w:pPr>
        <w:spacing w:line="480" w:lineRule="auto"/>
        <w:jc w:val="both"/>
        <w:rPr>
          <w:rFonts w:ascii="Times New Roman" w:hAnsi="Times New Roman" w:cs="Times New Roman"/>
          <w:b/>
          <w:bCs/>
          <w:i/>
          <w:iCs/>
          <w:sz w:val="24"/>
          <w:szCs w:val="24"/>
          <w:lang w:val="en-GB"/>
        </w:rPr>
      </w:pPr>
      <w:r w:rsidRPr="00477F48">
        <w:rPr>
          <w:rFonts w:ascii="Times New Roman" w:hAnsi="Times New Roman" w:cs="Times New Roman"/>
          <w:b/>
          <w:bCs/>
          <w:i/>
          <w:iCs/>
          <w:sz w:val="24"/>
          <w:szCs w:val="24"/>
          <w:lang w:val="en-GB"/>
        </w:rPr>
        <w:t xml:space="preserve">Volume-based morphometry </w:t>
      </w:r>
    </w:p>
    <w:p w14:paraId="10334181" w14:textId="2C723FE1"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In addition, volume-based morphometry (VBM) analyses were performed using high-resolution T1-weighted MPRAGE images, including group comparisons between DLB and Controls, as well as voxel-wise correlational grey matter maps of global/lobar PK11195 binding, in order to assess whether grey matter atrophy/preservation was significantly associated with increased microglial activation. Computational Anatomy Toolbox 12 (CAT12) was used to create 8mm-smoothed VBM maps, after using the standard CAT12 pipeline previously described in Nicastro </w:t>
      </w:r>
      <w:r w:rsidRPr="00477F48">
        <w:rPr>
          <w:rFonts w:ascii="Times New Roman" w:hAnsi="Times New Roman" w:cs="Times New Roman"/>
          <w:i/>
          <w:iCs/>
          <w:sz w:val="24"/>
          <w:szCs w:val="24"/>
          <w:lang w:val="en-GB"/>
        </w:rPr>
        <w:t>et al.</w:t>
      </w:r>
      <w:r w:rsidRPr="00477F48">
        <w:rPr>
          <w:rFonts w:ascii="Times New Roman" w:hAnsi="Times New Roman" w:cs="Times New Roman"/>
          <w:sz w:val="24"/>
          <w:szCs w:val="24"/>
          <w:lang w:val="en-GB"/>
        </w:rPr>
        <w:t xml:space="preserve"> </w:t>
      </w:r>
      <w:r w:rsidR="00A76A7A" w:rsidRPr="00477F48">
        <w:rPr>
          <w:rFonts w:ascii="Times New Roman" w:hAnsi="Times New Roman" w:cs="Times New Roman"/>
          <w:sz w:val="24"/>
          <w:szCs w:val="24"/>
          <w:lang w:val="en-GB"/>
        </w:rPr>
        <w:t>(2019)</w:t>
      </w:r>
      <w:r w:rsidRPr="00477F48">
        <w:rPr>
          <w:rFonts w:ascii="Times New Roman" w:hAnsi="Times New Roman" w:cs="Times New Roman"/>
          <w:sz w:val="24"/>
          <w:szCs w:val="24"/>
          <w:lang w:val="en-GB"/>
        </w:rPr>
        <w:t>.</w:t>
      </w:r>
    </w:p>
    <w:p w14:paraId="1964A68A" w14:textId="77777777" w:rsidR="003A293D" w:rsidRPr="00477F48" w:rsidRDefault="003A293D" w:rsidP="008D2D9C">
      <w:pPr>
        <w:spacing w:line="480" w:lineRule="auto"/>
        <w:jc w:val="both"/>
        <w:rPr>
          <w:rFonts w:ascii="Times New Roman" w:hAnsi="Times New Roman" w:cs="Times New Roman"/>
          <w:sz w:val="24"/>
          <w:szCs w:val="24"/>
          <w:lang w:val="en-GB"/>
        </w:rPr>
      </w:pPr>
    </w:p>
    <w:p w14:paraId="4555CA35" w14:textId="77777777" w:rsidR="003A293D" w:rsidRPr="00477F48" w:rsidRDefault="003A293D" w:rsidP="008D2D9C">
      <w:pPr>
        <w:spacing w:line="480" w:lineRule="auto"/>
        <w:jc w:val="both"/>
        <w:outlineLvl w:val="0"/>
        <w:rPr>
          <w:rFonts w:ascii="Times New Roman" w:hAnsi="Times New Roman" w:cs="Times New Roman"/>
          <w:b/>
          <w:i/>
          <w:sz w:val="24"/>
          <w:szCs w:val="24"/>
          <w:lang w:val="en-GB"/>
        </w:rPr>
      </w:pPr>
      <w:r w:rsidRPr="00477F48">
        <w:rPr>
          <w:rFonts w:ascii="Times New Roman" w:hAnsi="Times New Roman" w:cs="Times New Roman"/>
          <w:b/>
          <w:i/>
          <w:sz w:val="24"/>
          <w:szCs w:val="24"/>
          <w:lang w:val="en-GB"/>
        </w:rPr>
        <w:t>Statistical analyses</w:t>
      </w:r>
    </w:p>
    <w:p w14:paraId="073B3770" w14:textId="7D94B6DC"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i/>
          <w:sz w:val="24"/>
          <w:szCs w:val="24"/>
          <w:lang w:val="en-GB"/>
        </w:rPr>
        <w:t>Tract-based spatial statistics</w:t>
      </w:r>
      <w:r w:rsidRPr="00477F48">
        <w:rPr>
          <w:rFonts w:ascii="Times New Roman" w:hAnsi="Times New Roman" w:cs="Times New Roman"/>
          <w:sz w:val="24"/>
          <w:szCs w:val="24"/>
          <w:lang w:val="en-GB"/>
        </w:rPr>
        <w:t xml:space="preserve"> (</w:t>
      </w:r>
      <w:r w:rsidRPr="00477F48">
        <w:rPr>
          <w:rFonts w:ascii="Times New Roman" w:hAnsi="Times New Roman" w:cs="Times New Roman"/>
          <w:i/>
          <w:sz w:val="24"/>
          <w:szCs w:val="24"/>
          <w:lang w:val="en-GB"/>
        </w:rPr>
        <w:t>TBSS</w:t>
      </w:r>
      <w:r w:rsidRPr="00477F48">
        <w:rPr>
          <w:rFonts w:ascii="Times New Roman" w:hAnsi="Times New Roman" w:cs="Times New Roman"/>
          <w:sz w:val="24"/>
          <w:szCs w:val="24"/>
          <w:lang w:val="en-GB"/>
        </w:rPr>
        <w:t xml:space="preserve">) was implemented in the FSL workspace to align each subject’s FA image to a pre-identified target FA image (FMRIB_58) </w:t>
      </w:r>
      <w:r w:rsidRPr="00477F48">
        <w:rPr>
          <w:rFonts w:ascii="Times New Roman" w:hAnsi="Times New Roman" w:cs="Times New Roman"/>
          <w:noProof/>
          <w:sz w:val="24"/>
          <w:szCs w:val="24"/>
          <w:lang w:val="en-GB"/>
        </w:rPr>
        <w:t>(Smith</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2004)</w:t>
      </w:r>
      <w:r w:rsidRPr="00477F48">
        <w:rPr>
          <w:rFonts w:ascii="Times New Roman" w:hAnsi="Times New Roman" w:cs="Times New Roman"/>
          <w:sz w:val="24"/>
          <w:szCs w:val="24"/>
          <w:lang w:val="en-GB"/>
        </w:rPr>
        <w:t xml:space="preserve">. All aligned FA images were then </w:t>
      </w:r>
      <w:proofErr w:type="gramStart"/>
      <w:r w:rsidRPr="00477F48">
        <w:rPr>
          <w:rFonts w:ascii="Times New Roman" w:hAnsi="Times New Roman" w:cs="Times New Roman"/>
          <w:sz w:val="24"/>
          <w:szCs w:val="24"/>
          <w:lang w:val="en-GB"/>
        </w:rPr>
        <w:t>affine-registered</w:t>
      </w:r>
      <w:proofErr w:type="gramEnd"/>
      <w:r w:rsidRPr="00477F48">
        <w:rPr>
          <w:rFonts w:ascii="Times New Roman" w:hAnsi="Times New Roman" w:cs="Times New Roman"/>
          <w:sz w:val="24"/>
          <w:szCs w:val="24"/>
          <w:lang w:val="en-GB"/>
        </w:rPr>
        <w:t xml:space="preserve"> into the Montreal Neurological Institute (MNI) MNI152 template. The mean FA and skeleton were created for all subjects and each FA image was then projected onto the skeleton. The skeleton was </w:t>
      </w:r>
      <w:proofErr w:type="spellStart"/>
      <w:r w:rsidRPr="00477F48">
        <w:rPr>
          <w:rFonts w:ascii="Times New Roman" w:hAnsi="Times New Roman" w:cs="Times New Roman"/>
          <w:sz w:val="24"/>
          <w:szCs w:val="24"/>
          <w:lang w:val="en-GB"/>
        </w:rPr>
        <w:t>thresholded</w:t>
      </w:r>
      <w:proofErr w:type="spellEnd"/>
      <w:r w:rsidRPr="00477F48">
        <w:rPr>
          <w:rFonts w:ascii="Times New Roman" w:hAnsi="Times New Roman" w:cs="Times New Roman"/>
          <w:sz w:val="24"/>
          <w:szCs w:val="24"/>
          <w:lang w:val="en-GB"/>
        </w:rPr>
        <w:t xml:space="preserve"> at FA value of 0.2 to include white matter tracts that are common across all subjects, as well as to further exclude voxels that may contain grey matter or CSF. The aligned DTI parameter map of each subject was then projected onto the mean skeleton. In addition, other DTI parameters were aligned by applying the original FA non-linear spatial transformations to the corresponding datasets and projecting them onto the mean FA skeleton. Subsequently, the </w:t>
      </w:r>
      <w:r w:rsidRPr="00477F48">
        <w:rPr>
          <w:rFonts w:ascii="Times New Roman" w:hAnsi="Times New Roman" w:cs="Times New Roman"/>
          <w:i/>
          <w:sz w:val="24"/>
          <w:szCs w:val="24"/>
          <w:lang w:val="en-GB"/>
        </w:rPr>
        <w:t>randomise</w:t>
      </w:r>
      <w:r w:rsidRPr="00477F48">
        <w:rPr>
          <w:rFonts w:ascii="Times New Roman" w:hAnsi="Times New Roman" w:cs="Times New Roman"/>
          <w:sz w:val="24"/>
          <w:szCs w:val="24"/>
          <w:lang w:val="en-GB"/>
        </w:rPr>
        <w:t xml:space="preserve"> function in FSL was implemented to identify group differences in DTI parameters between DLB and age-matched healthy controls, using a two-sample t-test while controlling for age and </w:t>
      </w:r>
      <w:r w:rsidR="00E262C6"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VBM group comparisons between DLB and Controls were performed using </w:t>
      </w:r>
      <w:r w:rsidR="00E262C6" w:rsidRPr="00477F48">
        <w:rPr>
          <w:rFonts w:ascii="Times New Roman" w:hAnsi="Times New Roman" w:cs="Times New Roman"/>
          <w:sz w:val="24"/>
          <w:szCs w:val="24"/>
          <w:lang w:val="en-GB"/>
        </w:rPr>
        <w:t xml:space="preserve">the TFCE toolbox with </w:t>
      </w:r>
      <w:r w:rsidR="00765729" w:rsidRPr="00477F48">
        <w:rPr>
          <w:rFonts w:ascii="Times New Roman" w:hAnsi="Times New Roman" w:cs="Times New Roman"/>
          <w:sz w:val="24"/>
          <w:szCs w:val="24"/>
          <w:lang w:val="en-GB"/>
        </w:rPr>
        <w:t>non-parametric randomisation (</w:t>
      </w:r>
      <w:r w:rsidR="00A36A77" w:rsidRPr="00477F48">
        <w:rPr>
          <w:rFonts w:ascii="Times New Roman" w:hAnsi="Times New Roman" w:cs="Times New Roman"/>
          <w:sz w:val="24"/>
          <w:szCs w:val="24"/>
          <w:lang w:val="en-GB"/>
        </w:rPr>
        <w:t xml:space="preserve">n = </w:t>
      </w:r>
      <w:r w:rsidR="00765729" w:rsidRPr="00477F48">
        <w:rPr>
          <w:rFonts w:ascii="Times New Roman" w:hAnsi="Times New Roman" w:cs="Times New Roman"/>
          <w:sz w:val="24"/>
          <w:szCs w:val="24"/>
          <w:lang w:val="en-GB"/>
        </w:rPr>
        <w:t>5000 permutations)</w:t>
      </w:r>
      <w:r w:rsidR="00E262C6" w:rsidRPr="00477F48">
        <w:rPr>
          <w:rFonts w:ascii="Times New Roman" w:hAnsi="Times New Roman" w:cs="Times New Roman"/>
          <w:sz w:val="24"/>
          <w:szCs w:val="24"/>
          <w:lang w:val="en-GB"/>
        </w:rPr>
        <w:t xml:space="preserve"> and family-wise error (F</w:t>
      </w:r>
      <w:r w:rsidR="00FF54C3" w:rsidRPr="00477F48">
        <w:rPr>
          <w:rFonts w:ascii="Times New Roman" w:hAnsi="Times New Roman" w:cs="Times New Roman"/>
          <w:sz w:val="24"/>
          <w:szCs w:val="24"/>
          <w:lang w:val="en-GB"/>
        </w:rPr>
        <w:t>W</w:t>
      </w:r>
      <w:r w:rsidR="00E262C6" w:rsidRPr="00477F48">
        <w:rPr>
          <w:rFonts w:ascii="Times New Roman" w:hAnsi="Times New Roman" w:cs="Times New Roman"/>
          <w:sz w:val="24"/>
          <w:szCs w:val="24"/>
          <w:lang w:val="en-GB"/>
        </w:rPr>
        <w:t xml:space="preserve">E)-corrected </w:t>
      </w:r>
      <w:r w:rsidR="00A36A77" w:rsidRPr="00477F48">
        <w:rPr>
          <w:rFonts w:ascii="Times New Roman" w:hAnsi="Times New Roman" w:cs="Times New Roman"/>
          <w:sz w:val="24"/>
          <w:szCs w:val="24"/>
          <w:lang w:val="en-GB"/>
        </w:rPr>
        <w:t xml:space="preserve">two-tailed </w:t>
      </w:r>
      <w:r w:rsidR="00E262C6" w:rsidRPr="00477F48">
        <w:rPr>
          <w:rFonts w:ascii="Times New Roman" w:hAnsi="Times New Roman" w:cs="Times New Roman"/>
          <w:sz w:val="24"/>
          <w:szCs w:val="24"/>
          <w:lang w:val="en-GB"/>
        </w:rPr>
        <w:t>p&lt;0.05 threshold, with</w:t>
      </w:r>
      <w:r w:rsidRPr="00477F48">
        <w:rPr>
          <w:rFonts w:ascii="Times New Roman" w:hAnsi="Times New Roman" w:cs="Times New Roman"/>
          <w:sz w:val="24"/>
          <w:szCs w:val="24"/>
          <w:lang w:val="en-GB"/>
        </w:rPr>
        <w:t xml:space="preserve"> age, </w:t>
      </w:r>
      <w:r w:rsidR="00E262C6"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and total intracranial volume as covariates.</w:t>
      </w:r>
    </w:p>
    <w:p w14:paraId="05CA718C" w14:textId="6F097130" w:rsidR="003A293D" w:rsidRPr="00477F48" w:rsidRDefault="003A293D" w:rsidP="008D2D9C">
      <w:pPr>
        <w:spacing w:line="480" w:lineRule="auto"/>
        <w:jc w:val="both"/>
        <w:rPr>
          <w:rFonts w:ascii="Times New Roman" w:hAnsi="Times New Roman" w:cs="Times New Roman"/>
          <w:sz w:val="24"/>
          <w:szCs w:val="24"/>
          <w:vertAlign w:val="superscript"/>
          <w:lang w:val="en-GB"/>
        </w:rPr>
      </w:pPr>
      <w:r w:rsidRPr="00477F48">
        <w:rPr>
          <w:rFonts w:ascii="Times New Roman" w:hAnsi="Times New Roman" w:cs="Times New Roman"/>
          <w:sz w:val="24"/>
          <w:szCs w:val="24"/>
          <w:lang w:val="en-GB"/>
        </w:rPr>
        <w:t xml:space="preserve">Voxel-wise correlation between DTI and PK11195 was performed with TBSS using age, </w:t>
      </w:r>
      <w:r w:rsidR="00E262C6"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scan interval between MRI and PET imaging, as well as ACER score as nuisance covariates in the design matrix. Global and lobar PK11195 uptake was treated as the independent variable for each DTI parameter across the white matter skeleton. The statistical significance from these tests was determined using non-parametric permutation testing (n = 5000 permutations) and adjusted for multiple comparisons FWE correction and using two-tailed p&lt;0.05 significance threshold</w:t>
      </w:r>
      <w:r w:rsidR="00934339" w:rsidRPr="00477F48">
        <w:rPr>
          <w:rFonts w:ascii="Times New Roman" w:hAnsi="Times New Roman" w:cs="Times New Roman"/>
          <w:sz w:val="24"/>
          <w:szCs w:val="24"/>
          <w:lang w:val="en-GB"/>
        </w:rPr>
        <w:t xml:space="preserve"> (Smith and Nichols, 2009)</w:t>
      </w:r>
      <w:r w:rsidR="00E30808" w:rsidRPr="00477F48">
        <w:rPr>
          <w:rFonts w:ascii="Times New Roman" w:hAnsi="Times New Roman" w:cs="Times New Roman"/>
          <w:sz w:val="24"/>
          <w:szCs w:val="24"/>
          <w:lang w:val="en-GB"/>
        </w:rPr>
        <w:t>, thus obviating the need to set an arbitrary cluster threshold</w:t>
      </w:r>
      <w:r w:rsidRPr="00477F48">
        <w:rPr>
          <w:rFonts w:ascii="Times New Roman" w:hAnsi="Times New Roman" w:cs="Times New Roman"/>
          <w:sz w:val="24"/>
          <w:szCs w:val="24"/>
          <w:lang w:val="en-GB"/>
        </w:rPr>
        <w:t xml:space="preserve">. Anatomical definitions of significant TBSS clusters were performed visually and </w:t>
      </w:r>
      <w:r w:rsidRPr="00477F48">
        <w:rPr>
          <w:rFonts w:ascii="Times New Roman" w:hAnsi="Times New Roman" w:cs="Times New Roman"/>
          <w:sz w:val="24"/>
          <w:szCs w:val="24"/>
          <w:lang w:val="en-GB"/>
        </w:rPr>
        <w:lastRenderedPageBreak/>
        <w:t xml:space="preserve">facilitated using the John Hopkins – ICBM white matter atlas, available as part of the FSL package. Finally, the statistical maps were dilated with </w:t>
      </w:r>
      <w:proofErr w:type="spellStart"/>
      <w:r w:rsidRPr="00477F48">
        <w:rPr>
          <w:rFonts w:ascii="Times New Roman" w:hAnsi="Times New Roman" w:cs="Times New Roman"/>
          <w:sz w:val="24"/>
          <w:szCs w:val="24"/>
          <w:lang w:val="en-GB"/>
        </w:rPr>
        <w:t>tbss_fill</w:t>
      </w:r>
      <w:proofErr w:type="spellEnd"/>
      <w:r w:rsidRPr="00477F48">
        <w:rPr>
          <w:rFonts w:ascii="Times New Roman" w:hAnsi="Times New Roman" w:cs="Times New Roman"/>
          <w:sz w:val="24"/>
          <w:szCs w:val="24"/>
          <w:lang w:val="en-GB"/>
        </w:rPr>
        <w:t xml:space="preserve"> function for visualisation purposes. Similarly, </w:t>
      </w:r>
      <w:proofErr w:type="spellStart"/>
      <w:r w:rsidRPr="00477F48">
        <w:rPr>
          <w:rFonts w:ascii="Times New Roman" w:hAnsi="Times New Roman" w:cs="Times New Roman"/>
          <w:sz w:val="24"/>
          <w:szCs w:val="24"/>
          <w:lang w:val="en-GB"/>
        </w:rPr>
        <w:t>voxelwise</w:t>
      </w:r>
      <w:proofErr w:type="spellEnd"/>
      <w:r w:rsidRPr="00477F48">
        <w:rPr>
          <w:rFonts w:ascii="Times New Roman" w:hAnsi="Times New Roman" w:cs="Times New Roman"/>
          <w:sz w:val="24"/>
          <w:szCs w:val="24"/>
          <w:lang w:val="en-GB"/>
        </w:rPr>
        <w:t xml:space="preserve"> VBM correlational maps with global/lobar PK11195 were obtained for DLB subjects, using the same covariates as for DTI correlations (in addition to total intracranial volume). </w:t>
      </w:r>
      <w:r w:rsidR="004532A1" w:rsidRPr="00477F48">
        <w:rPr>
          <w:rFonts w:ascii="Times New Roman" w:hAnsi="Times New Roman" w:cs="Times New Roman"/>
          <w:sz w:val="24"/>
          <w:szCs w:val="24"/>
          <w:lang w:val="en-GB"/>
        </w:rPr>
        <w:t>F</w:t>
      </w:r>
      <w:r w:rsidRPr="00477F48">
        <w:rPr>
          <w:rFonts w:ascii="Times New Roman" w:hAnsi="Times New Roman" w:cs="Times New Roman"/>
          <w:sz w:val="24"/>
          <w:szCs w:val="24"/>
          <w:lang w:val="en-GB"/>
        </w:rPr>
        <w:t xml:space="preserve">alse-discovery rate (FDR) p&lt;0.05 was used as a significance threshold. </w:t>
      </w:r>
    </w:p>
    <w:p w14:paraId="4272C1A1" w14:textId="77777777" w:rsidR="003A293D" w:rsidRPr="00477F48" w:rsidRDefault="003A293D" w:rsidP="008D2D9C">
      <w:pPr>
        <w:spacing w:line="480" w:lineRule="auto"/>
        <w:jc w:val="both"/>
        <w:rPr>
          <w:rFonts w:ascii="Times New Roman" w:hAnsi="Times New Roman" w:cs="Times New Roman"/>
          <w:sz w:val="24"/>
          <w:szCs w:val="24"/>
          <w:lang w:val="en-GB"/>
        </w:rPr>
      </w:pPr>
    </w:p>
    <w:p w14:paraId="477B190D" w14:textId="77777777" w:rsidR="003A293D" w:rsidRPr="00477F48" w:rsidRDefault="003A293D" w:rsidP="008D2D9C">
      <w:pPr>
        <w:spacing w:line="480" w:lineRule="auto"/>
        <w:jc w:val="both"/>
        <w:outlineLvl w:val="0"/>
        <w:rPr>
          <w:rFonts w:ascii="Times New Roman" w:hAnsi="Times New Roman" w:cs="Times New Roman"/>
          <w:sz w:val="24"/>
          <w:szCs w:val="24"/>
          <w:lang w:val="en-GB"/>
        </w:rPr>
      </w:pPr>
      <w:r w:rsidRPr="00477F48">
        <w:rPr>
          <w:rFonts w:ascii="Times New Roman" w:hAnsi="Times New Roman" w:cs="Times New Roman"/>
          <w:b/>
          <w:sz w:val="24"/>
          <w:szCs w:val="24"/>
          <w:lang w:val="en-GB"/>
        </w:rPr>
        <w:t>RESULTS</w:t>
      </w:r>
    </w:p>
    <w:p w14:paraId="587CE036" w14:textId="77777777" w:rsidR="003A293D" w:rsidRPr="00477F48" w:rsidRDefault="003A293D" w:rsidP="008D2D9C">
      <w:pPr>
        <w:spacing w:line="480" w:lineRule="auto"/>
        <w:jc w:val="both"/>
        <w:outlineLvl w:val="0"/>
        <w:rPr>
          <w:rFonts w:ascii="Times New Roman" w:hAnsi="Times New Roman" w:cs="Times New Roman"/>
          <w:b/>
          <w:i/>
          <w:sz w:val="24"/>
          <w:szCs w:val="24"/>
          <w:lang w:val="en-GB"/>
        </w:rPr>
      </w:pPr>
      <w:r w:rsidRPr="00477F48">
        <w:rPr>
          <w:rFonts w:ascii="Times New Roman" w:hAnsi="Times New Roman" w:cs="Times New Roman"/>
          <w:b/>
          <w:i/>
          <w:sz w:val="24"/>
          <w:szCs w:val="24"/>
          <w:lang w:val="en-GB"/>
        </w:rPr>
        <w:t>Demographics</w:t>
      </w:r>
    </w:p>
    <w:p w14:paraId="49B26550" w14:textId="7B10B2E6"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The demographics and clinical characteristics are reported in </w:t>
      </w:r>
      <w:r w:rsidRPr="00477F48">
        <w:rPr>
          <w:rFonts w:ascii="Times New Roman" w:hAnsi="Times New Roman" w:cs="Times New Roman"/>
          <w:b/>
          <w:sz w:val="24"/>
          <w:szCs w:val="24"/>
          <w:lang w:val="en-GB"/>
        </w:rPr>
        <w:t>Table 1</w:t>
      </w:r>
      <w:r w:rsidRPr="00477F48">
        <w:rPr>
          <w:rFonts w:ascii="Times New Roman" w:hAnsi="Times New Roman" w:cs="Times New Roman"/>
          <w:sz w:val="24"/>
          <w:szCs w:val="24"/>
          <w:lang w:val="en-GB"/>
        </w:rPr>
        <w:t xml:space="preserve">. Both groups were comparable in terms of age, </w:t>
      </w:r>
      <w:r w:rsidR="00A36A77"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and years of education. As expected, MMSE and ACER scores were significantly lower in the DLB group relative to the healthy controls (p&lt;0.001, </w:t>
      </w:r>
      <w:r w:rsidRPr="00477F48">
        <w:rPr>
          <w:rFonts w:ascii="Times New Roman" w:hAnsi="Times New Roman" w:cs="Times New Roman"/>
          <w:i/>
          <w:iCs/>
          <w:sz w:val="24"/>
          <w:szCs w:val="24"/>
          <w:lang w:val="en-GB"/>
        </w:rPr>
        <w:t>Mann-Whitney U test</w:t>
      </w:r>
      <w:r w:rsidRPr="00477F48">
        <w:rPr>
          <w:rFonts w:ascii="Times New Roman" w:hAnsi="Times New Roman" w:cs="Times New Roman"/>
          <w:sz w:val="24"/>
          <w:szCs w:val="24"/>
          <w:lang w:val="en-GB"/>
        </w:rPr>
        <w:t xml:space="preserve">). </w:t>
      </w:r>
    </w:p>
    <w:p w14:paraId="5BE584E7" w14:textId="77777777"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b/>
          <w:i/>
          <w:sz w:val="24"/>
          <w:szCs w:val="24"/>
          <w:lang w:val="en-GB"/>
        </w:rPr>
        <w:t>Group comparisons of DTI/VBM parameters</w:t>
      </w:r>
    </w:p>
    <w:p w14:paraId="0F287FC4" w14:textId="77777777" w:rsidR="003A293D" w:rsidRPr="00477F48" w:rsidRDefault="003A293D" w:rsidP="008D2D9C">
      <w:pPr>
        <w:spacing w:line="480" w:lineRule="auto"/>
        <w:jc w:val="both"/>
        <w:rPr>
          <w:rFonts w:ascii="Times New Roman" w:hAnsi="Times New Roman" w:cs="Times New Roman"/>
          <w:sz w:val="24"/>
          <w:szCs w:val="24"/>
          <w:lang w:val="en-GB"/>
        </w:rPr>
      </w:pPr>
      <w:bookmarkStart w:id="17" w:name="OLE_LINK60"/>
      <w:r w:rsidRPr="00477F48">
        <w:rPr>
          <w:rFonts w:ascii="Times New Roman" w:hAnsi="Times New Roman" w:cs="Times New Roman"/>
          <w:sz w:val="24"/>
          <w:szCs w:val="24"/>
          <w:lang w:val="en-GB"/>
        </w:rPr>
        <w:t>Voxel-based TBSS analyses revealed that the DLB group relative to controls had significant white matter changes in the body and splenium of corpus callosum</w:t>
      </w:r>
      <w:bookmarkEnd w:id="17"/>
      <w:r w:rsidRPr="00477F48">
        <w:rPr>
          <w:rFonts w:ascii="Times New Roman" w:hAnsi="Times New Roman" w:cs="Times New Roman"/>
          <w:sz w:val="24"/>
          <w:szCs w:val="24"/>
          <w:lang w:val="en-GB"/>
        </w:rPr>
        <w:t>. These findings were consistently observed for all three DTI metrics (decreased FA, increased MD and RD). In addition, we observed reduced FA and increased RD for DLB in right anterior and posterior corona radiata, left cingulate gyrus, and right superior longitudinal fasciculus (</w:t>
      </w:r>
      <w:r w:rsidRPr="00477F48">
        <w:rPr>
          <w:rFonts w:ascii="Times New Roman" w:hAnsi="Times New Roman" w:cs="Times New Roman"/>
          <w:b/>
          <w:sz w:val="24"/>
          <w:szCs w:val="24"/>
          <w:lang w:val="en-GB"/>
        </w:rPr>
        <w:t>Figure 1</w:t>
      </w:r>
      <w:r w:rsidRPr="00477F48">
        <w:rPr>
          <w:rFonts w:ascii="Times New Roman" w:hAnsi="Times New Roman" w:cs="Times New Roman"/>
          <w:sz w:val="24"/>
          <w:szCs w:val="24"/>
          <w:lang w:val="en-GB"/>
        </w:rPr>
        <w:t>) (all FWE-corrected p&lt;0.05).</w:t>
      </w:r>
    </w:p>
    <w:p w14:paraId="1FBA409F" w14:textId="77777777" w:rsidR="003A293D" w:rsidRPr="00477F48" w:rsidRDefault="003A293D" w:rsidP="0060415A">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Subgroup analyses of DLB subjects according to their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status revealed a more extensive impairment in the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DLB (n=9) compared to controls, with virtually every subcortical tract being impaired. In contrast, there was no significant DTI changes in the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DLB subgroup </w:t>
      </w:r>
      <w:r w:rsidRPr="00477F48">
        <w:rPr>
          <w:rFonts w:ascii="Times New Roman" w:hAnsi="Times New Roman" w:cs="Times New Roman"/>
          <w:sz w:val="24"/>
          <w:szCs w:val="24"/>
          <w:lang w:val="en-GB"/>
        </w:rPr>
        <w:lastRenderedPageBreak/>
        <w:t xml:space="preserve">(n=6) compared to controls. DTI group comparisons between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(n = 9) and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DLB (n = 6) did not show any significant cluster (all FWE-corrected p &gt; 0.17).</w:t>
      </w:r>
    </w:p>
    <w:p w14:paraId="474DD300" w14:textId="17976AEB" w:rsidR="003A293D" w:rsidRPr="00477F48" w:rsidRDefault="003A293D" w:rsidP="0060415A">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VBM group comparisons showed that, in comparison to Controls, DLB subjects had lower grey matter volume in regions </w:t>
      </w:r>
      <w:r w:rsidR="004C14F9" w:rsidRPr="00477F48">
        <w:rPr>
          <w:rFonts w:ascii="Times New Roman" w:hAnsi="Times New Roman" w:cs="Times New Roman"/>
          <w:sz w:val="24"/>
          <w:szCs w:val="24"/>
          <w:lang w:val="en-GB"/>
        </w:rPr>
        <w:t>including</w:t>
      </w:r>
      <w:r w:rsidRPr="00477F48">
        <w:rPr>
          <w:rFonts w:ascii="Times New Roman" w:hAnsi="Times New Roman" w:cs="Times New Roman"/>
          <w:sz w:val="24"/>
          <w:szCs w:val="24"/>
          <w:lang w:val="en-GB"/>
        </w:rPr>
        <w:t xml:space="preserve"> </w:t>
      </w:r>
      <w:r w:rsidR="00FF54C3" w:rsidRPr="00477F48">
        <w:rPr>
          <w:rFonts w:ascii="Times New Roman" w:hAnsi="Times New Roman" w:cs="Times New Roman"/>
          <w:sz w:val="24"/>
          <w:szCs w:val="24"/>
          <w:lang w:val="en-GB"/>
        </w:rPr>
        <w:t>bilateral superior and middle frontal, middle and posterior temporal</w:t>
      </w:r>
      <w:r w:rsidRPr="00477F48">
        <w:rPr>
          <w:rFonts w:ascii="Times New Roman" w:hAnsi="Times New Roman" w:cs="Times New Roman"/>
          <w:sz w:val="24"/>
          <w:szCs w:val="24"/>
          <w:lang w:val="en-GB"/>
        </w:rPr>
        <w:t xml:space="preserve">, </w:t>
      </w:r>
      <w:r w:rsidR="00FF54C3" w:rsidRPr="00477F48">
        <w:rPr>
          <w:rFonts w:ascii="Times New Roman" w:hAnsi="Times New Roman" w:cs="Times New Roman"/>
          <w:sz w:val="24"/>
          <w:szCs w:val="24"/>
          <w:lang w:val="en-GB"/>
        </w:rPr>
        <w:t xml:space="preserve">inferior </w:t>
      </w:r>
      <w:r w:rsidRPr="00477F48">
        <w:rPr>
          <w:rFonts w:ascii="Times New Roman" w:hAnsi="Times New Roman" w:cs="Times New Roman"/>
          <w:sz w:val="24"/>
          <w:szCs w:val="24"/>
          <w:lang w:val="en-GB"/>
        </w:rPr>
        <w:t xml:space="preserve">parietal and </w:t>
      </w:r>
      <w:r w:rsidR="00FF54C3" w:rsidRPr="00477F48">
        <w:rPr>
          <w:rFonts w:ascii="Times New Roman" w:hAnsi="Times New Roman" w:cs="Times New Roman"/>
          <w:sz w:val="24"/>
          <w:szCs w:val="24"/>
          <w:lang w:val="en-GB"/>
        </w:rPr>
        <w:t xml:space="preserve">lateral </w:t>
      </w:r>
      <w:r w:rsidRPr="00477F48">
        <w:rPr>
          <w:rFonts w:ascii="Times New Roman" w:hAnsi="Times New Roman" w:cs="Times New Roman"/>
          <w:sz w:val="24"/>
          <w:szCs w:val="24"/>
          <w:lang w:val="en-GB"/>
        </w:rPr>
        <w:t>occipital cortices (F</w:t>
      </w:r>
      <w:r w:rsidR="00FF54C3" w:rsidRPr="00477F48">
        <w:rPr>
          <w:rFonts w:ascii="Times New Roman" w:hAnsi="Times New Roman" w:cs="Times New Roman"/>
          <w:sz w:val="24"/>
          <w:szCs w:val="24"/>
          <w:lang w:val="en-GB"/>
        </w:rPr>
        <w:t>WE</w:t>
      </w:r>
      <w:r w:rsidRPr="00477F48">
        <w:rPr>
          <w:rFonts w:ascii="Times New Roman" w:hAnsi="Times New Roman" w:cs="Times New Roman"/>
          <w:sz w:val="24"/>
          <w:szCs w:val="24"/>
          <w:lang w:val="en-GB"/>
        </w:rPr>
        <w:t>-corrected p&lt;0.05</w:t>
      </w:r>
      <w:r w:rsidR="00A36A77" w:rsidRPr="00477F48">
        <w:rPr>
          <w:rFonts w:ascii="Times New Roman" w:hAnsi="Times New Roman" w:cs="Times New Roman"/>
          <w:sz w:val="24"/>
          <w:szCs w:val="24"/>
          <w:lang w:val="en-GB"/>
        </w:rPr>
        <w:t xml:space="preserve">, </w:t>
      </w:r>
      <w:r w:rsidR="00A36A77" w:rsidRPr="00477F48">
        <w:rPr>
          <w:rFonts w:ascii="Times New Roman" w:hAnsi="Times New Roman" w:cs="Times New Roman"/>
          <w:b/>
          <w:bCs/>
          <w:sz w:val="24"/>
          <w:szCs w:val="24"/>
          <w:lang w:val="en-GB"/>
        </w:rPr>
        <w:t>Figure 2</w:t>
      </w:r>
      <w:r w:rsidRPr="00477F48">
        <w:rPr>
          <w:rFonts w:ascii="Times New Roman" w:hAnsi="Times New Roman" w:cs="Times New Roman"/>
          <w:sz w:val="24"/>
          <w:szCs w:val="24"/>
          <w:lang w:val="en-GB"/>
        </w:rPr>
        <w:t>).</w:t>
      </w:r>
    </w:p>
    <w:p w14:paraId="0FA48C88" w14:textId="77777777" w:rsidR="003A293D" w:rsidRPr="00477F48" w:rsidRDefault="003A293D" w:rsidP="0060415A">
      <w:pPr>
        <w:spacing w:line="480" w:lineRule="auto"/>
        <w:jc w:val="both"/>
        <w:rPr>
          <w:rFonts w:ascii="Times New Roman" w:hAnsi="Times New Roman" w:cs="Times New Roman"/>
          <w:sz w:val="24"/>
          <w:szCs w:val="24"/>
          <w:lang w:val="en-GB"/>
        </w:rPr>
      </w:pPr>
    </w:p>
    <w:p w14:paraId="36AFF59A" w14:textId="77777777" w:rsidR="003A293D" w:rsidRPr="00477F48" w:rsidRDefault="003A293D" w:rsidP="008D2D9C">
      <w:pPr>
        <w:spacing w:line="480" w:lineRule="auto"/>
        <w:jc w:val="both"/>
        <w:outlineLvl w:val="0"/>
        <w:rPr>
          <w:rFonts w:ascii="Times New Roman" w:hAnsi="Times New Roman" w:cs="Times New Roman"/>
          <w:b/>
          <w:i/>
          <w:sz w:val="24"/>
          <w:szCs w:val="24"/>
          <w:lang w:val="en-GB"/>
        </w:rPr>
      </w:pPr>
      <w:r w:rsidRPr="00477F48">
        <w:rPr>
          <w:rFonts w:ascii="Times New Roman" w:hAnsi="Times New Roman" w:cs="Times New Roman"/>
          <w:b/>
          <w:i/>
          <w:sz w:val="24"/>
          <w:szCs w:val="24"/>
          <w:lang w:val="en-GB"/>
        </w:rPr>
        <w:t>PK11195 binding in DLB</w:t>
      </w:r>
    </w:p>
    <w:p w14:paraId="176DF7A1" w14:textId="77777777" w:rsidR="003A293D" w:rsidRPr="00477F48" w:rsidRDefault="003A293D" w:rsidP="008D2D9C">
      <w:pPr>
        <w:spacing w:line="480" w:lineRule="auto"/>
        <w:jc w:val="both"/>
        <w:outlineLvl w:val="0"/>
        <w:rPr>
          <w:rFonts w:ascii="Times New Roman" w:hAnsi="Times New Roman" w:cs="Times New Roman"/>
          <w:bCs/>
          <w:iCs/>
          <w:sz w:val="24"/>
          <w:szCs w:val="24"/>
          <w:lang w:val="en-GB"/>
        </w:rPr>
      </w:pPr>
      <w:r w:rsidRPr="00477F48">
        <w:rPr>
          <w:rFonts w:ascii="Times New Roman" w:hAnsi="Times New Roman" w:cs="Times New Roman"/>
          <w:bCs/>
          <w:iCs/>
          <w:sz w:val="24"/>
          <w:szCs w:val="24"/>
          <w:lang w:val="en-GB"/>
        </w:rPr>
        <w:t xml:space="preserve">As previously shown with the same DLB group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lang w:val="en-GB"/>
        </w:rPr>
        <w:t>6</w:t>
      </w:r>
      <w:r w:rsidRPr="00477F48">
        <w:rPr>
          <w:rFonts w:ascii="Times New Roman" w:hAnsi="Times New Roman" w:cs="Times New Roman"/>
          <w:sz w:val="24"/>
          <w:szCs w:val="24"/>
          <w:lang w:val="en-GB"/>
        </w:rPr>
        <w:sym w:font="Symbol" w:char="F05D"/>
      </w:r>
      <w:r w:rsidRPr="00477F48">
        <w:rPr>
          <w:rFonts w:ascii="Times New Roman" w:hAnsi="Times New Roman" w:cs="Times New Roman"/>
          <w:bCs/>
          <w:iCs/>
          <w:sz w:val="24"/>
          <w:szCs w:val="24"/>
          <w:lang w:val="en-GB"/>
        </w:rPr>
        <w:t xml:space="preserve">, PK11195 PET comparisons with a </w:t>
      </w:r>
      <w:proofErr w:type="gramStart"/>
      <w:r w:rsidRPr="00477F48">
        <w:rPr>
          <w:rFonts w:ascii="Times New Roman" w:hAnsi="Times New Roman" w:cs="Times New Roman"/>
          <w:bCs/>
          <w:iCs/>
          <w:sz w:val="24"/>
          <w:szCs w:val="24"/>
          <w:lang w:val="en-GB"/>
        </w:rPr>
        <w:t>similarly-aged</w:t>
      </w:r>
      <w:proofErr w:type="gramEnd"/>
      <w:r w:rsidRPr="00477F48">
        <w:rPr>
          <w:rFonts w:ascii="Times New Roman" w:hAnsi="Times New Roman" w:cs="Times New Roman"/>
          <w:bCs/>
          <w:iCs/>
          <w:sz w:val="24"/>
          <w:szCs w:val="24"/>
          <w:lang w:val="en-GB"/>
        </w:rPr>
        <w:t xml:space="preserve"> control group showed that DLB subjects had higher PK11195 binding in the fusiform gyrus and putamen (p &lt; 0.01, </w:t>
      </w:r>
      <w:r w:rsidRPr="00477F48">
        <w:rPr>
          <w:rFonts w:ascii="Times New Roman" w:hAnsi="Times New Roman" w:cs="Times New Roman"/>
          <w:bCs/>
          <w:i/>
          <w:sz w:val="24"/>
          <w:szCs w:val="24"/>
          <w:lang w:val="en-GB"/>
        </w:rPr>
        <w:t>Mann-Whitney U test</w:t>
      </w:r>
      <w:r w:rsidRPr="00477F48">
        <w:rPr>
          <w:rFonts w:ascii="Times New Roman" w:hAnsi="Times New Roman" w:cs="Times New Roman"/>
          <w:bCs/>
          <w:iCs/>
          <w:sz w:val="24"/>
          <w:szCs w:val="24"/>
          <w:lang w:val="en-GB"/>
        </w:rPr>
        <w:t xml:space="preserve">). Using a median-split approach to dichotomise DLB subjects into a mild cognitive impairment subgroup (ACER score &gt;65/100) and a moderate-severe cognitive impairment subgroup (ACER score ≤65/100) revealed that the “mild” DLB group had higher PK11195 binding than Controls in the inferior and medial temporal gyrus, fusiform gyrus, putamen, inferior frontal gyrus and cuneus. Conversely, there was no significant difference between the moderate-severe DLB subgroup and Controls, except for a higher PK11195 in the caudate nucleus for the Control group (details available in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lang w:val="en-GB"/>
        </w:rPr>
        <w:t>6</w:t>
      </w:r>
      <w:r w:rsidRPr="00477F48">
        <w:rPr>
          <w:rFonts w:ascii="Times New Roman" w:hAnsi="Times New Roman" w:cs="Times New Roman"/>
          <w:sz w:val="24"/>
          <w:szCs w:val="24"/>
          <w:lang w:val="en-GB"/>
        </w:rPr>
        <w:sym w:font="Symbol" w:char="F05D"/>
      </w:r>
      <w:r w:rsidRPr="00477F48">
        <w:rPr>
          <w:rFonts w:ascii="Times New Roman" w:hAnsi="Times New Roman" w:cs="Times New Roman"/>
          <w:bCs/>
          <w:iCs/>
          <w:sz w:val="24"/>
          <w:szCs w:val="24"/>
          <w:lang w:val="en-GB"/>
        </w:rPr>
        <w:t>). In addition, we observed that DLB subjects had lower BP</w:t>
      </w:r>
      <w:r w:rsidRPr="00477F48">
        <w:rPr>
          <w:rFonts w:ascii="Times New Roman" w:hAnsi="Times New Roman" w:cs="Times New Roman"/>
          <w:bCs/>
          <w:iCs/>
          <w:sz w:val="24"/>
          <w:szCs w:val="24"/>
          <w:vertAlign w:val="subscript"/>
          <w:lang w:val="en-GB"/>
        </w:rPr>
        <w:t>ND</w:t>
      </w:r>
      <w:r w:rsidRPr="00477F48">
        <w:rPr>
          <w:rFonts w:ascii="Times New Roman" w:hAnsi="Times New Roman" w:cs="Times New Roman"/>
          <w:bCs/>
          <w:iCs/>
          <w:sz w:val="24"/>
          <w:szCs w:val="24"/>
          <w:lang w:val="en-GB"/>
        </w:rPr>
        <w:t xml:space="preserve"> in the parietal lobe (0.03 ± 0.06) compared to the frontal (0.10 ± 0.08, p=0.008) and occipital lobes (0.11 ± 0.08, p=0.002, </w:t>
      </w:r>
      <w:r w:rsidRPr="00477F48">
        <w:rPr>
          <w:rFonts w:ascii="Times New Roman" w:hAnsi="Times New Roman" w:cs="Times New Roman"/>
          <w:bCs/>
          <w:i/>
          <w:sz w:val="24"/>
          <w:szCs w:val="24"/>
          <w:lang w:val="en-GB"/>
        </w:rPr>
        <w:t>Mann-Whitney U test</w:t>
      </w:r>
      <w:r w:rsidRPr="00477F48">
        <w:rPr>
          <w:rFonts w:ascii="Times New Roman" w:hAnsi="Times New Roman" w:cs="Times New Roman"/>
          <w:bCs/>
          <w:iCs/>
          <w:sz w:val="24"/>
          <w:szCs w:val="24"/>
          <w:lang w:val="en-GB"/>
        </w:rPr>
        <w:t>).</w:t>
      </w:r>
    </w:p>
    <w:p w14:paraId="70C1976E" w14:textId="35B9C85C" w:rsidR="003A293D" w:rsidRPr="00477F48" w:rsidRDefault="00990480" w:rsidP="00825B6A">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H</w:t>
      </w:r>
      <w:r w:rsidR="003A293D" w:rsidRPr="00477F48">
        <w:rPr>
          <w:rFonts w:ascii="Times New Roman" w:hAnsi="Times New Roman" w:cs="Times New Roman"/>
          <w:sz w:val="24"/>
          <w:szCs w:val="24"/>
          <w:lang w:val="en-GB"/>
        </w:rPr>
        <w:t>igher ACER score was significantly correlated with higher PK11195 binding in frontal (Spearman ρ = 0.52, p = 0.03, 95% CI 0.137 – 0.91), temporal (ρ = 0.50, p = 0.03, 95% CI 0.128 – 0.878) and occipital lobe (ρ = 0.55, p = 0.02, 95% CI 0.209 – 0.898), with a trend for global PK (ρ = 0.46, p = 0.052, 95% CI 0.094 – 0.834) but not with parietal PK binding (ρ = 0.26, p = 0.23, 95% CI -0.185 – 0.741).</w:t>
      </w:r>
    </w:p>
    <w:p w14:paraId="4DDB3CCA" w14:textId="77777777" w:rsidR="003A293D" w:rsidRPr="00477F48" w:rsidRDefault="003A293D" w:rsidP="008D2D9C">
      <w:pPr>
        <w:spacing w:line="480" w:lineRule="auto"/>
        <w:jc w:val="both"/>
        <w:outlineLvl w:val="0"/>
        <w:rPr>
          <w:rFonts w:ascii="Times New Roman" w:hAnsi="Times New Roman" w:cs="Times New Roman"/>
          <w:bCs/>
          <w:iCs/>
          <w:sz w:val="24"/>
          <w:szCs w:val="24"/>
          <w:lang w:val="en-GB"/>
        </w:rPr>
      </w:pPr>
    </w:p>
    <w:p w14:paraId="6EB7E586" w14:textId="77777777" w:rsidR="003A293D" w:rsidRPr="00477F48" w:rsidRDefault="003A293D" w:rsidP="008D2D9C">
      <w:pPr>
        <w:spacing w:line="480" w:lineRule="auto"/>
        <w:jc w:val="both"/>
        <w:outlineLvl w:val="0"/>
        <w:rPr>
          <w:rFonts w:ascii="Times New Roman" w:hAnsi="Times New Roman" w:cs="Times New Roman"/>
          <w:b/>
          <w:i/>
          <w:sz w:val="24"/>
          <w:szCs w:val="24"/>
          <w:lang w:val="en-GB"/>
        </w:rPr>
      </w:pPr>
      <w:r w:rsidRPr="00477F48">
        <w:rPr>
          <w:rFonts w:ascii="Times New Roman" w:hAnsi="Times New Roman" w:cs="Times New Roman"/>
          <w:b/>
          <w:i/>
          <w:sz w:val="24"/>
          <w:szCs w:val="24"/>
          <w:lang w:val="en-GB"/>
        </w:rPr>
        <w:t>Voxel-wise association of imaging data</w:t>
      </w:r>
    </w:p>
    <w:p w14:paraId="1FED4536" w14:textId="22F5D39B"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TBSS analyses revealed that for DLB subjects, higher parietal PK11195 uptake was associated with a relative preservation of white matter (i.e., lower MD and RD) in bilateral corona radiata, posterior thalamic radiations, sagittal stratum, left superior longitudinal fasciculus, as well as frontal and parietooccipital white matter tracts (two-tailed FWE p &lt; 0.05) (</w:t>
      </w:r>
      <w:r w:rsidRPr="00477F48">
        <w:rPr>
          <w:rFonts w:ascii="Times New Roman" w:hAnsi="Times New Roman" w:cs="Times New Roman"/>
          <w:b/>
          <w:sz w:val="24"/>
          <w:szCs w:val="24"/>
          <w:lang w:val="en-GB"/>
        </w:rPr>
        <w:t xml:space="preserve">Figure </w:t>
      </w:r>
      <w:r w:rsidR="00A36A77" w:rsidRPr="00477F48">
        <w:rPr>
          <w:rFonts w:ascii="Times New Roman" w:hAnsi="Times New Roman" w:cs="Times New Roman"/>
          <w:b/>
          <w:sz w:val="24"/>
          <w:szCs w:val="24"/>
          <w:lang w:val="en-GB"/>
        </w:rPr>
        <w:t>3</w:t>
      </w:r>
      <w:r w:rsidRPr="00477F48">
        <w:rPr>
          <w:rFonts w:ascii="Times New Roman" w:hAnsi="Times New Roman" w:cs="Times New Roman"/>
          <w:sz w:val="24"/>
          <w:szCs w:val="24"/>
          <w:lang w:val="en-GB"/>
        </w:rPr>
        <w:t xml:space="preserve">). We did not find significant associations between PK11195 and FA (p = 0.05), nor were there any significant correlations in the opposite contrasts for MD and RD. </w:t>
      </w:r>
    </w:p>
    <w:p w14:paraId="6C84E216" w14:textId="77777777"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PK11195 – DTI correlation analyses did not reach a significant threshold regarding PK11195 at the global (all p &gt; 0.13), frontal (all p &gt; 0.13), temporal (all p &gt; 0.08) and occipital level (all p &gt; 0.13) (all </w:t>
      </w:r>
      <w:proofErr w:type="spellStart"/>
      <w:r w:rsidRPr="00477F48">
        <w:rPr>
          <w:rFonts w:ascii="Times New Roman" w:hAnsi="Times New Roman" w:cs="Times New Roman"/>
          <w:sz w:val="24"/>
          <w:szCs w:val="24"/>
          <w:lang w:val="en-GB"/>
        </w:rPr>
        <w:t>voxelwise</w:t>
      </w:r>
      <w:proofErr w:type="spellEnd"/>
      <w:r w:rsidRPr="00477F48">
        <w:rPr>
          <w:rFonts w:ascii="Times New Roman" w:hAnsi="Times New Roman" w:cs="Times New Roman"/>
          <w:sz w:val="24"/>
          <w:szCs w:val="24"/>
          <w:lang w:val="en-GB"/>
        </w:rPr>
        <w:t xml:space="preserve"> FWE-corrected). </w:t>
      </w:r>
    </w:p>
    <w:p w14:paraId="40E24C0B" w14:textId="77777777" w:rsidR="003A293D" w:rsidRPr="00477F48" w:rsidRDefault="003A293D" w:rsidP="008D2D9C">
      <w:pPr>
        <w:spacing w:line="480" w:lineRule="auto"/>
        <w:jc w:val="both"/>
        <w:outlineLvl w:val="0"/>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Regarding </w:t>
      </w:r>
      <w:proofErr w:type="spellStart"/>
      <w:r w:rsidRPr="00477F48">
        <w:rPr>
          <w:rFonts w:ascii="Times New Roman" w:hAnsi="Times New Roman" w:cs="Times New Roman"/>
          <w:sz w:val="24"/>
          <w:szCs w:val="24"/>
          <w:lang w:val="en-GB"/>
        </w:rPr>
        <w:t>voxelwise</w:t>
      </w:r>
      <w:proofErr w:type="spellEnd"/>
      <w:r w:rsidRPr="00477F48">
        <w:rPr>
          <w:rFonts w:ascii="Times New Roman" w:hAnsi="Times New Roman" w:cs="Times New Roman"/>
          <w:sz w:val="24"/>
          <w:szCs w:val="24"/>
          <w:lang w:val="en-GB"/>
        </w:rPr>
        <w:t xml:space="preserve"> correlations between DTI and lobar/global amyloid load in the subset of DLB subjects with available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PET (n=15), these analyses did not reach statistical significance (all FWE-corrected p &gt; 0.3).</w:t>
      </w:r>
    </w:p>
    <w:p w14:paraId="448C2B1F" w14:textId="75C72EAB" w:rsidR="003A293D" w:rsidRPr="00477F48" w:rsidRDefault="003A293D" w:rsidP="008D2D9C">
      <w:pPr>
        <w:spacing w:line="480" w:lineRule="auto"/>
        <w:jc w:val="both"/>
        <w:outlineLvl w:val="0"/>
        <w:rPr>
          <w:rFonts w:ascii="Times New Roman" w:hAnsi="Times New Roman" w:cs="Times New Roman"/>
          <w:sz w:val="24"/>
          <w:szCs w:val="24"/>
          <w:lang w:val="en-GB"/>
        </w:rPr>
      </w:pPr>
      <w:r w:rsidRPr="00477F48">
        <w:rPr>
          <w:rFonts w:ascii="Times New Roman" w:hAnsi="Times New Roman" w:cs="Times New Roman"/>
          <w:sz w:val="24"/>
          <w:szCs w:val="24"/>
          <w:lang w:val="en-GB"/>
        </w:rPr>
        <w:t>In addition, no significant correlation was observed in the DLB group between VBM maps and global/lobar (increased or decreased) PK11195 binding (all FDR-corrected p</w:t>
      </w:r>
      <w:r w:rsidR="00990480" w:rsidRPr="00477F48">
        <w:rPr>
          <w:rFonts w:ascii="Times New Roman" w:hAnsi="Times New Roman" w:cs="Times New Roman"/>
          <w:sz w:val="24"/>
          <w:szCs w:val="24"/>
          <w:lang w:val="en-GB"/>
        </w:rPr>
        <w:t xml:space="preserve"> </w:t>
      </w:r>
      <w:r w:rsidRPr="00477F48">
        <w:rPr>
          <w:rFonts w:ascii="Times New Roman" w:hAnsi="Times New Roman" w:cs="Times New Roman"/>
          <w:sz w:val="24"/>
          <w:szCs w:val="24"/>
          <w:lang w:val="en-GB"/>
        </w:rPr>
        <w:t>&gt;</w:t>
      </w:r>
      <w:r w:rsidR="00990480" w:rsidRPr="00477F48">
        <w:rPr>
          <w:rFonts w:ascii="Times New Roman" w:hAnsi="Times New Roman" w:cs="Times New Roman"/>
          <w:sz w:val="24"/>
          <w:szCs w:val="24"/>
          <w:lang w:val="en-GB"/>
        </w:rPr>
        <w:t xml:space="preserve"> </w:t>
      </w:r>
      <w:r w:rsidRPr="00477F48">
        <w:rPr>
          <w:rFonts w:ascii="Times New Roman" w:hAnsi="Times New Roman" w:cs="Times New Roman"/>
          <w:sz w:val="24"/>
          <w:szCs w:val="24"/>
          <w:lang w:val="en-GB"/>
        </w:rPr>
        <w:t>0.3).</w:t>
      </w:r>
    </w:p>
    <w:p w14:paraId="505F1808" w14:textId="77777777" w:rsidR="003A293D" w:rsidRPr="00477F48" w:rsidRDefault="003A293D" w:rsidP="008D2D9C">
      <w:pPr>
        <w:spacing w:line="480" w:lineRule="auto"/>
        <w:jc w:val="both"/>
        <w:outlineLvl w:val="0"/>
        <w:rPr>
          <w:rFonts w:ascii="Times New Roman" w:hAnsi="Times New Roman" w:cs="Times New Roman"/>
          <w:b/>
          <w:sz w:val="24"/>
          <w:szCs w:val="24"/>
          <w:lang w:val="en-GB"/>
        </w:rPr>
      </w:pPr>
    </w:p>
    <w:p w14:paraId="6B29C797" w14:textId="77777777" w:rsidR="003A293D" w:rsidRPr="00477F48" w:rsidRDefault="003A293D" w:rsidP="008D2D9C">
      <w:pPr>
        <w:spacing w:line="480" w:lineRule="auto"/>
        <w:jc w:val="both"/>
        <w:outlineLvl w:val="0"/>
        <w:rPr>
          <w:rFonts w:ascii="Times New Roman" w:hAnsi="Times New Roman" w:cs="Times New Roman"/>
          <w:b/>
          <w:sz w:val="24"/>
          <w:szCs w:val="24"/>
          <w:lang w:val="en-GB"/>
        </w:rPr>
      </w:pPr>
      <w:r w:rsidRPr="00477F48">
        <w:rPr>
          <w:rFonts w:ascii="Times New Roman" w:hAnsi="Times New Roman" w:cs="Times New Roman"/>
          <w:b/>
          <w:sz w:val="24"/>
          <w:szCs w:val="24"/>
          <w:lang w:val="en-GB"/>
        </w:rPr>
        <w:t>DISCUSSION</w:t>
      </w:r>
    </w:p>
    <w:p w14:paraId="3CDAE025" w14:textId="77777777" w:rsidR="003A293D" w:rsidRPr="00477F48" w:rsidRDefault="003A293D" w:rsidP="008D2D9C">
      <w:pPr>
        <w:spacing w:line="480" w:lineRule="auto"/>
        <w:jc w:val="both"/>
        <w:rPr>
          <w:rFonts w:ascii="Times New Roman" w:hAnsi="Times New Roman" w:cs="Times New Roman"/>
          <w:sz w:val="24"/>
          <w:szCs w:val="24"/>
          <w:lang w:val="en-GB"/>
        </w:rPr>
      </w:pPr>
      <w:bookmarkStart w:id="18" w:name="OLE_LINK5"/>
      <w:r w:rsidRPr="00477F48">
        <w:rPr>
          <w:rFonts w:ascii="Times New Roman" w:hAnsi="Times New Roman" w:cs="Times New Roman"/>
          <w:sz w:val="24"/>
          <w:szCs w:val="24"/>
          <w:lang w:val="en-GB"/>
        </w:rPr>
        <w:t xml:space="preserve">In the present study, we found evidence of relative DTI preservation for DLB in relation to increased microglial activation as measured with PK11195. This is consistent with our previous data showing that neuroinflammation in </w:t>
      </w:r>
      <w:proofErr w:type="spellStart"/>
      <w:r w:rsidRPr="00477F48">
        <w:rPr>
          <w:rFonts w:ascii="Times New Roman" w:hAnsi="Times New Roman" w:cs="Times New Roman"/>
          <w:sz w:val="24"/>
          <w:szCs w:val="24"/>
          <w:lang w:val="en-GB"/>
        </w:rPr>
        <w:t>fronto</w:t>
      </w:r>
      <w:proofErr w:type="spellEnd"/>
      <w:r w:rsidRPr="00477F48">
        <w:rPr>
          <w:rFonts w:ascii="Times New Roman" w:hAnsi="Times New Roman" w:cs="Times New Roman"/>
          <w:sz w:val="24"/>
          <w:szCs w:val="24"/>
          <w:lang w:val="en-GB"/>
        </w:rPr>
        <w:t xml:space="preserve">-temporo-parietal cortices was more prominent in DLB subjects with milder cognitive impairment, suggesting that central inflammation plays a pivotal role in the early stages of the disease </w:t>
      </w:r>
      <w:r w:rsidRPr="00477F48">
        <w:rPr>
          <w:rFonts w:ascii="Times New Roman" w:hAnsi="Times New Roman" w:cs="Times New Roman"/>
          <w:sz w:val="24"/>
          <w:szCs w:val="24"/>
          <w:lang w:val="en-GB"/>
        </w:rPr>
        <w:sym w:font="Symbol" w:char="F05B"/>
      </w:r>
      <w:r w:rsidRPr="00477F48">
        <w:rPr>
          <w:rFonts w:ascii="Times New Roman" w:hAnsi="Times New Roman" w:cs="Times New Roman"/>
          <w:sz w:val="24"/>
          <w:szCs w:val="24"/>
          <w:lang w:val="en-GB"/>
        </w:rPr>
        <w:t>6</w:t>
      </w:r>
      <w:r w:rsidRPr="00477F48">
        <w:rPr>
          <w:rFonts w:ascii="Times New Roman" w:hAnsi="Times New Roman" w:cs="Times New Roman"/>
          <w:sz w:val="24"/>
          <w:szCs w:val="24"/>
          <w:lang w:val="en-GB"/>
        </w:rPr>
        <w:sym w:font="Symbol" w:char="F05D"/>
      </w:r>
      <w:r w:rsidRPr="00477F48">
        <w:rPr>
          <w:rFonts w:ascii="Times New Roman" w:hAnsi="Times New Roman" w:cs="Times New Roman"/>
          <w:sz w:val="24"/>
          <w:szCs w:val="24"/>
          <w:lang w:val="en-GB"/>
        </w:rPr>
        <w:t xml:space="preserve">. No such correlation (either negative or </w:t>
      </w:r>
      <w:r w:rsidRPr="00477F48">
        <w:rPr>
          <w:rFonts w:ascii="Times New Roman" w:hAnsi="Times New Roman" w:cs="Times New Roman"/>
          <w:sz w:val="24"/>
          <w:szCs w:val="24"/>
          <w:lang w:val="en-GB"/>
        </w:rPr>
        <w:lastRenderedPageBreak/>
        <w:t>positive) was observed between grey matter volume and PK11195 binding - microglial activation does not decrease in relation to grey matter atrophy and conversely, increased neuroinflammation is not directly related to preserved grey matter volume.</w:t>
      </w:r>
    </w:p>
    <w:p w14:paraId="33D5C1AF" w14:textId="47354BC2"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Extensive </w:t>
      </w:r>
      <w:r w:rsidR="006F1B71" w:rsidRPr="00477F48">
        <w:rPr>
          <w:rFonts w:ascii="Times New Roman" w:hAnsi="Times New Roman" w:cs="Times New Roman"/>
          <w:sz w:val="24"/>
          <w:szCs w:val="24"/>
          <w:lang w:val="en-GB"/>
        </w:rPr>
        <w:t xml:space="preserve">grey and </w:t>
      </w:r>
      <w:r w:rsidRPr="00477F48">
        <w:rPr>
          <w:rFonts w:ascii="Times New Roman" w:hAnsi="Times New Roman" w:cs="Times New Roman"/>
          <w:sz w:val="24"/>
          <w:szCs w:val="24"/>
          <w:lang w:val="en-GB"/>
        </w:rPr>
        <w:t>white matter abnormalities were observed in DLB compared to healthy controls</w:t>
      </w:r>
      <w:r w:rsidR="006F1B71" w:rsidRPr="00477F48">
        <w:rPr>
          <w:rFonts w:ascii="Times New Roman" w:hAnsi="Times New Roman" w:cs="Times New Roman"/>
          <w:sz w:val="24"/>
          <w:szCs w:val="24"/>
          <w:lang w:val="en-GB"/>
        </w:rPr>
        <w:t>. Patients exhibited grey matter atrophy in extensive frontal, temporal, parietal and occipital cortices (</w:t>
      </w:r>
      <w:r w:rsidR="00A36A77" w:rsidRPr="00477F48">
        <w:rPr>
          <w:rFonts w:ascii="Times New Roman" w:hAnsi="Times New Roman" w:cs="Times New Roman"/>
          <w:b/>
          <w:bCs/>
          <w:sz w:val="24"/>
          <w:szCs w:val="24"/>
          <w:lang w:val="en-GB"/>
        </w:rPr>
        <w:t>Figure 2</w:t>
      </w:r>
      <w:r w:rsidR="006F1B71" w:rsidRPr="00477F48">
        <w:rPr>
          <w:rFonts w:ascii="Times New Roman" w:hAnsi="Times New Roman" w:cs="Times New Roman"/>
          <w:sz w:val="24"/>
          <w:szCs w:val="24"/>
          <w:lang w:val="en-GB"/>
        </w:rPr>
        <w:t>), while DTI changes were observed in</w:t>
      </w:r>
      <w:r w:rsidRPr="00477F48">
        <w:rPr>
          <w:rFonts w:ascii="Times New Roman" w:hAnsi="Times New Roman" w:cs="Times New Roman"/>
          <w:sz w:val="24"/>
          <w:szCs w:val="24"/>
          <w:lang w:val="en-GB"/>
        </w:rPr>
        <w:t xml:space="preserve"> the corpus callosum, corona radiata, superior longitudinal fasciculus and left cingulum</w:t>
      </w:r>
      <w:r w:rsidR="00A36A77" w:rsidRPr="00477F48">
        <w:rPr>
          <w:rFonts w:ascii="Times New Roman" w:hAnsi="Times New Roman" w:cs="Times New Roman"/>
          <w:sz w:val="24"/>
          <w:szCs w:val="24"/>
          <w:lang w:val="en-GB"/>
        </w:rPr>
        <w:t xml:space="preserve"> (</w:t>
      </w:r>
      <w:r w:rsidR="00A36A77" w:rsidRPr="00477F48">
        <w:rPr>
          <w:rFonts w:ascii="Times New Roman" w:hAnsi="Times New Roman" w:cs="Times New Roman"/>
          <w:b/>
          <w:bCs/>
          <w:sz w:val="24"/>
          <w:szCs w:val="24"/>
          <w:lang w:val="en-GB"/>
        </w:rPr>
        <w:t>Figure 1</w:t>
      </w:r>
      <w:r w:rsidR="00A36A77" w:rsidRPr="00477F48">
        <w:rPr>
          <w:rFonts w:ascii="Times New Roman" w:hAnsi="Times New Roman" w:cs="Times New Roman"/>
          <w:sz w:val="24"/>
          <w:szCs w:val="24"/>
          <w:lang w:val="en-GB"/>
        </w:rPr>
        <w:t>)</w:t>
      </w:r>
      <w:r w:rsidRPr="00477F48">
        <w:rPr>
          <w:rFonts w:ascii="Times New Roman" w:hAnsi="Times New Roman" w:cs="Times New Roman"/>
          <w:sz w:val="24"/>
          <w:szCs w:val="24"/>
          <w:lang w:val="en-GB"/>
        </w:rPr>
        <w:t xml:space="preserve">, which is in keeping with previous studies </w:t>
      </w:r>
      <w:r w:rsidRPr="00477F48">
        <w:rPr>
          <w:rFonts w:ascii="Times New Roman" w:hAnsi="Times New Roman" w:cs="Times New Roman"/>
          <w:noProof/>
          <w:sz w:val="24"/>
          <w:szCs w:val="24"/>
          <w:lang w:val="en-GB"/>
        </w:rPr>
        <w:t>(Firbank</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2007, Kantarci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2010, Watson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2012, Delli Pizzi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2015, Firbank</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2016)</w:t>
      </w:r>
      <w:r w:rsidRPr="00477F48">
        <w:rPr>
          <w:rFonts w:ascii="Times New Roman" w:hAnsi="Times New Roman" w:cs="Times New Roman"/>
          <w:sz w:val="24"/>
          <w:szCs w:val="24"/>
          <w:lang w:val="en-GB"/>
        </w:rPr>
        <w:t xml:space="preserve">. Subgroup analyses according to the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status showed that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DLB subjects had more extensive DTI changes, encompassing virtually every tract of the white matter skeleton. </w:t>
      </w:r>
      <w:r w:rsidR="00124272" w:rsidRPr="00477F48">
        <w:rPr>
          <w:rFonts w:ascii="Times New Roman" w:hAnsi="Times New Roman" w:cs="Times New Roman"/>
          <w:sz w:val="24"/>
          <w:szCs w:val="24"/>
          <w:lang w:val="en-GB"/>
        </w:rPr>
        <w:t>Most likely</w:t>
      </w:r>
      <w:r w:rsidRPr="00477F48">
        <w:rPr>
          <w:rFonts w:ascii="Times New Roman" w:hAnsi="Times New Roman" w:cs="Times New Roman"/>
          <w:sz w:val="24"/>
          <w:szCs w:val="24"/>
          <w:lang w:val="en-GB"/>
        </w:rPr>
        <w:t xml:space="preserve"> due to a small sample size, we did not find any significant DTI difference between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and </w:t>
      </w:r>
      <w:proofErr w:type="spellStart"/>
      <w:r w:rsidRPr="00477F48">
        <w:rPr>
          <w:rFonts w:ascii="Times New Roman" w:hAnsi="Times New Roman" w:cs="Times New Roman"/>
          <w:sz w:val="24"/>
          <w:szCs w:val="24"/>
          <w:lang w:val="en-GB"/>
        </w:rPr>
        <w:t>PiB</w:t>
      </w:r>
      <w:proofErr w:type="spellEnd"/>
      <w:r w:rsidRPr="00477F48">
        <w:rPr>
          <w:rFonts w:ascii="Times New Roman" w:hAnsi="Times New Roman" w:cs="Times New Roman"/>
          <w:sz w:val="24"/>
          <w:szCs w:val="24"/>
          <w:lang w:val="en-GB"/>
        </w:rPr>
        <w:t xml:space="preserve">- DLB subjects. Interestingly, </w:t>
      </w:r>
      <w:r w:rsidR="00AC6FB4" w:rsidRPr="00477F48">
        <w:rPr>
          <w:rFonts w:ascii="Times New Roman" w:hAnsi="Times New Roman" w:cs="Times New Roman"/>
          <w:sz w:val="24"/>
          <w:szCs w:val="24"/>
          <w:lang w:val="en-GB"/>
        </w:rPr>
        <w:t xml:space="preserve">previous studies showed </w:t>
      </w:r>
      <w:r w:rsidR="00ED0371" w:rsidRPr="00477F48">
        <w:rPr>
          <w:rFonts w:ascii="Times New Roman" w:hAnsi="Times New Roman" w:cs="Times New Roman"/>
          <w:sz w:val="24"/>
          <w:szCs w:val="24"/>
          <w:lang w:val="en-GB"/>
        </w:rPr>
        <w:t>altered</w:t>
      </w:r>
      <w:r w:rsidRPr="00477F48">
        <w:rPr>
          <w:rFonts w:ascii="Times New Roman" w:hAnsi="Times New Roman" w:cs="Times New Roman"/>
          <w:sz w:val="24"/>
          <w:szCs w:val="24"/>
          <w:lang w:val="en-GB"/>
        </w:rPr>
        <w:t xml:space="preserve"> DTI </w:t>
      </w:r>
      <w:r w:rsidR="00ED0371" w:rsidRPr="00477F48">
        <w:rPr>
          <w:rFonts w:ascii="Times New Roman" w:hAnsi="Times New Roman" w:cs="Times New Roman"/>
          <w:sz w:val="24"/>
          <w:szCs w:val="24"/>
          <w:lang w:val="en-GB"/>
        </w:rPr>
        <w:t>metrics</w:t>
      </w:r>
      <w:r w:rsidRPr="00477F48">
        <w:rPr>
          <w:rFonts w:ascii="Times New Roman" w:hAnsi="Times New Roman" w:cs="Times New Roman"/>
          <w:sz w:val="24"/>
          <w:szCs w:val="24"/>
          <w:lang w:val="en-GB"/>
        </w:rPr>
        <w:t xml:space="preserve"> in parietal and occipital white matter tracts in DLB, irrespective of the amyloid load </w:t>
      </w:r>
      <w:r w:rsidRPr="00477F48">
        <w:rPr>
          <w:rFonts w:ascii="Times New Roman" w:hAnsi="Times New Roman" w:cs="Times New Roman"/>
          <w:noProof/>
          <w:sz w:val="24"/>
          <w:szCs w:val="24"/>
          <w:lang w:val="en-GB"/>
        </w:rPr>
        <w:t>(Nedelska</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2015)</w:t>
      </w:r>
      <w:r w:rsidRPr="00477F48">
        <w:rPr>
          <w:rFonts w:ascii="Times New Roman" w:hAnsi="Times New Roman" w:cs="Times New Roman"/>
          <w:sz w:val="24"/>
          <w:szCs w:val="24"/>
          <w:lang w:val="en-GB"/>
        </w:rPr>
        <w:t>.</w:t>
      </w:r>
    </w:p>
    <w:p w14:paraId="2A74330A" w14:textId="77777777" w:rsidR="003A293D" w:rsidRPr="00477F48" w:rsidRDefault="003A293D" w:rsidP="00D81617">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Studies in AD report that white matter changes can occur secondarily to grey matter damage (Wallerian degeneration) </w:t>
      </w:r>
      <w:r w:rsidRPr="00477F48">
        <w:rPr>
          <w:rFonts w:ascii="Times New Roman" w:hAnsi="Times New Roman" w:cs="Times New Roman"/>
          <w:noProof/>
          <w:sz w:val="24"/>
          <w:szCs w:val="24"/>
          <w:lang w:val="en-GB"/>
        </w:rPr>
        <w:t>(Amlien and Fjell, 2014)</w:t>
      </w:r>
      <w:r w:rsidRPr="00477F48">
        <w:rPr>
          <w:rFonts w:ascii="Times New Roman" w:hAnsi="Times New Roman" w:cs="Times New Roman"/>
          <w:sz w:val="24"/>
          <w:szCs w:val="24"/>
          <w:lang w:val="en-GB"/>
        </w:rPr>
        <w:t xml:space="preserve"> following amyloid accumulation in soluble oligomers or plaques. Cell death will lead to axonal disruption in white matter tracts connecting the affected cortical areas. However, there is also evidence of primary white matter changes, which can be attributed to vascular damage or hyperphosphorylated tau deposition, resulting in the formation of paired helical filaments primarily affecting the axons. The </w:t>
      </w:r>
      <w:proofErr w:type="spellStart"/>
      <w:r w:rsidRPr="00477F48">
        <w:rPr>
          <w:rFonts w:ascii="Times New Roman" w:hAnsi="Times New Roman" w:cs="Times New Roman"/>
          <w:sz w:val="24"/>
          <w:szCs w:val="24"/>
          <w:lang w:val="en-GB"/>
        </w:rPr>
        <w:t>retrogenesis</w:t>
      </w:r>
      <w:proofErr w:type="spellEnd"/>
      <w:r w:rsidRPr="00477F48">
        <w:rPr>
          <w:rFonts w:ascii="Times New Roman" w:hAnsi="Times New Roman" w:cs="Times New Roman"/>
          <w:sz w:val="24"/>
          <w:szCs w:val="24"/>
          <w:lang w:val="en-GB"/>
        </w:rPr>
        <w:t xml:space="preserve"> hypothesis stipulates that primary white matter degeneration follows an inverse path than what is observed during </w:t>
      </w:r>
      <w:proofErr w:type="spellStart"/>
      <w:r w:rsidRPr="00477F48">
        <w:rPr>
          <w:rFonts w:ascii="Times New Roman" w:hAnsi="Times New Roman" w:cs="Times New Roman"/>
          <w:sz w:val="24"/>
          <w:szCs w:val="24"/>
          <w:lang w:val="en-GB"/>
        </w:rPr>
        <w:t>myelogenesis</w:t>
      </w:r>
      <w:proofErr w:type="spellEnd"/>
      <w:r w:rsidRPr="00477F48">
        <w:rPr>
          <w:rFonts w:ascii="Times New Roman" w:hAnsi="Times New Roman" w:cs="Times New Roman"/>
          <w:sz w:val="24"/>
          <w:szCs w:val="24"/>
          <w:lang w:val="en-GB"/>
        </w:rPr>
        <w:t xml:space="preserve">, i.e., </w:t>
      </w:r>
      <w:proofErr w:type="gramStart"/>
      <w:r w:rsidRPr="00477F48">
        <w:rPr>
          <w:rFonts w:ascii="Times New Roman" w:hAnsi="Times New Roman" w:cs="Times New Roman"/>
          <w:sz w:val="24"/>
          <w:szCs w:val="24"/>
          <w:lang w:val="en-GB"/>
        </w:rPr>
        <w:t>early-myelinated</w:t>
      </w:r>
      <w:proofErr w:type="gramEnd"/>
      <w:r w:rsidRPr="00477F48">
        <w:rPr>
          <w:rFonts w:ascii="Times New Roman" w:hAnsi="Times New Roman" w:cs="Times New Roman"/>
          <w:sz w:val="24"/>
          <w:szCs w:val="24"/>
          <w:lang w:val="en-GB"/>
        </w:rPr>
        <w:t xml:space="preserve"> large-diameter fibres are affected last, while late-myelinated projecting fibres shown early disruption </w:t>
      </w:r>
      <w:r w:rsidRPr="00477F48">
        <w:rPr>
          <w:rFonts w:ascii="Times New Roman" w:hAnsi="Times New Roman" w:cs="Times New Roman"/>
          <w:noProof/>
          <w:sz w:val="24"/>
          <w:szCs w:val="24"/>
          <w:lang w:val="en-GB"/>
        </w:rPr>
        <w:t>(Bartzokis</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2007)</w:t>
      </w:r>
      <w:r w:rsidRPr="00477F48">
        <w:rPr>
          <w:rFonts w:ascii="Times New Roman" w:hAnsi="Times New Roman" w:cs="Times New Roman"/>
          <w:sz w:val="24"/>
          <w:szCs w:val="24"/>
          <w:lang w:val="en-GB"/>
        </w:rPr>
        <w:t>. Longitudinal DTI studies accounting for tau deposition and vascular burden are warranted to disentangle primary and secondary white matter changes in dementias.</w:t>
      </w:r>
    </w:p>
    <w:bookmarkEnd w:id="18"/>
    <w:p w14:paraId="46D6BFA7" w14:textId="54E29AC7" w:rsidR="003A293D" w:rsidRPr="00477F48" w:rsidRDefault="003A293D" w:rsidP="00586D81">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lastRenderedPageBreak/>
        <w:t>In the present study, we also observed that higher parietal PK11195 binding was correlated with relative DTI preservation (i.e., lower diffusivity) in the corona radiata and superior longitudinal fasciculus, i.e., the same tracts which are impaired in DLB compared to controls</w:t>
      </w:r>
      <w:r w:rsidR="00A36A77" w:rsidRPr="00477F48">
        <w:rPr>
          <w:rFonts w:ascii="Times New Roman" w:hAnsi="Times New Roman" w:cs="Times New Roman"/>
          <w:sz w:val="24"/>
          <w:szCs w:val="24"/>
          <w:lang w:val="en-GB"/>
        </w:rPr>
        <w:t xml:space="preserve"> (</w:t>
      </w:r>
      <w:r w:rsidR="00A36A77" w:rsidRPr="00477F48">
        <w:rPr>
          <w:rFonts w:ascii="Times New Roman" w:hAnsi="Times New Roman" w:cs="Times New Roman"/>
          <w:b/>
          <w:bCs/>
          <w:sz w:val="24"/>
          <w:szCs w:val="24"/>
          <w:lang w:val="en-GB"/>
        </w:rPr>
        <w:t>Figure 3</w:t>
      </w:r>
      <w:r w:rsidR="00A36A77" w:rsidRPr="00477F48">
        <w:rPr>
          <w:rFonts w:ascii="Times New Roman" w:hAnsi="Times New Roman" w:cs="Times New Roman"/>
          <w:sz w:val="24"/>
          <w:szCs w:val="24"/>
          <w:lang w:val="en-GB"/>
        </w:rPr>
        <w:t>)</w:t>
      </w:r>
      <w:r w:rsidRPr="00477F48">
        <w:rPr>
          <w:rFonts w:ascii="Times New Roman" w:hAnsi="Times New Roman" w:cs="Times New Roman"/>
          <w:sz w:val="24"/>
          <w:szCs w:val="24"/>
          <w:lang w:val="en-GB"/>
        </w:rPr>
        <w:t xml:space="preserve">. Thus, the spatial congruence of both statistical maps – subjected to the same rigorous statistical thresholds – confer support for the view that white matter deficits may be a secondary event to various processes such as protein deposition and possibly neuroinflammation. In addition, we observed a broad overlap between the findings of MD and RD parameters regarding the correlation of DTI values and PK11195 binding. Higher MD values indicate increased diffusion, suggesting tissue breakdown and increased brain water content. Conversely, higher RD is considered as a more specific marker of myelin damage </w:t>
      </w:r>
      <w:r w:rsidRPr="00477F48">
        <w:rPr>
          <w:rFonts w:ascii="Times New Roman" w:hAnsi="Times New Roman" w:cs="Times New Roman"/>
          <w:noProof/>
          <w:sz w:val="24"/>
          <w:szCs w:val="24"/>
          <w:lang w:val="en-GB"/>
        </w:rPr>
        <w:t>(Pierpaoli and Basser, 1996, Song</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2005)</w:t>
      </w:r>
      <w:r w:rsidRPr="00477F48">
        <w:rPr>
          <w:rFonts w:ascii="Times New Roman" w:hAnsi="Times New Roman" w:cs="Times New Roman"/>
          <w:sz w:val="24"/>
          <w:szCs w:val="24"/>
          <w:lang w:val="en-GB"/>
        </w:rPr>
        <w:t xml:space="preserve">. As previously reported, MD (and RD) appears as a more sensitive proxy of white matter damage than FA in patients with DLB </w:t>
      </w:r>
      <w:r w:rsidRPr="00477F48">
        <w:rPr>
          <w:rFonts w:ascii="Times New Roman" w:hAnsi="Times New Roman" w:cs="Times New Roman"/>
          <w:noProof/>
          <w:sz w:val="24"/>
          <w:szCs w:val="24"/>
          <w:lang w:val="en-GB"/>
        </w:rPr>
        <w:t>(Watson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2012, O'Donovan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2014, Delli Pizzi</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2015)</w:t>
      </w:r>
      <w:r w:rsidRPr="00477F48">
        <w:rPr>
          <w:rFonts w:ascii="Times New Roman" w:hAnsi="Times New Roman" w:cs="Times New Roman"/>
          <w:sz w:val="24"/>
          <w:szCs w:val="24"/>
          <w:lang w:val="en-GB"/>
        </w:rPr>
        <w:t xml:space="preserve">. </w:t>
      </w:r>
    </w:p>
    <w:p w14:paraId="37834C46" w14:textId="77777777" w:rsidR="003A293D" w:rsidRPr="00477F48" w:rsidRDefault="003A293D" w:rsidP="00586D81">
      <w:pPr>
        <w:spacing w:line="480" w:lineRule="auto"/>
        <w:jc w:val="both"/>
        <w:rPr>
          <w:rFonts w:ascii="Times New Roman" w:hAnsi="Times New Roman" w:cs="Times New Roman"/>
          <w:sz w:val="24"/>
          <w:szCs w:val="24"/>
          <w:shd w:val="clear" w:color="auto" w:fill="FFFFFF"/>
          <w:lang w:val="en-US"/>
        </w:rPr>
      </w:pPr>
      <w:r w:rsidRPr="00477F48">
        <w:rPr>
          <w:rFonts w:ascii="Times New Roman" w:hAnsi="Times New Roman" w:cs="Times New Roman"/>
          <w:sz w:val="24"/>
          <w:szCs w:val="24"/>
          <w:shd w:val="clear" w:color="auto" w:fill="FFFFFF"/>
          <w:lang w:val="en-US"/>
        </w:rPr>
        <w:t xml:space="preserve">Whereas lower MD and RD DTI values are related to higher parietal PK11195, the analyses did not reach statistical significance for PK11195 binding in the other lobes, although we observed a trend for temporal lobe (p&gt;0.08). Considering this is a cross-sectional study, one could only speculate about the reasons why parietal PK11195 is more closely related to DTI preservation than the other brain regions. We can hypothesize that the dynamic changes in parietal PK11195 are temporally more related to DTI changes, possibly as parietal PK11195 is decreasing simultaneously with appearing white matter changes. In fact, we observed that PK11195 binding in the parietal lobe was significantly lower compared to the frontal and occipital lobes. </w:t>
      </w:r>
    </w:p>
    <w:p w14:paraId="4311F4C4" w14:textId="3C5DE890"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shd w:val="clear" w:color="auto" w:fill="FFFFFF"/>
          <w:lang w:val="en-US"/>
        </w:rPr>
        <w:t xml:space="preserve">Studies using TSPO PET ligands in degenerative conditions have reported conflicting results about the trajectory of microglial activation. One hypothesis suggests that neuroinflammation is more prominent at earlier stages of degenerative conditions. In fact, </w:t>
      </w:r>
      <w:proofErr w:type="spellStart"/>
      <w:r w:rsidRPr="00477F48">
        <w:rPr>
          <w:rFonts w:ascii="Times New Roman" w:hAnsi="Times New Roman" w:cs="Times New Roman"/>
          <w:sz w:val="24"/>
          <w:szCs w:val="24"/>
          <w:lang w:val="en-GB"/>
        </w:rPr>
        <w:t>Femminella</w:t>
      </w:r>
      <w:proofErr w:type="spellEnd"/>
      <w:r w:rsidRPr="00477F48">
        <w:rPr>
          <w:rFonts w:ascii="Times New Roman" w:hAnsi="Times New Roman" w:cs="Times New Roman"/>
          <w:sz w:val="24"/>
          <w:szCs w:val="24"/>
          <w:lang w:val="en-GB"/>
        </w:rPr>
        <w:t xml:space="preserve"> </w:t>
      </w:r>
      <w:r w:rsidRPr="00477F48">
        <w:rPr>
          <w:rFonts w:ascii="Times New Roman" w:hAnsi="Times New Roman" w:cs="Times New Roman"/>
          <w:i/>
          <w:sz w:val="24"/>
          <w:szCs w:val="24"/>
          <w:lang w:val="en-GB"/>
        </w:rPr>
        <w:t>et al.</w:t>
      </w:r>
      <w:r w:rsidRPr="00477F48">
        <w:rPr>
          <w:rFonts w:ascii="Times New Roman" w:hAnsi="Times New Roman" w:cs="Times New Roman"/>
          <w:i/>
          <w:noProof/>
          <w:sz w:val="24"/>
          <w:szCs w:val="24"/>
          <w:vertAlign w:val="superscript"/>
          <w:lang w:val="en-GB"/>
        </w:rPr>
        <w:t xml:space="preserve"> </w:t>
      </w:r>
      <w:r w:rsidRPr="00477F48">
        <w:rPr>
          <w:rFonts w:ascii="Times New Roman" w:hAnsi="Times New Roman" w:cs="Times New Roman"/>
          <w:iCs/>
          <w:noProof/>
          <w:sz w:val="24"/>
          <w:szCs w:val="24"/>
          <w:lang w:val="en-GB"/>
        </w:rPr>
        <w:lastRenderedPageBreak/>
        <w:t>(Femminella</w:t>
      </w:r>
      <w:r w:rsidRPr="00477F48">
        <w:rPr>
          <w:rFonts w:ascii="Times New Roman" w:hAnsi="Times New Roman" w:cs="Times New Roman"/>
          <w:i/>
          <w:iCs/>
          <w:noProof/>
          <w:sz w:val="24"/>
          <w:szCs w:val="24"/>
          <w:lang w:val="en-GB"/>
        </w:rPr>
        <w:t xml:space="preserve"> et al.</w:t>
      </w:r>
      <w:r w:rsidRPr="00477F48">
        <w:rPr>
          <w:rFonts w:ascii="Times New Roman" w:hAnsi="Times New Roman" w:cs="Times New Roman"/>
          <w:iCs/>
          <w:noProof/>
          <w:sz w:val="24"/>
          <w:szCs w:val="24"/>
          <w:lang w:val="en-GB"/>
        </w:rPr>
        <w:t>, 2019)</w:t>
      </w:r>
      <w:r w:rsidRPr="00477F48">
        <w:rPr>
          <w:rFonts w:ascii="Times New Roman" w:hAnsi="Times New Roman" w:cs="Times New Roman"/>
          <w:sz w:val="24"/>
          <w:szCs w:val="24"/>
          <w:lang w:val="en-GB"/>
        </w:rPr>
        <w:t xml:space="preserve"> showed that increased microglial activation as measured with [</w:t>
      </w:r>
      <w:r w:rsidRPr="00477F48">
        <w:rPr>
          <w:rFonts w:ascii="Times New Roman" w:hAnsi="Times New Roman" w:cs="Times New Roman"/>
          <w:sz w:val="24"/>
          <w:szCs w:val="24"/>
          <w:vertAlign w:val="superscript"/>
          <w:lang w:val="en-GB"/>
        </w:rPr>
        <w:t>11</w:t>
      </w:r>
      <w:r w:rsidRPr="00477F48">
        <w:rPr>
          <w:rFonts w:ascii="Times New Roman" w:hAnsi="Times New Roman" w:cs="Times New Roman"/>
          <w:sz w:val="24"/>
          <w:szCs w:val="24"/>
          <w:lang w:val="en-GB"/>
        </w:rPr>
        <w:t xml:space="preserve">C]-PBR28 PET in MCI subjects was associated with higher grey matter and hippocampal volume. Similarly, Hamelin </w:t>
      </w:r>
      <w:r w:rsidRPr="00477F48">
        <w:rPr>
          <w:rFonts w:ascii="Times New Roman" w:hAnsi="Times New Roman" w:cs="Times New Roman"/>
          <w:i/>
          <w:iCs/>
          <w:sz w:val="24"/>
          <w:szCs w:val="24"/>
          <w:lang w:val="en-GB"/>
        </w:rPr>
        <w:t>et al.</w:t>
      </w:r>
      <w:r w:rsidRPr="00477F48">
        <w:rPr>
          <w:rFonts w:ascii="Times New Roman" w:hAnsi="Times New Roman" w:cs="Times New Roman"/>
          <w:sz w:val="24"/>
          <w:szCs w:val="24"/>
          <w:lang w:val="en-GB"/>
        </w:rPr>
        <w:t xml:space="preserve"> </w:t>
      </w:r>
      <w:r w:rsidRPr="00477F48">
        <w:rPr>
          <w:rFonts w:ascii="Times New Roman" w:hAnsi="Times New Roman" w:cs="Times New Roman"/>
          <w:noProof/>
          <w:sz w:val="24"/>
          <w:szCs w:val="24"/>
          <w:lang w:val="en-GB"/>
        </w:rPr>
        <w:t>(Hamelin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2016)</w:t>
      </w:r>
      <w:r w:rsidRPr="00477F48">
        <w:rPr>
          <w:rFonts w:ascii="Times New Roman" w:hAnsi="Times New Roman" w:cs="Times New Roman"/>
          <w:sz w:val="24"/>
          <w:szCs w:val="24"/>
          <w:lang w:val="en-GB"/>
        </w:rPr>
        <w:t xml:space="preserve"> </w:t>
      </w:r>
      <w:r w:rsidRPr="00477F48">
        <w:rPr>
          <w:rFonts w:ascii="Times New Roman" w:hAnsi="Times New Roman" w:cs="Times New Roman"/>
          <w:sz w:val="24"/>
          <w:szCs w:val="24"/>
          <w:shd w:val="clear" w:color="auto" w:fill="FFFFFF"/>
          <w:lang w:val="en-US"/>
        </w:rPr>
        <w:t xml:space="preserve">observed that higher TSPO binding (using </w:t>
      </w:r>
      <w:r w:rsidRPr="00477F48">
        <w:rPr>
          <w:rFonts w:ascii="Times New Roman" w:hAnsi="Times New Roman" w:cs="Times New Roman"/>
          <w:sz w:val="24"/>
          <w:szCs w:val="24"/>
          <w:shd w:val="clear" w:color="auto" w:fill="FFFFFF"/>
          <w:vertAlign w:val="superscript"/>
          <w:lang w:val="en-US"/>
        </w:rPr>
        <w:t>18</w:t>
      </w:r>
      <w:r w:rsidRPr="00477F48">
        <w:rPr>
          <w:rFonts w:ascii="Times New Roman" w:hAnsi="Times New Roman" w:cs="Times New Roman"/>
          <w:sz w:val="24"/>
          <w:szCs w:val="24"/>
          <w:shd w:val="clear" w:color="auto" w:fill="FFFFFF"/>
          <w:lang w:val="en-US"/>
        </w:rPr>
        <w:t xml:space="preserve">F-DPA-714) was positively correlated with higher MMSE and larger grey matter volume in AD. Moreover, a recent study in a transgenic amyloid mouse model </w:t>
      </w:r>
      <w:r w:rsidRPr="00477F48">
        <w:rPr>
          <w:rFonts w:ascii="Times New Roman" w:hAnsi="Times New Roman" w:cs="Times New Roman"/>
          <w:noProof/>
          <w:sz w:val="24"/>
          <w:szCs w:val="24"/>
          <w:shd w:val="clear" w:color="auto" w:fill="FFFFFF"/>
          <w:lang w:val="en-US"/>
        </w:rPr>
        <w:t>(Blume</w:t>
      </w:r>
      <w:r w:rsidRPr="00477F48">
        <w:rPr>
          <w:rFonts w:ascii="Times New Roman" w:hAnsi="Times New Roman" w:cs="Times New Roman"/>
          <w:i/>
          <w:noProof/>
          <w:sz w:val="24"/>
          <w:szCs w:val="24"/>
          <w:shd w:val="clear" w:color="auto" w:fill="FFFFFF"/>
          <w:lang w:val="en-US"/>
        </w:rPr>
        <w:t xml:space="preserve"> et al.</w:t>
      </w:r>
      <w:r w:rsidRPr="00477F48">
        <w:rPr>
          <w:rFonts w:ascii="Times New Roman" w:hAnsi="Times New Roman" w:cs="Times New Roman"/>
          <w:noProof/>
          <w:sz w:val="24"/>
          <w:szCs w:val="24"/>
          <w:shd w:val="clear" w:color="auto" w:fill="FFFFFF"/>
          <w:lang w:val="en-US"/>
        </w:rPr>
        <w:t>, 2018)</w:t>
      </w:r>
      <w:r w:rsidRPr="00477F48">
        <w:rPr>
          <w:rFonts w:ascii="Times New Roman" w:hAnsi="Times New Roman" w:cs="Times New Roman"/>
          <w:sz w:val="24"/>
          <w:szCs w:val="24"/>
          <w:shd w:val="clear" w:color="auto" w:fill="FFFFFF"/>
          <w:lang w:val="en-US"/>
        </w:rPr>
        <w:t xml:space="preserve"> using longitudinal TSPO and amyloid PET showed that microglial response declined relative to increasing amyloidosis, possibly due to a saturation effect. Interestingly, while </w:t>
      </w:r>
      <w:r w:rsidRPr="00477F48">
        <w:rPr>
          <w:rFonts w:ascii="Times New Roman" w:hAnsi="Times New Roman" w:cs="Times New Roman"/>
          <w:sz w:val="24"/>
          <w:szCs w:val="24"/>
          <w:lang w:val="en-GB"/>
        </w:rPr>
        <w:t xml:space="preserve">our results suggest that increased </w:t>
      </w:r>
      <w:r w:rsidR="00124272" w:rsidRPr="00477F48">
        <w:rPr>
          <w:rFonts w:ascii="Times New Roman" w:hAnsi="Times New Roman" w:cs="Times New Roman"/>
          <w:sz w:val="24"/>
          <w:szCs w:val="24"/>
          <w:lang w:val="en-GB"/>
        </w:rPr>
        <w:t>TSPO binding</w:t>
      </w:r>
      <w:r w:rsidRPr="00477F48">
        <w:rPr>
          <w:rFonts w:ascii="Times New Roman" w:hAnsi="Times New Roman" w:cs="Times New Roman"/>
          <w:sz w:val="24"/>
          <w:szCs w:val="24"/>
          <w:lang w:val="en-GB"/>
        </w:rPr>
        <w:t xml:space="preserve"> is directly related to </w:t>
      </w:r>
      <w:r w:rsidR="00327193" w:rsidRPr="00477F48">
        <w:rPr>
          <w:rFonts w:ascii="Times New Roman" w:hAnsi="Times New Roman" w:cs="Times New Roman"/>
          <w:sz w:val="24"/>
          <w:szCs w:val="24"/>
          <w:lang w:val="en-GB"/>
        </w:rPr>
        <w:t>lower diffusivity</w:t>
      </w:r>
      <w:r w:rsidRPr="00477F48">
        <w:rPr>
          <w:rFonts w:ascii="Times New Roman" w:hAnsi="Times New Roman" w:cs="Times New Roman"/>
          <w:sz w:val="24"/>
          <w:szCs w:val="24"/>
          <w:lang w:val="en-GB"/>
        </w:rPr>
        <w:t>, no such relationship could be established between PK11195 binding and grey matter volume. These findings are crucial</w:t>
      </w:r>
      <w:r w:rsidR="00CB2888" w:rsidRPr="00477F48">
        <w:rPr>
          <w:rFonts w:ascii="Times New Roman" w:hAnsi="Times New Roman" w:cs="Times New Roman"/>
          <w:sz w:val="24"/>
          <w:szCs w:val="24"/>
          <w:lang w:val="en-GB"/>
        </w:rPr>
        <w:t xml:space="preserve"> as</w:t>
      </w:r>
      <w:r w:rsidRPr="00477F48">
        <w:rPr>
          <w:rFonts w:ascii="Times New Roman" w:hAnsi="Times New Roman" w:cs="Times New Roman"/>
          <w:sz w:val="24"/>
          <w:szCs w:val="24"/>
          <w:lang w:val="en-GB"/>
        </w:rPr>
        <w:t xml:space="preserve"> they suggest that decreased microglial activation with progressive impairment of DTI metrics and cognition is not secondary to grey matter atrophy.  </w:t>
      </w:r>
    </w:p>
    <w:p w14:paraId="22E7ED27" w14:textId="77777777" w:rsidR="003A293D" w:rsidRPr="00477F48" w:rsidRDefault="003A293D" w:rsidP="00586D81">
      <w:pPr>
        <w:spacing w:line="480" w:lineRule="auto"/>
        <w:jc w:val="both"/>
        <w:rPr>
          <w:rFonts w:ascii="Times New Roman" w:hAnsi="Times New Roman" w:cs="Times New Roman"/>
          <w:sz w:val="24"/>
          <w:szCs w:val="24"/>
          <w:lang w:val="en-US"/>
        </w:rPr>
      </w:pPr>
      <w:r w:rsidRPr="00477F48">
        <w:rPr>
          <w:rFonts w:ascii="Times New Roman" w:hAnsi="Times New Roman" w:cs="Times New Roman"/>
          <w:sz w:val="24"/>
          <w:szCs w:val="24"/>
          <w:shd w:val="clear" w:color="auto" w:fill="FFFFFF"/>
          <w:lang w:val="en-US"/>
        </w:rPr>
        <w:t xml:space="preserve">As discussed in a recent meta-analysis </w:t>
      </w:r>
      <w:r w:rsidRPr="00477F48">
        <w:rPr>
          <w:rFonts w:ascii="Times New Roman" w:hAnsi="Times New Roman" w:cs="Times New Roman"/>
          <w:noProof/>
          <w:sz w:val="24"/>
          <w:szCs w:val="24"/>
          <w:shd w:val="clear" w:color="auto" w:fill="FFFFFF"/>
          <w:lang w:val="en-US"/>
        </w:rPr>
        <w:t>(Bradburn</w:t>
      </w:r>
      <w:r w:rsidRPr="00477F48">
        <w:rPr>
          <w:rFonts w:ascii="Times New Roman" w:hAnsi="Times New Roman" w:cs="Times New Roman"/>
          <w:i/>
          <w:noProof/>
          <w:sz w:val="24"/>
          <w:szCs w:val="24"/>
          <w:shd w:val="clear" w:color="auto" w:fill="FFFFFF"/>
          <w:lang w:val="en-US"/>
        </w:rPr>
        <w:t xml:space="preserve"> et al.</w:t>
      </w:r>
      <w:r w:rsidRPr="00477F48">
        <w:rPr>
          <w:rFonts w:ascii="Times New Roman" w:hAnsi="Times New Roman" w:cs="Times New Roman"/>
          <w:noProof/>
          <w:sz w:val="24"/>
          <w:szCs w:val="24"/>
          <w:shd w:val="clear" w:color="auto" w:fill="FFFFFF"/>
          <w:lang w:val="en-US"/>
        </w:rPr>
        <w:t>, 2019)</w:t>
      </w:r>
      <w:r w:rsidRPr="00477F48">
        <w:rPr>
          <w:rFonts w:ascii="Times New Roman" w:hAnsi="Times New Roman" w:cs="Times New Roman"/>
          <w:sz w:val="24"/>
          <w:szCs w:val="24"/>
          <w:shd w:val="clear" w:color="auto" w:fill="FFFFFF"/>
          <w:lang w:val="en-US"/>
        </w:rPr>
        <w:t xml:space="preserve">, the predominant hypothesis posits that neuroinflammation peaks early in MCI, followed by a second peak when MCI convert to AD, possibly reflecting the complex relationship between microglial activation and protein deposition internalized by glia </w:t>
      </w:r>
      <w:r w:rsidRPr="00477F48">
        <w:rPr>
          <w:rFonts w:ascii="Times New Roman" w:hAnsi="Times New Roman" w:cs="Times New Roman"/>
          <w:noProof/>
          <w:sz w:val="24"/>
          <w:szCs w:val="24"/>
          <w:shd w:val="clear" w:color="auto" w:fill="FFFFFF"/>
          <w:lang w:val="en-US"/>
        </w:rPr>
        <w:t>(Fan</w:t>
      </w:r>
      <w:r w:rsidRPr="00477F48">
        <w:rPr>
          <w:rFonts w:ascii="Times New Roman" w:hAnsi="Times New Roman" w:cs="Times New Roman"/>
          <w:i/>
          <w:noProof/>
          <w:sz w:val="24"/>
          <w:szCs w:val="24"/>
          <w:shd w:val="clear" w:color="auto" w:fill="FFFFFF"/>
          <w:lang w:val="en-US"/>
        </w:rPr>
        <w:t xml:space="preserve"> et al.</w:t>
      </w:r>
      <w:r w:rsidRPr="00477F48">
        <w:rPr>
          <w:rFonts w:ascii="Times New Roman" w:hAnsi="Times New Roman" w:cs="Times New Roman"/>
          <w:noProof/>
          <w:sz w:val="24"/>
          <w:szCs w:val="24"/>
          <w:shd w:val="clear" w:color="auto" w:fill="FFFFFF"/>
          <w:lang w:val="en-US"/>
        </w:rPr>
        <w:t>, 2017)</w:t>
      </w:r>
      <w:r w:rsidRPr="00477F48">
        <w:rPr>
          <w:rFonts w:ascii="Times New Roman" w:hAnsi="Times New Roman" w:cs="Times New Roman"/>
          <w:sz w:val="24"/>
          <w:szCs w:val="24"/>
          <w:shd w:val="clear" w:color="auto" w:fill="FFFFFF"/>
          <w:lang w:val="en-US"/>
        </w:rPr>
        <w:t xml:space="preserve">. Therefore, our observations in DLB suggest a different pattern of microglial activation in dementias compared to primary inflammatory conditions, where TSPO ligand changes are more related to clinical relapses, as this is the case in multiple sclerosis </w:t>
      </w:r>
      <w:r w:rsidRPr="00477F48">
        <w:rPr>
          <w:rFonts w:ascii="Times New Roman" w:hAnsi="Times New Roman" w:cs="Times New Roman"/>
          <w:noProof/>
          <w:sz w:val="24"/>
          <w:szCs w:val="24"/>
          <w:shd w:val="clear" w:color="auto" w:fill="FFFFFF"/>
          <w:lang w:val="en-US"/>
        </w:rPr>
        <w:t>(Rissanen</w:t>
      </w:r>
      <w:r w:rsidRPr="00477F48">
        <w:rPr>
          <w:rFonts w:ascii="Times New Roman" w:hAnsi="Times New Roman" w:cs="Times New Roman"/>
          <w:i/>
          <w:noProof/>
          <w:sz w:val="24"/>
          <w:szCs w:val="24"/>
          <w:shd w:val="clear" w:color="auto" w:fill="FFFFFF"/>
          <w:lang w:val="en-US"/>
        </w:rPr>
        <w:t xml:space="preserve"> et al.</w:t>
      </w:r>
      <w:r w:rsidRPr="00477F48">
        <w:rPr>
          <w:rFonts w:ascii="Times New Roman" w:hAnsi="Times New Roman" w:cs="Times New Roman"/>
          <w:noProof/>
          <w:sz w:val="24"/>
          <w:szCs w:val="24"/>
          <w:shd w:val="clear" w:color="auto" w:fill="FFFFFF"/>
          <w:lang w:val="en-US"/>
        </w:rPr>
        <w:t>, 2018)</w:t>
      </w:r>
      <w:r w:rsidRPr="00477F48">
        <w:rPr>
          <w:rFonts w:ascii="Times New Roman" w:hAnsi="Times New Roman" w:cs="Times New Roman"/>
          <w:sz w:val="24"/>
          <w:szCs w:val="24"/>
          <w:shd w:val="clear" w:color="auto" w:fill="FFFFFF"/>
          <w:lang w:val="en-US"/>
        </w:rPr>
        <w:t>.</w:t>
      </w:r>
    </w:p>
    <w:p w14:paraId="3681C4DD" w14:textId="77777777" w:rsidR="003A293D" w:rsidRPr="00477F48" w:rsidRDefault="003A293D" w:rsidP="00586D81">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Regarding the </w:t>
      </w:r>
      <w:r w:rsidRPr="00477F48" w:rsidDel="00F743DD">
        <w:rPr>
          <w:rFonts w:ascii="Times New Roman" w:hAnsi="Times New Roman" w:cs="Times New Roman"/>
          <w:sz w:val="24"/>
          <w:szCs w:val="24"/>
          <w:lang w:val="en-GB"/>
        </w:rPr>
        <w:t xml:space="preserve">relationship between amyloid load and PK11195 binding, we did not observe any significant correlation between lobar or global </w:t>
      </w:r>
      <w:proofErr w:type="spellStart"/>
      <w:r w:rsidRPr="00477F48" w:rsidDel="00F743DD">
        <w:rPr>
          <w:rFonts w:ascii="Times New Roman" w:hAnsi="Times New Roman" w:cs="Times New Roman"/>
          <w:sz w:val="24"/>
          <w:szCs w:val="24"/>
          <w:lang w:val="en-GB"/>
        </w:rPr>
        <w:t>PiB</w:t>
      </w:r>
      <w:proofErr w:type="spellEnd"/>
      <w:r w:rsidRPr="00477F48" w:rsidDel="00F743DD">
        <w:rPr>
          <w:rFonts w:ascii="Times New Roman" w:hAnsi="Times New Roman" w:cs="Times New Roman"/>
          <w:sz w:val="24"/>
          <w:szCs w:val="24"/>
          <w:lang w:val="en-GB"/>
        </w:rPr>
        <w:t xml:space="preserve"> SUVR and PK11195 BP</w:t>
      </w:r>
      <w:r w:rsidRPr="00477F48" w:rsidDel="00F743DD">
        <w:rPr>
          <w:rFonts w:ascii="Times New Roman" w:hAnsi="Times New Roman" w:cs="Times New Roman"/>
          <w:sz w:val="24"/>
          <w:szCs w:val="24"/>
          <w:vertAlign w:val="subscript"/>
          <w:lang w:val="en-GB"/>
        </w:rPr>
        <w:t>ND</w:t>
      </w:r>
      <w:r w:rsidRPr="00477F48" w:rsidDel="00F743DD">
        <w:rPr>
          <w:rFonts w:ascii="Times New Roman" w:hAnsi="Times New Roman" w:cs="Times New Roman"/>
          <w:sz w:val="24"/>
          <w:szCs w:val="24"/>
          <w:lang w:val="en-GB"/>
        </w:rPr>
        <w:t>, suggesting that amyloid load is not a major driver of neuroinflammation in DLB, or that any such relationship is weak. These findings are in contrast with those observed in AD</w:t>
      </w:r>
      <w:r w:rsidRPr="00477F48">
        <w:rPr>
          <w:rFonts w:ascii="Times New Roman" w:hAnsi="Times New Roman" w:cs="Times New Roman"/>
          <w:sz w:val="24"/>
          <w:szCs w:val="24"/>
          <w:lang w:val="en-GB"/>
        </w:rPr>
        <w:t xml:space="preserve"> </w:t>
      </w:r>
      <w:r w:rsidRPr="00477F48">
        <w:rPr>
          <w:rFonts w:ascii="Times New Roman" w:hAnsi="Times New Roman" w:cs="Times New Roman"/>
          <w:noProof/>
          <w:sz w:val="24"/>
          <w:szCs w:val="24"/>
          <w:lang w:val="en-GB"/>
        </w:rPr>
        <w:t>(Fan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2015)</w:t>
      </w:r>
      <w:r w:rsidRPr="00477F48">
        <w:rPr>
          <w:rFonts w:ascii="Times New Roman" w:hAnsi="Times New Roman" w:cs="Times New Roman"/>
          <w:sz w:val="24"/>
          <w:szCs w:val="24"/>
          <w:lang w:val="en-GB"/>
        </w:rPr>
        <w:t>.</w:t>
      </w:r>
    </w:p>
    <w:p w14:paraId="2B6A2801" w14:textId="39CF67E4" w:rsidR="003A293D" w:rsidRPr="00477F48" w:rsidRDefault="003A293D" w:rsidP="00586D81">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The present study is not without limitations. First, our results have been obtained on a relatively modest sample of subjects with DLB, so this would require confirmation in larger samples, especially since we found a trend between higher microglial activation in the temporal lobe and </w:t>
      </w:r>
      <w:r w:rsidRPr="00477F48">
        <w:rPr>
          <w:rFonts w:ascii="Times New Roman" w:hAnsi="Times New Roman" w:cs="Times New Roman"/>
          <w:sz w:val="24"/>
          <w:szCs w:val="24"/>
          <w:lang w:val="en-GB"/>
        </w:rPr>
        <w:lastRenderedPageBreak/>
        <w:t>DTI preservation. In addition, while subgroup analyses based on the amyloid status would certainly be of interest, our small sample impeded us to assess whether concurrent AD pathology might play an additional role in the complex relationship between neuroinflammation and white matter tracts integrity. Second, the present study was based on data obtained with a cross-sectional design. Therefore, longitudinal data is required to fully assess the spatial and temporal interplay between white matter integrity and neuroinflammation in DLB. If on the one hand, white matter degeneration can be considered as an early structural marker in neurodegenerative disorders, it can be equally possible that neuroinflammation precipitates white matter damage and thus represents a relatively “upstream” event in the cascade leading to cellular loss in DLB. In addition, we must acknowledge that there was a larger male distribution in the DLB group (15/19 versus 10/</w:t>
      </w:r>
      <w:r w:rsidR="00621B5E" w:rsidRPr="00477F48">
        <w:rPr>
          <w:rFonts w:ascii="Times New Roman" w:hAnsi="Times New Roman" w:cs="Times New Roman"/>
          <w:sz w:val="24"/>
          <w:szCs w:val="24"/>
          <w:lang w:val="en-GB"/>
        </w:rPr>
        <w:t>2</w:t>
      </w:r>
      <w:r w:rsidRPr="00477F48">
        <w:rPr>
          <w:rFonts w:ascii="Times New Roman" w:hAnsi="Times New Roman" w:cs="Times New Roman"/>
          <w:sz w:val="24"/>
          <w:szCs w:val="24"/>
          <w:lang w:val="en-GB"/>
        </w:rPr>
        <w:t xml:space="preserve">0 for Controls, p = 0.06) and although we used </w:t>
      </w:r>
      <w:r w:rsidR="00990480"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as a covariate for our correlational analyses, we cannot exclude that </w:t>
      </w:r>
      <w:r w:rsidR="00990480"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might play a role in DTI integrity. In fact, Kumar et al. showed that females had a lower myelin and </w:t>
      </w:r>
      <w:proofErr w:type="spellStart"/>
      <w:r w:rsidRPr="00477F48">
        <w:rPr>
          <w:rFonts w:ascii="Times New Roman" w:hAnsi="Times New Roman" w:cs="Times New Roman"/>
          <w:sz w:val="24"/>
          <w:szCs w:val="24"/>
          <w:lang w:val="en-GB"/>
        </w:rPr>
        <w:t>fiber</w:t>
      </w:r>
      <w:proofErr w:type="spellEnd"/>
      <w:r w:rsidRPr="00477F48">
        <w:rPr>
          <w:rFonts w:ascii="Times New Roman" w:hAnsi="Times New Roman" w:cs="Times New Roman"/>
          <w:sz w:val="24"/>
          <w:szCs w:val="24"/>
          <w:lang w:val="en-GB"/>
        </w:rPr>
        <w:t xml:space="preserve"> integrity in limbic and cerebellar regions, while males had lower values in frontal and temporal areas </w:t>
      </w:r>
      <w:r w:rsidRPr="00477F48">
        <w:rPr>
          <w:rFonts w:ascii="Times New Roman" w:hAnsi="Times New Roman" w:cs="Times New Roman"/>
          <w:noProof/>
          <w:sz w:val="24"/>
          <w:szCs w:val="24"/>
          <w:lang w:val="en-GB"/>
        </w:rPr>
        <w:t>(Kumar</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2013)</w:t>
      </w:r>
      <w:r w:rsidRPr="00477F48">
        <w:rPr>
          <w:rFonts w:ascii="Times New Roman" w:hAnsi="Times New Roman" w:cs="Times New Roman"/>
          <w:sz w:val="24"/>
          <w:szCs w:val="24"/>
          <w:lang w:val="en-GB"/>
        </w:rPr>
        <w:t xml:space="preserve">. Additionally, we are not aware of a different microglial activation based on </w:t>
      </w:r>
      <w:r w:rsidR="00990480" w:rsidRPr="00477F48">
        <w:rPr>
          <w:rFonts w:ascii="Times New Roman" w:hAnsi="Times New Roman" w:cs="Times New Roman"/>
          <w:sz w:val="24"/>
          <w:szCs w:val="24"/>
          <w:lang w:val="en-GB"/>
        </w:rPr>
        <w:t>sex</w:t>
      </w:r>
      <w:r w:rsidRPr="00477F48">
        <w:rPr>
          <w:rFonts w:ascii="Times New Roman" w:hAnsi="Times New Roman" w:cs="Times New Roman"/>
          <w:sz w:val="24"/>
          <w:szCs w:val="24"/>
          <w:lang w:val="en-GB"/>
        </w:rPr>
        <w:t xml:space="preserve">. </w:t>
      </w:r>
    </w:p>
    <w:p w14:paraId="228D8069" w14:textId="77777777" w:rsidR="003A293D" w:rsidRPr="00477F48" w:rsidRDefault="003A293D" w:rsidP="00586D81">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The use of PK11195 targeting translocator protein (TSPO) cannot fully represent the extent of central inflammation which is determined by several other factors over and above microglial activation. In fact, other targets such as astrocyte activation should be assessed as they also may play a role in the development of neurodegeneration </w:t>
      </w:r>
      <w:r w:rsidRPr="00477F48">
        <w:rPr>
          <w:rFonts w:ascii="Times New Roman" w:hAnsi="Times New Roman" w:cs="Times New Roman"/>
          <w:noProof/>
          <w:sz w:val="24"/>
          <w:szCs w:val="24"/>
          <w:lang w:val="en-GB"/>
        </w:rPr>
        <w:t>(Stefaniak and O'Brien, 2016)</w:t>
      </w:r>
      <w:r w:rsidRPr="00477F48">
        <w:rPr>
          <w:rFonts w:ascii="Times New Roman" w:hAnsi="Times New Roman" w:cs="Times New Roman"/>
          <w:sz w:val="24"/>
          <w:szCs w:val="24"/>
          <w:lang w:val="en-GB"/>
        </w:rPr>
        <w:t xml:space="preserve">. In addition, PK11195, as a first generation TSPO ligand, has shown lower sensitivity compared to second generation tracers. However, PK11195 has the advantage of not being affected by the genetic polymorphism (notably rs6971 single nucleotide) altering the binding of second-generation ligands </w:t>
      </w:r>
      <w:r w:rsidRPr="00477F48">
        <w:rPr>
          <w:rFonts w:ascii="Times New Roman" w:hAnsi="Times New Roman" w:cs="Times New Roman"/>
          <w:noProof/>
          <w:sz w:val="24"/>
          <w:szCs w:val="24"/>
          <w:lang w:val="en-GB"/>
        </w:rPr>
        <w:t>(Owen</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2012)</w:t>
      </w:r>
      <w:r w:rsidRPr="00477F48">
        <w:rPr>
          <w:rFonts w:ascii="Times New Roman" w:hAnsi="Times New Roman" w:cs="Times New Roman"/>
          <w:sz w:val="24"/>
          <w:szCs w:val="24"/>
          <w:lang w:val="en-GB"/>
        </w:rPr>
        <w:t>.</w:t>
      </w:r>
    </w:p>
    <w:p w14:paraId="29841204" w14:textId="24B2747F" w:rsidR="003A293D" w:rsidRPr="00477F48" w:rsidRDefault="003A293D" w:rsidP="00586D81">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lastRenderedPageBreak/>
        <w:t xml:space="preserve">Finally, although TBSS is a widely used DTI analysis software, inherent limitations must be acknowledged, e.g. the fact that the projection of the common white matter skeleton is based on FA maps rather than </w:t>
      </w:r>
      <w:proofErr w:type="gramStart"/>
      <w:r w:rsidRPr="00477F48">
        <w:rPr>
          <w:rFonts w:ascii="Times New Roman" w:hAnsi="Times New Roman" w:cs="Times New Roman"/>
          <w:sz w:val="24"/>
          <w:szCs w:val="24"/>
          <w:lang w:val="en-GB"/>
        </w:rPr>
        <w:t>tensor-based</w:t>
      </w:r>
      <w:proofErr w:type="gramEnd"/>
      <w:r w:rsidRPr="00477F48">
        <w:rPr>
          <w:rFonts w:ascii="Times New Roman" w:hAnsi="Times New Roman" w:cs="Times New Roman"/>
          <w:sz w:val="24"/>
          <w:szCs w:val="24"/>
          <w:lang w:val="en-GB"/>
        </w:rPr>
        <w:t xml:space="preserve">. In addition, the registration target was performed on the FMRIB58 skeleton (as recommended by FSL) rather than on a study-specific skeleton </w:t>
      </w:r>
      <w:r w:rsidRPr="00477F48">
        <w:rPr>
          <w:rFonts w:ascii="Times New Roman" w:hAnsi="Times New Roman" w:cs="Times New Roman"/>
          <w:noProof/>
          <w:sz w:val="24"/>
          <w:szCs w:val="24"/>
          <w:lang w:val="en-GB"/>
        </w:rPr>
        <w:t>(Bach</w:t>
      </w:r>
      <w:r w:rsidRPr="00477F48">
        <w:rPr>
          <w:rFonts w:ascii="Times New Roman" w:hAnsi="Times New Roman" w:cs="Times New Roman"/>
          <w:i/>
          <w:noProof/>
          <w:sz w:val="24"/>
          <w:szCs w:val="24"/>
          <w:lang w:val="en-GB"/>
        </w:rPr>
        <w:t xml:space="preserve"> et al.</w:t>
      </w:r>
      <w:r w:rsidRPr="00477F48">
        <w:rPr>
          <w:rFonts w:ascii="Times New Roman" w:hAnsi="Times New Roman" w:cs="Times New Roman"/>
          <w:noProof/>
          <w:sz w:val="24"/>
          <w:szCs w:val="24"/>
          <w:lang w:val="en-GB"/>
        </w:rPr>
        <w:t>, 2014)</w:t>
      </w:r>
      <w:r w:rsidRPr="00477F48">
        <w:rPr>
          <w:rFonts w:ascii="Times New Roman" w:hAnsi="Times New Roman" w:cs="Times New Roman"/>
          <w:sz w:val="24"/>
          <w:szCs w:val="24"/>
          <w:lang w:val="en-GB"/>
        </w:rPr>
        <w:t xml:space="preserve">. </w:t>
      </w:r>
      <w:r w:rsidR="00B6234E" w:rsidRPr="00477F48">
        <w:rPr>
          <w:rFonts w:ascii="Times New Roman" w:hAnsi="Times New Roman" w:cs="Times New Roman"/>
          <w:sz w:val="24"/>
          <w:szCs w:val="24"/>
          <w:lang w:val="en-GB"/>
        </w:rPr>
        <w:t xml:space="preserve">In addition, we must acknowledge that the tensor model used in the present study does not </w:t>
      </w:r>
      <w:r w:rsidR="00AB2CC7" w:rsidRPr="00477F48">
        <w:rPr>
          <w:rFonts w:ascii="Times New Roman" w:hAnsi="Times New Roman" w:cs="Times New Roman"/>
          <w:sz w:val="24"/>
          <w:szCs w:val="24"/>
          <w:lang w:val="en-GB"/>
        </w:rPr>
        <w:t xml:space="preserve">address the issue of </w:t>
      </w:r>
      <w:r w:rsidR="00B6234E" w:rsidRPr="00477F48">
        <w:rPr>
          <w:rFonts w:ascii="Times New Roman" w:hAnsi="Times New Roman" w:cs="Times New Roman"/>
          <w:sz w:val="24"/>
          <w:szCs w:val="24"/>
          <w:lang w:val="en-GB"/>
        </w:rPr>
        <w:t>crossing fibres</w:t>
      </w:r>
      <w:r w:rsidR="00AB2CC7" w:rsidRPr="00477F48">
        <w:rPr>
          <w:rFonts w:ascii="Times New Roman" w:hAnsi="Times New Roman" w:cs="Times New Roman"/>
          <w:sz w:val="24"/>
          <w:szCs w:val="24"/>
          <w:lang w:val="en-GB"/>
        </w:rPr>
        <w:t>, which can</w:t>
      </w:r>
      <w:r w:rsidR="00B6234E" w:rsidRPr="00477F48">
        <w:rPr>
          <w:rFonts w:ascii="Times New Roman" w:hAnsi="Times New Roman" w:cs="Times New Roman"/>
          <w:sz w:val="24"/>
          <w:szCs w:val="24"/>
          <w:lang w:val="en-GB"/>
        </w:rPr>
        <w:t xml:space="preserve"> represent 70%</w:t>
      </w:r>
      <w:r w:rsidR="00AB2CC7" w:rsidRPr="00477F48">
        <w:rPr>
          <w:rFonts w:ascii="Times New Roman" w:hAnsi="Times New Roman" w:cs="Times New Roman"/>
          <w:sz w:val="24"/>
          <w:szCs w:val="24"/>
          <w:lang w:val="en-GB"/>
        </w:rPr>
        <w:t xml:space="preserve"> of the configuration of white matter fibres. More sophisticated models, including diffusion and fibre orientation density stand as a more effective way to describe the complex organisation of white matter tracts (</w:t>
      </w:r>
      <w:proofErr w:type="spellStart"/>
      <w:r w:rsidR="00AB2CC7" w:rsidRPr="00477F48">
        <w:rPr>
          <w:rFonts w:ascii="Times New Roman" w:hAnsi="Times New Roman" w:cs="Times New Roman"/>
          <w:sz w:val="24"/>
          <w:szCs w:val="24"/>
          <w:lang w:val="en-GB"/>
        </w:rPr>
        <w:t>Dell’Acqua</w:t>
      </w:r>
      <w:proofErr w:type="spellEnd"/>
      <w:r w:rsidR="00AB2CC7" w:rsidRPr="00477F48">
        <w:rPr>
          <w:rFonts w:ascii="Times New Roman" w:hAnsi="Times New Roman" w:cs="Times New Roman"/>
          <w:sz w:val="24"/>
          <w:szCs w:val="24"/>
          <w:lang w:val="en-GB"/>
        </w:rPr>
        <w:t xml:space="preserve"> and </w:t>
      </w:r>
      <w:proofErr w:type="spellStart"/>
      <w:r w:rsidR="00AB2CC7" w:rsidRPr="00477F48">
        <w:rPr>
          <w:rFonts w:ascii="Times New Roman" w:hAnsi="Times New Roman" w:cs="Times New Roman"/>
          <w:sz w:val="24"/>
          <w:szCs w:val="24"/>
          <w:lang w:val="en-GB"/>
        </w:rPr>
        <w:t>Tournier</w:t>
      </w:r>
      <w:proofErr w:type="spellEnd"/>
      <w:r w:rsidR="00AB2CC7" w:rsidRPr="00477F48">
        <w:rPr>
          <w:rFonts w:ascii="Times New Roman" w:hAnsi="Times New Roman" w:cs="Times New Roman"/>
          <w:sz w:val="24"/>
          <w:szCs w:val="24"/>
          <w:lang w:val="en-GB"/>
        </w:rPr>
        <w:t>, 2019).</w:t>
      </w:r>
    </w:p>
    <w:p w14:paraId="4AB3DD13" w14:textId="5AEFDB40" w:rsidR="003A293D" w:rsidRPr="00477F48" w:rsidRDefault="003A293D" w:rsidP="00586D81">
      <w:pPr>
        <w:spacing w:line="480" w:lineRule="auto"/>
        <w:jc w:val="both"/>
        <w:rPr>
          <w:rFonts w:ascii="Times New Roman" w:hAnsi="Times New Roman" w:cs="Times New Roman"/>
          <w:sz w:val="24"/>
          <w:szCs w:val="24"/>
          <w:lang w:val="en-GB"/>
        </w:rPr>
      </w:pPr>
      <w:bookmarkStart w:id="19" w:name="OLE_LINK33"/>
      <w:bookmarkStart w:id="20" w:name="OLE_LINK34"/>
      <w:r w:rsidRPr="00477F48">
        <w:rPr>
          <w:rFonts w:ascii="Times New Roman" w:hAnsi="Times New Roman" w:cs="Times New Roman"/>
          <w:sz w:val="24"/>
          <w:szCs w:val="24"/>
          <w:lang w:val="en-GB"/>
        </w:rPr>
        <w:t xml:space="preserve">In conclusion, we present novel evidence of the </w:t>
      </w:r>
      <w:r w:rsidRPr="00477F48">
        <w:rPr>
          <w:rFonts w:ascii="Times New Roman" w:hAnsi="Times New Roman" w:cs="Times New Roman"/>
          <w:i/>
          <w:sz w:val="24"/>
          <w:szCs w:val="24"/>
          <w:lang w:val="en-GB"/>
        </w:rPr>
        <w:t>in vivo</w:t>
      </w:r>
      <w:r w:rsidRPr="00477F48">
        <w:rPr>
          <w:rFonts w:ascii="Times New Roman" w:hAnsi="Times New Roman" w:cs="Times New Roman"/>
          <w:sz w:val="24"/>
          <w:szCs w:val="24"/>
          <w:lang w:val="en-GB"/>
        </w:rPr>
        <w:t xml:space="preserve"> association between </w:t>
      </w:r>
      <w:r w:rsidR="00373824" w:rsidRPr="00477F48">
        <w:rPr>
          <w:rFonts w:ascii="Times New Roman" w:hAnsi="Times New Roman" w:cs="Times New Roman"/>
          <w:sz w:val="24"/>
          <w:szCs w:val="24"/>
          <w:lang w:val="en-GB"/>
        </w:rPr>
        <w:t>lower DTI diffusivity and increased m</w:t>
      </w:r>
      <w:r w:rsidRPr="00477F48">
        <w:rPr>
          <w:rFonts w:ascii="Times New Roman" w:hAnsi="Times New Roman" w:cs="Times New Roman"/>
          <w:sz w:val="24"/>
          <w:szCs w:val="24"/>
          <w:lang w:val="en-GB"/>
        </w:rPr>
        <w:t>icroglial activation in DLB.</w:t>
      </w:r>
      <w:bookmarkEnd w:id="19"/>
      <w:bookmarkEnd w:id="20"/>
      <w:r w:rsidRPr="00477F48">
        <w:rPr>
          <w:rFonts w:ascii="Times New Roman" w:hAnsi="Times New Roman" w:cs="Times New Roman"/>
          <w:sz w:val="24"/>
          <w:szCs w:val="24"/>
          <w:lang w:val="en-GB"/>
        </w:rPr>
        <w:t xml:space="preserve"> Future longitudinal studies are required to determine whether the early presence of neuroinflammation in DLB recedes and mediates the structural brain abnormalities that we have observed.</w:t>
      </w:r>
    </w:p>
    <w:p w14:paraId="7134EF86" w14:textId="77777777" w:rsidR="003A293D" w:rsidRPr="00477F48" w:rsidRDefault="003A293D" w:rsidP="008D2D9C">
      <w:pPr>
        <w:spacing w:line="480" w:lineRule="auto"/>
        <w:jc w:val="both"/>
        <w:rPr>
          <w:rFonts w:ascii="Times New Roman" w:hAnsi="Times New Roman" w:cs="Times New Roman"/>
          <w:sz w:val="24"/>
          <w:szCs w:val="24"/>
          <w:lang w:val="en-GB"/>
        </w:rPr>
      </w:pPr>
    </w:p>
    <w:p w14:paraId="16D5EEC7" w14:textId="77777777" w:rsidR="003A293D" w:rsidRPr="00477F48" w:rsidRDefault="003A293D" w:rsidP="008D2D9C">
      <w:pPr>
        <w:spacing w:line="480" w:lineRule="auto"/>
        <w:jc w:val="both"/>
        <w:rPr>
          <w:rFonts w:ascii="Times New Roman" w:hAnsi="Times New Roman" w:cs="Times New Roman"/>
          <w:b/>
          <w:sz w:val="24"/>
          <w:szCs w:val="24"/>
          <w:lang w:val="en-GB"/>
        </w:rPr>
      </w:pPr>
      <w:r w:rsidRPr="00477F48">
        <w:rPr>
          <w:rFonts w:ascii="Times New Roman" w:hAnsi="Times New Roman" w:cs="Times New Roman"/>
          <w:b/>
          <w:sz w:val="24"/>
          <w:szCs w:val="24"/>
          <w:lang w:val="en-GB"/>
        </w:rPr>
        <w:t>ACKNOWLEDGEMENTS</w:t>
      </w:r>
    </w:p>
    <w:p w14:paraId="28360EF4" w14:textId="23654D45" w:rsidR="003A293D" w:rsidRPr="00477F48" w:rsidRDefault="003A293D" w:rsidP="007400D6">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We are grateful to our volunteers for their participation in the NIMROD study. We thank the radiographers at Wolfson Brain Imaging Centre and the PET/CT unit, Addenbrooke's Hospital for their technical expertise and support in data acquisition. We thank the NIHR Dementias and Neurodegenerative Research Network for their help with subject recruitment. We also thank Dr Istvan </w:t>
      </w:r>
      <w:proofErr w:type="spellStart"/>
      <w:r w:rsidRPr="00477F48">
        <w:rPr>
          <w:rFonts w:ascii="Times New Roman" w:hAnsi="Times New Roman" w:cs="Times New Roman"/>
          <w:sz w:val="24"/>
          <w:szCs w:val="24"/>
          <w:lang w:val="en-GB"/>
        </w:rPr>
        <w:t>Boros</w:t>
      </w:r>
      <w:proofErr w:type="spellEnd"/>
      <w:r w:rsidRPr="00477F48">
        <w:rPr>
          <w:rFonts w:ascii="Times New Roman" w:hAnsi="Times New Roman" w:cs="Times New Roman"/>
          <w:sz w:val="24"/>
          <w:szCs w:val="24"/>
          <w:lang w:val="en-GB"/>
        </w:rPr>
        <w:t xml:space="preserve">, </w:t>
      </w:r>
      <w:proofErr w:type="spellStart"/>
      <w:r w:rsidRPr="00477F48">
        <w:rPr>
          <w:rFonts w:ascii="Times New Roman" w:hAnsi="Times New Roman" w:cs="Times New Roman"/>
          <w:sz w:val="24"/>
          <w:szCs w:val="24"/>
          <w:lang w:val="en-GB"/>
        </w:rPr>
        <w:t>Dr.</w:t>
      </w:r>
      <w:proofErr w:type="spellEnd"/>
      <w:r w:rsidRPr="00477F48">
        <w:rPr>
          <w:rFonts w:ascii="Times New Roman" w:hAnsi="Times New Roman" w:cs="Times New Roman"/>
          <w:sz w:val="24"/>
          <w:szCs w:val="24"/>
          <w:lang w:val="en-GB"/>
        </w:rPr>
        <w:t xml:space="preserve"> </w:t>
      </w:r>
      <w:proofErr w:type="spellStart"/>
      <w:r w:rsidRPr="00477F48">
        <w:rPr>
          <w:rFonts w:ascii="Times New Roman" w:hAnsi="Times New Roman" w:cs="Times New Roman"/>
          <w:sz w:val="24"/>
          <w:szCs w:val="24"/>
          <w:lang w:val="en-GB"/>
        </w:rPr>
        <w:t>Joong</w:t>
      </w:r>
      <w:proofErr w:type="spellEnd"/>
      <w:r w:rsidRPr="00477F48">
        <w:rPr>
          <w:rFonts w:ascii="Times New Roman" w:hAnsi="Times New Roman" w:cs="Times New Roman"/>
          <w:sz w:val="24"/>
          <w:szCs w:val="24"/>
          <w:lang w:val="en-GB"/>
        </w:rPr>
        <w:t>-Hyun Chun, and WBIC RPU for the manufacture of the [</w:t>
      </w:r>
      <w:r w:rsidRPr="00477F48">
        <w:rPr>
          <w:rFonts w:ascii="Times New Roman" w:hAnsi="Times New Roman" w:cs="Times New Roman"/>
          <w:sz w:val="24"/>
          <w:szCs w:val="24"/>
          <w:vertAlign w:val="superscript"/>
          <w:lang w:val="en-GB"/>
        </w:rPr>
        <w:t>11</w:t>
      </w:r>
      <w:r w:rsidRPr="00477F48">
        <w:rPr>
          <w:rFonts w:ascii="Times New Roman" w:hAnsi="Times New Roman" w:cs="Times New Roman"/>
          <w:sz w:val="24"/>
          <w:szCs w:val="24"/>
          <w:lang w:val="en-GB"/>
        </w:rPr>
        <w:t>C]-PK11195.</w:t>
      </w:r>
    </w:p>
    <w:p w14:paraId="3CE86522" w14:textId="77777777" w:rsidR="003A293D" w:rsidRPr="00477F48" w:rsidRDefault="003A293D" w:rsidP="007400D6">
      <w:pPr>
        <w:spacing w:line="480" w:lineRule="auto"/>
        <w:jc w:val="both"/>
        <w:rPr>
          <w:rFonts w:ascii="Times New Roman" w:hAnsi="Times New Roman" w:cs="Times New Roman"/>
          <w:sz w:val="24"/>
          <w:szCs w:val="24"/>
          <w:lang w:val="en-GB"/>
        </w:rPr>
      </w:pPr>
    </w:p>
    <w:p w14:paraId="3A7C8F8F" w14:textId="77777777" w:rsidR="003A293D" w:rsidRPr="00477F48" w:rsidRDefault="003A293D" w:rsidP="00EA7309">
      <w:pPr>
        <w:widowControl w:val="0"/>
        <w:autoSpaceDE w:val="0"/>
        <w:autoSpaceDN w:val="0"/>
        <w:adjustRightInd w:val="0"/>
        <w:spacing w:before="120" w:line="480" w:lineRule="auto"/>
        <w:outlineLvl w:val="0"/>
        <w:rPr>
          <w:rFonts w:ascii="Times New Roman" w:hAnsi="Times New Roman" w:cs="Times New Roman"/>
          <w:b/>
          <w:sz w:val="24"/>
          <w:szCs w:val="24"/>
          <w:u w:val="single"/>
          <w:lang w:val="en-GB"/>
        </w:rPr>
      </w:pPr>
      <w:r w:rsidRPr="00477F48">
        <w:rPr>
          <w:rFonts w:ascii="Times New Roman" w:hAnsi="Times New Roman" w:cs="Times New Roman"/>
          <w:b/>
          <w:sz w:val="24"/>
          <w:szCs w:val="24"/>
          <w:u w:val="single"/>
          <w:lang w:val="en-GB"/>
        </w:rPr>
        <w:t>Compliance with ethical standards</w:t>
      </w:r>
    </w:p>
    <w:p w14:paraId="579C425B" w14:textId="77777777" w:rsidR="003A293D" w:rsidRPr="00477F48" w:rsidRDefault="003A293D" w:rsidP="00EA7309">
      <w:pPr>
        <w:spacing w:line="480" w:lineRule="auto"/>
        <w:jc w:val="both"/>
        <w:rPr>
          <w:rFonts w:ascii="Times New Roman" w:hAnsi="Times New Roman" w:cs="Times New Roman"/>
          <w:i/>
          <w:iCs/>
          <w:sz w:val="24"/>
          <w:szCs w:val="24"/>
          <w:lang w:val="en-US"/>
        </w:rPr>
      </w:pPr>
      <w:r w:rsidRPr="00477F48">
        <w:rPr>
          <w:rFonts w:ascii="Times New Roman" w:hAnsi="Times New Roman" w:cs="Times New Roman"/>
          <w:b/>
          <w:i/>
          <w:iCs/>
          <w:sz w:val="24"/>
          <w:szCs w:val="24"/>
          <w:u w:val="single"/>
          <w:lang w:val="en-US"/>
        </w:rPr>
        <w:lastRenderedPageBreak/>
        <w:t>Conflicts of interest</w:t>
      </w:r>
    </w:p>
    <w:p w14:paraId="20AA7BFF" w14:textId="62190E03" w:rsidR="003A293D" w:rsidRPr="00477F48" w:rsidRDefault="003A293D" w:rsidP="00EA7309">
      <w:pPr>
        <w:spacing w:line="480" w:lineRule="auto"/>
        <w:jc w:val="both"/>
        <w:rPr>
          <w:rFonts w:ascii="Times New Roman" w:hAnsi="Times New Roman" w:cs="Times New Roman"/>
          <w:sz w:val="24"/>
          <w:szCs w:val="24"/>
          <w:lang w:val="en-US"/>
        </w:rPr>
      </w:pPr>
      <w:r w:rsidRPr="00477F48">
        <w:rPr>
          <w:rFonts w:ascii="Times New Roman" w:hAnsi="Times New Roman" w:cs="Times New Roman"/>
          <w:sz w:val="24"/>
          <w:szCs w:val="24"/>
          <w:lang w:val="en-US"/>
        </w:rPr>
        <w:t xml:space="preserve">N. Nicastro, E. </w:t>
      </w:r>
      <w:proofErr w:type="spellStart"/>
      <w:r w:rsidRPr="00477F48">
        <w:rPr>
          <w:rFonts w:ascii="Times New Roman" w:hAnsi="Times New Roman" w:cs="Times New Roman"/>
          <w:sz w:val="24"/>
          <w:szCs w:val="24"/>
          <w:lang w:val="en-US"/>
        </w:rPr>
        <w:t>Mak</w:t>
      </w:r>
      <w:proofErr w:type="spellEnd"/>
      <w:r w:rsidRPr="00477F48">
        <w:rPr>
          <w:rFonts w:ascii="Times New Roman" w:hAnsi="Times New Roman" w:cs="Times New Roman"/>
          <w:sz w:val="24"/>
          <w:szCs w:val="24"/>
          <w:lang w:val="en-US"/>
        </w:rPr>
        <w:t xml:space="preserve">, G.B. Williams, A. </w:t>
      </w:r>
      <w:proofErr w:type="spellStart"/>
      <w:r w:rsidRPr="00477F48">
        <w:rPr>
          <w:rFonts w:ascii="Times New Roman" w:hAnsi="Times New Roman" w:cs="Times New Roman"/>
          <w:sz w:val="24"/>
          <w:szCs w:val="24"/>
          <w:lang w:val="en-US"/>
        </w:rPr>
        <w:t>Surendranathan</w:t>
      </w:r>
      <w:proofErr w:type="spellEnd"/>
      <w:r w:rsidRPr="00477F48">
        <w:rPr>
          <w:rFonts w:ascii="Times New Roman" w:hAnsi="Times New Roman" w:cs="Times New Roman"/>
          <w:sz w:val="24"/>
          <w:szCs w:val="24"/>
          <w:lang w:val="en-US"/>
        </w:rPr>
        <w:t xml:space="preserve">, W.R. Bevan-Jones, L. </w:t>
      </w:r>
      <w:proofErr w:type="spellStart"/>
      <w:r w:rsidRPr="00477F48">
        <w:rPr>
          <w:rFonts w:ascii="Times New Roman" w:hAnsi="Times New Roman" w:cs="Times New Roman"/>
          <w:sz w:val="24"/>
          <w:szCs w:val="24"/>
          <w:lang w:val="en-US"/>
        </w:rPr>
        <w:t>Passamonti</w:t>
      </w:r>
      <w:proofErr w:type="spellEnd"/>
      <w:r w:rsidR="00E71D84" w:rsidRPr="00477F48">
        <w:rPr>
          <w:rFonts w:ascii="Times New Roman" w:hAnsi="Times New Roman" w:cs="Times New Roman"/>
          <w:sz w:val="24"/>
          <w:szCs w:val="24"/>
          <w:lang w:val="en-US"/>
        </w:rPr>
        <w:t>, Robert Arnold, Tim D. Fryer and Young T. Hong</w:t>
      </w:r>
      <w:r w:rsidRPr="00477F48">
        <w:rPr>
          <w:rFonts w:ascii="Times New Roman" w:hAnsi="Times New Roman" w:cs="Times New Roman"/>
          <w:sz w:val="24"/>
          <w:szCs w:val="24"/>
          <w:lang w:val="en-US"/>
        </w:rPr>
        <w:t xml:space="preserve"> report no disclosures relevant to the present manuscript. F. I. </w:t>
      </w:r>
      <w:proofErr w:type="spellStart"/>
      <w:r w:rsidRPr="00477F48">
        <w:rPr>
          <w:rFonts w:ascii="Times New Roman" w:hAnsi="Times New Roman" w:cs="Times New Roman"/>
          <w:sz w:val="24"/>
          <w:szCs w:val="24"/>
          <w:lang w:val="en-US"/>
        </w:rPr>
        <w:t>Aigbirhio</w:t>
      </w:r>
      <w:proofErr w:type="spellEnd"/>
      <w:r w:rsidRPr="00477F48">
        <w:rPr>
          <w:rFonts w:ascii="Times New Roman" w:hAnsi="Times New Roman" w:cs="Times New Roman"/>
          <w:sz w:val="24"/>
          <w:szCs w:val="24"/>
          <w:lang w:val="en-US"/>
        </w:rPr>
        <w:t xml:space="preserve"> has served as review editor for </w:t>
      </w:r>
      <w:r w:rsidRPr="00477F48">
        <w:rPr>
          <w:rFonts w:ascii="Times New Roman" w:hAnsi="Times New Roman" w:cs="Times New Roman"/>
          <w:i/>
          <w:iCs/>
          <w:sz w:val="24"/>
          <w:szCs w:val="24"/>
          <w:lang w:val="en-US"/>
        </w:rPr>
        <w:t>Journal of Labelled Compounds and Radiopharmaceuticals</w:t>
      </w:r>
      <w:r w:rsidRPr="00477F48">
        <w:rPr>
          <w:rFonts w:ascii="Times New Roman" w:hAnsi="Times New Roman" w:cs="Times New Roman"/>
          <w:sz w:val="24"/>
          <w:szCs w:val="24"/>
          <w:lang w:val="en-US"/>
        </w:rPr>
        <w:t xml:space="preserve">, received academic grant support from GE Healthcare, and served as a consultant for Avid and </w:t>
      </w:r>
      <w:proofErr w:type="spellStart"/>
      <w:r w:rsidRPr="00477F48">
        <w:rPr>
          <w:rFonts w:ascii="Times New Roman" w:hAnsi="Times New Roman" w:cs="Times New Roman"/>
          <w:sz w:val="24"/>
          <w:szCs w:val="24"/>
          <w:lang w:val="en-US"/>
        </w:rPr>
        <w:t>Cantabio</w:t>
      </w:r>
      <w:proofErr w:type="spellEnd"/>
      <w:r w:rsidRPr="00477F48">
        <w:rPr>
          <w:rFonts w:ascii="Times New Roman" w:hAnsi="Times New Roman" w:cs="Times New Roman"/>
          <w:sz w:val="24"/>
          <w:szCs w:val="24"/>
          <w:lang w:val="en-US"/>
        </w:rPr>
        <w:t xml:space="preserve">, all for matters not related to the current study. J. B. Rowe serves as editor to </w:t>
      </w:r>
      <w:r w:rsidRPr="00477F48">
        <w:rPr>
          <w:rFonts w:ascii="Times New Roman" w:hAnsi="Times New Roman" w:cs="Times New Roman"/>
          <w:i/>
          <w:iCs/>
          <w:sz w:val="24"/>
          <w:szCs w:val="24"/>
          <w:lang w:val="en-US"/>
        </w:rPr>
        <w:t>Brain</w:t>
      </w:r>
      <w:r w:rsidRPr="00477F48">
        <w:rPr>
          <w:rFonts w:ascii="Times New Roman" w:hAnsi="Times New Roman" w:cs="Times New Roman"/>
          <w:sz w:val="24"/>
          <w:szCs w:val="24"/>
          <w:lang w:val="en-US"/>
        </w:rPr>
        <w:t xml:space="preserve">, has been a consultant for </w:t>
      </w:r>
      <w:proofErr w:type="spellStart"/>
      <w:r w:rsidRPr="00477F48">
        <w:rPr>
          <w:rFonts w:ascii="Times New Roman" w:hAnsi="Times New Roman" w:cs="Times New Roman"/>
          <w:sz w:val="24"/>
          <w:szCs w:val="24"/>
          <w:lang w:val="en-US"/>
        </w:rPr>
        <w:t>Asceneuron</w:t>
      </w:r>
      <w:proofErr w:type="spellEnd"/>
      <w:r w:rsidRPr="00477F48">
        <w:rPr>
          <w:rFonts w:ascii="Times New Roman" w:hAnsi="Times New Roman" w:cs="Times New Roman"/>
          <w:sz w:val="24"/>
          <w:szCs w:val="24"/>
          <w:lang w:val="en-US"/>
        </w:rPr>
        <w:t xml:space="preserve"> and </w:t>
      </w:r>
      <w:proofErr w:type="spellStart"/>
      <w:r w:rsidRPr="00477F48">
        <w:rPr>
          <w:rFonts w:ascii="Times New Roman" w:hAnsi="Times New Roman" w:cs="Times New Roman"/>
          <w:sz w:val="24"/>
          <w:szCs w:val="24"/>
          <w:lang w:val="en-US"/>
        </w:rPr>
        <w:t>Syncona</w:t>
      </w:r>
      <w:proofErr w:type="spellEnd"/>
      <w:r w:rsidRPr="00477F48">
        <w:rPr>
          <w:rFonts w:ascii="Times New Roman" w:hAnsi="Times New Roman" w:cs="Times New Roman"/>
          <w:sz w:val="24"/>
          <w:szCs w:val="24"/>
          <w:lang w:val="en-US"/>
        </w:rPr>
        <w:t>, and has received academic grant funding from AZ-</w:t>
      </w:r>
      <w:proofErr w:type="spellStart"/>
      <w:r w:rsidRPr="00477F48">
        <w:rPr>
          <w:rFonts w:ascii="Times New Roman" w:hAnsi="Times New Roman" w:cs="Times New Roman"/>
          <w:sz w:val="24"/>
          <w:szCs w:val="24"/>
          <w:lang w:val="en-US"/>
        </w:rPr>
        <w:t>MedImmune</w:t>
      </w:r>
      <w:proofErr w:type="spellEnd"/>
      <w:r w:rsidRPr="00477F48">
        <w:rPr>
          <w:rFonts w:ascii="Times New Roman" w:hAnsi="Times New Roman" w:cs="Times New Roman"/>
          <w:sz w:val="24"/>
          <w:szCs w:val="24"/>
          <w:lang w:val="en-US"/>
        </w:rPr>
        <w:t xml:space="preserve">, Janssen, and Lilly, unrelated to this study. J. T. O’Brien has served as deputy editor of </w:t>
      </w:r>
      <w:r w:rsidRPr="00477F48">
        <w:rPr>
          <w:rFonts w:ascii="Times New Roman" w:hAnsi="Times New Roman" w:cs="Times New Roman"/>
          <w:i/>
          <w:iCs/>
          <w:sz w:val="24"/>
          <w:szCs w:val="24"/>
          <w:lang w:val="en-US"/>
        </w:rPr>
        <w:t>International Psychogeriatrics</w:t>
      </w:r>
      <w:r w:rsidRPr="00477F48">
        <w:rPr>
          <w:rFonts w:ascii="Times New Roman" w:hAnsi="Times New Roman" w:cs="Times New Roman"/>
          <w:sz w:val="24"/>
          <w:szCs w:val="24"/>
          <w:lang w:val="en-US"/>
        </w:rPr>
        <w:t>, received grant support from Avid (Lilly), and served as a consultant for Avid and GE Healthcare, all for matters not related to the current study.</w:t>
      </w:r>
    </w:p>
    <w:p w14:paraId="47639E6F" w14:textId="77777777" w:rsidR="003A293D" w:rsidRPr="00477F48" w:rsidRDefault="003A293D" w:rsidP="00EA7309">
      <w:pPr>
        <w:spacing w:line="480" w:lineRule="auto"/>
        <w:jc w:val="both"/>
        <w:rPr>
          <w:rFonts w:ascii="Times New Roman" w:hAnsi="Times New Roman" w:cs="Times New Roman"/>
          <w:i/>
          <w:iCs/>
          <w:sz w:val="24"/>
          <w:szCs w:val="24"/>
          <w:u w:val="single"/>
          <w:lang w:val="en-US"/>
        </w:rPr>
      </w:pPr>
      <w:r w:rsidRPr="00477F48">
        <w:rPr>
          <w:rFonts w:ascii="Times New Roman" w:hAnsi="Times New Roman" w:cs="Times New Roman"/>
          <w:b/>
          <w:i/>
          <w:iCs/>
          <w:sz w:val="24"/>
          <w:szCs w:val="24"/>
          <w:u w:val="single"/>
          <w:lang w:val="en-US"/>
        </w:rPr>
        <w:t>Ethical approval</w:t>
      </w:r>
    </w:p>
    <w:p w14:paraId="53C1D606" w14:textId="77777777" w:rsidR="003A293D" w:rsidRPr="00477F48" w:rsidRDefault="003A293D" w:rsidP="00EA7309">
      <w:pPr>
        <w:spacing w:line="480" w:lineRule="auto"/>
        <w:jc w:val="both"/>
        <w:rPr>
          <w:rFonts w:ascii="Times New Roman" w:hAnsi="Times New Roman" w:cs="Times New Roman"/>
          <w:sz w:val="24"/>
          <w:szCs w:val="24"/>
          <w:lang w:val="en-US"/>
        </w:rPr>
      </w:pPr>
      <w:r w:rsidRPr="00477F48">
        <w:rPr>
          <w:rFonts w:ascii="Times New Roman" w:hAnsi="Times New Roman" w:cs="Times New Roman"/>
          <w:sz w:val="24"/>
          <w:szCs w:val="24"/>
          <w:lang w:val="en-US"/>
        </w:rPr>
        <w:t>The present study was performed in agreement with the Declaration of Helsinki and its further amendments. Approval was obtained from Ethics Committee from East of England (</w:t>
      </w:r>
      <w:r w:rsidRPr="00477F48">
        <w:rPr>
          <w:rFonts w:ascii="Times New Roman" w:eastAsia="Times New Roman" w:hAnsi="Times New Roman" w:cs="Times New Roman"/>
          <w:sz w:val="24"/>
          <w:szCs w:val="24"/>
          <w:lang w:val="en-GB"/>
        </w:rPr>
        <w:t xml:space="preserve">Cambridge Central Research, Ref. </w:t>
      </w:r>
      <w:r w:rsidRPr="00477F48">
        <w:rPr>
          <w:rFonts w:ascii="Times New Roman" w:hAnsi="Times New Roman" w:cs="Times New Roman"/>
          <w:sz w:val="24"/>
          <w:szCs w:val="24"/>
          <w:lang w:val="en-GB"/>
        </w:rPr>
        <w:t>13/EE/0104).</w:t>
      </w:r>
    </w:p>
    <w:p w14:paraId="4E3C8BE1" w14:textId="77777777" w:rsidR="003A293D" w:rsidRPr="00477F48" w:rsidRDefault="003A293D" w:rsidP="00EA7309">
      <w:pPr>
        <w:spacing w:line="480" w:lineRule="auto"/>
        <w:jc w:val="both"/>
        <w:rPr>
          <w:rFonts w:ascii="Times New Roman" w:hAnsi="Times New Roman" w:cs="Times New Roman"/>
          <w:i/>
          <w:iCs/>
          <w:sz w:val="24"/>
          <w:szCs w:val="24"/>
          <w:u w:val="single"/>
          <w:lang w:val="en-US"/>
        </w:rPr>
      </w:pPr>
      <w:r w:rsidRPr="00477F48">
        <w:rPr>
          <w:rFonts w:ascii="Times New Roman" w:hAnsi="Times New Roman" w:cs="Times New Roman"/>
          <w:b/>
          <w:i/>
          <w:iCs/>
          <w:sz w:val="24"/>
          <w:szCs w:val="24"/>
          <w:u w:val="single"/>
          <w:lang w:val="en-US"/>
        </w:rPr>
        <w:t>Informed consent</w:t>
      </w:r>
    </w:p>
    <w:p w14:paraId="03CF1F91" w14:textId="77777777" w:rsidR="003A293D" w:rsidRPr="00477F48" w:rsidRDefault="003A293D" w:rsidP="00EA7309">
      <w:pPr>
        <w:spacing w:line="480" w:lineRule="auto"/>
        <w:jc w:val="both"/>
        <w:rPr>
          <w:rFonts w:ascii="Times New Roman" w:hAnsi="Times New Roman" w:cs="Times New Roman"/>
          <w:sz w:val="24"/>
          <w:szCs w:val="24"/>
          <w:lang w:val="en-US"/>
        </w:rPr>
      </w:pPr>
      <w:r w:rsidRPr="00477F48">
        <w:rPr>
          <w:rFonts w:ascii="Times New Roman" w:hAnsi="Times New Roman" w:cs="Times New Roman"/>
          <w:sz w:val="24"/>
          <w:szCs w:val="24"/>
          <w:lang w:val="en-US"/>
        </w:rPr>
        <w:t>Informed consent has been obtained from all participants in the present study.</w:t>
      </w:r>
    </w:p>
    <w:p w14:paraId="3BFAB593" w14:textId="77777777" w:rsidR="003A293D" w:rsidRPr="00477F48" w:rsidRDefault="003A293D" w:rsidP="007400D6">
      <w:pPr>
        <w:spacing w:line="480" w:lineRule="auto"/>
        <w:jc w:val="both"/>
        <w:rPr>
          <w:rFonts w:ascii="Times New Roman" w:hAnsi="Times New Roman" w:cs="Times New Roman"/>
          <w:sz w:val="24"/>
          <w:szCs w:val="24"/>
          <w:lang w:val="en-US"/>
        </w:rPr>
      </w:pPr>
    </w:p>
    <w:p w14:paraId="1C148F36" w14:textId="77777777" w:rsidR="003A293D" w:rsidRPr="00477F48" w:rsidRDefault="003A293D" w:rsidP="008D2D9C">
      <w:pPr>
        <w:spacing w:line="480" w:lineRule="auto"/>
        <w:jc w:val="both"/>
        <w:rPr>
          <w:rFonts w:ascii="Times New Roman" w:hAnsi="Times New Roman" w:cs="Times New Roman"/>
          <w:b/>
          <w:sz w:val="24"/>
          <w:szCs w:val="24"/>
          <w:lang w:val="en-GB"/>
        </w:rPr>
      </w:pPr>
      <w:r w:rsidRPr="00477F48">
        <w:rPr>
          <w:rFonts w:ascii="Times New Roman" w:hAnsi="Times New Roman" w:cs="Times New Roman"/>
          <w:b/>
          <w:sz w:val="24"/>
          <w:szCs w:val="24"/>
          <w:lang w:val="en-GB"/>
        </w:rPr>
        <w:t>FUNDING</w:t>
      </w:r>
    </w:p>
    <w:p w14:paraId="5BC6D70B" w14:textId="77777777" w:rsidR="003A293D" w:rsidRPr="00477F48" w:rsidRDefault="003A293D" w:rsidP="008D2D9C">
      <w:pPr>
        <w:spacing w:line="480" w:lineRule="auto"/>
        <w:jc w:val="both"/>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We thank Alzheimer Research UK for funding the </w:t>
      </w:r>
      <w:r w:rsidRPr="00477F48">
        <w:rPr>
          <w:rFonts w:ascii="Times New Roman" w:hAnsi="Times New Roman" w:cs="Times New Roman"/>
          <w:sz w:val="24"/>
          <w:szCs w:val="24"/>
          <w:vertAlign w:val="superscript"/>
          <w:lang w:val="en-GB"/>
        </w:rPr>
        <w:t>11</w:t>
      </w:r>
      <w:r w:rsidRPr="00477F48">
        <w:rPr>
          <w:rFonts w:ascii="Times New Roman" w:hAnsi="Times New Roman" w:cs="Times New Roman"/>
          <w:sz w:val="24"/>
          <w:szCs w:val="24"/>
          <w:lang w:val="en-GB"/>
        </w:rPr>
        <w:t xml:space="preserve">C-PK11195 PET imaging in DLB subjects, the Cambridge PD+ centre, the National Institute for Health Research Cambridge Biomedical Research Centre (NIHR, RG64473), the </w:t>
      </w:r>
      <w:proofErr w:type="spellStart"/>
      <w:r w:rsidRPr="00477F48">
        <w:rPr>
          <w:rFonts w:ascii="Times New Roman" w:hAnsi="Times New Roman" w:cs="Times New Roman"/>
          <w:sz w:val="24"/>
          <w:szCs w:val="24"/>
          <w:lang w:val="en-GB"/>
        </w:rPr>
        <w:t>Wellcome</w:t>
      </w:r>
      <w:proofErr w:type="spellEnd"/>
      <w:r w:rsidRPr="00477F48">
        <w:rPr>
          <w:rFonts w:ascii="Times New Roman" w:hAnsi="Times New Roman" w:cs="Times New Roman"/>
          <w:sz w:val="24"/>
          <w:szCs w:val="24"/>
          <w:lang w:val="en-GB"/>
        </w:rPr>
        <w:t xml:space="preserve"> Trust (JBR: 103838) and the Medical Research Council (FIA: MR/K02308X/1; LP: MR/P01271X/1) for funding and support.</w:t>
      </w:r>
    </w:p>
    <w:p w14:paraId="7634A552" w14:textId="77777777" w:rsidR="003A293D" w:rsidRPr="00477F48" w:rsidRDefault="003A293D">
      <w:pPr>
        <w:rPr>
          <w:rFonts w:ascii="Times New Roman" w:hAnsi="Times New Roman" w:cs="Times New Roman"/>
          <w:b/>
          <w:bCs/>
          <w:sz w:val="24"/>
          <w:szCs w:val="24"/>
          <w:lang w:val="en-GB"/>
        </w:rPr>
      </w:pPr>
    </w:p>
    <w:p w14:paraId="5CB7434F" w14:textId="77777777" w:rsidR="003A293D" w:rsidRPr="00477F48" w:rsidRDefault="003A293D">
      <w:pPr>
        <w:rPr>
          <w:rFonts w:ascii="Times New Roman" w:hAnsi="Times New Roman" w:cs="Times New Roman"/>
          <w:sz w:val="24"/>
          <w:szCs w:val="24"/>
          <w:lang w:val="en-GB"/>
        </w:rPr>
      </w:pPr>
    </w:p>
    <w:p w14:paraId="7D9E05BD" w14:textId="77777777" w:rsidR="003A293D" w:rsidRPr="00477F48" w:rsidRDefault="003A293D" w:rsidP="00083461">
      <w:pPr>
        <w:rPr>
          <w:rFonts w:ascii="Times New Roman" w:hAnsi="Times New Roman" w:cs="Times New Roman"/>
          <w:b/>
          <w:bCs/>
          <w:sz w:val="24"/>
          <w:szCs w:val="24"/>
          <w:u w:val="single"/>
          <w:lang w:val="en-GB"/>
        </w:rPr>
      </w:pPr>
      <w:r w:rsidRPr="00477F48">
        <w:rPr>
          <w:rFonts w:ascii="Times New Roman" w:hAnsi="Times New Roman" w:cs="Times New Roman"/>
          <w:b/>
          <w:bCs/>
          <w:sz w:val="24"/>
          <w:szCs w:val="24"/>
          <w:u w:val="single"/>
          <w:lang w:val="en-GB"/>
        </w:rPr>
        <w:t>REFERENCES</w:t>
      </w:r>
    </w:p>
    <w:p w14:paraId="7C25B919" w14:textId="48E53D4C" w:rsidR="00765729" w:rsidRPr="00477F48" w:rsidRDefault="00765729" w:rsidP="007A53D4">
      <w:pPr>
        <w:pStyle w:val="EndNoteBibliography"/>
        <w:spacing w:after="0" w:line="360" w:lineRule="auto"/>
        <w:rPr>
          <w:rFonts w:ascii="Times New Roman" w:hAnsi="Times New Roman" w:cs="Times New Roman"/>
          <w:sz w:val="24"/>
          <w:szCs w:val="24"/>
          <w:lang w:val="en-GB"/>
        </w:rPr>
      </w:pPr>
      <w:r w:rsidRPr="00477F48">
        <w:rPr>
          <w:rFonts w:ascii="Times New Roman" w:hAnsi="Times New Roman" w:cs="Times New Roman"/>
          <w:sz w:val="24"/>
          <w:szCs w:val="24"/>
          <w:lang w:val="en-GB"/>
        </w:rPr>
        <w:t>Alexander AL, Lee JE, Lazar M, Field AS. Diffusion tensor imaging of the brain. Neurotherapeutics. 2007;4(3):316-29</w:t>
      </w:r>
    </w:p>
    <w:p w14:paraId="324F0DE9" w14:textId="5F4BDB3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lang w:val="en-GB"/>
        </w:rPr>
        <w:t xml:space="preserve">Amlien IK, Fjell AM. </w:t>
      </w:r>
      <w:r w:rsidRPr="00477F48">
        <w:rPr>
          <w:rFonts w:ascii="Times New Roman" w:hAnsi="Times New Roman" w:cs="Times New Roman"/>
          <w:sz w:val="24"/>
          <w:szCs w:val="24"/>
        </w:rPr>
        <w:t>Diffusion tensor imaging of white matter degeneration in Alzheimer's disease and mild cognitive impairment. Neuroscience. 2014;276:206-15.</w:t>
      </w:r>
    </w:p>
    <w:p w14:paraId="1DD56D00"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Bach M, Laun FB, Leemans A, Tax CM, Biessels GJ, Stieltjes B, et al. Methodological considerations on tract-based spatial statistics (TBSS). Neuroimage. 2014;100:358-69.</w:t>
      </w:r>
    </w:p>
    <w:p w14:paraId="1FC36C2C" w14:textId="77777777" w:rsidR="003A293D" w:rsidRPr="00477F48" w:rsidRDefault="003A293D" w:rsidP="007A53D4">
      <w:pPr>
        <w:pStyle w:val="EndNoteBibliography"/>
        <w:spacing w:after="0" w:line="360" w:lineRule="auto"/>
        <w:rPr>
          <w:rFonts w:ascii="Times New Roman" w:hAnsi="Times New Roman" w:cs="Times New Roman"/>
          <w:sz w:val="24"/>
          <w:szCs w:val="24"/>
          <w:lang w:val="fr-CH"/>
        </w:rPr>
      </w:pPr>
      <w:r w:rsidRPr="00477F48">
        <w:rPr>
          <w:rFonts w:ascii="Times New Roman" w:hAnsi="Times New Roman" w:cs="Times New Roman"/>
          <w:sz w:val="24"/>
          <w:szCs w:val="24"/>
        </w:rPr>
        <w:t xml:space="preserve">Bartzokis G, Lu PH, Mintz J. Human brain myelination and amyloid beta deposition in Alzheimer's disease. </w:t>
      </w:r>
      <w:r w:rsidRPr="00477F48">
        <w:rPr>
          <w:rFonts w:ascii="Times New Roman" w:hAnsi="Times New Roman" w:cs="Times New Roman"/>
          <w:sz w:val="24"/>
          <w:szCs w:val="24"/>
          <w:lang w:val="fr-CH"/>
        </w:rPr>
        <w:t>Alzheimers Dement. 2007;3(2):122-5.</w:t>
      </w:r>
    </w:p>
    <w:p w14:paraId="27199F4A"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lang w:val="fr-CH"/>
        </w:rPr>
        <w:t xml:space="preserve">Bevan-Jones WR, Surendranathan A, Passamonti L, Vazquez Rodriguez P, Arnold R, Mak E, et al. </w:t>
      </w:r>
      <w:r w:rsidRPr="00477F48">
        <w:rPr>
          <w:rFonts w:ascii="Times New Roman" w:hAnsi="Times New Roman" w:cs="Times New Roman"/>
          <w:sz w:val="24"/>
          <w:szCs w:val="24"/>
        </w:rPr>
        <w:t>Neuroimaging of Inflammation in Memory and Related Other Disorders (NIMROD) study protocol: a deep phenotyping cohort study of the role of brain inflammation in dementia, depression and other neurological illnesses. BMJ Open. 2017;7(1):e013187.</w:t>
      </w:r>
    </w:p>
    <w:p w14:paraId="1D00A26A"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Blume T, Focke C, Peters F, Deussing M, Albert NL, Lindner S, et al. Microglial response to increasing amyloid load saturates with aging: a longitudinal dual tracer in vivo muPET-study. J Neuroinflammation. 2018;15(1):307.</w:t>
      </w:r>
    </w:p>
    <w:p w14:paraId="3C638FC1"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Bradburn S, Murgatroyd C, Ray N. Neuroinflammation in mild cognitive impairment and Alzheimer's disease: A meta-analysis. Ageing Res Rev. 2019;50:1-8.</w:t>
      </w:r>
    </w:p>
    <w:p w14:paraId="528EB162" w14:textId="6D2BF1F8"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Chao LL, Decarli C, Kriger S, Truran D, Zhang Y, Laxamana J, et al. Associations between white matter hyperintensities and beta amyloid on integrity of projection, association, and limbic fiber tracts measured with diffusion tensor MRI. PLoS One. 2013;8(6):e65175.</w:t>
      </w:r>
    </w:p>
    <w:p w14:paraId="49EE9C06" w14:textId="08248624" w:rsidR="00AB2CC7" w:rsidRPr="00477F48" w:rsidRDefault="00AB2CC7" w:rsidP="007A53D4">
      <w:pPr>
        <w:pStyle w:val="EndNoteBibliography"/>
        <w:spacing w:after="0" w:line="360" w:lineRule="auto"/>
        <w:rPr>
          <w:rFonts w:ascii="Times New Roman" w:hAnsi="Times New Roman" w:cs="Times New Roman"/>
          <w:sz w:val="24"/>
          <w:szCs w:val="24"/>
          <w:lang w:val="en-GB"/>
        </w:rPr>
      </w:pPr>
      <w:r w:rsidRPr="00477F48">
        <w:rPr>
          <w:rFonts w:ascii="Times New Roman" w:hAnsi="Times New Roman" w:cs="Times New Roman"/>
          <w:sz w:val="24"/>
          <w:szCs w:val="24"/>
          <w:lang w:val="en-GB"/>
        </w:rPr>
        <w:t xml:space="preserve">Dell’Acqua F, Tournier JD. Modelling white matter with spherical deconvolution: how and why? </w:t>
      </w:r>
      <w:r w:rsidR="00E92C07" w:rsidRPr="00477F48">
        <w:rPr>
          <w:rFonts w:ascii="Times New Roman" w:hAnsi="Times New Roman" w:cs="Times New Roman"/>
          <w:sz w:val="24"/>
          <w:szCs w:val="24"/>
          <w:lang w:val="en-GB"/>
        </w:rPr>
        <w:t>NMR Biomed. 2019;32(4):e3945</w:t>
      </w:r>
    </w:p>
    <w:p w14:paraId="4737E760"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Delli Pizzi S, Franciotti R, Taylor JP, Esposito R, Tartaro A, Thomas A, et al. Structural Connectivity is Differently Altered in Dementia with Lewy Body and Alzheimer's Disease. Front Aging Neurosci. 2015;7:208.</w:t>
      </w:r>
    </w:p>
    <w:p w14:paraId="46B4217F"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Fan Z, Brooks DJ, Okello A, Edison P. An early and late peak in microglial activation in Alzheimer's disease trajectory. Brain. 2017;140(3):792-803.</w:t>
      </w:r>
    </w:p>
    <w:p w14:paraId="0775D3E4" w14:textId="77777777" w:rsidR="003A293D" w:rsidRPr="00477F48" w:rsidRDefault="003A293D" w:rsidP="007A53D4">
      <w:pPr>
        <w:pStyle w:val="EndNoteBibliography"/>
        <w:spacing w:after="0" w:line="360" w:lineRule="auto"/>
        <w:rPr>
          <w:rFonts w:ascii="Times New Roman" w:hAnsi="Times New Roman" w:cs="Times New Roman"/>
          <w:sz w:val="24"/>
          <w:szCs w:val="24"/>
          <w:lang w:val="fr-CH"/>
        </w:rPr>
      </w:pPr>
      <w:r w:rsidRPr="00477F48">
        <w:rPr>
          <w:rFonts w:ascii="Times New Roman" w:hAnsi="Times New Roman" w:cs="Times New Roman"/>
          <w:sz w:val="24"/>
          <w:szCs w:val="24"/>
        </w:rPr>
        <w:t xml:space="preserve">Fan Z, Okello AA, Brooks DJ, Edison P. Longitudinal influence of microglial activation and amyloid on neuronal function in Alzheimer's disease. </w:t>
      </w:r>
      <w:r w:rsidRPr="00477F48">
        <w:rPr>
          <w:rFonts w:ascii="Times New Roman" w:hAnsi="Times New Roman" w:cs="Times New Roman"/>
          <w:sz w:val="24"/>
          <w:szCs w:val="24"/>
          <w:lang w:val="fr-CH"/>
        </w:rPr>
        <w:t>Brain. 2015;138(Pt 12):3685-98.</w:t>
      </w:r>
    </w:p>
    <w:p w14:paraId="4E4E81A2"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lang w:val="fr-CH"/>
        </w:rPr>
        <w:lastRenderedPageBreak/>
        <w:t xml:space="preserve">Femminella GD, Dani M, Wood M, Fan Z, Calsolaro V, Atkinson R, et al. </w:t>
      </w:r>
      <w:r w:rsidRPr="00477F48">
        <w:rPr>
          <w:rFonts w:ascii="Times New Roman" w:hAnsi="Times New Roman" w:cs="Times New Roman"/>
          <w:sz w:val="24"/>
          <w:szCs w:val="24"/>
        </w:rPr>
        <w:t>Microglial activation in early Alzheimer trajectory is associated with higher gray matter volume. Neurology. 2019;92(12):e1331-e43.</w:t>
      </w:r>
    </w:p>
    <w:p w14:paraId="34CFF959"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Firbank MJ, Blamire AM, Krishnan MS, Teodorczuk A, English P, Gholkar A, et al. Diffusion tensor imaging in dementia with Lewy bodies and Alzheimer's disease. Psychiatry Res. 2007;155(2):135-45.</w:t>
      </w:r>
    </w:p>
    <w:p w14:paraId="299D887A"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Firbank MJ, Watson R, Mak E, Aribisala B, Barber R, Colloby SJ, et al. Longitudinal diffusion tensor imaging in dementia with Lewy bodies and Alzheimer's disease. Parkinsonism Relat Disord. 2016;24:76-80.</w:t>
      </w:r>
    </w:p>
    <w:p w14:paraId="1B896C31"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Gold BT, Johnson NF, Powell DK, Smith CD. White matter integrity and vulnerability to Alzheimer's disease: preliminary findings and future directions. Biochim Biophys Acta. 2012;1822(3):416-22.</w:t>
      </w:r>
    </w:p>
    <w:p w14:paraId="02084C4D"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Gomperts SN. Lewy Body Dementias: Dementia With Lewy Bodies and Parkinson Disease Dementia. Continuum (Minneap Minn). 2016;22(2 Dementia):435-63.</w:t>
      </w:r>
    </w:p>
    <w:p w14:paraId="1363D7CE"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Greve DN, Svarer C, Fisher PM, Feng L, Hansen AE, Baare W, et al. Cortical surface-based analysis reduces bias and variance in kinetic modeling of brain PET data. Neuroimage. 2014;92:225-36.</w:t>
      </w:r>
    </w:p>
    <w:p w14:paraId="785AA54B"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Hamelin L, Lagarde J, Dorothee G, Leroy C, Labit M, Comley RA, et al. Early and protective microglial activation in Alzheimer's disease: a prospective study using 18F-DPA-714 PET imaging. Brain. 2016;139(Pt 4):1252-64.</w:t>
      </w:r>
    </w:p>
    <w:p w14:paraId="48842C93"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Hammers A, Allom R, Koepp MJ, Free SL, Myers R, Lemieux L, et al. Three-dimensional maximum probability atlas of the human brain, with particular reference to the temporal lobe. Hum Brain Mapp. 2003;19(4):224-47.</w:t>
      </w:r>
    </w:p>
    <w:p w14:paraId="11AEE6D6"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Iannaccone S, Cerami C, Alessio M, Garibotto V, Panzacchi A, Olivieri S, et al. In vivo microglia activation in very early dementia with Lewy bodies, comparison with Parkinson's disease. Parkinsonism Relat Disord. 2013;19(1):47-52.</w:t>
      </w:r>
    </w:p>
    <w:p w14:paraId="7DDA54A3"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Jagust WJ, Bandy D, Chen K, Foster NL, Landau SM, Mathis CA, et al. The Alzheimer's Disease Neuroimaging Initiative positron emission tomography core. Alzheimers Dement. 2010;6(3):221-9.</w:t>
      </w:r>
    </w:p>
    <w:p w14:paraId="3BEDFA8F"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Kantarci K, Avula R, Senjem ML, Samikoglu AR, Zhang B, Weigand SD, et al. Dementia with Lewy bodies and Alzheimer disease: neurodegenerative patterns characterized by DTI. Neurology. 2010;74(22):1814-21.</w:t>
      </w:r>
    </w:p>
    <w:p w14:paraId="33B217D7" w14:textId="4FE3B2B9"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lastRenderedPageBreak/>
        <w:t>Kantarci K, Murray ME, Schwarz CG, Reid RI, Przybelski SA, Lesnick T, et al. White-matter integrity on DTI and the pathologic staging of Alzheimer's disease. Neurobiol Aging. 2017;56:172-9.</w:t>
      </w:r>
    </w:p>
    <w:p w14:paraId="6D4C47D5" w14:textId="2937B65E" w:rsidR="00765729" w:rsidRPr="00477F48" w:rsidRDefault="00765729"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Klawiter EC, Schmidt RE, Trinkaus K, Liang HF, Budde MD, Naismith RT, et al. Radial diffusivity predicts demyelination in ex vivo multiple sclerosis spinal cords. Neuroimage. 2011; 55(4):1454-60</w:t>
      </w:r>
    </w:p>
    <w:p w14:paraId="52496F6B"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Kumar R, Chavez AS, Macey PM, Woo MA, Harper RM. Brain axial and radial diffusivity changes with age and gender in healthy adults. Brain Res. 2013;1512:22-36.</w:t>
      </w:r>
    </w:p>
    <w:p w14:paraId="66442D51"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McKeith IG, Boeve BF, Dickson DW, Halliday G, Taylor JP, Weintraub D, et al. Diagnosis and management of dementia with Lewy bodies: Fourth consensus report of the DLB Consortium. Neurology. 2017;89(1):88-100.</w:t>
      </w:r>
    </w:p>
    <w:p w14:paraId="608B6746"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McKeith IG, Dickson DW, Lowe J, Emre M, O'Brien JT, Feldman H, et al. Diagnosis and management of dementia with Lewy bodies: third report of the DLB Consortium. Neurology. 2005;65(12):1863-72.</w:t>
      </w:r>
    </w:p>
    <w:p w14:paraId="5F05C304"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Mioshi E, Dawson K, Mitchell J, Arnold R, Hodges JR. The Addenbrooke's Cognitive Examination Revised (ACE-R): a brief cognitive test battery for dementia screening. Int J Geriatr Psychiatry. 2006;21(11):1078-85.</w:t>
      </w:r>
    </w:p>
    <w:p w14:paraId="7B176171" w14:textId="77777777" w:rsidR="003A293D" w:rsidRPr="00477F48" w:rsidRDefault="003A293D" w:rsidP="007A53D4">
      <w:pPr>
        <w:pStyle w:val="EndNoteBibliography"/>
        <w:spacing w:after="0" w:line="360" w:lineRule="auto"/>
        <w:rPr>
          <w:rFonts w:ascii="Times New Roman" w:hAnsi="Times New Roman" w:cs="Times New Roman"/>
          <w:sz w:val="24"/>
          <w:szCs w:val="24"/>
          <w:lang w:val="en-GB"/>
        </w:rPr>
      </w:pPr>
      <w:r w:rsidRPr="00477F48">
        <w:rPr>
          <w:rFonts w:ascii="Times New Roman" w:hAnsi="Times New Roman" w:cs="Times New Roman"/>
          <w:sz w:val="24"/>
          <w:szCs w:val="24"/>
        </w:rPr>
        <w:t xml:space="preserve">Nedelska Z, Schwarz CG, Boeve BF, Lowe VJ, Reid RI, Przybelski SA, et al. White matter integrity in dementia with Lewy bodies: a voxel-based analysis of diffusion tensor imaging. Neurobiol Aging. </w:t>
      </w:r>
      <w:r w:rsidRPr="00477F48">
        <w:rPr>
          <w:rFonts w:ascii="Times New Roman" w:hAnsi="Times New Roman" w:cs="Times New Roman"/>
          <w:sz w:val="24"/>
          <w:szCs w:val="24"/>
          <w:lang w:val="en-GB"/>
        </w:rPr>
        <w:t>2015;36(6):2010-7.</w:t>
      </w:r>
    </w:p>
    <w:p w14:paraId="4B0228F5" w14:textId="2FD48D8A"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lang w:val="en-GB"/>
        </w:rPr>
        <w:t xml:space="preserve">Nicastro N, Rodriguez PV, Malpetti M, Bevan-Jones WR, Simon Jones P, Passamonti L, et al. </w:t>
      </w:r>
      <w:r w:rsidRPr="00477F48">
        <w:rPr>
          <w:rFonts w:ascii="Times New Roman" w:hAnsi="Times New Roman" w:cs="Times New Roman"/>
          <w:sz w:val="24"/>
          <w:szCs w:val="24"/>
        </w:rPr>
        <w:t>(18)F-AV1451 PET imaging and multimodal MRI changes in progressive supranuclear palsy. J Neurol. 2019</w:t>
      </w:r>
      <w:r w:rsidR="004C14F9" w:rsidRPr="00477F48">
        <w:rPr>
          <w:rFonts w:ascii="Times New Roman" w:hAnsi="Times New Roman" w:cs="Times New Roman"/>
          <w:sz w:val="24"/>
          <w:szCs w:val="24"/>
        </w:rPr>
        <w:t xml:space="preserve"> (e-pub ahead of print)</w:t>
      </w:r>
    </w:p>
    <w:p w14:paraId="2CEA110D"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O'Donovan J, Watson R, Colloby SJ, Blamire AM, O'Brien JT. Assessment of regional MR diffusion changes in dementia with Lewy bodies and Alzheimer's disease. Int Psychogeriatr. 2014;26(4):627-35.</w:t>
      </w:r>
    </w:p>
    <w:p w14:paraId="2A9CF598"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Owen DR, Yeo AJ, Gunn RN, Song K, Wadsworth G, Lewis A, et al. An 18-kDa translocator protein (TSPO) polymorphism explains differences in binding affinity of the PET radioligand PBR28. J Cereb Blood Flow Metab. 2012;32(1):1-5.</w:t>
      </w:r>
    </w:p>
    <w:p w14:paraId="628681D6"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Passamonti L, Rodriguez PV, Hong YT, Allinson KSJ, Bevan-Jones WR, Williamson D, et al. [(11)C]PK11195 binding in Alzheimer disease and progressive supranuclear palsy. Neurology. 2018;90(22):e1989-e96.</w:t>
      </w:r>
    </w:p>
    <w:p w14:paraId="5D2FE2BB"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Pierpaoli C, Basser PJ. Toward a quantitative assessment of diffusion anisotropy. Magn Reson Med. 1996;36(6):893-906.</w:t>
      </w:r>
    </w:p>
    <w:p w14:paraId="111A00AB"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lastRenderedPageBreak/>
        <w:t>Rissanen E, Tuisku J, Vahlberg T, Sucksdorff M, Paavilainen T, Parkkola R, et al. Microglial activation, white matter tract damage, and disability in MS. Neurol Neuroimmunol Neuroinflamm. 2018;5(3):e443.</w:t>
      </w:r>
    </w:p>
    <w:p w14:paraId="2D9866B4"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Smith SM, Jenkinson M, Woolrich MW, Beckmann CF, Behrens TE, Johansen-Berg H, et al. Advances in functional and structural MR image analysis and implementation as FSL. Neuroimage. 2004;23 Suppl 1:S208-19.</w:t>
      </w:r>
    </w:p>
    <w:p w14:paraId="4AA8E547" w14:textId="77777777" w:rsidR="003A293D" w:rsidRPr="00477F48" w:rsidRDefault="003A293D" w:rsidP="007A53D4">
      <w:pPr>
        <w:pStyle w:val="EndNoteBibliography"/>
        <w:spacing w:after="0" w:line="360" w:lineRule="auto"/>
        <w:rPr>
          <w:rFonts w:ascii="Times New Roman" w:hAnsi="Times New Roman" w:cs="Times New Roman"/>
          <w:sz w:val="24"/>
          <w:szCs w:val="24"/>
          <w:lang w:val="fr-CH"/>
        </w:rPr>
      </w:pPr>
      <w:r w:rsidRPr="00477F48">
        <w:rPr>
          <w:rFonts w:ascii="Times New Roman" w:hAnsi="Times New Roman" w:cs="Times New Roman"/>
          <w:sz w:val="24"/>
          <w:szCs w:val="24"/>
        </w:rPr>
        <w:t xml:space="preserve">Smith SM, Nichols TE. Threshold-free cluster enhancement: addressing problems of smoothing, threshold dependence and localisation in cluster inference. </w:t>
      </w:r>
      <w:r w:rsidRPr="00477F48">
        <w:rPr>
          <w:rFonts w:ascii="Times New Roman" w:hAnsi="Times New Roman" w:cs="Times New Roman"/>
          <w:sz w:val="24"/>
          <w:szCs w:val="24"/>
          <w:lang w:val="fr-CH"/>
        </w:rPr>
        <w:t>Neuroimage. 2009;44(1):83-98.</w:t>
      </w:r>
    </w:p>
    <w:p w14:paraId="4C709F1F"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lang w:val="fr-CH"/>
        </w:rPr>
        <w:t xml:space="preserve">Song SK, Yoshino J, Le TQ, Lin SJ, Sun SW, Cross AH, et al. </w:t>
      </w:r>
      <w:r w:rsidRPr="00477F48">
        <w:rPr>
          <w:rFonts w:ascii="Times New Roman" w:hAnsi="Times New Roman" w:cs="Times New Roman"/>
          <w:sz w:val="24"/>
          <w:szCs w:val="24"/>
        </w:rPr>
        <w:t>Demyelination increases radial diffusivity in corpus callosum of mouse brain. Neuroimage. 2005;26(1):132-40.</w:t>
      </w:r>
    </w:p>
    <w:p w14:paraId="1795494C"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Spillantini MG, Schmidt ML, Lee VM, Trojanowski JQ, Jakes R, Goedert M. Alpha-synuclein in Lewy bodies. Nature. 1997;388(6645):839-40.</w:t>
      </w:r>
    </w:p>
    <w:p w14:paraId="5529A4B3"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Stefaniak J, O'Brien J. Imaging of neuroinflammation in dementia: a review. Journal of neurology, neurosurgery, and psychiatry. 2016;87(1):21-8.</w:t>
      </w:r>
    </w:p>
    <w:p w14:paraId="39A05ACB"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Surendranathan A, Su L, Mak E, Passamonti L, Hong YT, Arnold R, et al. Early microglial activation and peripheral inflammation in dementia with Lewy bodies. Brain. 2018;141(12):3415-27.</w:t>
      </w:r>
    </w:p>
    <w:p w14:paraId="57C7E993"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Turkheimer FE, Edison P, Pavese N, Roncaroli F, Anderson AN, Hammers A, et al. Reference and target region modeling of [11C]-(R)-PK11195 brain studies. Journal of nuclear medicine : official publication, Society of Nuclear Medicine. 2007;48(1):158-67.</w:t>
      </w:r>
    </w:p>
    <w:p w14:paraId="2B587F59"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Vann Jones SA, O'Brien JT. The prevalence and incidence of dementia with Lewy bodies: a systematic review of population and clinical studies. Psychol Med. 2014;44(4):673-83.</w:t>
      </w:r>
    </w:p>
    <w:p w14:paraId="7D1A5617" w14:textId="77777777" w:rsidR="003A293D" w:rsidRPr="00477F48" w:rsidRDefault="003A293D" w:rsidP="007A53D4">
      <w:pPr>
        <w:pStyle w:val="EndNoteBibliography"/>
        <w:spacing w:after="0" w:line="360" w:lineRule="auto"/>
        <w:rPr>
          <w:rFonts w:ascii="Times New Roman" w:hAnsi="Times New Roman" w:cs="Times New Roman"/>
          <w:sz w:val="24"/>
          <w:szCs w:val="24"/>
        </w:rPr>
      </w:pPr>
      <w:r w:rsidRPr="00477F48">
        <w:rPr>
          <w:rFonts w:ascii="Times New Roman" w:hAnsi="Times New Roman" w:cs="Times New Roman"/>
          <w:sz w:val="24"/>
          <w:szCs w:val="24"/>
        </w:rPr>
        <w:t>Watson R, Blamire AM, Colloby SJ, Wood JS, Barber R, He J, et al. Characterizing dementia with Lewy bodies by means of diffusion tensor imaging. Neurology. 2012;79(9):906-14.</w:t>
      </w:r>
    </w:p>
    <w:p w14:paraId="7665AB9C" w14:textId="77777777" w:rsidR="003A293D" w:rsidRPr="00477F48" w:rsidRDefault="003A293D" w:rsidP="007A53D4">
      <w:pPr>
        <w:pStyle w:val="EndNoteBibliography"/>
        <w:spacing w:line="360" w:lineRule="auto"/>
        <w:rPr>
          <w:rFonts w:ascii="Times New Roman" w:hAnsi="Times New Roman" w:cs="Times New Roman"/>
          <w:sz w:val="24"/>
          <w:szCs w:val="24"/>
        </w:rPr>
      </w:pPr>
      <w:r w:rsidRPr="00477F48">
        <w:rPr>
          <w:rFonts w:ascii="Times New Roman" w:hAnsi="Times New Roman" w:cs="Times New Roman"/>
          <w:sz w:val="24"/>
          <w:szCs w:val="24"/>
        </w:rPr>
        <w:t>Yaqub M, van Berckel BN, Schuitemaker A, Hinz R, Turkheimer FE, Tomasi G, et al. Optimization of supervised cluster analysis for extracting reference tissue input curves in (R)-[(11)C]PK11195 brain PET studies. J Cereb Blood Flow Metab. 2012;32(8):1600-8.</w:t>
      </w:r>
    </w:p>
    <w:p w14:paraId="3575783C" w14:textId="1458A70D" w:rsidR="003A293D" w:rsidRPr="00477F48" w:rsidRDefault="003A293D" w:rsidP="007A53D4">
      <w:pPr>
        <w:widowControl w:val="0"/>
        <w:autoSpaceDE w:val="0"/>
        <w:autoSpaceDN w:val="0"/>
        <w:adjustRightInd w:val="0"/>
        <w:spacing w:before="120" w:line="360" w:lineRule="auto"/>
        <w:outlineLvl w:val="0"/>
        <w:rPr>
          <w:rFonts w:ascii="Times New Roman" w:hAnsi="Times New Roman" w:cs="Times New Roman"/>
          <w:sz w:val="24"/>
          <w:szCs w:val="24"/>
          <w:lang w:val="en-GB"/>
        </w:rPr>
      </w:pPr>
    </w:p>
    <w:p w14:paraId="280D60A3" w14:textId="2441088F" w:rsidR="00A36A77" w:rsidRPr="00477F48" w:rsidRDefault="00A36A77" w:rsidP="007A53D4">
      <w:pPr>
        <w:widowControl w:val="0"/>
        <w:autoSpaceDE w:val="0"/>
        <w:autoSpaceDN w:val="0"/>
        <w:adjustRightInd w:val="0"/>
        <w:spacing w:before="120" w:line="360" w:lineRule="auto"/>
        <w:outlineLvl w:val="0"/>
        <w:rPr>
          <w:rFonts w:ascii="Times New Roman" w:hAnsi="Times New Roman" w:cs="Times New Roman"/>
          <w:sz w:val="24"/>
          <w:szCs w:val="24"/>
          <w:lang w:val="en-GB"/>
        </w:rPr>
      </w:pPr>
    </w:p>
    <w:p w14:paraId="6DF22A64" w14:textId="7E51335D" w:rsidR="00A36A77" w:rsidRPr="00477F48" w:rsidRDefault="00A36A77" w:rsidP="007A53D4">
      <w:pPr>
        <w:widowControl w:val="0"/>
        <w:autoSpaceDE w:val="0"/>
        <w:autoSpaceDN w:val="0"/>
        <w:adjustRightInd w:val="0"/>
        <w:spacing w:before="120" w:line="360" w:lineRule="auto"/>
        <w:outlineLvl w:val="0"/>
        <w:rPr>
          <w:rFonts w:ascii="Times New Roman" w:hAnsi="Times New Roman" w:cs="Times New Roman"/>
          <w:sz w:val="24"/>
          <w:szCs w:val="24"/>
          <w:lang w:val="en-GB"/>
        </w:rPr>
      </w:pPr>
    </w:p>
    <w:p w14:paraId="0C2C6C80" w14:textId="77777777" w:rsidR="00A36A77" w:rsidRPr="00477F48" w:rsidRDefault="00A36A77" w:rsidP="007A53D4">
      <w:pPr>
        <w:widowControl w:val="0"/>
        <w:autoSpaceDE w:val="0"/>
        <w:autoSpaceDN w:val="0"/>
        <w:adjustRightInd w:val="0"/>
        <w:spacing w:before="120" w:line="360" w:lineRule="auto"/>
        <w:outlineLvl w:val="0"/>
        <w:rPr>
          <w:rFonts w:ascii="Times New Roman" w:hAnsi="Times New Roman" w:cs="Times New Roman"/>
          <w:sz w:val="24"/>
          <w:szCs w:val="24"/>
          <w:lang w:val="en-GB"/>
        </w:rPr>
      </w:pPr>
    </w:p>
    <w:p w14:paraId="7692534F" w14:textId="77777777" w:rsidR="003A293D" w:rsidRPr="00477F48" w:rsidRDefault="003A293D" w:rsidP="00083461">
      <w:pPr>
        <w:pStyle w:val="EndNoteBibliography"/>
        <w:rPr>
          <w:rFonts w:ascii="Times New Roman" w:hAnsi="Times New Roman" w:cs="Times New Roman"/>
          <w:sz w:val="24"/>
          <w:szCs w:val="24"/>
        </w:rPr>
      </w:pPr>
      <w:r w:rsidRPr="00477F48">
        <w:rPr>
          <w:rFonts w:ascii="Times New Roman" w:hAnsi="Times New Roman" w:cs="Times New Roman"/>
          <w:b/>
          <w:sz w:val="24"/>
          <w:szCs w:val="24"/>
          <w:lang w:val="en-GB"/>
        </w:rPr>
        <w:lastRenderedPageBreak/>
        <w:t>FIGURE LEGENDS</w:t>
      </w:r>
    </w:p>
    <w:p w14:paraId="669302C5" w14:textId="1F4B2BC4" w:rsidR="003A293D" w:rsidRPr="00477F48" w:rsidRDefault="003A293D" w:rsidP="00083461">
      <w:pPr>
        <w:widowControl w:val="0"/>
        <w:autoSpaceDE w:val="0"/>
        <w:autoSpaceDN w:val="0"/>
        <w:adjustRightInd w:val="0"/>
        <w:spacing w:before="120" w:line="480" w:lineRule="auto"/>
        <w:outlineLvl w:val="0"/>
        <w:rPr>
          <w:rFonts w:ascii="Times New Roman" w:hAnsi="Times New Roman" w:cs="Times New Roman"/>
          <w:sz w:val="24"/>
          <w:szCs w:val="24"/>
          <w:lang w:val="en-GB"/>
        </w:rPr>
      </w:pPr>
      <w:r w:rsidRPr="00477F48">
        <w:rPr>
          <w:rFonts w:ascii="Times New Roman" w:hAnsi="Times New Roman" w:cs="Times New Roman"/>
          <w:b/>
          <w:sz w:val="24"/>
          <w:szCs w:val="24"/>
          <w:lang w:val="en-GB"/>
        </w:rPr>
        <w:t>Figure 1</w:t>
      </w:r>
      <w:r w:rsidRPr="00477F48">
        <w:rPr>
          <w:rFonts w:ascii="Times New Roman" w:hAnsi="Times New Roman" w:cs="Times New Roman"/>
          <w:sz w:val="24"/>
          <w:szCs w:val="24"/>
          <w:lang w:val="en-GB"/>
        </w:rPr>
        <w:t>: DTI group comparisons showing increased radial diffusivity (red) in DLB subjects compared to healthy control group (FWE p&lt;0.05)</w:t>
      </w:r>
    </w:p>
    <w:p w14:paraId="21DAB9B3" w14:textId="0C55C25E" w:rsidR="00A36A77" w:rsidRPr="00477F48" w:rsidRDefault="00A36A77" w:rsidP="00083461">
      <w:pPr>
        <w:widowControl w:val="0"/>
        <w:autoSpaceDE w:val="0"/>
        <w:autoSpaceDN w:val="0"/>
        <w:adjustRightInd w:val="0"/>
        <w:spacing w:before="120" w:line="480" w:lineRule="auto"/>
        <w:outlineLvl w:val="0"/>
        <w:rPr>
          <w:rFonts w:ascii="Times New Roman" w:hAnsi="Times New Roman" w:cs="Times New Roman"/>
          <w:sz w:val="24"/>
          <w:szCs w:val="24"/>
          <w:lang w:val="en-GB"/>
        </w:rPr>
      </w:pPr>
      <w:r w:rsidRPr="00477F48">
        <w:rPr>
          <w:rFonts w:ascii="Times New Roman" w:hAnsi="Times New Roman" w:cs="Times New Roman"/>
          <w:b/>
          <w:bCs/>
          <w:sz w:val="24"/>
          <w:szCs w:val="24"/>
          <w:lang w:val="en-GB"/>
        </w:rPr>
        <w:t>Figure 2</w:t>
      </w:r>
      <w:r w:rsidRPr="00477F48">
        <w:rPr>
          <w:rFonts w:ascii="Times New Roman" w:hAnsi="Times New Roman" w:cs="Times New Roman"/>
          <w:sz w:val="24"/>
          <w:szCs w:val="24"/>
          <w:lang w:val="en-GB"/>
        </w:rPr>
        <w:t>: VBM group comparisons showing reduced grey matter volume</w:t>
      </w:r>
      <w:r w:rsidR="004C14F9" w:rsidRPr="00477F48">
        <w:rPr>
          <w:rFonts w:ascii="Times New Roman" w:hAnsi="Times New Roman" w:cs="Times New Roman"/>
          <w:sz w:val="24"/>
          <w:szCs w:val="24"/>
          <w:lang w:val="en-GB"/>
        </w:rPr>
        <w:t xml:space="preserve"> (</w:t>
      </w:r>
      <w:proofErr w:type="gramStart"/>
      <w:r w:rsidR="004C14F9" w:rsidRPr="00477F48">
        <w:rPr>
          <w:rFonts w:ascii="Times New Roman" w:hAnsi="Times New Roman" w:cs="Times New Roman"/>
          <w:sz w:val="24"/>
          <w:szCs w:val="24"/>
          <w:lang w:val="en-GB"/>
        </w:rPr>
        <w:t>blue-green</w:t>
      </w:r>
      <w:proofErr w:type="gramEnd"/>
      <w:r w:rsidR="004C14F9" w:rsidRPr="00477F48">
        <w:rPr>
          <w:rFonts w:ascii="Times New Roman" w:hAnsi="Times New Roman" w:cs="Times New Roman"/>
          <w:sz w:val="24"/>
          <w:szCs w:val="24"/>
          <w:lang w:val="en-GB"/>
        </w:rPr>
        <w:t>)</w:t>
      </w:r>
      <w:r w:rsidRPr="00477F48">
        <w:rPr>
          <w:rFonts w:ascii="Times New Roman" w:hAnsi="Times New Roman" w:cs="Times New Roman"/>
          <w:sz w:val="24"/>
          <w:szCs w:val="24"/>
          <w:lang w:val="en-GB"/>
        </w:rPr>
        <w:t xml:space="preserve"> for DLB subjects in bilateral superior frontal, </w:t>
      </w:r>
      <w:r w:rsidR="00985997" w:rsidRPr="00477F48">
        <w:rPr>
          <w:rFonts w:ascii="Times New Roman" w:hAnsi="Times New Roman" w:cs="Times New Roman"/>
          <w:sz w:val="24"/>
          <w:szCs w:val="24"/>
          <w:lang w:val="en-GB"/>
        </w:rPr>
        <w:t xml:space="preserve">medial, lateral and </w:t>
      </w:r>
      <w:r w:rsidRPr="00477F48">
        <w:rPr>
          <w:rFonts w:ascii="Times New Roman" w:hAnsi="Times New Roman" w:cs="Times New Roman"/>
          <w:sz w:val="24"/>
          <w:szCs w:val="24"/>
          <w:lang w:val="en-GB"/>
        </w:rPr>
        <w:t>posterior temporal, parietal and lateral occipital cortices (FWE p&lt;0.05)</w:t>
      </w:r>
    </w:p>
    <w:p w14:paraId="1D2E064B" w14:textId="7A521C29" w:rsidR="00D03F7C" w:rsidRDefault="003A293D"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sidRPr="00477F48">
        <w:rPr>
          <w:rFonts w:ascii="Times New Roman" w:hAnsi="Times New Roman" w:cs="Times New Roman"/>
          <w:b/>
          <w:sz w:val="24"/>
          <w:szCs w:val="24"/>
          <w:lang w:val="en-GB"/>
        </w:rPr>
        <w:t xml:space="preserve">Figure </w:t>
      </w:r>
      <w:r w:rsidR="00A36A77" w:rsidRPr="00477F48">
        <w:rPr>
          <w:rFonts w:ascii="Times New Roman" w:hAnsi="Times New Roman" w:cs="Times New Roman"/>
          <w:b/>
          <w:sz w:val="24"/>
          <w:szCs w:val="24"/>
          <w:lang w:val="en-GB"/>
        </w:rPr>
        <w:t>3</w:t>
      </w:r>
      <w:r w:rsidRPr="00477F48">
        <w:rPr>
          <w:rFonts w:ascii="Times New Roman" w:hAnsi="Times New Roman" w:cs="Times New Roman"/>
          <w:sz w:val="24"/>
          <w:szCs w:val="24"/>
          <w:lang w:val="en-GB"/>
        </w:rPr>
        <w:t xml:space="preserve">: TBSS correlation analyses showing decreased radial diffusivity (blue) correlated with higher parietal </w:t>
      </w:r>
      <w:r w:rsidRPr="00477F48">
        <w:rPr>
          <w:rFonts w:ascii="Times New Roman" w:hAnsi="Times New Roman" w:cs="Times New Roman"/>
          <w:sz w:val="24"/>
          <w:szCs w:val="24"/>
          <w:vertAlign w:val="superscript"/>
          <w:lang w:val="en-GB"/>
        </w:rPr>
        <w:t>11</w:t>
      </w:r>
      <w:r w:rsidRPr="00477F48">
        <w:rPr>
          <w:rFonts w:ascii="Times New Roman" w:hAnsi="Times New Roman" w:cs="Times New Roman"/>
          <w:sz w:val="24"/>
          <w:szCs w:val="24"/>
          <w:lang w:val="en-GB"/>
        </w:rPr>
        <w:t>C-PK11195 binding in DLB subjects (</w:t>
      </w:r>
      <w:r w:rsidRPr="006A03C4">
        <w:rPr>
          <w:rFonts w:ascii="Times New Roman" w:hAnsi="Times New Roman" w:cs="Times New Roman"/>
          <w:sz w:val="24"/>
          <w:szCs w:val="24"/>
          <w:lang w:val="en-GB"/>
        </w:rPr>
        <w:t xml:space="preserve">FWE </w:t>
      </w:r>
      <w:r w:rsidRPr="006A03C4">
        <w:rPr>
          <w:rFonts w:ascii="Times New Roman" w:hAnsi="Times New Roman" w:cs="Times New Roman"/>
          <w:color w:val="000000" w:themeColor="text1"/>
          <w:sz w:val="24"/>
          <w:szCs w:val="24"/>
          <w:lang w:val="en-GB"/>
        </w:rPr>
        <w:t>p&lt;0.05)</w:t>
      </w:r>
    </w:p>
    <w:p w14:paraId="3B0F4F26" w14:textId="555C4131"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4F3DCD37" w14:textId="10F69DB6"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600D03B7" w14:textId="6E5470F3"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387E0294" w14:textId="5535BB9C"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096B3355" w14:textId="709CE751"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4E630B68" w14:textId="48B96DB9"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0CB31CFD" w14:textId="4E6BD406"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19B1DA46" w14:textId="570F7F14"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088AFF55" w14:textId="577203EB"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4C0D365F" w14:textId="31EBB8D9"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3B1F2A9C" w14:textId="35B26AFB"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18BEDD87" w14:textId="6D453C50"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1427B2B7" w14:textId="51FFCE73"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p>
    <w:p w14:paraId="5DA005EA" w14:textId="539A470C"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lastRenderedPageBreak/>
        <w:t>Figure 1</w:t>
      </w:r>
    </w:p>
    <w:p w14:paraId="60A46E20" w14:textId="20605363"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lang w:val="en-GB"/>
        </w:rPr>
        <w:drawing>
          <wp:inline distT="0" distB="0" distL="0" distR="0" wp14:anchorId="2A6BC1C0" wp14:editId="776792FB">
            <wp:extent cx="4231640" cy="2424144"/>
            <wp:effectExtent l="0" t="0" r="0" b="0"/>
            <wp:docPr id="1" name="Image 1"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235675" cy="2426455"/>
                    </a:xfrm>
                    <a:prstGeom prst="rect">
                      <a:avLst/>
                    </a:prstGeom>
                  </pic:spPr>
                </pic:pic>
              </a:graphicData>
            </a:graphic>
          </wp:inline>
        </w:drawing>
      </w:r>
    </w:p>
    <w:p w14:paraId="694A1F66" w14:textId="0FD8D2EB"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2</w:t>
      </w:r>
    </w:p>
    <w:p w14:paraId="0C204D21" w14:textId="24FF51AE"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lang w:val="en-GB"/>
        </w:rPr>
        <w:drawing>
          <wp:inline distT="0" distB="0" distL="0" distR="0" wp14:anchorId="71ED3F99" wp14:editId="08387FEE">
            <wp:extent cx="4236440" cy="1924426"/>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png"/>
                    <pic:cNvPicPr/>
                  </pic:nvPicPr>
                  <pic:blipFill>
                    <a:blip r:embed="rId10">
                      <a:extLst>
                        <a:ext uri="{28A0092B-C50C-407E-A947-70E740481C1C}">
                          <a14:useLocalDpi xmlns:a14="http://schemas.microsoft.com/office/drawing/2010/main" val="0"/>
                        </a:ext>
                      </a:extLst>
                    </a:blip>
                    <a:stretch>
                      <a:fillRect/>
                    </a:stretch>
                  </pic:blipFill>
                  <pic:spPr>
                    <a:xfrm>
                      <a:off x="0" y="0"/>
                      <a:ext cx="4252996" cy="1931946"/>
                    </a:xfrm>
                    <a:prstGeom prst="rect">
                      <a:avLst/>
                    </a:prstGeom>
                  </pic:spPr>
                </pic:pic>
              </a:graphicData>
            </a:graphic>
          </wp:inline>
        </w:drawing>
      </w:r>
    </w:p>
    <w:p w14:paraId="5E2744D3" w14:textId="4C555666" w:rsidR="00477F48" w:rsidRDefault="00477F48" w:rsidP="00BF48A4">
      <w:pPr>
        <w:widowControl w:val="0"/>
        <w:autoSpaceDE w:val="0"/>
        <w:autoSpaceDN w:val="0"/>
        <w:adjustRightInd w:val="0"/>
        <w:spacing w:before="120" w:line="480" w:lineRule="auto"/>
        <w:outlineLvl w:val="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3</w:t>
      </w:r>
    </w:p>
    <w:p w14:paraId="00E06C10" w14:textId="130E7B9D" w:rsidR="00477F48" w:rsidRPr="00F72730" w:rsidRDefault="00477F48" w:rsidP="00BF48A4">
      <w:pPr>
        <w:widowControl w:val="0"/>
        <w:autoSpaceDE w:val="0"/>
        <w:autoSpaceDN w:val="0"/>
        <w:adjustRightInd w:val="0"/>
        <w:spacing w:before="120" w:line="480" w:lineRule="auto"/>
        <w:outlineLvl w:val="0"/>
        <w:rPr>
          <w:lang w:val="en-GB"/>
        </w:rPr>
      </w:pPr>
      <w:r>
        <w:rPr>
          <w:noProof/>
          <w:lang w:val="en-GB"/>
        </w:rPr>
        <w:drawing>
          <wp:inline distT="0" distB="0" distL="0" distR="0" wp14:anchorId="2DA8FF3E" wp14:editId="61CD089F">
            <wp:extent cx="4058920" cy="2501032"/>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62054" cy="2502963"/>
                    </a:xfrm>
                    <a:prstGeom prst="rect">
                      <a:avLst/>
                    </a:prstGeom>
                  </pic:spPr>
                </pic:pic>
              </a:graphicData>
            </a:graphic>
          </wp:inline>
        </w:drawing>
      </w:r>
      <w:bookmarkStart w:id="21" w:name="_GoBack"/>
      <w:bookmarkEnd w:id="21"/>
    </w:p>
    <w:sectPr w:rsidR="00477F48" w:rsidRPr="00F72730" w:rsidSect="008D2D9C">
      <w:headerReference w:type="even" r:id="rId12"/>
      <w:headerReference w:type="default" r:id="rId1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DD31AF" w14:textId="77777777" w:rsidR="00AB6EF3" w:rsidRDefault="00AB6EF3">
      <w:pPr>
        <w:spacing w:after="0" w:line="240" w:lineRule="auto"/>
      </w:pPr>
      <w:r>
        <w:separator/>
      </w:r>
    </w:p>
  </w:endnote>
  <w:endnote w:type="continuationSeparator" w:id="0">
    <w:p w14:paraId="21A63A76" w14:textId="77777777" w:rsidR="00AB6EF3" w:rsidRDefault="00AB6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roma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09481"/>
      <w:docPartObj>
        <w:docPartGallery w:val="Page Numbers (Bottom of Page)"/>
        <w:docPartUnique/>
      </w:docPartObj>
    </w:sdtPr>
    <w:sdtEndPr/>
    <w:sdtContent>
      <w:p w14:paraId="173E6DB3" w14:textId="01B3D454" w:rsidR="00892100" w:rsidRDefault="00892100">
        <w:pPr>
          <w:pStyle w:val="Pieddepage"/>
          <w:jc w:val="center"/>
        </w:pPr>
        <w:r>
          <w:fldChar w:fldCharType="begin"/>
        </w:r>
        <w:r>
          <w:instrText>PAGE   \* MERGEFORMAT</w:instrText>
        </w:r>
        <w:r>
          <w:fldChar w:fldCharType="separate"/>
        </w:r>
        <w:r>
          <w:rPr>
            <w:lang w:val="fr-FR"/>
          </w:rPr>
          <w:t>2</w:t>
        </w:r>
        <w:r>
          <w:fldChar w:fldCharType="end"/>
        </w:r>
      </w:p>
    </w:sdtContent>
  </w:sdt>
  <w:p w14:paraId="5A3A0971" w14:textId="77777777" w:rsidR="00892100" w:rsidRDefault="0089210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8D7E5" w14:textId="77777777" w:rsidR="00AB6EF3" w:rsidRDefault="00AB6EF3">
      <w:pPr>
        <w:spacing w:after="0" w:line="240" w:lineRule="auto"/>
      </w:pPr>
      <w:r>
        <w:separator/>
      </w:r>
    </w:p>
  </w:footnote>
  <w:footnote w:type="continuationSeparator" w:id="0">
    <w:p w14:paraId="4B6EB4CB" w14:textId="77777777" w:rsidR="00AB6EF3" w:rsidRDefault="00AB6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BD97AE" w14:textId="77777777" w:rsidR="00415190" w:rsidRDefault="007A53D4" w:rsidP="008D2D9C">
    <w:pPr>
      <w:pStyle w:val="En-tte"/>
      <w:framePr w:wrap="none"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870ABA8" w14:textId="77777777" w:rsidR="00415190" w:rsidRDefault="00AB6EF3" w:rsidP="008D2D9C">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77386" w14:textId="77777777" w:rsidR="00415190" w:rsidRPr="00231E65" w:rsidRDefault="00AB6EF3" w:rsidP="008D2D9C">
    <w:pPr>
      <w:pStyle w:val="En-tte"/>
      <w:ind w:right="360"/>
      <w:jc w:val="right"/>
      <w:rPr>
        <w:rFonts w:ascii="Helvetica" w:hAnsi="Helvetica"/>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730A6"/>
    <w:multiLevelType w:val="hybridMultilevel"/>
    <w:tmpl w:val="AB34706C"/>
    <w:lvl w:ilvl="0" w:tplc="A5B815F4">
      <w:numFmt w:val="bullet"/>
      <w:lvlText w:val="-"/>
      <w:lvlJc w:val="left"/>
      <w:pPr>
        <w:ind w:left="720" w:hanging="360"/>
      </w:pPr>
      <w:rPr>
        <w:rFonts w:ascii="Calibri Light" w:eastAsiaTheme="minorHAnsi" w:hAnsi="Calibri Light" w:cs="Calibri Light"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13A30E8E"/>
    <w:multiLevelType w:val="hybridMultilevel"/>
    <w:tmpl w:val="B6881EC6"/>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 w15:restartNumberingAfterBreak="0">
    <w:nsid w:val="2E146243"/>
    <w:multiLevelType w:val="hybridMultilevel"/>
    <w:tmpl w:val="684E1110"/>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 w15:restartNumberingAfterBreak="0">
    <w:nsid w:val="3FCF2E98"/>
    <w:multiLevelType w:val="hybridMultilevel"/>
    <w:tmpl w:val="50901676"/>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4" w15:restartNumberingAfterBreak="0">
    <w:nsid w:val="51CB2D67"/>
    <w:multiLevelType w:val="hybridMultilevel"/>
    <w:tmpl w:val="267836AC"/>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5" w15:restartNumberingAfterBreak="0">
    <w:nsid w:val="5D35129E"/>
    <w:multiLevelType w:val="hybridMultilevel"/>
    <w:tmpl w:val="E384FF18"/>
    <w:lvl w:ilvl="0" w:tplc="642A0D1A">
      <w:start w:val="75"/>
      <w:numFmt w:val="bullet"/>
      <w:lvlText w:val=""/>
      <w:lvlJc w:val="left"/>
      <w:pPr>
        <w:ind w:left="720" w:hanging="360"/>
      </w:pPr>
      <w:rPr>
        <w:rFonts w:ascii="Symbol" w:eastAsiaTheme="minorHAnsi" w:hAnsi="Symbol" w:cstheme="majorHAnsi"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15:restartNumberingAfterBreak="0">
    <w:nsid w:val="5DD74CDE"/>
    <w:multiLevelType w:val="hybridMultilevel"/>
    <w:tmpl w:val="2118067E"/>
    <w:lvl w:ilvl="0" w:tplc="FDC28FF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6"/>
  </w:num>
  <w:num w:numId="4">
    <w:abstractNumId w:val="2"/>
  </w:num>
  <w:num w:numId="5">
    <w:abstractNumId w:val="4"/>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3A293D"/>
    <w:rsid w:val="000512DB"/>
    <w:rsid w:val="0008682B"/>
    <w:rsid w:val="00097585"/>
    <w:rsid w:val="000C1592"/>
    <w:rsid w:val="000F5080"/>
    <w:rsid w:val="00124272"/>
    <w:rsid w:val="001369AD"/>
    <w:rsid w:val="00151B69"/>
    <w:rsid w:val="00164D4B"/>
    <w:rsid w:val="0021378E"/>
    <w:rsid w:val="002159A9"/>
    <w:rsid w:val="00254ED5"/>
    <w:rsid w:val="0026061F"/>
    <w:rsid w:val="002F6425"/>
    <w:rsid w:val="00327193"/>
    <w:rsid w:val="003515FF"/>
    <w:rsid w:val="00373824"/>
    <w:rsid w:val="00375AC0"/>
    <w:rsid w:val="003A293D"/>
    <w:rsid w:val="004532A1"/>
    <w:rsid w:val="00477F48"/>
    <w:rsid w:val="004B75F8"/>
    <w:rsid w:val="004C14F9"/>
    <w:rsid w:val="0050548C"/>
    <w:rsid w:val="00585D32"/>
    <w:rsid w:val="005948A5"/>
    <w:rsid w:val="005B0398"/>
    <w:rsid w:val="00612E43"/>
    <w:rsid w:val="00615547"/>
    <w:rsid w:val="00621B5E"/>
    <w:rsid w:val="00636544"/>
    <w:rsid w:val="00675B66"/>
    <w:rsid w:val="00680997"/>
    <w:rsid w:val="006A03C4"/>
    <w:rsid w:val="006B5908"/>
    <w:rsid w:val="006E1128"/>
    <w:rsid w:val="006F1B71"/>
    <w:rsid w:val="006F406B"/>
    <w:rsid w:val="0072694E"/>
    <w:rsid w:val="0074003A"/>
    <w:rsid w:val="00765729"/>
    <w:rsid w:val="00787746"/>
    <w:rsid w:val="007A53D4"/>
    <w:rsid w:val="007D0489"/>
    <w:rsid w:val="007D2103"/>
    <w:rsid w:val="007E5181"/>
    <w:rsid w:val="008246A7"/>
    <w:rsid w:val="00836B6E"/>
    <w:rsid w:val="00892100"/>
    <w:rsid w:val="008E0499"/>
    <w:rsid w:val="008F31B6"/>
    <w:rsid w:val="00934339"/>
    <w:rsid w:val="00937E5E"/>
    <w:rsid w:val="00985997"/>
    <w:rsid w:val="00990480"/>
    <w:rsid w:val="009B1C83"/>
    <w:rsid w:val="009B32A7"/>
    <w:rsid w:val="00A36A77"/>
    <w:rsid w:val="00A72FDF"/>
    <w:rsid w:val="00A76A7A"/>
    <w:rsid w:val="00AB2CC7"/>
    <w:rsid w:val="00AB6EF3"/>
    <w:rsid w:val="00AC6FB4"/>
    <w:rsid w:val="00AF3FDE"/>
    <w:rsid w:val="00B308A9"/>
    <w:rsid w:val="00B61EAA"/>
    <w:rsid w:val="00B6234E"/>
    <w:rsid w:val="00B94129"/>
    <w:rsid w:val="00BE5922"/>
    <w:rsid w:val="00BF48A4"/>
    <w:rsid w:val="00C83A9D"/>
    <w:rsid w:val="00CB2888"/>
    <w:rsid w:val="00CE7B5A"/>
    <w:rsid w:val="00CF311E"/>
    <w:rsid w:val="00D0092C"/>
    <w:rsid w:val="00D03F7C"/>
    <w:rsid w:val="00D4256B"/>
    <w:rsid w:val="00D719B6"/>
    <w:rsid w:val="00D84B3E"/>
    <w:rsid w:val="00D927AD"/>
    <w:rsid w:val="00D933A1"/>
    <w:rsid w:val="00DE7A7B"/>
    <w:rsid w:val="00E262C6"/>
    <w:rsid w:val="00E30808"/>
    <w:rsid w:val="00E71D84"/>
    <w:rsid w:val="00E92C07"/>
    <w:rsid w:val="00ED0371"/>
    <w:rsid w:val="00F06045"/>
    <w:rsid w:val="00F453CF"/>
    <w:rsid w:val="00F72730"/>
    <w:rsid w:val="00FA5117"/>
    <w:rsid w:val="00FF54C3"/>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9A6FA"/>
  <w15:chartTrackingRefBased/>
  <w15:docId w15:val="{FCF1EBDE-40FB-40CA-B41C-CDC655292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93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ndNoteBibliographyTitle">
    <w:name w:val="EndNote Bibliography Title"/>
    <w:basedOn w:val="Normal"/>
    <w:link w:val="EndNoteBibliographyTitleCar"/>
    <w:rsid w:val="003A293D"/>
    <w:pPr>
      <w:spacing w:after="0"/>
      <w:jc w:val="center"/>
    </w:pPr>
    <w:rPr>
      <w:rFonts w:ascii="Calibri" w:hAnsi="Calibri" w:cs="Calibri"/>
      <w:noProof/>
      <w:lang w:val="en-US"/>
    </w:rPr>
  </w:style>
  <w:style w:type="character" w:customStyle="1" w:styleId="EndNoteBibliographyTitleCar">
    <w:name w:val="EndNote Bibliography Title Car"/>
    <w:basedOn w:val="Policepardfaut"/>
    <w:link w:val="EndNoteBibliographyTitle"/>
    <w:rsid w:val="003A293D"/>
    <w:rPr>
      <w:rFonts w:ascii="Calibri" w:hAnsi="Calibri" w:cs="Calibri"/>
      <w:noProof/>
      <w:lang w:val="en-US"/>
    </w:rPr>
  </w:style>
  <w:style w:type="paragraph" w:customStyle="1" w:styleId="EndNoteBibliography">
    <w:name w:val="EndNote Bibliography"/>
    <w:basedOn w:val="Normal"/>
    <w:link w:val="EndNoteBibliographyCar"/>
    <w:rsid w:val="003A293D"/>
    <w:pPr>
      <w:spacing w:line="240" w:lineRule="auto"/>
    </w:pPr>
    <w:rPr>
      <w:rFonts w:ascii="Calibri" w:hAnsi="Calibri" w:cs="Calibri"/>
      <w:noProof/>
      <w:lang w:val="en-US"/>
    </w:rPr>
  </w:style>
  <w:style w:type="character" w:customStyle="1" w:styleId="EndNoteBibliographyCar">
    <w:name w:val="EndNote Bibliography Car"/>
    <w:basedOn w:val="Policepardfaut"/>
    <w:link w:val="EndNoteBibliography"/>
    <w:rsid w:val="003A293D"/>
    <w:rPr>
      <w:rFonts w:ascii="Calibri" w:hAnsi="Calibri" w:cs="Calibri"/>
      <w:noProof/>
      <w:lang w:val="en-US"/>
    </w:rPr>
  </w:style>
  <w:style w:type="paragraph" w:styleId="Paragraphedeliste">
    <w:name w:val="List Paragraph"/>
    <w:basedOn w:val="Normal"/>
    <w:uiPriority w:val="34"/>
    <w:qFormat/>
    <w:rsid w:val="003A293D"/>
    <w:pPr>
      <w:ind w:left="720"/>
      <w:contextualSpacing/>
    </w:pPr>
  </w:style>
  <w:style w:type="character" w:styleId="Lienhypertexte">
    <w:name w:val="Hyperlink"/>
    <w:basedOn w:val="Policepardfaut"/>
    <w:uiPriority w:val="99"/>
    <w:unhideWhenUsed/>
    <w:rsid w:val="003A293D"/>
    <w:rPr>
      <w:color w:val="0563C1" w:themeColor="hyperlink"/>
      <w:u w:val="single"/>
    </w:rPr>
  </w:style>
  <w:style w:type="character" w:customStyle="1" w:styleId="UnresolvedMention1">
    <w:name w:val="Unresolved Mention1"/>
    <w:basedOn w:val="Policepardfaut"/>
    <w:uiPriority w:val="99"/>
    <w:semiHidden/>
    <w:unhideWhenUsed/>
    <w:rsid w:val="003A293D"/>
    <w:rPr>
      <w:color w:val="808080"/>
      <w:shd w:val="clear" w:color="auto" w:fill="E6E6E6"/>
    </w:rPr>
  </w:style>
  <w:style w:type="paragraph" w:styleId="En-tte">
    <w:name w:val="header"/>
    <w:basedOn w:val="Normal"/>
    <w:link w:val="En-tteCar"/>
    <w:uiPriority w:val="99"/>
    <w:unhideWhenUsed/>
    <w:rsid w:val="003A293D"/>
    <w:pPr>
      <w:tabs>
        <w:tab w:val="center" w:pos="4513"/>
        <w:tab w:val="right" w:pos="9026"/>
      </w:tabs>
      <w:spacing w:after="0" w:line="240" w:lineRule="auto"/>
    </w:pPr>
  </w:style>
  <w:style w:type="character" w:customStyle="1" w:styleId="En-tteCar">
    <w:name w:val="En-tête Car"/>
    <w:basedOn w:val="Policepardfaut"/>
    <w:link w:val="En-tte"/>
    <w:uiPriority w:val="99"/>
    <w:rsid w:val="003A293D"/>
  </w:style>
  <w:style w:type="paragraph" w:styleId="Pieddepage">
    <w:name w:val="footer"/>
    <w:basedOn w:val="Normal"/>
    <w:link w:val="PieddepageCar"/>
    <w:uiPriority w:val="99"/>
    <w:unhideWhenUsed/>
    <w:rsid w:val="003A293D"/>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3A293D"/>
  </w:style>
  <w:style w:type="character" w:styleId="Numrodepage">
    <w:name w:val="page number"/>
    <w:basedOn w:val="Policepardfaut"/>
    <w:uiPriority w:val="99"/>
    <w:semiHidden/>
    <w:unhideWhenUsed/>
    <w:rsid w:val="003A293D"/>
  </w:style>
  <w:style w:type="paragraph" w:customStyle="1" w:styleId="AbstractSummary">
    <w:name w:val="Abstract/Summary"/>
    <w:basedOn w:val="Normal"/>
    <w:rsid w:val="003A293D"/>
    <w:pPr>
      <w:spacing w:before="120" w:after="0" w:line="240" w:lineRule="auto"/>
    </w:pPr>
    <w:rPr>
      <w:rFonts w:ascii="Times New Roman" w:eastAsia="Times New Roman" w:hAnsi="Times New Roman" w:cs="Times New Roman"/>
      <w:sz w:val="24"/>
      <w:szCs w:val="24"/>
      <w:lang w:val="en-US"/>
    </w:rPr>
  </w:style>
  <w:style w:type="character" w:customStyle="1" w:styleId="s1">
    <w:name w:val="s1"/>
    <w:rsid w:val="003A293D"/>
  </w:style>
  <w:style w:type="paragraph" w:customStyle="1" w:styleId="Paragraph">
    <w:name w:val="Paragraph"/>
    <w:basedOn w:val="Normal"/>
    <w:rsid w:val="003A293D"/>
    <w:pPr>
      <w:spacing w:before="120" w:after="0" w:line="240" w:lineRule="auto"/>
      <w:ind w:firstLine="720"/>
    </w:pPr>
    <w:rPr>
      <w:rFonts w:ascii="Times New Roman" w:eastAsia="Times New Roman" w:hAnsi="Times New Roman" w:cs="Times New Roman"/>
      <w:sz w:val="24"/>
      <w:szCs w:val="24"/>
      <w:lang w:val="en-US"/>
    </w:rPr>
  </w:style>
  <w:style w:type="character" w:styleId="Lienhypertextesuivivisit">
    <w:name w:val="FollowedHyperlink"/>
    <w:basedOn w:val="Policepardfaut"/>
    <w:uiPriority w:val="99"/>
    <w:semiHidden/>
    <w:unhideWhenUsed/>
    <w:rsid w:val="003A293D"/>
    <w:rPr>
      <w:color w:val="954F72" w:themeColor="followedHyperlink"/>
      <w:u w:val="single"/>
    </w:rPr>
  </w:style>
  <w:style w:type="paragraph" w:styleId="PrformatHTML">
    <w:name w:val="HTML Preformatted"/>
    <w:basedOn w:val="Normal"/>
    <w:link w:val="PrformatHTMLCar"/>
    <w:uiPriority w:val="99"/>
    <w:semiHidden/>
    <w:unhideWhenUsed/>
    <w:rsid w:val="003A293D"/>
    <w:pPr>
      <w:spacing w:after="0" w:line="240" w:lineRule="auto"/>
    </w:pPr>
    <w:rPr>
      <w:rFonts w:ascii="Courier" w:hAnsi="Courier"/>
      <w:sz w:val="20"/>
      <w:szCs w:val="20"/>
    </w:rPr>
  </w:style>
  <w:style w:type="character" w:customStyle="1" w:styleId="PrformatHTMLCar">
    <w:name w:val="Préformaté HTML Car"/>
    <w:basedOn w:val="Policepardfaut"/>
    <w:link w:val="PrformatHTML"/>
    <w:uiPriority w:val="99"/>
    <w:semiHidden/>
    <w:rsid w:val="003A293D"/>
    <w:rPr>
      <w:rFonts w:ascii="Courier" w:hAnsi="Courier"/>
      <w:sz w:val="20"/>
      <w:szCs w:val="20"/>
    </w:rPr>
  </w:style>
  <w:style w:type="character" w:styleId="Marquedecommentaire">
    <w:name w:val="annotation reference"/>
    <w:basedOn w:val="Policepardfaut"/>
    <w:uiPriority w:val="99"/>
    <w:semiHidden/>
    <w:unhideWhenUsed/>
    <w:rsid w:val="003A293D"/>
    <w:rPr>
      <w:sz w:val="16"/>
      <w:szCs w:val="16"/>
    </w:rPr>
  </w:style>
  <w:style w:type="paragraph" w:styleId="Commentaire">
    <w:name w:val="annotation text"/>
    <w:basedOn w:val="Normal"/>
    <w:link w:val="CommentaireCar"/>
    <w:uiPriority w:val="99"/>
    <w:semiHidden/>
    <w:unhideWhenUsed/>
    <w:rsid w:val="003A293D"/>
    <w:pPr>
      <w:spacing w:line="240" w:lineRule="auto"/>
    </w:pPr>
    <w:rPr>
      <w:sz w:val="20"/>
      <w:szCs w:val="20"/>
    </w:rPr>
  </w:style>
  <w:style w:type="character" w:customStyle="1" w:styleId="CommentaireCar">
    <w:name w:val="Commentaire Car"/>
    <w:basedOn w:val="Policepardfaut"/>
    <w:link w:val="Commentaire"/>
    <w:uiPriority w:val="99"/>
    <w:semiHidden/>
    <w:rsid w:val="003A293D"/>
    <w:rPr>
      <w:sz w:val="20"/>
      <w:szCs w:val="20"/>
    </w:rPr>
  </w:style>
  <w:style w:type="paragraph" w:styleId="Objetducommentaire">
    <w:name w:val="annotation subject"/>
    <w:basedOn w:val="Commentaire"/>
    <w:next w:val="Commentaire"/>
    <w:link w:val="ObjetducommentaireCar"/>
    <w:uiPriority w:val="99"/>
    <w:semiHidden/>
    <w:unhideWhenUsed/>
    <w:rsid w:val="003A293D"/>
    <w:rPr>
      <w:b/>
      <w:bCs/>
    </w:rPr>
  </w:style>
  <w:style w:type="character" w:customStyle="1" w:styleId="ObjetducommentaireCar">
    <w:name w:val="Objet du commentaire Car"/>
    <w:basedOn w:val="CommentaireCar"/>
    <w:link w:val="Objetducommentaire"/>
    <w:uiPriority w:val="99"/>
    <w:semiHidden/>
    <w:rsid w:val="003A293D"/>
    <w:rPr>
      <w:b/>
      <w:bCs/>
      <w:sz w:val="20"/>
      <w:szCs w:val="20"/>
    </w:rPr>
  </w:style>
  <w:style w:type="paragraph" w:styleId="Textedebulles">
    <w:name w:val="Balloon Text"/>
    <w:basedOn w:val="Normal"/>
    <w:link w:val="TextedebullesCar"/>
    <w:uiPriority w:val="99"/>
    <w:semiHidden/>
    <w:unhideWhenUsed/>
    <w:rsid w:val="003A29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293D"/>
    <w:rPr>
      <w:rFonts w:ascii="Tahoma" w:hAnsi="Tahoma" w:cs="Tahoma"/>
      <w:sz w:val="16"/>
      <w:szCs w:val="16"/>
    </w:rPr>
  </w:style>
  <w:style w:type="paragraph" w:styleId="Explorateurdedocuments">
    <w:name w:val="Document Map"/>
    <w:basedOn w:val="Normal"/>
    <w:link w:val="ExplorateurdedocumentsCar"/>
    <w:uiPriority w:val="99"/>
    <w:semiHidden/>
    <w:unhideWhenUsed/>
    <w:rsid w:val="003A293D"/>
    <w:pPr>
      <w:spacing w:after="0" w:line="240" w:lineRule="auto"/>
    </w:pPr>
    <w:rPr>
      <w:rFonts w:ascii="Times New Roman" w:hAnsi="Times New Roman" w:cs="Times New Roman"/>
      <w:sz w:val="24"/>
      <w:szCs w:val="24"/>
    </w:rPr>
  </w:style>
  <w:style w:type="character" w:customStyle="1" w:styleId="ExplorateurdedocumentsCar">
    <w:name w:val="Explorateur de documents Car"/>
    <w:basedOn w:val="Policepardfaut"/>
    <w:link w:val="Explorateurdedocuments"/>
    <w:uiPriority w:val="99"/>
    <w:semiHidden/>
    <w:rsid w:val="003A293D"/>
    <w:rPr>
      <w:rFonts w:ascii="Times New Roman" w:hAnsi="Times New Roman" w:cs="Times New Roman"/>
      <w:sz w:val="24"/>
      <w:szCs w:val="24"/>
    </w:rPr>
  </w:style>
  <w:style w:type="table" w:styleId="Grilledutableau">
    <w:name w:val="Table Grid"/>
    <w:basedOn w:val="TableauNormal"/>
    <w:uiPriority w:val="39"/>
    <w:rsid w:val="003A29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mrib.ox.ac.uk/fs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744761-64B7-488A-AED7-059207A80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6491</Words>
  <Characters>35705</Characters>
  <Application>Microsoft Office Word</Application>
  <DocSecurity>0</DocSecurity>
  <Lines>297</Lines>
  <Paragraphs>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Nicastro Nicolas</dc:creator>
  <cp:keywords/>
  <dc:description/>
  <cp:lastModifiedBy>Nicastro Nicolas</cp:lastModifiedBy>
  <cp:revision>71</cp:revision>
  <dcterms:created xsi:type="dcterms:W3CDTF">2019-12-28T11:43:00Z</dcterms:created>
  <dcterms:modified xsi:type="dcterms:W3CDTF">2020-01-28T16:09:00Z</dcterms:modified>
</cp:coreProperties>
</file>