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D5B588" w14:textId="2E7B4F5B" w:rsidR="009A5C0A" w:rsidRPr="00630DE3" w:rsidRDefault="00CC6EA7" w:rsidP="00E67AD2">
      <w:pPr>
        <w:pStyle w:val="Title"/>
        <w:rPr>
          <w:sz w:val="44"/>
          <w:szCs w:val="44"/>
        </w:rPr>
      </w:pPr>
      <w:r w:rsidRPr="004A2576">
        <w:rPr>
          <w:color w:val="2E74B5" w:themeColor="accent1" w:themeShade="BF"/>
          <w:sz w:val="44"/>
          <w:szCs w:val="44"/>
        </w:rPr>
        <w:t>GPs’</w:t>
      </w:r>
      <w:r w:rsidR="004A2576" w:rsidRPr="004A2576">
        <w:rPr>
          <w:color w:val="2E74B5" w:themeColor="accent1" w:themeShade="BF"/>
          <w:sz w:val="44"/>
          <w:szCs w:val="44"/>
        </w:rPr>
        <w:t xml:space="preserve"> mindlines around</w:t>
      </w:r>
      <w:r w:rsidRPr="004A2576">
        <w:rPr>
          <w:color w:val="2E74B5" w:themeColor="accent1" w:themeShade="BF"/>
          <w:sz w:val="44"/>
          <w:szCs w:val="44"/>
        </w:rPr>
        <w:t xml:space="preserve"> </w:t>
      </w:r>
      <w:r w:rsidR="00293473" w:rsidRPr="00630DE3">
        <w:rPr>
          <w:sz w:val="44"/>
          <w:szCs w:val="44"/>
        </w:rPr>
        <w:t>d</w:t>
      </w:r>
      <w:r w:rsidR="0068573D" w:rsidRPr="00630DE3">
        <w:rPr>
          <w:sz w:val="44"/>
          <w:szCs w:val="44"/>
        </w:rPr>
        <w:t>eprescribing antihypertensive</w:t>
      </w:r>
      <w:r w:rsidR="004A2576" w:rsidRPr="004A2576">
        <w:rPr>
          <w:color w:val="2E74B5" w:themeColor="accent1" w:themeShade="BF"/>
          <w:sz w:val="44"/>
          <w:szCs w:val="44"/>
        </w:rPr>
        <w:t>s</w:t>
      </w:r>
      <w:r w:rsidR="0068573D" w:rsidRPr="00630DE3">
        <w:rPr>
          <w:sz w:val="44"/>
          <w:szCs w:val="44"/>
        </w:rPr>
        <w:t xml:space="preserve"> in older patients</w:t>
      </w:r>
      <w:r w:rsidR="00A251EF" w:rsidRPr="004A2576">
        <w:rPr>
          <w:color w:val="2E74B5" w:themeColor="accent1" w:themeShade="BF"/>
          <w:sz w:val="44"/>
          <w:szCs w:val="44"/>
        </w:rPr>
        <w:t xml:space="preserve"> with multimorbidity</w:t>
      </w:r>
      <w:r w:rsidR="00BC61AC" w:rsidRPr="00630DE3">
        <w:rPr>
          <w:sz w:val="44"/>
          <w:szCs w:val="44"/>
        </w:rPr>
        <w:t xml:space="preserve">: </w:t>
      </w:r>
      <w:r w:rsidR="0092245F" w:rsidRPr="00630DE3">
        <w:rPr>
          <w:sz w:val="44"/>
          <w:szCs w:val="44"/>
        </w:rPr>
        <w:t>qualitative</w:t>
      </w:r>
      <w:r w:rsidR="00B537FC" w:rsidRPr="00630DE3">
        <w:rPr>
          <w:sz w:val="44"/>
          <w:szCs w:val="44"/>
        </w:rPr>
        <w:t xml:space="preserve"> study</w:t>
      </w:r>
    </w:p>
    <w:p w14:paraId="74A20DED" w14:textId="77777777" w:rsidR="00CD287B" w:rsidRPr="00D7018C" w:rsidRDefault="00CD287B" w:rsidP="0090264F">
      <w:pPr>
        <w:spacing w:before="240"/>
      </w:pPr>
    </w:p>
    <w:p w14:paraId="07FD301E" w14:textId="158D4CF9" w:rsidR="00EC1F2E" w:rsidRPr="00EC15FE" w:rsidRDefault="00256DE8" w:rsidP="00630DE3">
      <w:pPr>
        <w:spacing w:after="0" w:line="276" w:lineRule="auto"/>
        <w:rPr>
          <w:lang w:val="pl-PL"/>
        </w:rPr>
      </w:pPr>
      <w:r w:rsidRPr="00EC15FE">
        <w:rPr>
          <w:lang w:val="pl-PL"/>
        </w:rPr>
        <w:t>Karolina Kuberska</w:t>
      </w:r>
      <w:r w:rsidR="00EC1F2E" w:rsidRPr="00EC15FE">
        <w:rPr>
          <w:lang w:val="pl-PL"/>
        </w:rPr>
        <w:t xml:space="preserve"> (</w:t>
      </w:r>
      <w:r w:rsidR="005F4C7E" w:rsidRPr="00EC15FE">
        <w:rPr>
          <w:lang w:val="pl-PL"/>
        </w:rPr>
        <w:t>PhD</w:t>
      </w:r>
      <w:r w:rsidR="00EC1F2E" w:rsidRPr="00EC15FE">
        <w:rPr>
          <w:lang w:val="pl-PL"/>
        </w:rPr>
        <w:t>)</w:t>
      </w:r>
      <w:r w:rsidR="00B146B4" w:rsidRPr="00EC15FE">
        <w:rPr>
          <w:vertAlign w:val="superscript"/>
          <w:lang w:val="pl-PL"/>
        </w:rPr>
        <w:t>1</w:t>
      </w:r>
    </w:p>
    <w:p w14:paraId="172B9B7C" w14:textId="11ECA8F0" w:rsidR="00F0684E" w:rsidRPr="00EC15FE" w:rsidRDefault="005F4C7E" w:rsidP="00630DE3">
      <w:pPr>
        <w:spacing w:after="0" w:line="276" w:lineRule="auto"/>
        <w:rPr>
          <w:vertAlign w:val="superscript"/>
          <w:lang w:val="pl-PL"/>
        </w:rPr>
      </w:pPr>
      <w:r w:rsidRPr="00EC15FE">
        <w:rPr>
          <w:lang w:val="pl-PL"/>
        </w:rPr>
        <w:t>Fiona Scheibl (PhD</w:t>
      </w:r>
      <w:r w:rsidR="00BC6864" w:rsidRPr="00EC15FE">
        <w:rPr>
          <w:lang w:val="pl-PL"/>
        </w:rPr>
        <w:t>)</w:t>
      </w:r>
      <w:r w:rsidR="00B146B4" w:rsidRPr="00EC15FE">
        <w:rPr>
          <w:vertAlign w:val="superscript"/>
          <w:lang w:val="pl-PL"/>
        </w:rPr>
        <w:t>2</w:t>
      </w:r>
    </w:p>
    <w:p w14:paraId="7EF89A71" w14:textId="1CD36B9B" w:rsidR="00F0684E" w:rsidRPr="00B146B4" w:rsidRDefault="00BC6864" w:rsidP="00630DE3">
      <w:pPr>
        <w:spacing w:after="0" w:line="276" w:lineRule="auto"/>
        <w:rPr>
          <w:vertAlign w:val="superscript"/>
        </w:rPr>
      </w:pPr>
      <w:r>
        <w:t>Carol Sinnot</w:t>
      </w:r>
      <w:r w:rsidR="005F4C7E">
        <w:t>t (PhD</w:t>
      </w:r>
      <w:r w:rsidR="007C57AB">
        <w:t>)</w:t>
      </w:r>
      <w:r w:rsidR="00B146B4">
        <w:rPr>
          <w:vertAlign w:val="superscript"/>
        </w:rPr>
        <w:t>1</w:t>
      </w:r>
    </w:p>
    <w:p w14:paraId="2249DC4F" w14:textId="3DA43E27" w:rsidR="007C57AB" w:rsidRPr="00B146B4" w:rsidRDefault="00461509" w:rsidP="00630DE3">
      <w:pPr>
        <w:spacing w:after="0" w:line="276" w:lineRule="auto"/>
        <w:rPr>
          <w:vertAlign w:val="superscript"/>
        </w:rPr>
      </w:pPr>
      <w:r>
        <w:t xml:space="preserve">James </w:t>
      </w:r>
      <w:r w:rsidR="00C973AE">
        <w:t xml:space="preserve">P </w:t>
      </w:r>
      <w:r w:rsidR="005F4C7E">
        <w:t>Sheppard (PhD</w:t>
      </w:r>
      <w:r>
        <w:t>)</w:t>
      </w:r>
      <w:r w:rsidR="00B146B4">
        <w:rPr>
          <w:vertAlign w:val="superscript"/>
        </w:rPr>
        <w:t>3</w:t>
      </w:r>
    </w:p>
    <w:p w14:paraId="069594E6" w14:textId="7856986A" w:rsidR="00461509" w:rsidRPr="00CE48DE" w:rsidRDefault="00C973AE" w:rsidP="00630DE3">
      <w:pPr>
        <w:spacing w:after="0" w:line="276" w:lineRule="auto"/>
        <w:rPr>
          <w:vertAlign w:val="superscript"/>
        </w:rPr>
      </w:pPr>
      <w:r>
        <w:t>Mark Lown</w:t>
      </w:r>
      <w:r w:rsidR="00E864A8">
        <w:t xml:space="preserve"> (</w:t>
      </w:r>
      <w:r w:rsidR="005F4C7E">
        <w:t>PhD</w:t>
      </w:r>
      <w:r w:rsidR="00BA7EC1">
        <w:t>)</w:t>
      </w:r>
      <w:r w:rsidR="00CE48DE">
        <w:rPr>
          <w:vertAlign w:val="superscript"/>
        </w:rPr>
        <w:t>4</w:t>
      </w:r>
    </w:p>
    <w:p w14:paraId="337DF8FF" w14:textId="0816C50A" w:rsidR="00C973AE" w:rsidRPr="00446A53" w:rsidRDefault="00E864A8" w:rsidP="00630DE3">
      <w:pPr>
        <w:spacing w:after="0" w:line="276" w:lineRule="auto"/>
        <w:rPr>
          <w:vertAlign w:val="superscript"/>
        </w:rPr>
      </w:pPr>
      <w:r w:rsidRPr="006F78B0">
        <w:t>Marney Williams</w:t>
      </w:r>
      <w:r w:rsidR="00CE48DE" w:rsidRPr="006F78B0">
        <w:t xml:space="preserve"> </w:t>
      </w:r>
      <w:r w:rsidR="006F78B0" w:rsidRPr="006F78B0">
        <w:t>(B.Ed</w:t>
      </w:r>
      <w:r w:rsidR="00FB5141">
        <w:t>.</w:t>
      </w:r>
      <w:r w:rsidR="006F78B0" w:rsidRPr="006F78B0">
        <w:t>)</w:t>
      </w:r>
      <w:r w:rsidR="00446A53" w:rsidRPr="006F78B0">
        <w:rPr>
          <w:vertAlign w:val="superscript"/>
        </w:rPr>
        <w:t>5</w:t>
      </w:r>
    </w:p>
    <w:p w14:paraId="02C62662" w14:textId="18FAC155" w:rsidR="00E864A8" w:rsidRPr="00446A53" w:rsidRDefault="00E864A8" w:rsidP="00630DE3">
      <w:pPr>
        <w:spacing w:after="0" w:line="276" w:lineRule="auto"/>
        <w:rPr>
          <w:vertAlign w:val="superscript"/>
        </w:rPr>
      </w:pPr>
      <w:r w:rsidRPr="00E864A8">
        <w:t>Rupert</w:t>
      </w:r>
      <w:r w:rsidR="0007426C">
        <w:t xml:space="preserve"> A</w:t>
      </w:r>
      <w:r w:rsidRPr="00E864A8">
        <w:t xml:space="preserve"> Payne</w:t>
      </w:r>
      <w:r w:rsidR="00446A53">
        <w:t xml:space="preserve"> (PhD)</w:t>
      </w:r>
      <w:r w:rsidR="00446A53">
        <w:rPr>
          <w:vertAlign w:val="superscript"/>
        </w:rPr>
        <w:t>6</w:t>
      </w:r>
    </w:p>
    <w:p w14:paraId="06BB259E" w14:textId="4E45244E" w:rsidR="00C973AE" w:rsidRPr="005D4481" w:rsidRDefault="00333A1C" w:rsidP="00630DE3">
      <w:pPr>
        <w:spacing w:after="0" w:line="276" w:lineRule="auto"/>
        <w:rPr>
          <w:vertAlign w:val="superscript"/>
        </w:rPr>
      </w:pPr>
      <w:r w:rsidRPr="000F4B1F">
        <w:t>Jonathan Mant</w:t>
      </w:r>
      <w:r w:rsidR="00A7590E" w:rsidRPr="000F4B1F">
        <w:t xml:space="preserve"> </w:t>
      </w:r>
      <w:r w:rsidR="005F4C7E">
        <w:t>(Professor</w:t>
      </w:r>
      <w:r w:rsidR="00340DF6">
        <w:t>)</w:t>
      </w:r>
      <w:r w:rsidR="005D4481" w:rsidRPr="000F4B1F">
        <w:rPr>
          <w:vertAlign w:val="superscript"/>
        </w:rPr>
        <w:t>2</w:t>
      </w:r>
    </w:p>
    <w:p w14:paraId="549ED1BA" w14:textId="5A9F9050" w:rsidR="00B61883" w:rsidRPr="005F4C7E" w:rsidRDefault="00B61883" w:rsidP="00630DE3">
      <w:pPr>
        <w:spacing w:after="0" w:line="276" w:lineRule="auto"/>
      </w:pPr>
      <w:r>
        <w:t>Richard J McManus (Professor)</w:t>
      </w:r>
      <w:r>
        <w:rPr>
          <w:vertAlign w:val="superscript"/>
        </w:rPr>
        <w:t>3</w:t>
      </w:r>
    </w:p>
    <w:p w14:paraId="6BE0A74C" w14:textId="7D133DFD" w:rsidR="00333A1C" w:rsidRPr="00EC15FE" w:rsidRDefault="00333A1C" w:rsidP="00630DE3">
      <w:pPr>
        <w:spacing w:after="0" w:line="276" w:lineRule="auto"/>
        <w:rPr>
          <w:vertAlign w:val="superscript"/>
        </w:rPr>
      </w:pPr>
      <w:r w:rsidRPr="00EC15FE">
        <w:t>Jenni Burt</w:t>
      </w:r>
      <w:r w:rsidR="00340DF6" w:rsidRPr="00EC15FE">
        <w:t xml:space="preserve"> (PhD</w:t>
      </w:r>
      <w:r w:rsidR="005F4C7E" w:rsidRPr="00EC15FE">
        <w:t>)</w:t>
      </w:r>
      <w:r w:rsidR="005F4C7E" w:rsidRPr="00EC15FE">
        <w:rPr>
          <w:vertAlign w:val="superscript"/>
        </w:rPr>
        <w:t>1</w:t>
      </w:r>
    </w:p>
    <w:p w14:paraId="6CA57F1C" w14:textId="77777777" w:rsidR="005F4C7E" w:rsidRPr="00EC15FE" w:rsidRDefault="005F4C7E" w:rsidP="00630DE3">
      <w:pPr>
        <w:spacing w:after="0" w:line="276" w:lineRule="auto"/>
        <w:rPr>
          <w:vertAlign w:val="superscript"/>
        </w:rPr>
      </w:pPr>
    </w:p>
    <w:p w14:paraId="247EFE41" w14:textId="77777777" w:rsidR="00075A31" w:rsidRDefault="00B146B4" w:rsidP="00630DE3">
      <w:pPr>
        <w:spacing w:after="0" w:line="276" w:lineRule="auto"/>
      </w:pPr>
      <w:r w:rsidRPr="00B146B4">
        <w:rPr>
          <w:vertAlign w:val="superscript"/>
        </w:rPr>
        <w:t>1</w:t>
      </w:r>
      <w:r>
        <w:t xml:space="preserve"> </w:t>
      </w:r>
      <w:r w:rsidR="00075A31" w:rsidRPr="00075A31">
        <w:t>The Healthcare Improvement Studies Insti</w:t>
      </w:r>
      <w:r w:rsidR="007C57AB">
        <w:t>tute, University of Cambridge</w:t>
      </w:r>
      <w:r w:rsidR="00DB7DF6">
        <w:t>, Cambridge, UK</w:t>
      </w:r>
    </w:p>
    <w:p w14:paraId="36ECCFF7" w14:textId="4C56ACDD" w:rsidR="00075A31" w:rsidRPr="00DE010D" w:rsidRDefault="00B146B4" w:rsidP="00630DE3">
      <w:pPr>
        <w:spacing w:after="0" w:line="276" w:lineRule="auto"/>
        <w:rPr>
          <w:color w:val="2E74B5" w:themeColor="accent1" w:themeShade="BF"/>
        </w:rPr>
      </w:pPr>
      <w:r w:rsidRPr="00B146B4">
        <w:rPr>
          <w:vertAlign w:val="superscript"/>
        </w:rPr>
        <w:t>2</w:t>
      </w:r>
      <w:r>
        <w:t xml:space="preserve"> </w:t>
      </w:r>
      <w:r w:rsidR="00456596" w:rsidRPr="00DE010D">
        <w:rPr>
          <w:color w:val="2E74B5" w:themeColor="accent1" w:themeShade="BF"/>
        </w:rPr>
        <w:t>Norwich Medical School, University of East Anglia, UK</w:t>
      </w:r>
    </w:p>
    <w:p w14:paraId="35F31418" w14:textId="77777777" w:rsidR="00461509" w:rsidRDefault="00B146B4" w:rsidP="00630DE3">
      <w:pPr>
        <w:spacing w:after="0" w:line="276" w:lineRule="auto"/>
      </w:pPr>
      <w:r w:rsidRPr="00B146B4">
        <w:rPr>
          <w:vertAlign w:val="superscript"/>
        </w:rPr>
        <w:t>3</w:t>
      </w:r>
      <w:r>
        <w:t xml:space="preserve"> Nuffield Department of Primary Care</w:t>
      </w:r>
      <w:r w:rsidR="00C973AE">
        <w:t xml:space="preserve"> Health Sciences</w:t>
      </w:r>
      <w:r>
        <w:t>, University of Oxford</w:t>
      </w:r>
      <w:r w:rsidR="004B7499">
        <w:t>, Oxford, UK</w:t>
      </w:r>
    </w:p>
    <w:p w14:paraId="49569CA2" w14:textId="77777777" w:rsidR="00C973AE" w:rsidRDefault="00C973AE" w:rsidP="00630DE3">
      <w:pPr>
        <w:spacing w:after="0" w:line="276" w:lineRule="auto"/>
      </w:pPr>
      <w:r w:rsidRPr="00E864A8">
        <w:rPr>
          <w:vertAlign w:val="superscript"/>
        </w:rPr>
        <w:t>4</w:t>
      </w:r>
      <w:r>
        <w:t xml:space="preserve"> </w:t>
      </w:r>
      <w:r w:rsidRPr="00C973AE">
        <w:t>Primary Care Research Group, University of Southampton, Southampton, UK</w:t>
      </w:r>
    </w:p>
    <w:p w14:paraId="1AC3CA5F" w14:textId="77777777" w:rsidR="00E864A8" w:rsidRDefault="00446A53" w:rsidP="00630DE3">
      <w:pPr>
        <w:spacing w:after="0" w:line="276" w:lineRule="auto"/>
      </w:pPr>
      <w:r w:rsidRPr="00446A53">
        <w:rPr>
          <w:vertAlign w:val="superscript"/>
        </w:rPr>
        <w:t>5</w:t>
      </w:r>
      <w:r>
        <w:t xml:space="preserve"> </w:t>
      </w:r>
      <w:r w:rsidR="00E864A8" w:rsidRPr="00E864A8">
        <w:t>Patient and Public Involvement Representative, London, UK</w:t>
      </w:r>
    </w:p>
    <w:p w14:paraId="643757FB" w14:textId="632EDB56" w:rsidR="00E864A8" w:rsidRDefault="00446A53" w:rsidP="00630DE3">
      <w:pPr>
        <w:spacing w:after="0" w:line="276" w:lineRule="auto"/>
      </w:pPr>
      <w:r w:rsidRPr="00446A53">
        <w:rPr>
          <w:vertAlign w:val="superscript"/>
        </w:rPr>
        <w:t>6</w:t>
      </w:r>
      <w:r>
        <w:t xml:space="preserve"> </w:t>
      </w:r>
      <w:r w:rsidR="00E864A8" w:rsidRPr="00E864A8">
        <w:t>Centre for Academic Primary Care, University of Bristol, Bristol, UK</w:t>
      </w:r>
    </w:p>
    <w:p w14:paraId="17A15E41" w14:textId="77777777" w:rsidR="005F4C7E" w:rsidRDefault="005F4C7E" w:rsidP="00630DE3">
      <w:pPr>
        <w:spacing w:after="0" w:line="276" w:lineRule="auto"/>
      </w:pPr>
    </w:p>
    <w:p w14:paraId="3A371E3D" w14:textId="77777777" w:rsidR="00F12CC0" w:rsidRDefault="001E0907" w:rsidP="00E41DAF">
      <w:pPr>
        <w:spacing w:after="0"/>
      </w:pPr>
      <w:r w:rsidRPr="001E0907">
        <w:rPr>
          <w:b/>
        </w:rPr>
        <w:t>Correspondence to:</w:t>
      </w:r>
      <w:r>
        <w:t xml:space="preserve"> </w:t>
      </w:r>
      <w:r w:rsidR="004B7499">
        <w:t>Jenni Burt</w:t>
      </w:r>
      <w:r>
        <w:t xml:space="preserve">, </w:t>
      </w:r>
      <w:r w:rsidRPr="00075A31">
        <w:t>THIS Institute, University of Cambridge, Cambridge Biomedical Campus, Clifford Allbutt Building, Cambridge CB2 0AH, UK</w:t>
      </w:r>
      <w:r>
        <w:t>.</w:t>
      </w:r>
    </w:p>
    <w:p w14:paraId="6F8FCCC5" w14:textId="38D38AFA" w:rsidR="001E0907" w:rsidRDefault="00F32C42" w:rsidP="00E41DAF">
      <w:pPr>
        <w:spacing w:after="0"/>
      </w:pPr>
      <w:hyperlink r:id="rId8" w:history="1">
        <w:r w:rsidR="00111FA1" w:rsidRPr="008E7333">
          <w:rPr>
            <w:rStyle w:val="Hyperlink"/>
          </w:rPr>
          <w:t>jenni.burt@thisinstitute.cam.ac.uk</w:t>
        </w:r>
      </w:hyperlink>
      <w:r w:rsidR="001F6404">
        <w:t xml:space="preserve">; </w:t>
      </w:r>
      <w:r w:rsidR="00F12CC0">
        <w:t xml:space="preserve">01223 </w:t>
      </w:r>
      <w:r w:rsidR="003D5F0C" w:rsidRPr="003D5F0C">
        <w:t>761706</w:t>
      </w:r>
    </w:p>
    <w:p w14:paraId="4C372DD2" w14:textId="77777777" w:rsidR="00A46AC7" w:rsidRPr="00D62C39" w:rsidRDefault="00A46AC7" w:rsidP="00D62C39">
      <w:pPr>
        <w:rPr>
          <w:highlight w:val="yellow"/>
        </w:rPr>
      </w:pPr>
      <w:r>
        <w:br w:type="page"/>
      </w:r>
    </w:p>
    <w:p w14:paraId="4D0C658B" w14:textId="77777777" w:rsidR="004A2576" w:rsidRPr="00630DE3" w:rsidRDefault="004A2576" w:rsidP="004A2576">
      <w:pPr>
        <w:pStyle w:val="Title"/>
        <w:rPr>
          <w:sz w:val="44"/>
          <w:szCs w:val="44"/>
        </w:rPr>
      </w:pPr>
      <w:r w:rsidRPr="004A2576">
        <w:rPr>
          <w:color w:val="2E74B5" w:themeColor="accent1" w:themeShade="BF"/>
          <w:sz w:val="44"/>
          <w:szCs w:val="44"/>
        </w:rPr>
        <w:lastRenderedPageBreak/>
        <w:t xml:space="preserve">GPs’ mindlines around </w:t>
      </w:r>
      <w:r w:rsidRPr="00630DE3">
        <w:rPr>
          <w:sz w:val="44"/>
          <w:szCs w:val="44"/>
        </w:rPr>
        <w:t>deprescribing antihypertensive</w:t>
      </w:r>
      <w:r w:rsidRPr="004A2576">
        <w:rPr>
          <w:color w:val="2E74B5" w:themeColor="accent1" w:themeShade="BF"/>
          <w:sz w:val="44"/>
          <w:szCs w:val="44"/>
        </w:rPr>
        <w:t>s</w:t>
      </w:r>
      <w:r w:rsidRPr="00630DE3">
        <w:rPr>
          <w:sz w:val="44"/>
          <w:szCs w:val="44"/>
        </w:rPr>
        <w:t xml:space="preserve"> in older patients</w:t>
      </w:r>
      <w:r w:rsidRPr="004A2576">
        <w:rPr>
          <w:color w:val="2E74B5" w:themeColor="accent1" w:themeShade="BF"/>
          <w:sz w:val="44"/>
          <w:szCs w:val="44"/>
        </w:rPr>
        <w:t xml:space="preserve"> with multimorbidity</w:t>
      </w:r>
      <w:r w:rsidRPr="00630DE3">
        <w:rPr>
          <w:sz w:val="44"/>
          <w:szCs w:val="44"/>
        </w:rPr>
        <w:t>: qualitative study</w:t>
      </w:r>
    </w:p>
    <w:p w14:paraId="37A602D9" w14:textId="77777777" w:rsidR="00546EFC" w:rsidRPr="00546EFC" w:rsidRDefault="00546EFC" w:rsidP="00546EFC"/>
    <w:p w14:paraId="76C807E2" w14:textId="77777777" w:rsidR="00A46AC7" w:rsidRDefault="00765B4D" w:rsidP="00765B4D">
      <w:pPr>
        <w:pStyle w:val="Heading2"/>
      </w:pPr>
      <w:r>
        <w:t>Abstract</w:t>
      </w:r>
    </w:p>
    <w:p w14:paraId="72E36D1F" w14:textId="77777777" w:rsidR="000E293F" w:rsidRDefault="000E293F" w:rsidP="00417470">
      <w:pPr>
        <w:pStyle w:val="Heading4"/>
      </w:pPr>
      <w:r>
        <w:t>Background</w:t>
      </w:r>
    </w:p>
    <w:p w14:paraId="19DE4091" w14:textId="67E51989" w:rsidR="000E293F" w:rsidRDefault="00861486" w:rsidP="00765B4D">
      <w:r>
        <w:t>Optimal management of hypertension in older patients</w:t>
      </w:r>
      <w:r w:rsidR="00A251EF">
        <w:t xml:space="preserve"> </w:t>
      </w:r>
      <w:r w:rsidR="00A251EF" w:rsidRPr="00DE010D">
        <w:rPr>
          <w:color w:val="2E74B5" w:themeColor="accent1" w:themeShade="BF"/>
        </w:rPr>
        <w:t>with</w:t>
      </w:r>
      <w:r w:rsidRPr="00DE010D">
        <w:rPr>
          <w:color w:val="2E74B5" w:themeColor="accent1" w:themeShade="BF"/>
        </w:rPr>
        <w:t xml:space="preserve"> </w:t>
      </w:r>
      <w:r w:rsidR="00A251EF" w:rsidRPr="00DE010D">
        <w:rPr>
          <w:color w:val="2E74B5" w:themeColor="accent1" w:themeShade="BF"/>
        </w:rPr>
        <w:t xml:space="preserve">multimorbidity </w:t>
      </w:r>
      <w:r>
        <w:t>is a corne</w:t>
      </w:r>
      <w:r w:rsidR="00C2323F">
        <w:t>rstone of primary care practice</w:t>
      </w:r>
      <w:r>
        <w:t xml:space="preserve">. </w:t>
      </w:r>
      <w:r w:rsidR="006847F4">
        <w:t xml:space="preserve">Despite </w:t>
      </w:r>
      <w:r w:rsidR="004B514B">
        <w:t xml:space="preserve">emphasis on </w:t>
      </w:r>
      <w:r w:rsidR="006847F4">
        <w:t xml:space="preserve">personalised approaches to treatment in older patients, </w:t>
      </w:r>
      <w:r w:rsidR="00A41CB2">
        <w:t xml:space="preserve">there is little </w:t>
      </w:r>
      <w:r w:rsidR="006847F4">
        <w:t xml:space="preserve">guidance on how to achieve </w:t>
      </w:r>
      <w:r w:rsidR="00C02944">
        <w:t xml:space="preserve">medication </w:t>
      </w:r>
      <w:r w:rsidR="00573792">
        <w:t>reduc</w:t>
      </w:r>
      <w:r w:rsidR="00C02944">
        <w:t>tion</w:t>
      </w:r>
      <w:r w:rsidR="007D34D6">
        <w:t xml:space="preserve"> when GPs are concerned that possible risks outweigh potential benefits of treatment</w:t>
      </w:r>
      <w:r w:rsidR="006847F4">
        <w:t xml:space="preserve">. </w:t>
      </w:r>
      <w:r w:rsidR="00FC3562">
        <w:t>M</w:t>
      </w:r>
      <w:r w:rsidR="00BC6C24">
        <w:t xml:space="preserve">indlines – tacit, internalised guidelines developed over time </w:t>
      </w:r>
      <w:r w:rsidR="006847F4">
        <w:t xml:space="preserve">from </w:t>
      </w:r>
      <w:r w:rsidR="00BC6C24">
        <w:t xml:space="preserve">multiple </w:t>
      </w:r>
      <w:r w:rsidR="006847F4">
        <w:t>sources</w:t>
      </w:r>
      <w:r w:rsidR="00BC6C24">
        <w:t xml:space="preserve"> – </w:t>
      </w:r>
      <w:r w:rsidR="00A41CB2">
        <w:t>may</w:t>
      </w:r>
      <w:r w:rsidR="00BC6C24">
        <w:t xml:space="preserve"> be of particular</w:t>
      </w:r>
      <w:r w:rsidR="00E7102E">
        <w:t xml:space="preserve"> importance in such situations.</w:t>
      </w:r>
    </w:p>
    <w:p w14:paraId="7E5FA95A" w14:textId="77777777" w:rsidR="006E065A" w:rsidRDefault="006E065A" w:rsidP="00417470">
      <w:pPr>
        <w:pStyle w:val="Heading4"/>
      </w:pPr>
      <w:r>
        <w:t>Aim</w:t>
      </w:r>
    </w:p>
    <w:p w14:paraId="36F0E81E" w14:textId="77777777" w:rsidR="00644E05" w:rsidRPr="00644E05" w:rsidRDefault="00E8626A" w:rsidP="00765B4D">
      <w:r>
        <w:t>T</w:t>
      </w:r>
      <w:r w:rsidR="0085356A">
        <w:t xml:space="preserve">o explore </w:t>
      </w:r>
      <w:r w:rsidR="00644E05" w:rsidRPr="00644E05">
        <w:t xml:space="preserve">GPs’ decision-making </w:t>
      </w:r>
      <w:r w:rsidR="0085356A">
        <w:t>on</w:t>
      </w:r>
      <w:r w:rsidR="00644E05" w:rsidRPr="00644E05">
        <w:t xml:space="preserve"> deprescribing antihypertensives in multimorbid patients</w:t>
      </w:r>
      <w:r w:rsidR="00B12D32">
        <w:t xml:space="preserve"> over 80 years old</w:t>
      </w:r>
      <w:r w:rsidR="0095325E">
        <w:t xml:space="preserve">, </w:t>
      </w:r>
      <w:r w:rsidR="00DF550A">
        <w:t>drawing on the concept of mindlines</w:t>
      </w:r>
      <w:r>
        <w:t>.</w:t>
      </w:r>
    </w:p>
    <w:p w14:paraId="53059BA4" w14:textId="77777777" w:rsidR="006E065A" w:rsidRDefault="006E065A" w:rsidP="00417470">
      <w:pPr>
        <w:pStyle w:val="Heading4"/>
      </w:pPr>
      <w:r>
        <w:t>Design</w:t>
      </w:r>
    </w:p>
    <w:p w14:paraId="1930CD21" w14:textId="5A045F8E" w:rsidR="000D6BA0" w:rsidRPr="00F458DE" w:rsidRDefault="00BC6C24" w:rsidP="000D6BA0">
      <w:pPr>
        <w:rPr>
          <w:lang w:eastAsia="en-GB"/>
        </w:rPr>
      </w:pPr>
      <w:r>
        <w:rPr>
          <w:lang w:eastAsia="en-GB"/>
        </w:rPr>
        <w:t>Q</w:t>
      </w:r>
      <w:r w:rsidR="00787B00">
        <w:rPr>
          <w:lang w:eastAsia="en-GB"/>
        </w:rPr>
        <w:t>ualitative</w:t>
      </w:r>
      <w:r w:rsidR="000D6BA0" w:rsidRPr="00F458DE">
        <w:rPr>
          <w:lang w:eastAsia="en-GB"/>
        </w:rPr>
        <w:t xml:space="preserve"> </w:t>
      </w:r>
      <w:r w:rsidR="00CC2FA5">
        <w:rPr>
          <w:lang w:eastAsia="en-GB"/>
        </w:rPr>
        <w:t xml:space="preserve">interview </w:t>
      </w:r>
      <w:r w:rsidR="000D6BA0" w:rsidRPr="00F458DE">
        <w:rPr>
          <w:lang w:eastAsia="en-GB"/>
        </w:rPr>
        <w:t>study</w:t>
      </w:r>
      <w:r w:rsidR="00E7102E">
        <w:rPr>
          <w:lang w:eastAsia="en-GB"/>
        </w:rPr>
        <w:t>.</w:t>
      </w:r>
    </w:p>
    <w:p w14:paraId="003A29B5" w14:textId="77777777" w:rsidR="006E065A" w:rsidRDefault="006E065A" w:rsidP="00417470">
      <w:pPr>
        <w:pStyle w:val="Heading4"/>
      </w:pPr>
      <w:r>
        <w:t>Setting</w:t>
      </w:r>
    </w:p>
    <w:p w14:paraId="525EB981" w14:textId="77777777" w:rsidR="000D6BA0" w:rsidRPr="000E293F" w:rsidRDefault="000D6BA0" w:rsidP="00765B4D">
      <w:pPr>
        <w:rPr>
          <w:lang w:eastAsia="en-GB"/>
        </w:rPr>
      </w:pPr>
      <w:r>
        <w:rPr>
          <w:lang w:eastAsia="en-GB"/>
        </w:rPr>
        <w:t>English general practice.</w:t>
      </w:r>
    </w:p>
    <w:p w14:paraId="16FF5EE9" w14:textId="77777777" w:rsidR="00765B4D" w:rsidRDefault="00765B4D" w:rsidP="00417470">
      <w:pPr>
        <w:pStyle w:val="Heading4"/>
      </w:pPr>
      <w:r w:rsidRPr="00765B4D">
        <w:t>Methods</w:t>
      </w:r>
    </w:p>
    <w:p w14:paraId="5DE8D8B9" w14:textId="393222E1" w:rsidR="00435834" w:rsidRPr="00435834" w:rsidRDefault="00FB6F04" w:rsidP="00765B4D">
      <w:r>
        <w:t>Thematic analysis of f</w:t>
      </w:r>
      <w:r w:rsidR="00BA5D40" w:rsidRPr="00F458DE">
        <w:t>ace-to-face i</w:t>
      </w:r>
      <w:r w:rsidR="00BA5D40">
        <w:t xml:space="preserve">nterviews with a sample of 15 </w:t>
      </w:r>
      <w:r w:rsidR="00BA5D40" w:rsidRPr="00F458DE">
        <w:t xml:space="preserve">GPs </w:t>
      </w:r>
      <w:r w:rsidR="00BA5D40">
        <w:t>from</w:t>
      </w:r>
      <w:r w:rsidR="00BA5D40" w:rsidRPr="00F458DE">
        <w:t xml:space="preserve"> </w:t>
      </w:r>
      <w:r w:rsidR="00BA5D40">
        <w:t>7</w:t>
      </w:r>
      <w:r w:rsidR="00BA5D40" w:rsidRPr="00F458DE">
        <w:t xml:space="preserve"> practice</w:t>
      </w:r>
      <w:r>
        <w:t>s in the East of England</w:t>
      </w:r>
      <w:r>
        <w:rPr>
          <w:color w:val="000000"/>
          <w:kern w:val="24"/>
          <w:lang w:eastAsia="en-GB"/>
        </w:rPr>
        <w:t xml:space="preserve">, using a </w:t>
      </w:r>
      <w:r w:rsidR="008B69A1">
        <w:rPr>
          <w:color w:val="000000"/>
          <w:kern w:val="24"/>
          <w:lang w:eastAsia="en-GB"/>
        </w:rPr>
        <w:t>chart</w:t>
      </w:r>
      <w:r>
        <w:rPr>
          <w:color w:val="000000"/>
          <w:kern w:val="24"/>
          <w:lang w:eastAsia="en-GB"/>
        </w:rPr>
        <w:t>-stimulated recall approach</w:t>
      </w:r>
      <w:r w:rsidR="004B514B">
        <w:rPr>
          <w:color w:val="000000"/>
          <w:kern w:val="24"/>
          <w:lang w:eastAsia="en-GB"/>
        </w:rPr>
        <w:t xml:space="preserve"> to explore approaches to treatment for older multimorbid patients with hypertension</w:t>
      </w:r>
      <w:r w:rsidR="00527BAC">
        <w:rPr>
          <w:color w:val="000000"/>
          <w:kern w:val="24"/>
          <w:lang w:eastAsia="en-GB"/>
        </w:rPr>
        <w:t>.</w:t>
      </w:r>
    </w:p>
    <w:p w14:paraId="48CF275E" w14:textId="77777777" w:rsidR="00765B4D" w:rsidRDefault="00765B4D" w:rsidP="00417470">
      <w:pPr>
        <w:pStyle w:val="Heading4"/>
      </w:pPr>
      <w:r w:rsidRPr="00765B4D">
        <w:t>Results</w:t>
      </w:r>
    </w:p>
    <w:p w14:paraId="46C88426" w14:textId="2533E531" w:rsidR="006847F4" w:rsidRDefault="004B514B" w:rsidP="00825DC1">
      <w:r>
        <w:t>GPs are</w:t>
      </w:r>
      <w:r w:rsidR="00C11164">
        <w:t xml:space="preserve"> typically</w:t>
      </w:r>
      <w:r>
        <w:t xml:space="preserve"> </w:t>
      </w:r>
      <w:r w:rsidR="006847F4">
        <w:t>confident making d</w:t>
      </w:r>
      <w:r w:rsidR="00825DC1" w:rsidRPr="007E61BC">
        <w:t xml:space="preserve">ecisions to deprescribe antihypertensive medication in </w:t>
      </w:r>
      <w:r w:rsidR="005142C8">
        <w:t xml:space="preserve">older </w:t>
      </w:r>
      <w:r w:rsidR="00825DC1" w:rsidRPr="007E61BC">
        <w:t xml:space="preserve">multimorbid patients </w:t>
      </w:r>
      <w:r w:rsidR="006847F4">
        <w:t xml:space="preserve">when </w:t>
      </w:r>
      <w:r w:rsidR="00527BAC">
        <w:t>p</w:t>
      </w:r>
      <w:r w:rsidR="009F003C">
        <w:t>rompted by a trigger</w:t>
      </w:r>
      <w:r w:rsidR="00CC2FA5">
        <w:t>, such as a fall or adverse drug even</w:t>
      </w:r>
      <w:r w:rsidR="006847F4">
        <w:t xml:space="preserve">t. </w:t>
      </w:r>
      <w:r>
        <w:t>GPs are less confident</w:t>
      </w:r>
      <w:r w:rsidR="00A41CB2">
        <w:t xml:space="preserve"> to attempt deprescribing in response</w:t>
      </w:r>
      <w:r>
        <w:t xml:space="preserve"> to generalised </w:t>
      </w:r>
      <w:r w:rsidR="006847F4">
        <w:t>concern</w:t>
      </w:r>
      <w:r>
        <w:t>s</w:t>
      </w:r>
      <w:r w:rsidR="006847F4">
        <w:t xml:space="preserve"> about polypharmacy,</w:t>
      </w:r>
      <w:r>
        <w:t xml:space="preserve"> </w:t>
      </w:r>
      <w:r w:rsidR="006847F4">
        <w:t>and work ha</w:t>
      </w:r>
      <w:r>
        <w:t xml:space="preserve">rd to </w:t>
      </w:r>
      <w:r w:rsidR="00A41CB2">
        <w:t>make sense of</w:t>
      </w:r>
      <w:r>
        <w:t xml:space="preserve"> multiple sources (</w:t>
      </w:r>
      <w:r w:rsidR="006847F4">
        <w:t>including availa</w:t>
      </w:r>
      <w:r w:rsidR="00A41CB2">
        <w:t>ble evidence</w:t>
      </w:r>
      <w:r w:rsidR="00C11164">
        <w:t>, shared experiential</w:t>
      </w:r>
      <w:r w:rsidR="006847F4">
        <w:t xml:space="preserve"> knowledge, and non-clinical factors</w:t>
      </w:r>
      <w:r>
        <w:t>)</w:t>
      </w:r>
      <w:r w:rsidR="006847F4">
        <w:t xml:space="preserve"> </w:t>
      </w:r>
      <w:r w:rsidR="00C11164">
        <w:t>to guide</w:t>
      </w:r>
      <w:r>
        <w:t xml:space="preserve"> </w:t>
      </w:r>
      <w:r w:rsidR="00A41CB2">
        <w:t>decision-making</w:t>
      </w:r>
      <w:r w:rsidR="006847F4">
        <w:t xml:space="preserve">. </w:t>
      </w:r>
    </w:p>
    <w:p w14:paraId="29786FF8" w14:textId="7C35E50E" w:rsidR="00765B4D" w:rsidRDefault="002F1C69" w:rsidP="00417470">
      <w:pPr>
        <w:pStyle w:val="Heading4"/>
      </w:pPr>
      <w:r>
        <w:t>Conclusion</w:t>
      </w:r>
    </w:p>
    <w:p w14:paraId="3F2493CA" w14:textId="434D1EE6" w:rsidR="00CC2FA5" w:rsidRDefault="004D6E31" w:rsidP="00CC2FA5">
      <w:r>
        <w:t>In the absence of a</w:t>
      </w:r>
      <w:r w:rsidR="00A41CB2">
        <w:t xml:space="preserve"> clear</w:t>
      </w:r>
      <w:r>
        <w:t xml:space="preserve"> evidence base on when and how to </w:t>
      </w:r>
      <w:r w:rsidR="00EF64C3">
        <w:t>attempt</w:t>
      </w:r>
      <w:r>
        <w:t xml:space="preserve"> medication reduction in response to concerns about polypharmacy, GPs</w:t>
      </w:r>
      <w:r w:rsidR="00A41CB2">
        <w:t xml:space="preserve"> develop</w:t>
      </w:r>
      <w:r>
        <w:t xml:space="preserve"> ‘mindlines’</w:t>
      </w:r>
      <w:r w:rsidR="00A41CB2">
        <w:t xml:space="preserve"> </w:t>
      </w:r>
      <w:r w:rsidR="00FE3B60">
        <w:t xml:space="preserve">over time </w:t>
      </w:r>
      <w:r w:rsidR="00A41CB2">
        <w:t xml:space="preserve">through practice-based experience. These </w:t>
      </w:r>
      <w:r>
        <w:t>tacit</w:t>
      </w:r>
      <w:r w:rsidR="00EF64C3">
        <w:t xml:space="preserve"> </w:t>
      </w:r>
      <w:r>
        <w:t xml:space="preserve">approaches to </w:t>
      </w:r>
      <w:r w:rsidR="007A6343">
        <w:t>making complex decisions</w:t>
      </w:r>
      <w:r w:rsidR="00A41CB2">
        <w:t xml:space="preserve"> </w:t>
      </w:r>
      <w:r w:rsidR="00632797">
        <w:t xml:space="preserve">are critical to </w:t>
      </w:r>
      <w:r w:rsidR="00F246DD">
        <w:t>developing</w:t>
      </w:r>
      <w:r w:rsidR="00DE7AB5">
        <w:t xml:space="preserve"> </w:t>
      </w:r>
      <w:r w:rsidR="00632797">
        <w:t xml:space="preserve">confidence to attempt deprescribing, and </w:t>
      </w:r>
      <w:r>
        <w:t xml:space="preserve">may </w:t>
      </w:r>
      <w:r w:rsidR="00632797">
        <w:t xml:space="preserve">be strengthened </w:t>
      </w:r>
      <w:r>
        <w:t>through reflective practice</w:t>
      </w:r>
      <w:r w:rsidR="00CC2FA5">
        <w:t>.</w:t>
      </w:r>
    </w:p>
    <w:p w14:paraId="0C6C3F7C" w14:textId="1693CCCD" w:rsidR="00765B4D" w:rsidRDefault="00765B4D" w:rsidP="00765B4D"/>
    <w:p w14:paraId="464CC9C0" w14:textId="77777777" w:rsidR="002B6FF1" w:rsidRDefault="00765B4D" w:rsidP="00765B4D">
      <w:pPr>
        <w:rPr>
          <w:highlight w:val="yellow"/>
        </w:rPr>
      </w:pPr>
      <w:r w:rsidRPr="00765B4D">
        <w:rPr>
          <w:b/>
        </w:rPr>
        <w:t>Keywords:</w:t>
      </w:r>
    </w:p>
    <w:p w14:paraId="0AE496CE" w14:textId="37F470B8" w:rsidR="00235188" w:rsidRPr="0085356A" w:rsidRDefault="00492D97" w:rsidP="008C0C3B">
      <w:r w:rsidRPr="0085356A">
        <w:t xml:space="preserve">General </w:t>
      </w:r>
      <w:r w:rsidR="008C0C3B" w:rsidRPr="0085356A">
        <w:t>practice</w:t>
      </w:r>
      <w:r w:rsidR="00877611" w:rsidRPr="0085356A">
        <w:t>;</w:t>
      </w:r>
      <w:r w:rsidRPr="0085356A">
        <w:t xml:space="preserve"> polypharmacy</w:t>
      </w:r>
      <w:r w:rsidR="00877611" w:rsidRPr="0085356A">
        <w:t>;</w:t>
      </w:r>
      <w:r w:rsidRPr="0085356A">
        <w:t xml:space="preserve"> </w:t>
      </w:r>
      <w:r w:rsidR="00303C44">
        <w:t xml:space="preserve">hypertension; </w:t>
      </w:r>
      <w:r w:rsidR="0042202E">
        <w:t>deprescriptions</w:t>
      </w:r>
      <w:r w:rsidR="00303C44">
        <w:t>;</w:t>
      </w:r>
      <w:r w:rsidRPr="0085356A">
        <w:t xml:space="preserve"> </w:t>
      </w:r>
      <w:r w:rsidR="00300D37" w:rsidRPr="0085356A">
        <w:t>aged, 80 and over</w:t>
      </w:r>
      <w:r w:rsidR="00877611" w:rsidRPr="0085356A">
        <w:t>;</w:t>
      </w:r>
      <w:r w:rsidR="00250EF6">
        <w:t xml:space="preserve"> </w:t>
      </w:r>
      <w:r w:rsidR="007601E3">
        <w:t>qualitative research</w:t>
      </w:r>
    </w:p>
    <w:p w14:paraId="7E7A1E52" w14:textId="77777777" w:rsidR="00303C44" w:rsidRDefault="00303C44" w:rsidP="0086736E">
      <w:pPr>
        <w:rPr>
          <w:rStyle w:val="Strong"/>
        </w:rPr>
      </w:pPr>
    </w:p>
    <w:p w14:paraId="2DEA268D" w14:textId="77777777" w:rsidR="00235188" w:rsidRPr="0085356A" w:rsidRDefault="00235188" w:rsidP="0086736E">
      <w:pPr>
        <w:rPr>
          <w:rStyle w:val="Strong"/>
        </w:rPr>
      </w:pPr>
      <w:r w:rsidRPr="0085356A">
        <w:rPr>
          <w:rStyle w:val="Strong"/>
        </w:rPr>
        <w:t>How this fits in</w:t>
      </w:r>
    </w:p>
    <w:p w14:paraId="128E9DA9" w14:textId="0736F0D3" w:rsidR="00543137" w:rsidRDefault="004C60A7" w:rsidP="009E5822">
      <w:pPr>
        <w:spacing w:after="0"/>
      </w:pPr>
      <w:r>
        <w:t>Whilst t</w:t>
      </w:r>
      <w:r w:rsidR="008B6E61" w:rsidRPr="0085356A">
        <w:t>here is robust evidence for the benefits of prescribing antihypertensive medication</w:t>
      </w:r>
      <w:r>
        <w:t xml:space="preserve"> in </w:t>
      </w:r>
      <w:r w:rsidR="00F85DAE">
        <w:t>healthy</w:t>
      </w:r>
      <w:r w:rsidR="007831F5" w:rsidRPr="0085356A">
        <w:t xml:space="preserve"> </w:t>
      </w:r>
      <w:r w:rsidR="00F85DAE" w:rsidRPr="0085356A">
        <w:t>olde</w:t>
      </w:r>
      <w:r w:rsidR="00F85DAE">
        <w:t>r</w:t>
      </w:r>
      <w:r w:rsidR="00F85DAE" w:rsidRPr="0085356A">
        <w:t xml:space="preserve"> </w:t>
      </w:r>
      <w:r w:rsidR="007831F5" w:rsidRPr="0085356A">
        <w:t xml:space="preserve">patients, </w:t>
      </w:r>
      <w:r w:rsidR="00543137">
        <w:t xml:space="preserve">the balance of probable benefit against potential risk is less certain in </w:t>
      </w:r>
      <w:r w:rsidR="00583790">
        <w:t xml:space="preserve">older patients with </w:t>
      </w:r>
      <w:r>
        <w:t>multimorbidity</w:t>
      </w:r>
      <w:r w:rsidR="00543137">
        <w:t xml:space="preserve">. </w:t>
      </w:r>
    </w:p>
    <w:p w14:paraId="7CF7352F" w14:textId="77777777" w:rsidR="00543137" w:rsidRDefault="00543137" w:rsidP="009E5822">
      <w:pPr>
        <w:spacing w:after="0"/>
      </w:pPr>
    </w:p>
    <w:p w14:paraId="720017B9" w14:textId="66255C38" w:rsidR="00543137" w:rsidRDefault="00543137" w:rsidP="009E5822">
      <w:pPr>
        <w:spacing w:after="0"/>
      </w:pPr>
      <w:r>
        <w:t>A</w:t>
      </w:r>
      <w:r w:rsidR="004C60A7">
        <w:t xml:space="preserve">n emphasis on the </w:t>
      </w:r>
      <w:r w:rsidR="00D32B36" w:rsidRPr="00DE010D">
        <w:rPr>
          <w:color w:val="2E74B5" w:themeColor="accent1" w:themeShade="BF"/>
        </w:rPr>
        <w:t xml:space="preserve">importance </w:t>
      </w:r>
      <w:r w:rsidR="004C60A7">
        <w:t>of clinical judgement in prescribing decisions for such patients</w:t>
      </w:r>
      <w:r>
        <w:t>, seen for example in recent revisions to the Quality and Outcomes Framework to support p</w:t>
      </w:r>
      <w:r>
        <w:rPr>
          <w:szCs w:val="22"/>
        </w:rPr>
        <w:t xml:space="preserve">erson-centred treatment goals, </w:t>
      </w:r>
      <w:r>
        <w:t>is</w:t>
      </w:r>
      <w:r w:rsidR="004C60A7">
        <w:t xml:space="preserve"> not yet </w:t>
      </w:r>
      <w:r w:rsidR="00A251EF" w:rsidRPr="001B6C77">
        <w:rPr>
          <w:color w:val="2E74B5" w:themeColor="accent1" w:themeShade="BF"/>
        </w:rPr>
        <w:t>highlighted in</w:t>
      </w:r>
      <w:r w:rsidR="004C60A7" w:rsidRPr="001B6C77">
        <w:rPr>
          <w:color w:val="2E74B5" w:themeColor="accent1" w:themeShade="BF"/>
        </w:rPr>
        <w:t xml:space="preserve"> </w:t>
      </w:r>
      <w:r w:rsidR="009C46A3" w:rsidRPr="001B6C77">
        <w:rPr>
          <w:color w:val="2E74B5" w:themeColor="accent1" w:themeShade="BF"/>
        </w:rPr>
        <w:t>specific</w:t>
      </w:r>
      <w:r w:rsidR="00861486" w:rsidRPr="001B6C77">
        <w:rPr>
          <w:color w:val="2E74B5" w:themeColor="accent1" w:themeShade="BF"/>
        </w:rPr>
        <w:t xml:space="preserve"> </w:t>
      </w:r>
      <w:r w:rsidR="00861486">
        <w:t>guidelines</w:t>
      </w:r>
      <w:r w:rsidR="006928FC">
        <w:t xml:space="preserve"> </w:t>
      </w:r>
      <w:r w:rsidR="004C60A7">
        <w:t xml:space="preserve">on how to </w:t>
      </w:r>
      <w:r w:rsidR="00C661D7">
        <w:t>attempt</w:t>
      </w:r>
      <w:r w:rsidR="004C60A7">
        <w:t xml:space="preserve"> medication reduction. </w:t>
      </w:r>
    </w:p>
    <w:p w14:paraId="1180EFDC" w14:textId="77777777" w:rsidR="00543137" w:rsidRDefault="00543137" w:rsidP="009E5822">
      <w:pPr>
        <w:spacing w:after="0"/>
      </w:pPr>
    </w:p>
    <w:p w14:paraId="764F8BE6" w14:textId="4071A5E3" w:rsidR="007831F5" w:rsidRPr="0085356A" w:rsidRDefault="006060EE" w:rsidP="008D56FB">
      <w:r>
        <w:t>In this examination of how GP</w:t>
      </w:r>
      <w:r w:rsidR="00861486">
        <w:t>s</w:t>
      </w:r>
      <w:r w:rsidR="00543137">
        <w:t xml:space="preserve"> develop and apply their clinical judgement in relation to </w:t>
      </w:r>
      <w:r>
        <w:t xml:space="preserve">medication reduction in </w:t>
      </w:r>
      <w:r w:rsidR="00543137">
        <w:t>older p</w:t>
      </w:r>
      <w:r>
        <w:t>atients</w:t>
      </w:r>
      <w:r w:rsidR="00543137">
        <w:t xml:space="preserve"> with multimorbidity</w:t>
      </w:r>
      <w:r>
        <w:t>, decisions to deprescribe were typically based on</w:t>
      </w:r>
      <w:r w:rsidR="007831F5" w:rsidRPr="0085356A">
        <w:t xml:space="preserve"> clear trigger events or </w:t>
      </w:r>
      <w:r w:rsidR="003B681D">
        <w:t xml:space="preserve">direct </w:t>
      </w:r>
      <w:r w:rsidR="007831F5" w:rsidRPr="0085356A">
        <w:t>requests from patients.</w:t>
      </w:r>
    </w:p>
    <w:p w14:paraId="5B58D476" w14:textId="424FB293" w:rsidR="002B6FF1" w:rsidRDefault="00861486" w:rsidP="003378FD">
      <w:pPr>
        <w:rPr>
          <w:highlight w:val="yellow"/>
        </w:rPr>
      </w:pPr>
      <w:r>
        <w:t>GPs found it far harder to come to a d</w:t>
      </w:r>
      <w:r w:rsidR="00C661D7">
        <w:t xml:space="preserve">ecision to deprescribe in response to a generalised concern about polypharmacy: here, experiential knowledge, </w:t>
      </w:r>
      <w:r w:rsidR="00620764">
        <w:t>accrue</w:t>
      </w:r>
      <w:r w:rsidR="00C661D7">
        <w:t>d over time and through multiple sources</w:t>
      </w:r>
      <w:r w:rsidR="00F741FF" w:rsidRPr="001B6C77">
        <w:rPr>
          <w:color w:val="2E74B5" w:themeColor="accent1" w:themeShade="BF"/>
        </w:rPr>
        <w:t xml:space="preserve"> </w:t>
      </w:r>
      <w:r w:rsidR="00A251EF" w:rsidRPr="001B6C77">
        <w:rPr>
          <w:color w:val="2E74B5" w:themeColor="accent1" w:themeShade="BF"/>
        </w:rPr>
        <w:t>(mindlines)</w:t>
      </w:r>
      <w:r w:rsidR="001A0FFB" w:rsidRPr="001B6C77">
        <w:rPr>
          <w:color w:val="2E74B5" w:themeColor="accent1" w:themeShade="BF"/>
        </w:rPr>
        <w:t xml:space="preserve"> </w:t>
      </w:r>
      <w:r w:rsidR="00C661D7">
        <w:t xml:space="preserve">was critical to </w:t>
      </w:r>
      <w:r w:rsidR="00620764">
        <w:t>developing</w:t>
      </w:r>
      <w:r w:rsidR="005F47F1">
        <w:t xml:space="preserve"> </w:t>
      </w:r>
      <w:r w:rsidR="00C661D7">
        <w:t xml:space="preserve">confidence </w:t>
      </w:r>
      <w:r w:rsidR="00EF64C3">
        <w:t>in</w:t>
      </w:r>
      <w:r w:rsidR="00C661D7">
        <w:t xml:space="preserve"> deprescribing</w:t>
      </w:r>
      <w:r w:rsidR="004D6E31">
        <w:t xml:space="preserve"> in the absence of </w:t>
      </w:r>
      <w:r>
        <w:t>robust medication reduction guidelines</w:t>
      </w:r>
      <w:r w:rsidR="00C661D7">
        <w:t xml:space="preserve">. </w:t>
      </w:r>
    </w:p>
    <w:p w14:paraId="0295C27D" w14:textId="1637DF58" w:rsidR="00632797" w:rsidRDefault="00632797">
      <w:pPr>
        <w:autoSpaceDE/>
        <w:autoSpaceDN/>
        <w:adjustRightInd/>
        <w:spacing w:after="0"/>
        <w:rPr>
          <w:highlight w:val="yellow"/>
        </w:rPr>
      </w:pPr>
      <w:r>
        <w:rPr>
          <w:highlight w:val="yellow"/>
        </w:rPr>
        <w:br w:type="page"/>
      </w:r>
    </w:p>
    <w:p w14:paraId="79DB873C" w14:textId="77777777" w:rsidR="00765B4D" w:rsidRPr="00FE3B60" w:rsidRDefault="002B6FF1" w:rsidP="00FE3B60">
      <w:pPr>
        <w:pStyle w:val="Heading2"/>
      </w:pPr>
      <w:r w:rsidRPr="00FE3B60">
        <w:lastRenderedPageBreak/>
        <w:t>Introduction</w:t>
      </w:r>
    </w:p>
    <w:p w14:paraId="7AC87712" w14:textId="7B287731" w:rsidR="007728A4" w:rsidRPr="0001549D" w:rsidRDefault="00632797" w:rsidP="009E5822">
      <w:pPr>
        <w:pStyle w:val="CommentText"/>
        <w:rPr>
          <w:szCs w:val="22"/>
        </w:rPr>
      </w:pPr>
      <w:r w:rsidRPr="0001549D">
        <w:rPr>
          <w:sz w:val="22"/>
          <w:szCs w:val="22"/>
        </w:rPr>
        <w:t xml:space="preserve">There is robust evidence for the benefits of prescribing antihypertensive medication </w:t>
      </w:r>
      <w:r w:rsidR="00CA05E3" w:rsidRPr="00CA05E3">
        <w:rPr>
          <w:rFonts w:cs="Arial"/>
          <w:sz w:val="22"/>
          <w:szCs w:val="24"/>
        </w:rPr>
        <w:t>(1–4)</w:t>
      </w:r>
      <w:r w:rsidRPr="0001549D">
        <w:rPr>
          <w:sz w:val="22"/>
          <w:szCs w:val="22"/>
        </w:rPr>
        <w:t xml:space="preserve">, including for the oldest patients </w:t>
      </w:r>
      <w:r w:rsidR="00175BBD" w:rsidRPr="00175BBD">
        <w:rPr>
          <w:rFonts w:cs="Arial"/>
          <w:sz w:val="22"/>
        </w:rPr>
        <w:t>(5)</w:t>
      </w:r>
      <w:r w:rsidRPr="00620764">
        <w:rPr>
          <w:sz w:val="22"/>
          <w:szCs w:val="22"/>
        </w:rPr>
        <w:t>. Consequently, official guidelines focus on the need to prescribe</w:t>
      </w:r>
      <w:r w:rsidRPr="00B3433D">
        <w:rPr>
          <w:sz w:val="22"/>
          <w:szCs w:val="22"/>
        </w:rPr>
        <w:t xml:space="preserve">, </w:t>
      </w:r>
      <w:r w:rsidR="00175BBD" w:rsidRPr="00175BBD">
        <w:rPr>
          <w:rFonts w:cs="Arial"/>
          <w:sz w:val="22"/>
        </w:rPr>
        <w:t>(6,7)</w:t>
      </w:r>
      <w:r w:rsidRPr="00B3433D">
        <w:rPr>
          <w:sz w:val="22"/>
          <w:szCs w:val="22"/>
        </w:rPr>
        <w:t xml:space="preserve"> </w:t>
      </w:r>
      <w:r w:rsidR="00791684" w:rsidRPr="0001549D">
        <w:rPr>
          <w:sz w:val="22"/>
          <w:szCs w:val="22"/>
        </w:rPr>
        <w:t>and the</w:t>
      </w:r>
      <w:r w:rsidRPr="00411073">
        <w:rPr>
          <w:sz w:val="22"/>
          <w:szCs w:val="22"/>
        </w:rPr>
        <w:t xml:space="preserve"> Quality and Outcomes Framework (QOF</w:t>
      </w:r>
      <w:r w:rsidR="003227DF" w:rsidRPr="001B6C77">
        <w:rPr>
          <w:color w:val="2E74B5" w:themeColor="accent1" w:themeShade="BF"/>
          <w:sz w:val="22"/>
          <w:szCs w:val="22"/>
        </w:rPr>
        <w:t xml:space="preserve">, </w:t>
      </w:r>
      <w:r w:rsidR="00F37416" w:rsidRPr="001B6C77">
        <w:rPr>
          <w:color w:val="2E74B5" w:themeColor="accent1" w:themeShade="BF"/>
          <w:sz w:val="22"/>
          <w:szCs w:val="22"/>
        </w:rPr>
        <w:t>the English general practice payment-for-performance system</w:t>
      </w:r>
      <w:r w:rsidRPr="00411073">
        <w:rPr>
          <w:sz w:val="22"/>
          <w:szCs w:val="22"/>
        </w:rPr>
        <w:t xml:space="preserve">) </w:t>
      </w:r>
      <w:r w:rsidR="00791684" w:rsidRPr="0001549D">
        <w:rPr>
          <w:sz w:val="22"/>
          <w:szCs w:val="22"/>
        </w:rPr>
        <w:t>sets</w:t>
      </w:r>
      <w:r w:rsidRPr="00411073">
        <w:rPr>
          <w:sz w:val="22"/>
          <w:szCs w:val="22"/>
        </w:rPr>
        <w:t xml:space="preserve"> </w:t>
      </w:r>
      <w:r w:rsidR="00F37416" w:rsidRPr="001B6C77">
        <w:rPr>
          <w:color w:val="2E74B5" w:themeColor="accent1" w:themeShade="BF"/>
          <w:sz w:val="22"/>
          <w:szCs w:val="22"/>
        </w:rPr>
        <w:t xml:space="preserve">GPs </w:t>
      </w:r>
      <w:r w:rsidRPr="00411073">
        <w:rPr>
          <w:sz w:val="22"/>
          <w:szCs w:val="22"/>
        </w:rPr>
        <w:t xml:space="preserve">clear </w:t>
      </w:r>
      <w:r w:rsidR="003C77CB" w:rsidRPr="00B3433D">
        <w:rPr>
          <w:sz w:val="22"/>
          <w:szCs w:val="22"/>
        </w:rPr>
        <w:t>targets f</w:t>
      </w:r>
      <w:r w:rsidRPr="00B3433D">
        <w:rPr>
          <w:sz w:val="22"/>
          <w:szCs w:val="22"/>
        </w:rPr>
        <w:t>or</w:t>
      </w:r>
      <w:r w:rsidR="003C77CB" w:rsidRPr="00B3433D">
        <w:rPr>
          <w:sz w:val="22"/>
          <w:szCs w:val="22"/>
        </w:rPr>
        <w:t xml:space="preserve"> </w:t>
      </w:r>
      <w:r w:rsidR="00791684" w:rsidRPr="0001549D">
        <w:rPr>
          <w:sz w:val="22"/>
          <w:szCs w:val="22"/>
        </w:rPr>
        <w:t xml:space="preserve">achieving </w:t>
      </w:r>
      <w:r w:rsidR="003C77CB" w:rsidRPr="00411073">
        <w:rPr>
          <w:sz w:val="22"/>
          <w:szCs w:val="22"/>
        </w:rPr>
        <w:t>controlled blood pressure</w:t>
      </w:r>
      <w:r w:rsidR="00791684" w:rsidRPr="0001549D">
        <w:rPr>
          <w:sz w:val="22"/>
          <w:szCs w:val="22"/>
        </w:rPr>
        <w:t xml:space="preserve"> in patients under their care</w:t>
      </w:r>
      <w:r w:rsidR="00443B07">
        <w:rPr>
          <w:sz w:val="22"/>
          <w:szCs w:val="22"/>
        </w:rPr>
        <w:t xml:space="preserve"> </w:t>
      </w:r>
      <w:r w:rsidR="00175BBD" w:rsidRPr="00175BBD">
        <w:rPr>
          <w:rFonts w:cs="Arial"/>
          <w:sz w:val="22"/>
        </w:rPr>
        <w:t>(8)</w:t>
      </w:r>
      <w:r w:rsidRPr="00620764">
        <w:rPr>
          <w:sz w:val="22"/>
          <w:szCs w:val="22"/>
        </w:rPr>
        <w:t xml:space="preserve">. </w:t>
      </w:r>
      <w:r w:rsidR="00791684" w:rsidRPr="0001549D">
        <w:rPr>
          <w:sz w:val="22"/>
          <w:szCs w:val="22"/>
        </w:rPr>
        <w:t>More recent iterations of the QOF have, however, recognised the importance of personalised treatment approaches for frail older patients with multimorbidity</w:t>
      </w:r>
      <w:r w:rsidR="00443B07">
        <w:rPr>
          <w:sz w:val="22"/>
          <w:szCs w:val="22"/>
        </w:rPr>
        <w:t xml:space="preserve"> </w:t>
      </w:r>
      <w:r w:rsidR="00175BBD" w:rsidRPr="00175BBD">
        <w:rPr>
          <w:rFonts w:cs="Arial"/>
          <w:sz w:val="22"/>
        </w:rPr>
        <w:t>(8)</w:t>
      </w:r>
      <w:r w:rsidR="00791684" w:rsidRPr="0001549D">
        <w:rPr>
          <w:sz w:val="22"/>
          <w:szCs w:val="22"/>
        </w:rPr>
        <w:t>. GPs are encouraged to use clinical judgement</w:t>
      </w:r>
      <w:r w:rsidR="00195493" w:rsidRPr="0001549D">
        <w:rPr>
          <w:sz w:val="22"/>
          <w:szCs w:val="22"/>
        </w:rPr>
        <w:t xml:space="preserve"> </w:t>
      </w:r>
      <w:r w:rsidR="00F34726" w:rsidRPr="0001549D">
        <w:rPr>
          <w:sz w:val="22"/>
          <w:szCs w:val="22"/>
        </w:rPr>
        <w:t>when choosing to exempt patients</w:t>
      </w:r>
      <w:r w:rsidR="00791684" w:rsidRPr="0001549D">
        <w:rPr>
          <w:sz w:val="22"/>
          <w:szCs w:val="22"/>
        </w:rPr>
        <w:t xml:space="preserve"> from </w:t>
      </w:r>
      <w:r w:rsidR="00F34726" w:rsidRPr="0001549D">
        <w:rPr>
          <w:sz w:val="22"/>
          <w:szCs w:val="22"/>
        </w:rPr>
        <w:t xml:space="preserve">QOF </w:t>
      </w:r>
      <w:r w:rsidR="007728A4" w:rsidRPr="0001549D">
        <w:rPr>
          <w:sz w:val="22"/>
          <w:szCs w:val="22"/>
        </w:rPr>
        <w:t>indicator targets</w:t>
      </w:r>
      <w:r w:rsidR="004839D2">
        <w:rPr>
          <w:sz w:val="22"/>
          <w:szCs w:val="22"/>
        </w:rPr>
        <w:t xml:space="preserve"> </w:t>
      </w:r>
      <w:r w:rsidR="004839D2" w:rsidRPr="001B6C77">
        <w:rPr>
          <w:color w:val="2E74B5" w:themeColor="accent1" w:themeShade="BF"/>
          <w:sz w:val="22"/>
          <w:szCs w:val="22"/>
        </w:rPr>
        <w:t>(</w:t>
      </w:r>
      <w:r w:rsidR="00C777C5" w:rsidRPr="001B6C77">
        <w:rPr>
          <w:color w:val="2E74B5" w:themeColor="accent1" w:themeShade="BF"/>
          <w:sz w:val="22"/>
          <w:szCs w:val="22"/>
        </w:rPr>
        <w:t>measures against which practice performance is assessed</w:t>
      </w:r>
      <w:r w:rsidR="004839D2" w:rsidRPr="001B6C77">
        <w:rPr>
          <w:color w:val="2E74B5" w:themeColor="accent1" w:themeShade="BF"/>
          <w:sz w:val="22"/>
          <w:szCs w:val="22"/>
        </w:rPr>
        <w:t>)</w:t>
      </w:r>
      <w:r w:rsidR="00F34726" w:rsidRPr="0001549D">
        <w:rPr>
          <w:sz w:val="22"/>
          <w:szCs w:val="22"/>
        </w:rPr>
        <w:t xml:space="preserve">; </w:t>
      </w:r>
      <w:r w:rsidR="006D2D37">
        <w:rPr>
          <w:sz w:val="22"/>
          <w:szCs w:val="22"/>
        </w:rPr>
        <w:t>this</w:t>
      </w:r>
      <w:r w:rsidR="00F34726" w:rsidRPr="0001549D">
        <w:rPr>
          <w:sz w:val="22"/>
          <w:szCs w:val="22"/>
        </w:rPr>
        <w:t xml:space="preserve"> may </w:t>
      </w:r>
      <w:r w:rsidR="006D2D37">
        <w:rPr>
          <w:sz w:val="22"/>
          <w:szCs w:val="22"/>
        </w:rPr>
        <w:t>include</w:t>
      </w:r>
      <w:r w:rsidR="00F34726" w:rsidRPr="0001549D">
        <w:rPr>
          <w:sz w:val="22"/>
          <w:szCs w:val="22"/>
        </w:rPr>
        <w:t xml:space="preserve"> </w:t>
      </w:r>
      <w:r w:rsidR="007728A4" w:rsidRPr="0001549D">
        <w:rPr>
          <w:sz w:val="22"/>
          <w:szCs w:val="22"/>
        </w:rPr>
        <w:t>decision</w:t>
      </w:r>
      <w:r w:rsidR="006D2D37">
        <w:rPr>
          <w:sz w:val="22"/>
          <w:szCs w:val="22"/>
        </w:rPr>
        <w:t>s</w:t>
      </w:r>
      <w:r w:rsidR="007728A4" w:rsidRPr="0001549D">
        <w:rPr>
          <w:sz w:val="22"/>
          <w:szCs w:val="22"/>
        </w:rPr>
        <w:t xml:space="preserve"> to reduce</w:t>
      </w:r>
      <w:r w:rsidR="004950F4">
        <w:rPr>
          <w:sz w:val="22"/>
          <w:szCs w:val="22"/>
        </w:rPr>
        <w:t xml:space="preserve"> rather than continue</w:t>
      </w:r>
      <w:r w:rsidR="007728A4" w:rsidRPr="0001549D">
        <w:rPr>
          <w:sz w:val="22"/>
          <w:szCs w:val="22"/>
        </w:rPr>
        <w:t xml:space="preserve"> medication</w:t>
      </w:r>
      <w:r w:rsidR="006D2D37" w:rsidRPr="00107948">
        <w:rPr>
          <w:sz w:val="22"/>
          <w:szCs w:val="22"/>
        </w:rPr>
        <w:t>, including antihypertensives</w:t>
      </w:r>
      <w:r w:rsidR="00443B07">
        <w:rPr>
          <w:sz w:val="22"/>
          <w:szCs w:val="22"/>
        </w:rPr>
        <w:t xml:space="preserve"> </w:t>
      </w:r>
      <w:r w:rsidR="00AF28CE" w:rsidRPr="00AF28CE">
        <w:rPr>
          <w:rFonts w:cs="Arial"/>
          <w:sz w:val="22"/>
          <w:szCs w:val="24"/>
        </w:rPr>
        <w:t>(9–15)</w:t>
      </w:r>
      <w:r w:rsidR="007728A4" w:rsidRPr="0001549D">
        <w:rPr>
          <w:sz w:val="22"/>
          <w:szCs w:val="22"/>
        </w:rPr>
        <w:t>.</w:t>
      </w:r>
    </w:p>
    <w:p w14:paraId="41D36447" w14:textId="476FF9F9" w:rsidR="00EC6D07" w:rsidRPr="004B514B" w:rsidRDefault="00072B07" w:rsidP="00BA06AF">
      <w:pPr>
        <w:pStyle w:val="CommentText"/>
        <w:rPr>
          <w:szCs w:val="22"/>
        </w:rPr>
      </w:pPr>
      <w:r>
        <w:rPr>
          <w:sz w:val="22"/>
          <w:szCs w:val="22"/>
        </w:rPr>
        <w:t xml:space="preserve">How, though, does such clinical judgement develop, and what sources do GPs draw upon in reaching </w:t>
      </w:r>
      <w:r w:rsidR="008A65D4">
        <w:rPr>
          <w:sz w:val="22"/>
          <w:szCs w:val="22"/>
        </w:rPr>
        <w:t xml:space="preserve">prescribing </w:t>
      </w:r>
      <w:r>
        <w:rPr>
          <w:sz w:val="22"/>
          <w:szCs w:val="22"/>
        </w:rPr>
        <w:t>decisions</w:t>
      </w:r>
      <w:r w:rsidR="00EF64C3">
        <w:rPr>
          <w:sz w:val="22"/>
          <w:szCs w:val="22"/>
        </w:rPr>
        <w:t>, especially those that relate to stopping or reducing medicines</w:t>
      </w:r>
      <w:r>
        <w:rPr>
          <w:sz w:val="22"/>
          <w:szCs w:val="22"/>
        </w:rPr>
        <w:t xml:space="preserve">? </w:t>
      </w:r>
      <w:r w:rsidR="00AB3995" w:rsidRPr="00B3433D">
        <w:rPr>
          <w:sz w:val="22"/>
          <w:szCs w:val="22"/>
        </w:rPr>
        <w:t>The p</w:t>
      </w:r>
      <w:r w:rsidR="00AB3995" w:rsidRPr="00BA06AF">
        <w:rPr>
          <w:sz w:val="22"/>
          <w:szCs w:val="22"/>
        </w:rPr>
        <w:t xml:space="preserve">rocesses involved in clinical decision-making have been the focus of much research, </w:t>
      </w:r>
      <w:r w:rsidR="006D2D37">
        <w:rPr>
          <w:sz w:val="22"/>
          <w:szCs w:val="22"/>
        </w:rPr>
        <w:t xml:space="preserve">which </w:t>
      </w:r>
      <w:r w:rsidR="005B4D1E">
        <w:rPr>
          <w:sz w:val="22"/>
          <w:szCs w:val="22"/>
        </w:rPr>
        <w:t>highlights</w:t>
      </w:r>
      <w:r w:rsidR="00AB3995" w:rsidRPr="00620764">
        <w:rPr>
          <w:sz w:val="22"/>
          <w:szCs w:val="22"/>
        </w:rPr>
        <w:t xml:space="preserve"> the gap between the rational, information-driven approach of evidence-based guidelines and the messy realities of clinical practice on the ground</w:t>
      </w:r>
      <w:r w:rsidR="00FB6270" w:rsidRPr="00620764">
        <w:rPr>
          <w:sz w:val="22"/>
          <w:szCs w:val="22"/>
        </w:rPr>
        <w:t xml:space="preserve"> </w:t>
      </w:r>
      <w:r w:rsidR="00AF28CE" w:rsidRPr="00AF28CE">
        <w:rPr>
          <w:rFonts w:cs="Arial"/>
          <w:sz w:val="22"/>
          <w:szCs w:val="24"/>
        </w:rPr>
        <w:t>(16–19)</w:t>
      </w:r>
      <w:r w:rsidR="00AB3995" w:rsidRPr="00BA06AF">
        <w:rPr>
          <w:sz w:val="22"/>
          <w:szCs w:val="22"/>
        </w:rPr>
        <w:t xml:space="preserve">. Gabbay and le May </w:t>
      </w:r>
      <w:r w:rsidR="006D2D37">
        <w:rPr>
          <w:sz w:val="22"/>
          <w:szCs w:val="22"/>
        </w:rPr>
        <w:t xml:space="preserve">describe </w:t>
      </w:r>
      <w:r w:rsidR="005B4D1E">
        <w:rPr>
          <w:sz w:val="22"/>
          <w:szCs w:val="22"/>
        </w:rPr>
        <w:t xml:space="preserve">the development of clinical </w:t>
      </w:r>
      <w:r w:rsidR="008236B2" w:rsidRPr="008236B2">
        <w:rPr>
          <w:color w:val="2E74B5" w:themeColor="accent1" w:themeShade="BF"/>
          <w:sz w:val="22"/>
          <w:szCs w:val="22"/>
        </w:rPr>
        <w:t>decision-making</w:t>
      </w:r>
      <w:r w:rsidR="005B4D1E">
        <w:rPr>
          <w:sz w:val="22"/>
          <w:szCs w:val="22"/>
        </w:rPr>
        <w:t xml:space="preserve"> in GPs using</w:t>
      </w:r>
      <w:r w:rsidR="006D2D37">
        <w:rPr>
          <w:sz w:val="22"/>
          <w:szCs w:val="22"/>
        </w:rPr>
        <w:t xml:space="preserve"> </w:t>
      </w:r>
      <w:r w:rsidR="001F0A19">
        <w:rPr>
          <w:sz w:val="22"/>
          <w:szCs w:val="22"/>
        </w:rPr>
        <w:t>the</w:t>
      </w:r>
      <w:r w:rsidR="005B4D1E">
        <w:rPr>
          <w:sz w:val="22"/>
          <w:szCs w:val="22"/>
        </w:rPr>
        <w:t xml:space="preserve"> </w:t>
      </w:r>
      <w:r w:rsidR="006D2D37">
        <w:rPr>
          <w:sz w:val="22"/>
          <w:szCs w:val="22"/>
        </w:rPr>
        <w:t xml:space="preserve">concept </w:t>
      </w:r>
      <w:r w:rsidR="001F0A19">
        <w:rPr>
          <w:sz w:val="22"/>
          <w:szCs w:val="22"/>
        </w:rPr>
        <w:t xml:space="preserve">of </w:t>
      </w:r>
      <w:r w:rsidR="002E025C">
        <w:rPr>
          <w:sz w:val="22"/>
          <w:szCs w:val="22"/>
        </w:rPr>
        <w:t>“</w:t>
      </w:r>
      <w:r w:rsidR="00AB3995" w:rsidRPr="00BA06AF">
        <w:rPr>
          <w:sz w:val="22"/>
          <w:szCs w:val="22"/>
        </w:rPr>
        <w:t>mindlines</w:t>
      </w:r>
      <w:r w:rsidR="002E025C">
        <w:rPr>
          <w:sz w:val="22"/>
          <w:szCs w:val="22"/>
        </w:rPr>
        <w:t>”</w:t>
      </w:r>
      <w:r w:rsidR="006D2D37">
        <w:rPr>
          <w:sz w:val="22"/>
          <w:szCs w:val="22"/>
        </w:rPr>
        <w:t>:</w:t>
      </w:r>
    </w:p>
    <w:p w14:paraId="65BAE14A" w14:textId="2BF6263C" w:rsidR="00EC6D07" w:rsidRPr="00107948" w:rsidRDefault="00490E26" w:rsidP="00EC6D07">
      <w:pPr>
        <w:ind w:left="720"/>
        <w:rPr>
          <w:szCs w:val="22"/>
        </w:rPr>
      </w:pPr>
      <w:r w:rsidRPr="008A65D4">
        <w:rPr>
          <w:szCs w:val="22"/>
        </w:rPr>
        <w:t>“</w:t>
      </w:r>
      <w:r w:rsidR="00AB3995" w:rsidRPr="008A65D4">
        <w:rPr>
          <w:szCs w:val="22"/>
        </w:rPr>
        <w:t>collectively reinforced, internalised tacit guidelines, which were informed by brief reading, but mainly by [doctors’</w:t>
      </w:r>
      <w:r w:rsidR="00AB3995" w:rsidRPr="00107948">
        <w:rPr>
          <w:szCs w:val="22"/>
        </w:rPr>
        <w:t>] interactions with each other and with opinion leaders, patients, and pharmaceutical representatives and by other sources of largely tacit knowledge that built on their early training and their own and their colleagues’ experience</w:t>
      </w:r>
      <w:r w:rsidR="00FB6270" w:rsidRPr="00107948">
        <w:rPr>
          <w:szCs w:val="22"/>
        </w:rPr>
        <w:t>.</w:t>
      </w:r>
      <w:r w:rsidRPr="00107948">
        <w:rPr>
          <w:szCs w:val="22"/>
        </w:rPr>
        <w:t>”</w:t>
      </w:r>
      <w:r w:rsidR="00E775DA" w:rsidRPr="00107948">
        <w:rPr>
          <w:szCs w:val="22"/>
        </w:rPr>
        <w:t xml:space="preserve"> </w:t>
      </w:r>
      <w:r w:rsidR="00AF28CE" w:rsidRPr="00AF28CE">
        <w:rPr>
          <w:rFonts w:cs="Arial"/>
        </w:rPr>
        <w:t>(20)</w:t>
      </w:r>
    </w:p>
    <w:p w14:paraId="22AA3FB8" w14:textId="1C8BD90D" w:rsidR="00424A87" w:rsidRDefault="00424A87" w:rsidP="00424A87">
      <w:pPr>
        <w:rPr>
          <w:szCs w:val="22"/>
        </w:rPr>
      </w:pPr>
      <w:r>
        <w:rPr>
          <w:szCs w:val="22"/>
        </w:rPr>
        <w:t>Thus, GPs</w:t>
      </w:r>
      <w:r w:rsidR="00BF087A">
        <w:rPr>
          <w:szCs w:val="22"/>
        </w:rPr>
        <w:t>’</w:t>
      </w:r>
      <w:r>
        <w:rPr>
          <w:szCs w:val="22"/>
        </w:rPr>
        <w:t xml:space="preserve"> </w:t>
      </w:r>
      <w:r w:rsidR="008236B2" w:rsidRPr="008236B2">
        <w:rPr>
          <w:color w:val="2E74B5" w:themeColor="accent1" w:themeShade="BF"/>
        </w:rPr>
        <w:t>decision-making</w:t>
      </w:r>
      <w:r w:rsidR="008A65D4">
        <w:t>,</w:t>
      </w:r>
      <w:r>
        <w:t xml:space="preserve"> </w:t>
      </w:r>
      <w:r w:rsidR="008A65D4">
        <w:t>informed in part by</w:t>
      </w:r>
      <w:r>
        <w:t xml:space="preserve"> available evidence and guidance,</w:t>
      </w:r>
      <w:r w:rsidRPr="0010101A">
        <w:t xml:space="preserve"> </w:t>
      </w:r>
      <w:r>
        <w:t>is refined through</w:t>
      </w:r>
      <w:r w:rsidR="008A65D4">
        <w:t xml:space="preserve"> reference to</w:t>
      </w:r>
      <w:r>
        <w:t xml:space="preserve"> the outcomes of previous decisions, whether their own or </w:t>
      </w:r>
      <w:r w:rsidRPr="0010101A">
        <w:t>their colleagues’</w:t>
      </w:r>
      <w:r>
        <w:t xml:space="preserve">. </w:t>
      </w:r>
      <w:r w:rsidR="008A65D4">
        <w:rPr>
          <w:szCs w:val="22"/>
        </w:rPr>
        <w:t xml:space="preserve">Information </w:t>
      </w:r>
      <w:r w:rsidRPr="000D261E">
        <w:rPr>
          <w:szCs w:val="22"/>
        </w:rPr>
        <w:t>is</w:t>
      </w:r>
      <w:r w:rsidR="008A65D4">
        <w:rPr>
          <w:szCs w:val="22"/>
        </w:rPr>
        <w:t xml:space="preserve"> </w:t>
      </w:r>
      <w:r w:rsidRPr="000D261E">
        <w:rPr>
          <w:szCs w:val="22"/>
        </w:rPr>
        <w:t>negotiated, shared, and tested in a community of practice</w:t>
      </w:r>
      <w:r w:rsidR="008A65D4">
        <w:rPr>
          <w:szCs w:val="22"/>
        </w:rPr>
        <w:t xml:space="preserve"> on an ongoing basis</w:t>
      </w:r>
      <w:r w:rsidRPr="000D261E">
        <w:rPr>
          <w:szCs w:val="22"/>
        </w:rPr>
        <w:t xml:space="preserve">, </w:t>
      </w:r>
      <w:r w:rsidR="00FE3B60">
        <w:rPr>
          <w:szCs w:val="22"/>
        </w:rPr>
        <w:t>with</w:t>
      </w:r>
      <w:r w:rsidR="008A65D4">
        <w:rPr>
          <w:szCs w:val="22"/>
        </w:rPr>
        <w:t xml:space="preserve"> iterative development of</w:t>
      </w:r>
      <w:r w:rsidRPr="000D261E">
        <w:rPr>
          <w:szCs w:val="22"/>
        </w:rPr>
        <w:t xml:space="preserve"> in-practice </w:t>
      </w:r>
      <w:r w:rsidR="008A65D4">
        <w:rPr>
          <w:szCs w:val="22"/>
        </w:rPr>
        <w:t>knowledge</w:t>
      </w:r>
      <w:r w:rsidRPr="000D261E">
        <w:rPr>
          <w:szCs w:val="22"/>
        </w:rPr>
        <w:t xml:space="preserve"> </w:t>
      </w:r>
      <w:r w:rsidR="0018482C" w:rsidRPr="0018482C">
        <w:rPr>
          <w:rFonts w:cs="Arial"/>
        </w:rPr>
        <w:t>(20,21)</w:t>
      </w:r>
      <w:r w:rsidRPr="000D261E">
        <w:rPr>
          <w:szCs w:val="22"/>
        </w:rPr>
        <w:t>.</w:t>
      </w:r>
      <w:r>
        <w:rPr>
          <w:szCs w:val="22"/>
        </w:rPr>
        <w:t xml:space="preserve"> </w:t>
      </w:r>
    </w:p>
    <w:p w14:paraId="408ED93B" w14:textId="46E8D339" w:rsidR="00B56900" w:rsidRDefault="002500C0" w:rsidP="009F022D">
      <w:pPr>
        <w:rPr>
          <w:szCs w:val="22"/>
        </w:rPr>
      </w:pPr>
      <w:r>
        <w:rPr>
          <w:szCs w:val="22"/>
        </w:rPr>
        <w:t>Importantly,</w:t>
      </w:r>
      <w:r w:rsidR="008A65D4">
        <w:rPr>
          <w:szCs w:val="22"/>
        </w:rPr>
        <w:t xml:space="preserve"> </w:t>
      </w:r>
      <w:r w:rsidR="00BF087A">
        <w:rPr>
          <w:szCs w:val="22"/>
        </w:rPr>
        <w:t>m</w:t>
      </w:r>
      <w:r w:rsidR="00072B07" w:rsidRPr="009973E3">
        <w:rPr>
          <w:szCs w:val="22"/>
        </w:rPr>
        <w:t xml:space="preserve">indlines develop </w:t>
      </w:r>
      <w:r w:rsidR="00072B07">
        <w:rPr>
          <w:szCs w:val="22"/>
        </w:rPr>
        <w:t xml:space="preserve">and strengthen </w:t>
      </w:r>
      <w:r w:rsidR="00072B07" w:rsidRPr="009F022D">
        <w:rPr>
          <w:szCs w:val="22"/>
        </w:rPr>
        <w:t>continually</w:t>
      </w:r>
      <w:r w:rsidR="00072B07">
        <w:rPr>
          <w:szCs w:val="22"/>
        </w:rPr>
        <w:t xml:space="preserve"> </w:t>
      </w:r>
      <w:r w:rsidR="00072B07" w:rsidRPr="009973E3">
        <w:rPr>
          <w:szCs w:val="22"/>
        </w:rPr>
        <w:t xml:space="preserve">in response to </w:t>
      </w:r>
      <w:r w:rsidR="00FE3B60">
        <w:rPr>
          <w:szCs w:val="22"/>
        </w:rPr>
        <w:t xml:space="preserve">newly emerging evidence as well as </w:t>
      </w:r>
      <w:r w:rsidR="00072B07" w:rsidRPr="009973E3">
        <w:rPr>
          <w:szCs w:val="22"/>
        </w:rPr>
        <w:t>the need to act</w:t>
      </w:r>
      <w:r w:rsidR="00B56900">
        <w:rPr>
          <w:szCs w:val="22"/>
        </w:rPr>
        <w:t xml:space="preserve"> </w:t>
      </w:r>
      <w:r w:rsidR="0018482C" w:rsidRPr="0018482C">
        <w:rPr>
          <w:rFonts w:cs="Arial"/>
        </w:rPr>
        <w:t>(22)</w:t>
      </w:r>
      <w:r w:rsidR="00BF087A">
        <w:rPr>
          <w:rFonts w:cs="Arial"/>
          <w:szCs w:val="22"/>
        </w:rPr>
        <w:t xml:space="preserve">. </w:t>
      </w:r>
      <w:r w:rsidR="00072B07" w:rsidRPr="00884065">
        <w:rPr>
          <w:szCs w:val="22"/>
        </w:rPr>
        <w:t xml:space="preserve">GPs </w:t>
      </w:r>
      <w:r w:rsidR="00072B07">
        <w:rPr>
          <w:szCs w:val="22"/>
        </w:rPr>
        <w:t xml:space="preserve">are faced with decisions around treatment for </w:t>
      </w:r>
      <w:r w:rsidR="00072B07" w:rsidRPr="00884065">
        <w:rPr>
          <w:szCs w:val="22"/>
        </w:rPr>
        <w:t xml:space="preserve">frail, older, </w:t>
      </w:r>
      <w:r w:rsidR="00424A87">
        <w:rPr>
          <w:szCs w:val="22"/>
        </w:rPr>
        <w:t>hypertensive</w:t>
      </w:r>
      <w:r w:rsidR="00072B07" w:rsidRPr="00884065">
        <w:rPr>
          <w:szCs w:val="22"/>
        </w:rPr>
        <w:t xml:space="preserve"> patients every day</w:t>
      </w:r>
      <w:r w:rsidR="00B56900">
        <w:rPr>
          <w:szCs w:val="22"/>
        </w:rPr>
        <w:t>.</w:t>
      </w:r>
      <w:r w:rsidR="00072B07" w:rsidRPr="00884065">
        <w:rPr>
          <w:szCs w:val="22"/>
        </w:rPr>
        <w:t xml:space="preserve"> </w:t>
      </w:r>
      <w:r w:rsidR="00072B07">
        <w:rPr>
          <w:szCs w:val="22"/>
        </w:rPr>
        <w:t xml:space="preserve">Here, they are required to </w:t>
      </w:r>
      <w:r w:rsidR="005D6757">
        <w:rPr>
          <w:szCs w:val="22"/>
        </w:rPr>
        <w:t xml:space="preserve">make trade-offs between </w:t>
      </w:r>
      <w:r w:rsidR="00072B07" w:rsidRPr="00D41CBA">
        <w:rPr>
          <w:szCs w:val="22"/>
        </w:rPr>
        <w:t>evidence-supported benefits of antihypertensive treatment</w:t>
      </w:r>
      <w:r w:rsidR="00072B07">
        <w:rPr>
          <w:szCs w:val="22"/>
        </w:rPr>
        <w:t xml:space="preserve"> </w:t>
      </w:r>
      <w:r w:rsidR="005D6757">
        <w:rPr>
          <w:szCs w:val="22"/>
        </w:rPr>
        <w:t>and</w:t>
      </w:r>
      <w:r w:rsidR="00072B07">
        <w:rPr>
          <w:szCs w:val="22"/>
        </w:rPr>
        <w:t xml:space="preserve"> </w:t>
      </w:r>
      <w:r w:rsidR="00072B07" w:rsidRPr="00D41CBA">
        <w:rPr>
          <w:szCs w:val="22"/>
        </w:rPr>
        <w:t>potential</w:t>
      </w:r>
      <w:r w:rsidR="00072B07">
        <w:rPr>
          <w:szCs w:val="22"/>
        </w:rPr>
        <w:t xml:space="preserve"> </w:t>
      </w:r>
      <w:r w:rsidR="00072B07" w:rsidRPr="00D41CBA">
        <w:rPr>
          <w:szCs w:val="22"/>
        </w:rPr>
        <w:t>benefits of deprescribing</w:t>
      </w:r>
      <w:r w:rsidR="00072B07">
        <w:rPr>
          <w:szCs w:val="22"/>
        </w:rPr>
        <w:t>.</w:t>
      </w:r>
      <w:r w:rsidR="00072B07" w:rsidRPr="00C22E0C">
        <w:rPr>
          <w:szCs w:val="22"/>
        </w:rPr>
        <w:t xml:space="preserve"> </w:t>
      </w:r>
      <w:r w:rsidR="005D6757">
        <w:rPr>
          <w:szCs w:val="22"/>
        </w:rPr>
        <w:t>Relevant ‘b</w:t>
      </w:r>
      <w:r w:rsidR="00072B07">
        <w:rPr>
          <w:szCs w:val="22"/>
        </w:rPr>
        <w:t xml:space="preserve">rief reading’ </w:t>
      </w:r>
      <w:r w:rsidR="005D6757">
        <w:rPr>
          <w:szCs w:val="22"/>
        </w:rPr>
        <w:t>i</w:t>
      </w:r>
      <w:r w:rsidR="00072B07">
        <w:rPr>
          <w:szCs w:val="22"/>
        </w:rPr>
        <w:t>nclude</w:t>
      </w:r>
      <w:r w:rsidR="005D6757">
        <w:rPr>
          <w:szCs w:val="22"/>
        </w:rPr>
        <w:t>s</w:t>
      </w:r>
      <w:r w:rsidR="00072B07">
        <w:rPr>
          <w:szCs w:val="22"/>
        </w:rPr>
        <w:t xml:space="preserve"> r</w:t>
      </w:r>
      <w:r w:rsidR="00072B07" w:rsidRPr="00927BBA">
        <w:rPr>
          <w:rFonts w:cs="AdvMETAN-R"/>
          <w:szCs w:val="22"/>
        </w:rPr>
        <w:t xml:space="preserve">ecommendations on how to recognise and action </w:t>
      </w:r>
      <w:r w:rsidR="00072B07">
        <w:rPr>
          <w:rFonts w:cs="AdvMETAN-R"/>
          <w:szCs w:val="22"/>
        </w:rPr>
        <w:t>opportunities for deprescribing</w:t>
      </w:r>
      <w:r w:rsidR="00072B07" w:rsidRPr="00927BBA">
        <w:rPr>
          <w:rFonts w:cs="AdvMETAN-R"/>
          <w:noProof/>
          <w:szCs w:val="22"/>
        </w:rPr>
        <w:t xml:space="preserve"> </w:t>
      </w:r>
      <w:r w:rsidR="0018482C" w:rsidRPr="0018482C">
        <w:rPr>
          <w:rFonts w:cs="Arial"/>
        </w:rPr>
        <w:t>(23–25)</w:t>
      </w:r>
      <w:r w:rsidR="005D6757">
        <w:rPr>
          <w:rFonts w:cs="Arial"/>
          <w:szCs w:val="22"/>
        </w:rPr>
        <w:t xml:space="preserve"> and</w:t>
      </w:r>
      <w:r w:rsidR="00072B07">
        <w:rPr>
          <w:rFonts w:cs="Arial"/>
          <w:szCs w:val="22"/>
        </w:rPr>
        <w:t xml:space="preserve"> </w:t>
      </w:r>
      <w:r w:rsidR="00072B07" w:rsidRPr="00927BBA">
        <w:rPr>
          <w:szCs w:val="22"/>
        </w:rPr>
        <w:t>NICE guidance on multimorbidity</w:t>
      </w:r>
      <w:r w:rsidR="005D6757">
        <w:rPr>
          <w:szCs w:val="22"/>
        </w:rPr>
        <w:t xml:space="preserve">, </w:t>
      </w:r>
      <w:r w:rsidR="00CC3573" w:rsidRPr="00EB5F91">
        <w:rPr>
          <w:color w:val="2E74B5" w:themeColor="accent1" w:themeShade="BF"/>
          <w:szCs w:val="22"/>
        </w:rPr>
        <w:t xml:space="preserve">none of </w:t>
      </w:r>
      <w:r w:rsidR="005D6757">
        <w:rPr>
          <w:szCs w:val="22"/>
        </w:rPr>
        <w:t>which offer</w:t>
      </w:r>
      <w:r w:rsidR="00A251EF" w:rsidRPr="00EB5F91">
        <w:rPr>
          <w:color w:val="2E74B5" w:themeColor="accent1" w:themeShade="BF"/>
          <w:szCs w:val="22"/>
        </w:rPr>
        <w:t>s</w:t>
      </w:r>
      <w:r w:rsidR="005D6757">
        <w:rPr>
          <w:szCs w:val="22"/>
        </w:rPr>
        <w:t xml:space="preserve"> advice </w:t>
      </w:r>
      <w:r w:rsidR="00072B07" w:rsidRPr="00927BBA">
        <w:rPr>
          <w:szCs w:val="22"/>
        </w:rPr>
        <w:t xml:space="preserve">on reducing specific groups of medication, including antihypertensives </w:t>
      </w:r>
      <w:r w:rsidR="00A13067" w:rsidRPr="00A13067">
        <w:rPr>
          <w:rFonts w:cs="Arial"/>
        </w:rPr>
        <w:t>(26)</w:t>
      </w:r>
      <w:r w:rsidR="00072B07" w:rsidRPr="00927BBA">
        <w:rPr>
          <w:szCs w:val="22"/>
        </w:rPr>
        <w:t xml:space="preserve">. </w:t>
      </w:r>
      <w:r w:rsidR="005D6757">
        <w:rPr>
          <w:szCs w:val="22"/>
        </w:rPr>
        <w:t>These reflect the lack of</w:t>
      </w:r>
      <w:r w:rsidR="00072B07">
        <w:rPr>
          <w:szCs w:val="22"/>
        </w:rPr>
        <w:t xml:space="preserve"> current</w:t>
      </w:r>
      <w:r w:rsidR="00072B07" w:rsidRPr="00927BBA">
        <w:rPr>
          <w:szCs w:val="22"/>
        </w:rPr>
        <w:t xml:space="preserve"> evidence about the advantages of withdrawing antihypertensive medication </w:t>
      </w:r>
      <w:r w:rsidR="00A13067" w:rsidRPr="00A13067">
        <w:rPr>
          <w:rFonts w:cs="Arial"/>
        </w:rPr>
        <w:t>(5,12,13,27)</w:t>
      </w:r>
      <w:r w:rsidR="00072B07" w:rsidRPr="00927BBA">
        <w:rPr>
          <w:szCs w:val="22"/>
        </w:rPr>
        <w:t xml:space="preserve">. </w:t>
      </w:r>
    </w:p>
    <w:p w14:paraId="0C9067E9" w14:textId="5FE6E316" w:rsidR="00BF087A" w:rsidRDefault="008A65D4" w:rsidP="008B36F1">
      <w:r>
        <w:rPr>
          <w:szCs w:val="22"/>
        </w:rPr>
        <w:t xml:space="preserve">With little information on the safety and efficacy of medication reduction, </w:t>
      </w:r>
      <w:r w:rsidR="005D6757">
        <w:rPr>
          <w:szCs w:val="22"/>
        </w:rPr>
        <w:t>increased</w:t>
      </w:r>
      <w:r w:rsidR="00BF087A">
        <w:rPr>
          <w:szCs w:val="22"/>
        </w:rPr>
        <w:t xml:space="preserve"> interest </w:t>
      </w:r>
      <w:r w:rsidR="005D6757">
        <w:rPr>
          <w:szCs w:val="22"/>
        </w:rPr>
        <w:t>in</w:t>
      </w:r>
      <w:r w:rsidR="00BF087A">
        <w:rPr>
          <w:szCs w:val="22"/>
        </w:rPr>
        <w:t xml:space="preserve"> </w:t>
      </w:r>
      <w:r w:rsidR="005D6757">
        <w:rPr>
          <w:rFonts w:cs="AdvMETAN-R"/>
          <w:szCs w:val="22"/>
        </w:rPr>
        <w:t>deprescribing for</w:t>
      </w:r>
      <w:r w:rsidR="002E2F01" w:rsidRPr="00C22E0C">
        <w:rPr>
          <w:rFonts w:cs="AdvMETAN-R"/>
          <w:szCs w:val="22"/>
        </w:rPr>
        <w:t xml:space="preserve"> older patients </w:t>
      </w:r>
      <w:r w:rsidR="00744A66" w:rsidRPr="00744A66">
        <w:rPr>
          <w:rFonts w:cs="Arial"/>
        </w:rPr>
        <w:t>(16,28–34)</w:t>
      </w:r>
      <w:r w:rsidR="00FB4537">
        <w:rPr>
          <w:rFonts w:cs="Arial"/>
        </w:rPr>
        <w:t xml:space="preserve"> </w:t>
      </w:r>
      <w:r>
        <w:rPr>
          <w:rFonts w:cs="Arial"/>
          <w:szCs w:val="22"/>
        </w:rPr>
        <w:t xml:space="preserve">has had minimal </w:t>
      </w:r>
      <w:r w:rsidR="002E2F01">
        <w:rPr>
          <w:rFonts w:cs="AdvMETAN-R"/>
          <w:szCs w:val="22"/>
        </w:rPr>
        <w:t>impact o</w:t>
      </w:r>
      <w:r w:rsidR="002E2F01" w:rsidRPr="00C22E0C">
        <w:rPr>
          <w:rFonts w:cs="AdvMETAN-R"/>
          <w:szCs w:val="22"/>
        </w:rPr>
        <w:t xml:space="preserve">n clinical practice </w:t>
      </w:r>
      <w:r w:rsidR="00FB4537" w:rsidRPr="00FB4537">
        <w:rPr>
          <w:rFonts w:cs="Arial"/>
        </w:rPr>
        <w:t>(30,32,35,36)</w:t>
      </w:r>
      <w:r w:rsidR="002E2F01" w:rsidRPr="00C22E0C">
        <w:rPr>
          <w:rFonts w:cs="AdvMETAN-R"/>
          <w:szCs w:val="22"/>
        </w:rPr>
        <w:t>.</w:t>
      </w:r>
      <w:r w:rsidR="002E2F01" w:rsidRPr="00C22E0C">
        <w:rPr>
          <w:szCs w:val="22"/>
        </w:rPr>
        <w:t xml:space="preserve"> </w:t>
      </w:r>
      <w:r>
        <w:rPr>
          <w:szCs w:val="22"/>
        </w:rPr>
        <w:t>T</w:t>
      </w:r>
      <w:r w:rsidR="00BF087A">
        <w:rPr>
          <w:szCs w:val="22"/>
        </w:rPr>
        <w:t>o date</w:t>
      </w:r>
      <w:r>
        <w:rPr>
          <w:szCs w:val="22"/>
        </w:rPr>
        <w:t>, studies</w:t>
      </w:r>
      <w:r w:rsidR="00BF087A">
        <w:rPr>
          <w:szCs w:val="22"/>
        </w:rPr>
        <w:t xml:space="preserve"> have focused on </w:t>
      </w:r>
      <w:r w:rsidR="00FE1BC7" w:rsidRPr="00704EAE">
        <w:t>barriers and facilitators to deprescribing preventive medication</w:t>
      </w:r>
      <w:r w:rsidR="00FE1BC7">
        <w:t xml:space="preserve"> </w:t>
      </w:r>
      <w:r w:rsidR="008630DA" w:rsidRPr="008630DA">
        <w:rPr>
          <w:rFonts w:cs="Arial"/>
        </w:rPr>
        <w:t>(13,15,16,29,30,34,36–41)</w:t>
      </w:r>
      <w:r w:rsidR="00FE1BC7">
        <w:t xml:space="preserve">. </w:t>
      </w:r>
      <w:r w:rsidR="00BF087A">
        <w:rPr>
          <w:szCs w:val="22"/>
        </w:rPr>
        <w:t>What has received far less a</w:t>
      </w:r>
      <w:r w:rsidR="00BF087A">
        <w:t>ttention is</w:t>
      </w:r>
      <w:r w:rsidR="008B36F1" w:rsidRPr="008B36F1">
        <w:rPr>
          <w:smallCaps/>
        </w:rPr>
        <w:t>:</w:t>
      </w:r>
      <w:r w:rsidR="00BF087A">
        <w:t xml:space="preserve"> </w:t>
      </w:r>
      <w:r w:rsidR="004B52B9" w:rsidRPr="00601AA3">
        <w:rPr>
          <w:color w:val="2E74B5" w:themeColor="accent1" w:themeShade="BF"/>
        </w:rPr>
        <w:t xml:space="preserve">what </w:t>
      </w:r>
      <w:r w:rsidR="004B52B9" w:rsidRPr="009072F5">
        <w:rPr>
          <w:color w:val="2E74B5" w:themeColor="accent1" w:themeShade="BF"/>
        </w:rPr>
        <w:t>shape</w:t>
      </w:r>
      <w:r w:rsidR="00601AA3" w:rsidRPr="009072F5">
        <w:rPr>
          <w:color w:val="2E74B5" w:themeColor="accent1" w:themeShade="BF"/>
        </w:rPr>
        <w:t>s</w:t>
      </w:r>
      <w:r w:rsidR="004B52B9" w:rsidRPr="009072F5">
        <w:rPr>
          <w:color w:val="2E74B5" w:themeColor="accent1" w:themeShade="BF"/>
        </w:rPr>
        <w:t xml:space="preserve"> the decision-making of </w:t>
      </w:r>
      <w:r w:rsidR="00BF087A">
        <w:t>GPs at the sharp end in managing hypertension in frail older patients</w:t>
      </w:r>
      <w:r w:rsidR="00107948">
        <w:t xml:space="preserve">; </w:t>
      </w:r>
      <w:r w:rsidR="00BF087A">
        <w:t xml:space="preserve">how frameworks of knowledge are, individually and collectively, being created </w:t>
      </w:r>
      <w:r w:rsidR="00BF087A">
        <w:lastRenderedPageBreak/>
        <w:t xml:space="preserve">and maintained in response to increased attention </w:t>
      </w:r>
      <w:r>
        <w:t>towards</w:t>
      </w:r>
      <w:r w:rsidR="00BF087A">
        <w:t xml:space="preserve"> polypharmacy</w:t>
      </w:r>
      <w:r w:rsidR="00107948">
        <w:t xml:space="preserve"> concerns; and how GPs might learn from these in developing their own </w:t>
      </w:r>
      <w:r w:rsidR="009072F5" w:rsidRPr="009072F5">
        <w:rPr>
          <w:color w:val="2E74B5" w:themeColor="accent1" w:themeShade="BF"/>
        </w:rPr>
        <w:t>decision-making</w:t>
      </w:r>
      <w:r w:rsidR="00107948" w:rsidRPr="009072F5">
        <w:rPr>
          <w:color w:val="2E74B5" w:themeColor="accent1" w:themeShade="BF"/>
        </w:rPr>
        <w:t xml:space="preserve"> </w:t>
      </w:r>
      <w:r w:rsidR="00107948">
        <w:t>in this area.</w:t>
      </w:r>
    </w:p>
    <w:p w14:paraId="586D5E24" w14:textId="59AD4DBD" w:rsidR="00AC7732" w:rsidRDefault="00F51AEC" w:rsidP="00B61883">
      <w:r w:rsidRPr="00F51AEC">
        <w:t xml:space="preserve">This </w:t>
      </w:r>
      <w:r w:rsidR="00BF087A">
        <w:t xml:space="preserve">qualitative </w:t>
      </w:r>
      <w:r w:rsidRPr="00F51AEC">
        <w:t xml:space="preserve">study took place as part of the OPTiMISE (OPtimising Treatment for MIld Systolic hypertension in the Elderly) trial, whose goal was to </w:t>
      </w:r>
      <w:r w:rsidRPr="00F51AEC">
        <w:rPr>
          <w:rFonts w:eastAsia="HelveticaNeueLTStd-Cn" w:cs="HelveticaNeueLTStd-Cn"/>
        </w:rPr>
        <w:t xml:space="preserve">compare a strategy of antihypertensive medication reduction with usual care for </w:t>
      </w:r>
      <w:r w:rsidR="00AC6D40">
        <w:rPr>
          <w:rFonts w:eastAsia="HelveticaNeueLTStd-Cn" w:cs="HelveticaNeueLTStd-Cn"/>
        </w:rPr>
        <w:t>multimorbid</w:t>
      </w:r>
      <w:r w:rsidR="00AC6D40" w:rsidRPr="00F51AEC">
        <w:rPr>
          <w:rFonts w:eastAsia="HelveticaNeueLTStd-Cn" w:cs="HelveticaNeueLTStd-Cn"/>
        </w:rPr>
        <w:t xml:space="preserve"> </w:t>
      </w:r>
      <w:r w:rsidRPr="00F51AEC">
        <w:rPr>
          <w:rFonts w:eastAsia="HelveticaNeueLTStd-Cn" w:cs="HelveticaNeueLTStd-Cn"/>
        </w:rPr>
        <w:t>older (</w:t>
      </w:r>
      <w:r w:rsidR="00D21BDF" w:rsidRPr="00F458DE">
        <w:rPr>
          <w:lang w:eastAsia="en-GB"/>
        </w:rPr>
        <w:t>≥</w:t>
      </w:r>
      <w:r w:rsidRPr="00F51AEC">
        <w:rPr>
          <w:rFonts w:eastAsia="HelveticaNeueLTStd-Cn" w:cs="HelveticaNeueLTStd-Cn"/>
        </w:rPr>
        <w:t>80 years) patients in primary care</w:t>
      </w:r>
      <w:r w:rsidRPr="00F51AEC">
        <w:t xml:space="preserve"> </w:t>
      </w:r>
      <w:r w:rsidR="00100DC2" w:rsidRPr="00100DC2">
        <w:rPr>
          <w:rFonts w:cs="Arial"/>
        </w:rPr>
        <w:t>(42)</w:t>
      </w:r>
      <w:r w:rsidRPr="00F51AEC">
        <w:t xml:space="preserve">. </w:t>
      </w:r>
      <w:r w:rsidR="00ED4B85">
        <w:t>The aim was to</w:t>
      </w:r>
      <w:r w:rsidR="00B61883">
        <w:t xml:space="preserve"> explore how GPs’</w:t>
      </w:r>
      <w:r w:rsidR="00995CDA">
        <w:t xml:space="preserve"> </w:t>
      </w:r>
      <w:r w:rsidR="00620764">
        <w:t xml:space="preserve">make </w:t>
      </w:r>
      <w:r w:rsidR="00202B5B">
        <w:t>decisions</w:t>
      </w:r>
      <w:r w:rsidR="00B61883">
        <w:t xml:space="preserve"> about </w:t>
      </w:r>
      <w:r w:rsidR="00106E85">
        <w:t xml:space="preserve">prescribing and </w:t>
      </w:r>
      <w:r w:rsidR="00B61883">
        <w:t xml:space="preserve">deprescribing antihypertensives in multimorbid </w:t>
      </w:r>
      <w:r w:rsidR="00233637">
        <w:t>older patients</w:t>
      </w:r>
      <w:r w:rsidR="00ED4B85">
        <w:t>, within everyday clinical practice</w:t>
      </w:r>
      <w:r w:rsidR="00B61883">
        <w:t>.</w:t>
      </w:r>
    </w:p>
    <w:p w14:paraId="19BB0859" w14:textId="77777777" w:rsidR="00AA1E46" w:rsidRPr="00AA1E46" w:rsidRDefault="00AA1E46" w:rsidP="00B61883">
      <w:pPr>
        <w:rPr>
          <w:highlight w:val="yellow"/>
          <w:u w:val="words"/>
        </w:rPr>
      </w:pPr>
    </w:p>
    <w:p w14:paraId="76DB9F6D" w14:textId="77777777" w:rsidR="002B6FF1" w:rsidRDefault="002B6FF1" w:rsidP="002B6FF1">
      <w:pPr>
        <w:pStyle w:val="Heading2"/>
      </w:pPr>
      <w:r>
        <w:t>Methods</w:t>
      </w:r>
    </w:p>
    <w:p w14:paraId="6280016C" w14:textId="77777777" w:rsidR="00F458DE" w:rsidRPr="00F458DE" w:rsidRDefault="00F458DE" w:rsidP="008B505F">
      <w:pPr>
        <w:pStyle w:val="Heading3"/>
      </w:pPr>
      <w:r w:rsidRPr="00F458DE">
        <w:t>Design</w:t>
      </w:r>
    </w:p>
    <w:p w14:paraId="63C36A91" w14:textId="3D9A5414" w:rsidR="00F458DE" w:rsidRDefault="007D15DD" w:rsidP="00F458DE">
      <w:pPr>
        <w:rPr>
          <w:rFonts w:cs="Arial"/>
          <w:lang w:eastAsia="en-GB"/>
        </w:rPr>
      </w:pPr>
      <w:r>
        <w:rPr>
          <w:lang w:eastAsia="en-GB"/>
        </w:rPr>
        <w:t>A qualitative</w:t>
      </w:r>
      <w:r w:rsidR="00900A9F">
        <w:rPr>
          <w:lang w:eastAsia="en-GB"/>
        </w:rPr>
        <w:t xml:space="preserve"> study using chart-</w:t>
      </w:r>
      <w:r w:rsidR="00F458DE" w:rsidRPr="00F458DE">
        <w:rPr>
          <w:lang w:eastAsia="en-GB"/>
        </w:rPr>
        <w:t>stimulated recall approach</w:t>
      </w:r>
      <w:r w:rsidR="00233637">
        <w:rPr>
          <w:lang w:eastAsia="en-GB"/>
        </w:rPr>
        <w:t>es</w:t>
      </w:r>
      <w:r w:rsidR="00F458DE" w:rsidRPr="00F458DE">
        <w:rPr>
          <w:lang w:eastAsia="en-GB"/>
        </w:rPr>
        <w:t xml:space="preserve"> to</w:t>
      </w:r>
      <w:r w:rsidR="001E5AEB">
        <w:rPr>
          <w:lang w:eastAsia="en-GB"/>
        </w:rPr>
        <w:t xml:space="preserve"> explore GPs’ clinical decision-</w:t>
      </w:r>
      <w:r w:rsidR="00F458DE" w:rsidRPr="00F458DE">
        <w:rPr>
          <w:lang w:eastAsia="en-GB"/>
        </w:rPr>
        <w:t xml:space="preserve">making on </w:t>
      </w:r>
      <w:r w:rsidR="00F458DE" w:rsidRPr="00612ED7">
        <w:rPr>
          <w:rFonts w:cs="Arial"/>
          <w:lang w:eastAsia="en-GB"/>
        </w:rPr>
        <w:t>treatment for older hypertensive patients.</w:t>
      </w:r>
    </w:p>
    <w:p w14:paraId="5ADC30D0" w14:textId="7522280B" w:rsidR="00F458DE" w:rsidRPr="00F458DE" w:rsidRDefault="00F458DE" w:rsidP="008B505F">
      <w:pPr>
        <w:pStyle w:val="Heading3"/>
        <w:rPr>
          <w:lang w:eastAsia="en-GB"/>
        </w:rPr>
      </w:pPr>
      <w:r w:rsidRPr="00F458DE">
        <w:rPr>
          <w:lang w:eastAsia="en-GB"/>
        </w:rPr>
        <w:t>Setting</w:t>
      </w:r>
    </w:p>
    <w:p w14:paraId="4C498A3B" w14:textId="77777777" w:rsidR="00F458DE" w:rsidRPr="00F458DE" w:rsidRDefault="00F458DE" w:rsidP="00F458DE">
      <w:pPr>
        <w:rPr>
          <w:lang w:eastAsia="en-GB"/>
        </w:rPr>
      </w:pPr>
      <w:r w:rsidRPr="00F458DE">
        <w:rPr>
          <w:lang w:eastAsia="en-GB"/>
        </w:rPr>
        <w:t>English general practice.</w:t>
      </w:r>
    </w:p>
    <w:p w14:paraId="3C48DE23" w14:textId="77777777" w:rsidR="00F458DE" w:rsidRPr="00F458DE" w:rsidRDefault="00F458DE" w:rsidP="008B505F">
      <w:pPr>
        <w:pStyle w:val="Heading3"/>
        <w:rPr>
          <w:shd w:val="clear" w:color="auto" w:fill="FFFFFF"/>
        </w:rPr>
      </w:pPr>
      <w:r w:rsidRPr="00F458DE">
        <w:rPr>
          <w:shd w:val="clear" w:color="auto" w:fill="FFFFFF"/>
        </w:rPr>
        <w:t>Sampling</w:t>
      </w:r>
    </w:p>
    <w:p w14:paraId="5B7188EC" w14:textId="3CF02B39" w:rsidR="00D83236" w:rsidRPr="00EB5F91" w:rsidRDefault="00D83236" w:rsidP="00D83236">
      <w:pPr>
        <w:rPr>
          <w:color w:val="2E74B5" w:themeColor="accent1" w:themeShade="BF"/>
        </w:rPr>
      </w:pPr>
      <w:r w:rsidRPr="00EB5F91">
        <w:rPr>
          <w:rFonts w:cs="Arial"/>
          <w:color w:val="2E74B5" w:themeColor="accent1" w:themeShade="BF"/>
          <w:szCs w:val="22"/>
        </w:rPr>
        <w:t>With the support of a Clinical Research Network, we aimed as far as possible to recruit a mixed sample of GPs across the following two criteria</w:t>
      </w:r>
      <w:r w:rsidR="001F44DE" w:rsidRPr="00EB5F91">
        <w:rPr>
          <w:rFonts w:cs="Arial"/>
          <w:color w:val="2E74B5" w:themeColor="accent1" w:themeShade="BF"/>
          <w:szCs w:val="22"/>
        </w:rPr>
        <w:t>:</w:t>
      </w:r>
    </w:p>
    <w:p w14:paraId="4DDB5853" w14:textId="77777777" w:rsidR="00F21A7B" w:rsidRPr="00EB5F91" w:rsidRDefault="00D83236" w:rsidP="00D83236">
      <w:pPr>
        <w:pStyle w:val="ListParagraph"/>
        <w:numPr>
          <w:ilvl w:val="0"/>
          <w:numId w:val="38"/>
        </w:numPr>
        <w:autoSpaceDE/>
        <w:autoSpaceDN/>
        <w:adjustRightInd/>
        <w:spacing w:after="0"/>
        <w:rPr>
          <w:rFonts w:asciiTheme="minorHAnsi" w:eastAsiaTheme="minorEastAsia" w:hAnsiTheme="minorHAnsi"/>
          <w:color w:val="2E74B5" w:themeColor="accent1" w:themeShade="BF"/>
        </w:rPr>
      </w:pPr>
      <w:r w:rsidRPr="00EB5F91">
        <w:rPr>
          <w:rFonts w:cs="Arial"/>
          <w:color w:val="2E74B5" w:themeColor="accent1" w:themeShade="BF"/>
          <w:szCs w:val="22"/>
        </w:rPr>
        <w:t>length of time qualified (&lt;10 or ≥10 years)</w:t>
      </w:r>
    </w:p>
    <w:p w14:paraId="01A3F15B" w14:textId="76545B61" w:rsidR="00F458DE" w:rsidRPr="00EB5F91" w:rsidRDefault="00F21A7B" w:rsidP="00CF073B">
      <w:pPr>
        <w:pStyle w:val="ListParagraph"/>
        <w:numPr>
          <w:ilvl w:val="0"/>
          <w:numId w:val="38"/>
        </w:numPr>
        <w:autoSpaceDE/>
        <w:autoSpaceDN/>
        <w:adjustRightInd/>
        <w:spacing w:after="0"/>
        <w:rPr>
          <w:rFonts w:asciiTheme="minorHAnsi" w:eastAsiaTheme="minorEastAsia" w:hAnsiTheme="minorHAnsi"/>
          <w:color w:val="2E74B5" w:themeColor="accent1" w:themeShade="BF"/>
        </w:rPr>
      </w:pPr>
      <w:r w:rsidRPr="00EB5F91">
        <w:rPr>
          <w:rFonts w:cs="Arial"/>
          <w:color w:val="2E74B5" w:themeColor="accent1" w:themeShade="BF"/>
          <w:szCs w:val="22"/>
        </w:rPr>
        <w:t>p</w:t>
      </w:r>
      <w:r w:rsidR="00D83236" w:rsidRPr="00EB5F91">
        <w:rPr>
          <w:rFonts w:cs="Arial"/>
          <w:color w:val="2E74B5" w:themeColor="accent1" w:themeShade="BF"/>
          <w:szCs w:val="22"/>
        </w:rPr>
        <w:t>ractice location (rural, urban or mixed</w:t>
      </w:r>
      <w:r w:rsidRPr="00EB5F91">
        <w:rPr>
          <w:rFonts w:cs="Arial"/>
          <w:color w:val="2E74B5" w:themeColor="accent1" w:themeShade="BF"/>
          <w:szCs w:val="22"/>
        </w:rPr>
        <w:t>)</w:t>
      </w:r>
      <w:r w:rsidR="00783DB9" w:rsidRPr="00EB5F91">
        <w:rPr>
          <w:rFonts w:cs="Arial"/>
          <w:color w:val="2E74B5" w:themeColor="accent1" w:themeShade="BF"/>
          <w:szCs w:val="22"/>
        </w:rPr>
        <w:t>.</w:t>
      </w:r>
    </w:p>
    <w:p w14:paraId="096EDA3F" w14:textId="77777777" w:rsidR="00F458DE" w:rsidRDefault="00F458DE" w:rsidP="008B505F">
      <w:pPr>
        <w:pStyle w:val="Heading3"/>
      </w:pPr>
      <w:r w:rsidRPr="00F458DE">
        <w:t>Data collection</w:t>
      </w:r>
    </w:p>
    <w:p w14:paraId="21FD1980" w14:textId="2676C498" w:rsidR="00F458DE" w:rsidRPr="00F458DE" w:rsidRDefault="00216C64" w:rsidP="00F458DE">
      <w:r>
        <w:t>We conducted semi-structured face-to-face interviews with GPs</w:t>
      </w:r>
      <w:r w:rsidR="00DE5C13" w:rsidRPr="00EB5F91">
        <w:rPr>
          <w:color w:val="2E74B5" w:themeColor="accent1" w:themeShade="BF"/>
        </w:rPr>
        <w:t>, lasting between 20–40 minutes</w:t>
      </w:r>
      <w:r>
        <w:t xml:space="preserve">. </w:t>
      </w:r>
      <w:r w:rsidR="001F0A19">
        <w:t>We</w:t>
      </w:r>
      <w:r w:rsidR="00E33A04">
        <w:t xml:space="preserve"> </w:t>
      </w:r>
      <w:r w:rsidR="007203C2">
        <w:t>used a</w:t>
      </w:r>
      <w:r w:rsidR="00E33A04">
        <w:t xml:space="preserve"> chart</w:t>
      </w:r>
      <w:r w:rsidR="007203C2">
        <w:t>-</w:t>
      </w:r>
      <w:r w:rsidR="00E33A04">
        <w:t>stimulated recall</w:t>
      </w:r>
      <w:r w:rsidR="007203C2">
        <w:t xml:space="preserve"> method</w:t>
      </w:r>
      <w:r w:rsidR="006154B5">
        <w:t>, which</w:t>
      </w:r>
      <w:r w:rsidR="00F458DE" w:rsidRPr="00F458DE">
        <w:t xml:space="preserve"> is a case-based tec</w:t>
      </w:r>
      <w:r w:rsidR="001E5AEB">
        <w:t xml:space="preserve">hnique used to examine clinical </w:t>
      </w:r>
      <w:r w:rsidR="00F458DE" w:rsidRPr="00F458DE">
        <w:t>decision</w:t>
      </w:r>
      <w:r w:rsidR="001E5AEB">
        <w:t>-</w:t>
      </w:r>
      <w:r w:rsidR="00F458DE" w:rsidRPr="00F458DE">
        <w:rPr>
          <w:rFonts w:cs="AdvMETAN-R"/>
        </w:rPr>
        <w:t xml:space="preserve">making, taking account of contextual influences on approaches to patient care </w:t>
      </w:r>
      <w:r w:rsidR="00100DC2" w:rsidRPr="00100DC2">
        <w:rPr>
          <w:rFonts w:cs="Arial"/>
        </w:rPr>
        <w:t>(17)</w:t>
      </w:r>
      <w:r w:rsidR="00F458DE" w:rsidRPr="00F458DE">
        <w:rPr>
          <w:rFonts w:cs="AdvMETAN-R"/>
        </w:rPr>
        <w:t xml:space="preserve">. </w:t>
      </w:r>
      <w:r w:rsidR="00F458DE" w:rsidRPr="00F458DE">
        <w:t xml:space="preserve">It has been used in a number of GP interview studies, including those exploring management of multimorbidity and hypertension </w:t>
      </w:r>
      <w:r w:rsidR="00100DC2" w:rsidRPr="00100DC2">
        <w:rPr>
          <w:rFonts w:cs="Arial"/>
        </w:rPr>
        <w:t>(18)</w:t>
      </w:r>
      <w:r w:rsidR="00F458DE" w:rsidRPr="00F458DE">
        <w:t>. Interviews followed a two-phase approach. GPs were</w:t>
      </w:r>
      <w:r w:rsidR="001D6CBF">
        <w:t xml:space="preserve"> asked to reflect on two cases </w:t>
      </w:r>
      <w:r w:rsidR="00F458DE" w:rsidRPr="00F458DE">
        <w:t>whom they selected from their current patient list according to the following criteria:</w:t>
      </w:r>
    </w:p>
    <w:p w14:paraId="05C81866" w14:textId="77777777" w:rsidR="00F458DE" w:rsidRPr="00F458DE" w:rsidRDefault="00F458DE" w:rsidP="00F55951">
      <w:pPr>
        <w:pStyle w:val="Unorderedlist"/>
      </w:pPr>
      <w:r w:rsidRPr="00F458DE">
        <w:t xml:space="preserve">Aged </w:t>
      </w:r>
      <w:r w:rsidRPr="00F458DE">
        <w:rPr>
          <w:lang w:eastAsia="en-GB"/>
        </w:rPr>
        <w:t>≥ 80 years</w:t>
      </w:r>
    </w:p>
    <w:p w14:paraId="685CACD0" w14:textId="77777777" w:rsidR="00F458DE" w:rsidRPr="00F458DE" w:rsidRDefault="00F458DE" w:rsidP="00F55951">
      <w:pPr>
        <w:pStyle w:val="Unorderedlist"/>
      </w:pPr>
      <w:r w:rsidRPr="00F458DE">
        <w:rPr>
          <w:lang w:eastAsia="en-GB"/>
        </w:rPr>
        <w:t>Controlled blood pressure (systolic blood pressure &lt;150mmHg)</w:t>
      </w:r>
    </w:p>
    <w:p w14:paraId="465E8466" w14:textId="77777777" w:rsidR="00F458DE" w:rsidRPr="00F458DE" w:rsidRDefault="00F458DE" w:rsidP="00F55951">
      <w:pPr>
        <w:pStyle w:val="Unorderedlist"/>
      </w:pPr>
      <w:r w:rsidRPr="00F458DE">
        <w:rPr>
          <w:lang w:eastAsia="en-GB"/>
        </w:rPr>
        <w:t>Receiving ≥2 antihypertensive medications and whom the GP considers may benefit from medication reduction due to existing polypharmacy, co-morbidity and frailty</w:t>
      </w:r>
    </w:p>
    <w:p w14:paraId="330A18EB" w14:textId="642CFA4B" w:rsidR="00F458DE" w:rsidRPr="00F458DE" w:rsidRDefault="00F458DE" w:rsidP="00F458DE">
      <w:r w:rsidRPr="00F458DE">
        <w:t xml:space="preserve">For each patient, GPs were asked to consider their approach to the management of their patients’ hypertension; how this was balanced with their </w:t>
      </w:r>
      <w:r w:rsidR="00A2239D">
        <w:t xml:space="preserve">other medical conditions; what </w:t>
      </w:r>
      <w:r w:rsidRPr="00F458DE">
        <w:t>had influenced their management approach</w:t>
      </w:r>
      <w:r w:rsidR="00A2239D">
        <w:t xml:space="preserve"> for this case</w:t>
      </w:r>
      <w:r w:rsidRPr="00F458DE">
        <w:t xml:space="preserve">; whether additional knowledge would have further informed their decision-making; and how they would </w:t>
      </w:r>
      <w:r w:rsidR="00877F35" w:rsidRPr="00EB5F91">
        <w:rPr>
          <w:color w:val="2E74B5" w:themeColor="accent1" w:themeShade="BF"/>
        </w:rPr>
        <w:t xml:space="preserve">think </w:t>
      </w:r>
      <w:r w:rsidRPr="00F458DE">
        <w:t xml:space="preserve">about stopping an antihypertensive medication. The interviews concluded with a second, more open phase of </w:t>
      </w:r>
      <w:r w:rsidRPr="00F458DE">
        <w:lastRenderedPageBreak/>
        <w:t>questioning, asking GPs to explain their approach to the management of hypertension in older patients, and the circumstances and outcomes of any previous decisions to stop antihypertensive medication</w:t>
      </w:r>
      <w:r w:rsidRPr="00EB5F91">
        <w:rPr>
          <w:color w:val="2E74B5" w:themeColor="accent1" w:themeShade="BF"/>
        </w:rPr>
        <w:t>.</w:t>
      </w:r>
      <w:r w:rsidR="00BF7599" w:rsidRPr="00EB5F91">
        <w:rPr>
          <w:color w:val="2E74B5" w:themeColor="accent1" w:themeShade="BF"/>
        </w:rPr>
        <w:t xml:space="preserve"> Sample sufficiency was guided by the principles of information power</w:t>
      </w:r>
      <w:r w:rsidR="00FA0F29" w:rsidRPr="00EB5F91">
        <w:rPr>
          <w:color w:val="2E74B5" w:themeColor="accent1" w:themeShade="BF"/>
        </w:rPr>
        <w:t xml:space="preserve"> </w:t>
      </w:r>
      <w:r w:rsidR="00D160F9" w:rsidRPr="00EB5F91">
        <w:rPr>
          <w:rFonts w:cs="Arial"/>
          <w:color w:val="2E74B5" w:themeColor="accent1" w:themeShade="BF"/>
        </w:rPr>
        <w:t>(43)</w:t>
      </w:r>
      <w:r w:rsidR="00BF7599" w:rsidRPr="00EB5F91">
        <w:rPr>
          <w:color w:val="2E74B5" w:themeColor="accent1" w:themeShade="BF"/>
        </w:rPr>
        <w:t>.</w:t>
      </w:r>
    </w:p>
    <w:p w14:paraId="256ABD60" w14:textId="18DCD1C7" w:rsidR="002F67E0" w:rsidRDefault="002F67E0" w:rsidP="002F67E0">
      <w:pPr>
        <w:rPr>
          <w:color w:val="000000"/>
          <w:kern w:val="24"/>
          <w:lang w:eastAsia="en-GB"/>
        </w:rPr>
      </w:pPr>
      <w:r w:rsidRPr="002F67E0">
        <w:rPr>
          <w:color w:val="000000"/>
          <w:kern w:val="24"/>
          <w:lang w:eastAsia="en-GB"/>
        </w:rPr>
        <w:t>All interviews were conducted by a single, non-clinical interviewer (FS), audio recorded and professionally transcribed. A pilot interview took place with one GP to assess the feasibility of the topic guide.</w:t>
      </w:r>
    </w:p>
    <w:p w14:paraId="0AEFC2BA" w14:textId="77777777" w:rsidR="00F458DE" w:rsidRPr="00F458DE" w:rsidRDefault="00F458DE" w:rsidP="008B505F">
      <w:pPr>
        <w:pStyle w:val="Heading3"/>
      </w:pPr>
      <w:r w:rsidRPr="00F458DE">
        <w:t>Analysis</w:t>
      </w:r>
    </w:p>
    <w:p w14:paraId="2B0E0B8D" w14:textId="44BFEA7D" w:rsidR="00F458DE" w:rsidRPr="002B1650" w:rsidRDefault="00F458DE" w:rsidP="00F458DE">
      <w:pPr>
        <w:rPr>
          <w:color w:val="2E74B5" w:themeColor="accent1" w:themeShade="BF"/>
          <w:kern w:val="24"/>
          <w:lang w:eastAsia="en-GB"/>
        </w:rPr>
      </w:pPr>
      <w:r w:rsidRPr="00F458DE">
        <w:rPr>
          <w:color w:val="000000"/>
          <w:kern w:val="24"/>
          <w:lang w:eastAsia="en-GB"/>
        </w:rPr>
        <w:t>We used a thematic analysis approach</w:t>
      </w:r>
      <w:r w:rsidR="001643DB">
        <w:rPr>
          <w:color w:val="000000"/>
          <w:kern w:val="24"/>
          <w:lang w:eastAsia="en-GB"/>
        </w:rPr>
        <w:t xml:space="preserve"> </w:t>
      </w:r>
      <w:r w:rsidR="00D160F9" w:rsidRPr="00D160F9">
        <w:rPr>
          <w:rFonts w:cs="Arial"/>
        </w:rPr>
        <w:t>(44)</w:t>
      </w:r>
      <w:r w:rsidRPr="00F458DE">
        <w:rPr>
          <w:color w:val="000000"/>
          <w:kern w:val="24"/>
          <w:lang w:eastAsia="en-GB"/>
        </w:rPr>
        <w:t xml:space="preserve">, with analysis commencing alongside data collection. As interviews were conducted, two researchers trained in qualitative methods (FS and KK) read the transcripts and </w:t>
      </w:r>
      <w:r w:rsidR="00300737" w:rsidRPr="00300737">
        <w:rPr>
          <w:color w:val="2E74B5" w:themeColor="accent1" w:themeShade="BF"/>
          <w:kern w:val="24"/>
          <w:lang w:eastAsia="en-GB"/>
        </w:rPr>
        <w:t>iteratively</w:t>
      </w:r>
      <w:r w:rsidR="00300737">
        <w:rPr>
          <w:color w:val="000000"/>
          <w:kern w:val="24"/>
          <w:lang w:eastAsia="en-GB"/>
        </w:rPr>
        <w:t xml:space="preserve"> </w:t>
      </w:r>
      <w:r w:rsidRPr="00F458DE">
        <w:rPr>
          <w:color w:val="000000"/>
          <w:kern w:val="24"/>
          <w:lang w:eastAsia="en-GB"/>
        </w:rPr>
        <w:t>developed first- and second-level coding framework</w:t>
      </w:r>
      <w:r w:rsidR="00BD6DFA" w:rsidRPr="002B1650">
        <w:rPr>
          <w:color w:val="2E74B5" w:themeColor="accent1" w:themeShade="BF"/>
          <w:kern w:val="24"/>
          <w:lang w:eastAsia="en-GB"/>
        </w:rPr>
        <w:t>s</w:t>
      </w:r>
      <w:r w:rsidR="00E95319" w:rsidRPr="002B1650">
        <w:rPr>
          <w:color w:val="2E74B5" w:themeColor="accent1" w:themeShade="BF"/>
          <w:kern w:val="24"/>
          <w:lang w:eastAsia="en-GB"/>
        </w:rPr>
        <w:t xml:space="preserve"> </w:t>
      </w:r>
      <w:r w:rsidR="00300737" w:rsidRPr="00300737">
        <w:rPr>
          <w:color w:val="2E74B5" w:themeColor="accent1" w:themeShade="BF"/>
          <w:kern w:val="24"/>
          <w:lang w:eastAsia="en-GB"/>
        </w:rPr>
        <w:t>as analysis progressed</w:t>
      </w:r>
      <w:r w:rsidR="00300737">
        <w:rPr>
          <w:color w:val="000000"/>
          <w:kern w:val="24"/>
          <w:lang w:eastAsia="en-GB"/>
        </w:rPr>
        <w:t xml:space="preserve"> </w:t>
      </w:r>
      <w:r w:rsidR="00D160F9" w:rsidRPr="00D160F9">
        <w:rPr>
          <w:rFonts w:cs="Arial"/>
        </w:rPr>
        <w:t>(45)</w:t>
      </w:r>
      <w:r w:rsidRPr="00F458DE">
        <w:rPr>
          <w:color w:val="000000"/>
          <w:kern w:val="24"/>
          <w:lang w:eastAsia="en-GB"/>
        </w:rPr>
        <w:t xml:space="preserve">. </w:t>
      </w:r>
      <w:r w:rsidR="00BB3A23">
        <w:rPr>
          <w:color w:val="2E74B5" w:themeColor="accent1" w:themeShade="BF"/>
          <w:kern w:val="24"/>
          <w:lang w:eastAsia="en-GB"/>
        </w:rPr>
        <w:t>As thinking moved from descriptive to analytical</w:t>
      </w:r>
      <w:r w:rsidR="00BD6DFA" w:rsidRPr="002B1650">
        <w:rPr>
          <w:color w:val="2E74B5" w:themeColor="accent1" w:themeShade="BF"/>
          <w:kern w:val="24"/>
          <w:lang w:eastAsia="en-GB"/>
        </w:rPr>
        <w:t xml:space="preserve">, the team drew on existing literature on GPs’ attitudes to medication reduction and deprescribing as well as models of understanding clinical decision-making in conditions of uncertainty, notably the concept of mindlines </w:t>
      </w:r>
      <w:r w:rsidR="00BD6DFA" w:rsidRPr="002B1650">
        <w:rPr>
          <w:rFonts w:cs="Arial"/>
          <w:color w:val="2E74B5" w:themeColor="accent1" w:themeShade="BF"/>
        </w:rPr>
        <w:t>(20,21,46,47)</w:t>
      </w:r>
      <w:r w:rsidR="00BD6DFA" w:rsidRPr="002B1650">
        <w:rPr>
          <w:color w:val="2E74B5" w:themeColor="accent1" w:themeShade="BF"/>
          <w:kern w:val="24"/>
          <w:lang w:eastAsia="en-GB"/>
        </w:rPr>
        <w:t xml:space="preserve">. </w:t>
      </w:r>
      <w:r w:rsidRPr="00F458DE">
        <w:rPr>
          <w:color w:val="000000"/>
          <w:kern w:val="24"/>
          <w:lang w:eastAsia="en-GB"/>
        </w:rPr>
        <w:t>Working with transcripts, four researchers trained in qualitative methods (FS, KK, and JB) and general practice (CS) subsequently discussed data and thematic development in three half-day workshops. A revised coding framework was developed following each workshop. As a part of data analysis, the major themes identified were discussed at a multi-disciplinary day-long analysis workshop attended by GPs, cardiovascular physicians, social scientists</w:t>
      </w:r>
      <w:r w:rsidR="00CC7F6C">
        <w:rPr>
          <w:color w:val="000000"/>
          <w:kern w:val="24"/>
          <w:lang w:eastAsia="en-GB"/>
        </w:rPr>
        <w:t>,</w:t>
      </w:r>
      <w:r w:rsidRPr="00F458DE">
        <w:rPr>
          <w:color w:val="000000"/>
          <w:kern w:val="24"/>
          <w:lang w:eastAsia="en-GB"/>
        </w:rPr>
        <w:t xml:space="preserve"> and a patient representative. This workshop was repeated on completion of data collection and analysis, with final reflection on and discussion of the core findings</w:t>
      </w:r>
      <w:r w:rsidR="00DF2757" w:rsidRPr="002B1650">
        <w:rPr>
          <w:color w:val="2E74B5" w:themeColor="accent1" w:themeShade="BF"/>
          <w:kern w:val="24"/>
          <w:lang w:eastAsia="en-GB"/>
        </w:rPr>
        <w:t xml:space="preserve">, including the </w:t>
      </w:r>
      <w:r w:rsidR="00877F35" w:rsidRPr="002B1650">
        <w:rPr>
          <w:color w:val="2E74B5" w:themeColor="accent1" w:themeShade="BF"/>
          <w:kern w:val="24"/>
          <w:lang w:eastAsia="en-GB"/>
        </w:rPr>
        <w:t xml:space="preserve">application and relevance of the concept of </w:t>
      </w:r>
      <w:r w:rsidR="00DF2757" w:rsidRPr="002B1650">
        <w:rPr>
          <w:color w:val="2E74B5" w:themeColor="accent1" w:themeShade="BF"/>
          <w:kern w:val="24"/>
          <w:lang w:eastAsia="en-GB"/>
        </w:rPr>
        <w:t xml:space="preserve">mindlines </w:t>
      </w:r>
      <w:r w:rsidR="00877F35" w:rsidRPr="002B1650">
        <w:rPr>
          <w:color w:val="2E74B5" w:themeColor="accent1" w:themeShade="BF"/>
          <w:kern w:val="24"/>
          <w:lang w:eastAsia="en-GB"/>
        </w:rPr>
        <w:t>to the data</w:t>
      </w:r>
      <w:r w:rsidRPr="002B1650">
        <w:rPr>
          <w:color w:val="2E74B5" w:themeColor="accent1" w:themeShade="BF"/>
          <w:kern w:val="24"/>
          <w:lang w:eastAsia="en-GB"/>
        </w:rPr>
        <w:t xml:space="preserve">. </w:t>
      </w:r>
      <w:r w:rsidR="00BD6DFA" w:rsidRPr="002B1650">
        <w:rPr>
          <w:color w:val="2E74B5" w:themeColor="accent1" w:themeShade="BF"/>
          <w:kern w:val="24"/>
          <w:lang w:eastAsia="en-GB"/>
        </w:rPr>
        <w:t xml:space="preserve">For example, in developing second-level coding frameworks, </w:t>
      </w:r>
      <w:r w:rsidR="006C71C3" w:rsidRPr="002B1650">
        <w:rPr>
          <w:color w:val="2E74B5" w:themeColor="accent1" w:themeShade="BF"/>
          <w:kern w:val="24"/>
          <w:lang w:eastAsia="en-GB"/>
        </w:rPr>
        <w:t xml:space="preserve">the team </w:t>
      </w:r>
      <w:r w:rsidR="00BD6DFA" w:rsidRPr="002B1650">
        <w:rPr>
          <w:color w:val="2E74B5" w:themeColor="accent1" w:themeShade="BF"/>
          <w:kern w:val="24"/>
          <w:lang w:eastAsia="en-GB"/>
        </w:rPr>
        <w:t xml:space="preserve">reflected on how and </w:t>
      </w:r>
      <w:r w:rsidR="00BD6DFA" w:rsidRPr="002B1650">
        <w:rPr>
          <w:color w:val="2E74B5" w:themeColor="accent1" w:themeShade="BF"/>
        </w:rPr>
        <w:t>where key concepts</w:t>
      </w:r>
      <w:r w:rsidR="006C71C3" w:rsidRPr="002B1650">
        <w:rPr>
          <w:color w:val="2E74B5" w:themeColor="accent1" w:themeShade="BF"/>
        </w:rPr>
        <w:t xml:space="preserve"> were apparent in our data</w:t>
      </w:r>
      <w:r w:rsidR="00835C5C" w:rsidRPr="002B1650">
        <w:rPr>
          <w:color w:val="2E74B5" w:themeColor="accent1" w:themeShade="BF"/>
        </w:rPr>
        <w:t xml:space="preserve"> (such as how multi</w:t>
      </w:r>
      <w:r w:rsidR="006C71C3" w:rsidRPr="002B1650">
        <w:rPr>
          <w:color w:val="2E74B5" w:themeColor="accent1" w:themeShade="BF"/>
        </w:rPr>
        <w:t>ple sources of knowledge appeared to be distilled and employed</w:t>
      </w:r>
      <w:r w:rsidR="00835C5C" w:rsidRPr="002B1650">
        <w:rPr>
          <w:color w:val="2E74B5" w:themeColor="accent1" w:themeShade="BF"/>
        </w:rPr>
        <w:t xml:space="preserve"> by GPs in managing hypertension</w:t>
      </w:r>
      <w:r w:rsidR="006C71C3" w:rsidRPr="002B1650">
        <w:rPr>
          <w:color w:val="2E74B5" w:themeColor="accent1" w:themeShade="BF"/>
        </w:rPr>
        <w:t>). T</w:t>
      </w:r>
      <w:r w:rsidR="00BD6DFA" w:rsidRPr="002B1650">
        <w:rPr>
          <w:color w:val="2E74B5" w:themeColor="accent1" w:themeShade="BF"/>
        </w:rPr>
        <w:t>hus, t</w:t>
      </w:r>
      <w:r w:rsidR="006C71C3" w:rsidRPr="002B1650">
        <w:rPr>
          <w:color w:val="2E74B5" w:themeColor="accent1" w:themeShade="BF"/>
        </w:rPr>
        <w:t>hese constructs were used as a tool to think about the data</w:t>
      </w:r>
      <w:r w:rsidR="00BD6DFA" w:rsidRPr="002B1650">
        <w:rPr>
          <w:color w:val="2E74B5" w:themeColor="accent1" w:themeShade="BF"/>
        </w:rPr>
        <w:t>,</w:t>
      </w:r>
      <w:r w:rsidR="006C71C3" w:rsidRPr="002B1650">
        <w:rPr>
          <w:color w:val="2E74B5" w:themeColor="accent1" w:themeShade="BF"/>
        </w:rPr>
        <w:t xml:space="preserve"> rather than </w:t>
      </w:r>
      <w:r w:rsidR="00BD6DFA" w:rsidRPr="002B1650">
        <w:rPr>
          <w:color w:val="2E74B5" w:themeColor="accent1" w:themeShade="BF"/>
        </w:rPr>
        <w:t xml:space="preserve">in </w:t>
      </w:r>
      <w:r w:rsidR="006C71C3" w:rsidRPr="002B1650">
        <w:rPr>
          <w:color w:val="2E74B5" w:themeColor="accent1" w:themeShade="BF"/>
        </w:rPr>
        <w:t>a deductive approach to framework development</w:t>
      </w:r>
      <w:r w:rsidR="00BD6DFA" w:rsidRPr="002B1650">
        <w:rPr>
          <w:color w:val="2E74B5" w:themeColor="accent1" w:themeShade="BF"/>
        </w:rPr>
        <w:t xml:space="preserve"> and </w:t>
      </w:r>
      <w:r w:rsidR="006C71C3" w:rsidRPr="002B1650">
        <w:rPr>
          <w:color w:val="2E74B5" w:themeColor="accent1" w:themeShade="BF"/>
        </w:rPr>
        <w:t>coding.</w:t>
      </w:r>
    </w:p>
    <w:p w14:paraId="65F22487" w14:textId="77777777" w:rsidR="00AB00F4" w:rsidRDefault="00AB00F4">
      <w:pPr>
        <w:autoSpaceDE/>
        <w:autoSpaceDN/>
        <w:adjustRightInd/>
        <w:spacing w:after="160" w:line="259" w:lineRule="auto"/>
        <w:rPr>
          <w:highlight w:val="yellow"/>
        </w:rPr>
      </w:pPr>
    </w:p>
    <w:p w14:paraId="5DF2617B" w14:textId="77777777" w:rsidR="002B6FF1" w:rsidRDefault="002B6FF1" w:rsidP="002B6FF1">
      <w:pPr>
        <w:pStyle w:val="Heading2"/>
      </w:pPr>
      <w:r>
        <w:t>Results</w:t>
      </w:r>
    </w:p>
    <w:p w14:paraId="73FB8277" w14:textId="71D49F0E" w:rsidR="00216C64" w:rsidRDefault="00216C64" w:rsidP="00216C64">
      <w:r>
        <w:t xml:space="preserve">We interviewed 15 </w:t>
      </w:r>
      <w:r w:rsidRPr="00F458DE">
        <w:t>GPs</w:t>
      </w:r>
      <w:r>
        <w:t xml:space="preserve"> from seven</w:t>
      </w:r>
      <w:r w:rsidRPr="00F458DE">
        <w:t xml:space="preserve"> practice</w:t>
      </w:r>
      <w:r>
        <w:t>s based in the East of England</w:t>
      </w:r>
      <w:r w:rsidRPr="00F458DE">
        <w:t xml:space="preserve"> between May 2017 and October 2017.</w:t>
      </w:r>
      <w:r>
        <w:t xml:space="preserve"> Three practices were rural; three mixed; and one urban. List size ranged from 4,000 to 12,000. </w:t>
      </w:r>
      <w:r w:rsidRPr="00C1009D">
        <w:t xml:space="preserve">Four GPs were female and 11 </w:t>
      </w:r>
      <w:r>
        <w:t xml:space="preserve">were </w:t>
      </w:r>
      <w:r w:rsidRPr="00C1009D">
        <w:t>male</w:t>
      </w:r>
      <w:r>
        <w:t xml:space="preserve">; professional experience ranged from </w:t>
      </w:r>
      <w:r w:rsidR="00B00D1E">
        <w:t xml:space="preserve">one </w:t>
      </w:r>
      <w:r>
        <w:t>month to 26 years (Table 1).</w:t>
      </w:r>
    </w:p>
    <w:p w14:paraId="6EFC5B75" w14:textId="1D428AA8" w:rsidR="00190E64" w:rsidRDefault="007E61BC" w:rsidP="002B6FF1">
      <w:r w:rsidRPr="007E61BC">
        <w:t>Interviews with GPs illustrate</w:t>
      </w:r>
      <w:r w:rsidR="00DB0CD9">
        <w:t>d</w:t>
      </w:r>
      <w:r w:rsidRPr="007E61BC">
        <w:t xml:space="preserve"> the complexity of</w:t>
      </w:r>
      <w:r w:rsidR="008F448F">
        <w:t xml:space="preserve"> everyday</w:t>
      </w:r>
      <w:r w:rsidRPr="007E61BC">
        <w:t xml:space="preserve"> decisions to deprescribe antihypertensive medication in multimorbid patients over 80 years old</w:t>
      </w:r>
      <w:r w:rsidR="00DB0CD9">
        <w:t xml:space="preserve"> </w:t>
      </w:r>
      <w:r w:rsidR="006D3068">
        <w:t>in the absence</w:t>
      </w:r>
      <w:r w:rsidR="00DB0CD9">
        <w:t xml:space="preserve"> of specific guidance</w:t>
      </w:r>
      <w:r w:rsidRPr="007E61BC">
        <w:t xml:space="preserve">. </w:t>
      </w:r>
      <w:r w:rsidR="00641C69">
        <w:t>A</w:t>
      </w:r>
      <w:r w:rsidRPr="007E61BC">
        <w:t xml:space="preserve">lthough clinical considerations (such as presence of </w:t>
      </w:r>
      <w:r w:rsidR="006C4D83">
        <w:t>adverse drug effects</w:t>
      </w:r>
      <w:r w:rsidRPr="007E61BC">
        <w:t xml:space="preserve">, recent falls, or drug interactions) were at the forefront of GPs’ concerns, their impact on </w:t>
      </w:r>
      <w:r w:rsidR="00143E34">
        <w:t>medication reduction decisions</w:t>
      </w:r>
      <w:r w:rsidRPr="007E61BC">
        <w:t xml:space="preserve"> w</w:t>
      </w:r>
      <w:r w:rsidR="000232B1">
        <w:t>as</w:t>
      </w:r>
      <w:r w:rsidRPr="007E61BC">
        <w:t xml:space="preserve"> not </w:t>
      </w:r>
      <w:r w:rsidR="00CE3C91">
        <w:t xml:space="preserve">always </w:t>
      </w:r>
      <w:r w:rsidRPr="007E61BC">
        <w:t xml:space="preserve">straightforward. GPs consistently highlighted the </w:t>
      </w:r>
      <w:r w:rsidR="00DB0CD9">
        <w:t>lack of explicit mechanism</w:t>
      </w:r>
      <w:r w:rsidR="00143E34">
        <w:t>s</w:t>
      </w:r>
      <w:r w:rsidR="00DB0CD9">
        <w:t xml:space="preserve"> for medication reduction, </w:t>
      </w:r>
      <w:r w:rsidR="006D3068">
        <w:t>fuelling the</w:t>
      </w:r>
      <w:r w:rsidR="00DB0CD9">
        <w:t xml:space="preserve"> importan</w:t>
      </w:r>
      <w:r w:rsidR="006D3068">
        <w:t>ce</w:t>
      </w:r>
      <w:r w:rsidR="00DB0CD9">
        <w:t xml:space="preserve"> </w:t>
      </w:r>
      <w:r w:rsidR="006D3068">
        <w:t xml:space="preserve">of </w:t>
      </w:r>
      <w:r w:rsidR="00A22CCA">
        <w:t xml:space="preserve">tacit, </w:t>
      </w:r>
      <w:r w:rsidR="00143E34">
        <w:t>experiential</w:t>
      </w:r>
      <w:r w:rsidR="00DB0CD9">
        <w:t xml:space="preserve"> and </w:t>
      </w:r>
      <w:r w:rsidR="00143E34">
        <w:t>non-clinical considerations</w:t>
      </w:r>
      <w:r w:rsidRPr="007E61BC">
        <w:t xml:space="preserve"> </w:t>
      </w:r>
      <w:r w:rsidR="006D3068">
        <w:t>in</w:t>
      </w:r>
      <w:r w:rsidRPr="007E61BC">
        <w:t xml:space="preserve"> </w:t>
      </w:r>
      <w:r w:rsidR="00143E34">
        <w:t>decisions concerning</w:t>
      </w:r>
      <w:r w:rsidRPr="007E61BC">
        <w:t xml:space="preserve"> medication regimens of </w:t>
      </w:r>
      <w:r w:rsidR="0071317D" w:rsidRPr="002B1650">
        <w:rPr>
          <w:color w:val="2E74B5" w:themeColor="accent1" w:themeShade="BF"/>
        </w:rPr>
        <w:t xml:space="preserve">older </w:t>
      </w:r>
      <w:r w:rsidRPr="007E61BC">
        <w:t xml:space="preserve">multimorbid patients. </w:t>
      </w:r>
    </w:p>
    <w:p w14:paraId="369298C8" w14:textId="65B1A5F3" w:rsidR="007368CA" w:rsidRDefault="007E61BC" w:rsidP="002B6FF1">
      <w:r w:rsidRPr="007E61BC">
        <w:lastRenderedPageBreak/>
        <w:t xml:space="preserve">Specifically, </w:t>
      </w:r>
      <w:r w:rsidR="00143E34">
        <w:t>alongside</w:t>
      </w:r>
      <w:r w:rsidRPr="007E61BC">
        <w:t xml:space="preserve"> the absence of evidence for deprescribing antihypertensives and the concurrent lack of guidelines in this area</w:t>
      </w:r>
      <w:r w:rsidR="006D3068">
        <w:t>,</w:t>
      </w:r>
      <w:r w:rsidRPr="007E61BC">
        <w:t xml:space="preserve"> </w:t>
      </w:r>
      <w:r w:rsidR="00CE5241" w:rsidRPr="001E272C">
        <w:rPr>
          <w:color w:val="2E74B5" w:themeColor="accent1" w:themeShade="BF"/>
        </w:rPr>
        <w:t xml:space="preserve">our analysis identified that </w:t>
      </w:r>
      <w:r w:rsidR="00143E34">
        <w:t xml:space="preserve">GPs highlighted </w:t>
      </w:r>
      <w:r w:rsidRPr="007E61BC">
        <w:t xml:space="preserve">pressures to meet imposed prescribing targets; expectations of </w:t>
      </w:r>
      <w:r w:rsidR="00B70044">
        <w:t xml:space="preserve">the </w:t>
      </w:r>
      <w:r w:rsidRPr="007E61BC">
        <w:t>patient’s amenability towards medication changes; likely concerns of and ability to communicate with the patient’s family and/or carers; and current resource constraints (e.g. staff time required for additional monitoring).</w:t>
      </w:r>
      <w:r w:rsidR="003D0E90">
        <w:t xml:space="preserve"> A</w:t>
      </w:r>
      <w:r w:rsidR="00FA6A2F">
        <w:t>s a result,</w:t>
      </w:r>
      <w:r w:rsidR="003D0E90">
        <w:t xml:space="preserve"> </w:t>
      </w:r>
      <w:r w:rsidR="00FA6A2F">
        <w:t xml:space="preserve">antihypertensive medication reduction </w:t>
      </w:r>
      <w:r w:rsidR="00077EC3">
        <w:t>wa</w:t>
      </w:r>
      <w:r w:rsidR="00BB1C67">
        <w:t>s not a c</w:t>
      </w:r>
      <w:r w:rsidR="003D0E90">
        <w:t>ommon practice</w:t>
      </w:r>
      <w:r w:rsidR="00414844">
        <w:t>, usuall</w:t>
      </w:r>
      <w:r w:rsidR="0074002B">
        <w:t xml:space="preserve">y only occurring </w:t>
      </w:r>
      <w:r w:rsidR="00414844">
        <w:t xml:space="preserve">reactively </w:t>
      </w:r>
      <w:r w:rsidR="00B1684D">
        <w:t xml:space="preserve">following </w:t>
      </w:r>
      <w:r w:rsidR="0074002B">
        <w:t>specific trigger events</w:t>
      </w:r>
      <w:r w:rsidR="007438FF">
        <w:t>, such as a recent fall</w:t>
      </w:r>
      <w:r w:rsidR="002A27FE">
        <w:t>.</w:t>
      </w:r>
      <w:r w:rsidR="00611FDD">
        <w:t xml:space="preserve"> Here, decision pathways were clear for most GPs.</w:t>
      </w:r>
      <w:r w:rsidR="002A27FE">
        <w:t xml:space="preserve"> </w:t>
      </w:r>
      <w:r w:rsidR="00611FDD">
        <w:t xml:space="preserve">When asked to consider proactive medication reduction to address polypharmacy in a patient, </w:t>
      </w:r>
      <w:r w:rsidR="008B1281">
        <w:t>the most reasonable action</w:t>
      </w:r>
      <w:r w:rsidR="00611FDD">
        <w:t xml:space="preserve"> </w:t>
      </w:r>
      <w:r w:rsidR="008B1281">
        <w:t>was</w:t>
      </w:r>
      <w:r w:rsidR="00611FDD">
        <w:t xml:space="preserve"> less clear. </w:t>
      </w:r>
      <w:r w:rsidR="006229A5">
        <w:t xml:space="preserve">A greater readiness to consider medication reduction </w:t>
      </w:r>
      <w:r w:rsidR="000B424D">
        <w:t>in these circumstances</w:t>
      </w:r>
      <w:r w:rsidR="006229A5">
        <w:t xml:space="preserve"> was apparent in </w:t>
      </w:r>
      <w:r w:rsidR="0082159B">
        <w:t>GPs with more</w:t>
      </w:r>
      <w:r w:rsidR="000B424D">
        <w:t xml:space="preserve"> experience, and consequently more</w:t>
      </w:r>
      <w:r w:rsidR="0082159B">
        <w:t xml:space="preserve"> </w:t>
      </w:r>
      <w:r w:rsidR="002A27FE">
        <w:t xml:space="preserve">established mindlines </w:t>
      </w:r>
      <w:r w:rsidR="0074002B">
        <w:t>developed over the</w:t>
      </w:r>
      <w:r w:rsidR="0082159B">
        <w:t>ir</w:t>
      </w:r>
      <w:r w:rsidR="0074002B">
        <w:t xml:space="preserve"> years</w:t>
      </w:r>
      <w:r w:rsidR="0082159B">
        <w:t xml:space="preserve"> in practice</w:t>
      </w:r>
      <w:r w:rsidR="0074002B">
        <w:t xml:space="preserve">. </w:t>
      </w:r>
      <w:r w:rsidR="00EE3030">
        <w:t xml:space="preserve">Influences on antihypertensive prescribing and deprescribing decisions, and the development of </w:t>
      </w:r>
      <w:r w:rsidR="0082159B">
        <w:t>polypharmacy and medication reduction mindlines</w:t>
      </w:r>
      <w:r w:rsidR="00EE3030">
        <w:t xml:space="preserve">, are </w:t>
      </w:r>
      <w:r w:rsidR="0082159B">
        <w:t>given in Figure</w:t>
      </w:r>
      <w:r w:rsidR="00EE3030">
        <w:t>s</w:t>
      </w:r>
      <w:r w:rsidR="0082159B">
        <w:t xml:space="preserve"> 1</w:t>
      </w:r>
      <w:r w:rsidR="00EE3030">
        <w:t xml:space="preserve"> and 2</w:t>
      </w:r>
      <w:r w:rsidR="0082159B">
        <w:t>. The complexity of t</w:t>
      </w:r>
      <w:r w:rsidR="0074002B">
        <w:t xml:space="preserve">hese </w:t>
      </w:r>
      <w:r w:rsidR="00FA6A2F">
        <w:t>practices</w:t>
      </w:r>
      <w:r w:rsidR="0074002B">
        <w:t xml:space="preserve"> are discussed in more detail below</w:t>
      </w:r>
      <w:r w:rsidR="003D0E90">
        <w:t>.</w:t>
      </w:r>
    </w:p>
    <w:p w14:paraId="30FBF61E" w14:textId="77777777" w:rsidR="006C6441" w:rsidRPr="006C6441" w:rsidRDefault="00CE3C91" w:rsidP="002C591A">
      <w:pPr>
        <w:pStyle w:val="Heading3"/>
      </w:pPr>
      <w:r w:rsidRPr="006C6441">
        <w:t>Established practices in medication decision</w:t>
      </w:r>
      <w:r w:rsidR="001E5AEB" w:rsidRPr="006C6441">
        <w:t>-</w:t>
      </w:r>
      <w:r w:rsidRPr="006C6441">
        <w:t>making</w:t>
      </w:r>
    </w:p>
    <w:p w14:paraId="4D1D9EFC" w14:textId="6A8B828E" w:rsidR="008F448F" w:rsidRDefault="008F448F" w:rsidP="006C6441">
      <w:r>
        <w:t>GPs outlined a number of scenarios in which decisions to reduce or remove medication</w:t>
      </w:r>
      <w:r w:rsidR="00AE7D24">
        <w:t xml:space="preserve"> – or to continue it –</w:t>
      </w:r>
      <w:r>
        <w:t xml:space="preserve"> were often </w:t>
      </w:r>
      <w:r w:rsidR="00AE7D24">
        <w:t>straightforward to make</w:t>
      </w:r>
      <w:r>
        <w:t xml:space="preserve">. </w:t>
      </w:r>
      <w:r w:rsidR="003E3C4A">
        <w:t xml:space="preserve">In the case of deprescribing, </w:t>
      </w:r>
      <w:r w:rsidR="00CE3C91">
        <w:t>GPs were more likely to consider and were more confident about withdrawing an antihypertensive drug if patient</w:t>
      </w:r>
      <w:r w:rsidR="003452D0">
        <w:t>s</w:t>
      </w:r>
      <w:r w:rsidR="00CE3C91">
        <w:t xml:space="preserve"> reported a side effect of such medication (e.g. dizziness, swollen ankles)</w:t>
      </w:r>
      <w:r w:rsidR="003452D0">
        <w:t xml:space="preserve"> or if they</w:t>
      </w:r>
      <w:r w:rsidR="00D8298C">
        <w:t xml:space="preserve"> were concerned about </w:t>
      </w:r>
      <w:r w:rsidR="00877F35" w:rsidRPr="001E272C">
        <w:rPr>
          <w:color w:val="2E74B5" w:themeColor="accent1" w:themeShade="BF"/>
        </w:rPr>
        <w:t>what they referred to as “</w:t>
      </w:r>
      <w:r w:rsidR="00D8298C">
        <w:t>pill burden</w:t>
      </w:r>
      <w:r w:rsidR="00877F35" w:rsidRPr="001E272C">
        <w:rPr>
          <w:color w:val="2E74B5" w:themeColor="accent1" w:themeShade="BF"/>
        </w:rPr>
        <w:t>”</w:t>
      </w:r>
      <w:r w:rsidR="00D8298C">
        <w:t>,</w:t>
      </w:r>
      <w:r w:rsidR="00CE3C91">
        <w:t xml:space="preserve"> or had a recent history of falls. </w:t>
      </w:r>
      <w:r w:rsidR="00D8298C">
        <w:t>Additionally, G</w:t>
      </w:r>
      <w:r>
        <w:t xml:space="preserve">Ps were more likely to consider deprescribing antihypertensive medications with complicated side effect profiles, </w:t>
      </w:r>
      <w:r w:rsidR="00216C64">
        <w:t xml:space="preserve">perceived </w:t>
      </w:r>
      <w:r>
        <w:t>procurement difficulties or that were absent in updates of the NICE guidelines.</w:t>
      </w:r>
      <w:r w:rsidR="00041791">
        <w:t xml:space="preserve"> </w:t>
      </w:r>
      <w:r>
        <w:t>However, antihyperten</w:t>
      </w:r>
      <w:r w:rsidR="00B205EB">
        <w:t>sives were not necessarily the ‘</w:t>
      </w:r>
      <w:r>
        <w:t>go-to</w:t>
      </w:r>
      <w:r w:rsidR="00B205EB">
        <w:t>’</w:t>
      </w:r>
      <w:r>
        <w:t xml:space="preserve"> choice for deprescribing in cases of polypharmacy, where other medications </w:t>
      </w:r>
      <w:r w:rsidR="006F0130">
        <w:t xml:space="preserve">might </w:t>
      </w:r>
      <w:r>
        <w:t>be withdrawn first.</w:t>
      </w:r>
    </w:p>
    <w:p w14:paraId="04690B55" w14:textId="0F9EA433" w:rsidR="007A4F9A" w:rsidRDefault="008F448F" w:rsidP="008F448F">
      <w:pPr>
        <w:ind w:left="851"/>
      </w:pPr>
      <w:r>
        <w:t>“If people say: ‘I</w:t>
      </w:r>
      <w:r w:rsidR="000D41CC">
        <w:t>’</w:t>
      </w:r>
      <w:r>
        <w:t>m taking too many tablets’, then I would look at them and see which ones I could cut out. But the antihypertensives wouldn’t be at the top of that particular list, they would be the ones I would hang on to and I would try</w:t>
      </w:r>
      <w:r w:rsidR="007061EF">
        <w:t xml:space="preserve"> and cut out other ones first. </w:t>
      </w:r>
      <w:r w:rsidR="00761307">
        <w:t>I</w:t>
      </w:r>
      <w:r w:rsidR="007A4F9A" w:rsidRPr="007A4F9A">
        <w:t xml:space="preserve">f someone is on a small dose of </w:t>
      </w:r>
      <w:r w:rsidR="00B70044">
        <w:t>a</w:t>
      </w:r>
      <w:r w:rsidR="00B70044" w:rsidRPr="007A4F9A">
        <w:t>mitriptyline</w:t>
      </w:r>
      <w:r w:rsidR="007A4F9A" w:rsidRPr="007A4F9A">
        <w:t>, because they have perhap</w:t>
      </w:r>
      <w:r w:rsidR="00C46E0D">
        <w:t>s had a bit of neuropathic pain</w:t>
      </w:r>
      <w:r w:rsidR="007A4F9A" w:rsidRPr="007A4F9A">
        <w:t xml:space="preserve"> and the condition is minor</w:t>
      </w:r>
      <w:r w:rsidR="00C46E0D">
        <w:t>,</w:t>
      </w:r>
      <w:r w:rsidR="007061EF">
        <w:t xml:space="preserve"> i</w:t>
      </w:r>
      <w:r w:rsidR="007A4F9A" w:rsidRPr="007A4F9A">
        <w:t xml:space="preserve">t </w:t>
      </w:r>
      <w:r w:rsidR="00640A66">
        <w:t>has</w:t>
      </w:r>
      <w:r w:rsidR="007A4F9A" w:rsidRPr="007A4F9A">
        <w:t xml:space="preserve"> a side effect p</w:t>
      </w:r>
      <w:r w:rsidR="000D41CC">
        <w:t>rofile that</w:t>
      </w:r>
      <w:r w:rsidR="00ED4748">
        <w:t>’</w:t>
      </w:r>
      <w:r w:rsidR="007A4F9A" w:rsidRPr="007A4F9A">
        <w:t xml:space="preserve">s anticholinergic, </w:t>
      </w:r>
      <w:r w:rsidR="00640A66">
        <w:t>and</w:t>
      </w:r>
      <w:r w:rsidR="007A4F9A" w:rsidRPr="007A4F9A">
        <w:t xml:space="preserve"> for the elderly you try a</w:t>
      </w:r>
      <w:r w:rsidR="007A4F9A">
        <w:t>nd reduce the cholinergic load.</w:t>
      </w:r>
      <w:r w:rsidR="00640A66">
        <w:t xml:space="preserve"> So</w:t>
      </w:r>
      <w:r w:rsidR="007A4F9A" w:rsidRPr="007A4F9A">
        <w:t xml:space="preserve"> I would be more inclined to stop something like that than to stop their </w:t>
      </w:r>
      <w:r w:rsidR="00B70044">
        <w:t>l</w:t>
      </w:r>
      <w:r w:rsidR="00B70044" w:rsidRPr="007A4F9A">
        <w:t>isinopril</w:t>
      </w:r>
      <w:r w:rsidR="007A4F9A" w:rsidRPr="007A4F9A">
        <w:t>, for example.</w:t>
      </w:r>
      <w:r w:rsidR="00640A66">
        <w:t xml:space="preserve">” </w:t>
      </w:r>
      <w:r w:rsidR="007A4F9A">
        <w:t>GP12, 12 years of experience</w:t>
      </w:r>
    </w:p>
    <w:p w14:paraId="4CE470ED" w14:textId="77777777" w:rsidR="00D8298C" w:rsidRDefault="007E0A80" w:rsidP="00D8298C">
      <w:r>
        <w:t xml:space="preserve">In the case of </w:t>
      </w:r>
      <w:r w:rsidR="00240E73">
        <w:t>reviewing</w:t>
      </w:r>
      <w:r>
        <w:t xml:space="preserve"> medication</w:t>
      </w:r>
      <w:r w:rsidR="00240E73">
        <w:t xml:space="preserve"> regimens</w:t>
      </w:r>
      <w:r>
        <w:t xml:space="preserve">, </w:t>
      </w:r>
      <w:r w:rsidR="00EC7FD8">
        <w:t>absence of trigger events or adverse effects usually resulted in continued polypharmacy.</w:t>
      </w:r>
    </w:p>
    <w:p w14:paraId="72CD2503" w14:textId="10E067D7" w:rsidR="008F448F" w:rsidRDefault="008F448F" w:rsidP="00FC4197">
      <w:pPr>
        <w:ind w:left="851"/>
      </w:pPr>
      <w:r>
        <w:t xml:space="preserve">“We tend not to actively stop them unless </w:t>
      </w:r>
      <w:r w:rsidR="00A605E2">
        <w:t>[patients]</w:t>
      </w:r>
      <w:r>
        <w:t xml:space="preserve"> have symptoms. If it ain’t broke, why fix it?” GP08, </w:t>
      </w:r>
      <w:r w:rsidR="00AC1CBB">
        <w:t xml:space="preserve">14 </w:t>
      </w:r>
      <w:r>
        <w:t>years of experience</w:t>
      </w:r>
    </w:p>
    <w:p w14:paraId="4311DA07" w14:textId="77777777" w:rsidR="006C6441" w:rsidRPr="008B505F" w:rsidRDefault="00411038" w:rsidP="002C591A">
      <w:pPr>
        <w:pStyle w:val="Heading3"/>
      </w:pPr>
      <w:r w:rsidRPr="008B505F">
        <w:t>Scarcity of e</w:t>
      </w:r>
      <w:r w:rsidR="00A22CCA" w:rsidRPr="008B505F">
        <w:t>xplicit sources of knowledge and guidance in</w:t>
      </w:r>
      <w:r w:rsidR="006D3068" w:rsidRPr="008B505F">
        <w:t xml:space="preserve"> medication reduction</w:t>
      </w:r>
      <w:r w:rsidR="001E5AEB" w:rsidRPr="008B505F">
        <w:t xml:space="preserve"> decision-</w:t>
      </w:r>
      <w:r w:rsidR="00A22CCA" w:rsidRPr="008B505F">
        <w:t>making</w:t>
      </w:r>
    </w:p>
    <w:p w14:paraId="1EE614CA" w14:textId="1CCE1099" w:rsidR="002A6D9E" w:rsidRPr="002A6D9E" w:rsidRDefault="000A2B37" w:rsidP="006C6441">
      <w:r>
        <w:t>GPs attempting to consider deprescribing</w:t>
      </w:r>
      <w:r w:rsidR="00BE5E54">
        <w:t xml:space="preserve"> </w:t>
      </w:r>
      <w:r w:rsidR="0048359C">
        <w:t>were</w:t>
      </w:r>
      <w:r w:rsidR="00BE5E54">
        <w:t xml:space="preserve"> aware of the increased interest in reducing</w:t>
      </w:r>
      <w:r w:rsidR="00B82E0B">
        <w:t xml:space="preserve"> polypharmacy</w:t>
      </w:r>
      <w:r w:rsidR="00BE5E54">
        <w:t>, but also</w:t>
      </w:r>
      <w:r>
        <w:t xml:space="preserve"> </w:t>
      </w:r>
      <w:r w:rsidR="00B82E0B">
        <w:t>encounter</w:t>
      </w:r>
      <w:r w:rsidR="0048359C">
        <w:t>ed</w:t>
      </w:r>
      <w:r>
        <w:t xml:space="preserve"> a wide range of </w:t>
      </w:r>
      <w:r w:rsidR="00D37FBA">
        <w:t xml:space="preserve">specific arguments </w:t>
      </w:r>
      <w:r w:rsidR="00BE5E54">
        <w:t>against medication reduction</w:t>
      </w:r>
      <w:r>
        <w:t xml:space="preserve">. </w:t>
      </w:r>
      <w:r w:rsidR="002A6D9E" w:rsidRPr="002A6D9E">
        <w:t xml:space="preserve">The majority of GPs interviewed </w:t>
      </w:r>
      <w:r w:rsidR="008B1281">
        <w:t>said</w:t>
      </w:r>
      <w:r w:rsidR="002A6D9E" w:rsidRPr="002A6D9E">
        <w:t xml:space="preserve"> </w:t>
      </w:r>
      <w:r w:rsidR="008B1281">
        <w:t xml:space="preserve">that </w:t>
      </w:r>
      <w:r w:rsidR="006D3068">
        <w:t xml:space="preserve">the lack of </w:t>
      </w:r>
      <w:r w:rsidR="002A6D9E" w:rsidRPr="002A6D9E">
        <w:t xml:space="preserve">guidelines </w:t>
      </w:r>
      <w:r w:rsidR="008B1281">
        <w:t>w</w:t>
      </w:r>
      <w:r w:rsidR="002A6D9E" w:rsidRPr="002A6D9E">
        <w:t xml:space="preserve">as a major barrier to deprescribing antihypertensive medication in </w:t>
      </w:r>
      <w:r w:rsidR="0071317D" w:rsidRPr="0007444D">
        <w:rPr>
          <w:color w:val="2E74B5" w:themeColor="accent1" w:themeShade="BF"/>
        </w:rPr>
        <w:t xml:space="preserve">older </w:t>
      </w:r>
      <w:r w:rsidR="002A6D9E" w:rsidRPr="002A6D9E">
        <w:t xml:space="preserve">patients who were not experiencing </w:t>
      </w:r>
      <w:r w:rsidR="002A6D9E" w:rsidRPr="002A6D9E">
        <w:lastRenderedPageBreak/>
        <w:t>obvious side effects</w:t>
      </w:r>
      <w:r w:rsidR="00C551B7">
        <w:t xml:space="preserve"> or other complications</w:t>
      </w:r>
      <w:r w:rsidR="002A6D9E" w:rsidRPr="002A6D9E">
        <w:t>. An absence of guidelines on managing hypertension in the context of comorbidit</w:t>
      </w:r>
      <w:r w:rsidR="006D3068">
        <w:t>y</w:t>
      </w:r>
      <w:r w:rsidR="002A6D9E" w:rsidRPr="002A6D9E">
        <w:t xml:space="preserve">, and the multiplicity of single-condition guidelines, </w:t>
      </w:r>
      <w:r w:rsidR="008B1281">
        <w:t>added to</w:t>
      </w:r>
      <w:r w:rsidR="007101BF">
        <w:t xml:space="preserve"> the difficulty of making deprescribing decisions</w:t>
      </w:r>
      <w:r w:rsidR="002A6D9E" w:rsidRPr="002A6D9E">
        <w:t>.</w:t>
      </w:r>
    </w:p>
    <w:p w14:paraId="7BB83F7A" w14:textId="0BE9C620" w:rsidR="002A6D9E" w:rsidRPr="002A6D9E" w:rsidRDefault="00C36213" w:rsidP="006A1DA0">
      <w:pPr>
        <w:ind w:left="851"/>
        <w:rPr>
          <w:rFonts w:cs="Arial"/>
        </w:rPr>
      </w:pPr>
      <w:r>
        <w:rPr>
          <w:rFonts w:cs="Arial"/>
        </w:rPr>
        <w:t>“I’</w:t>
      </w:r>
      <w:r w:rsidR="00BC56D5" w:rsidRPr="00BC56D5">
        <w:rPr>
          <w:rFonts w:cs="Arial"/>
        </w:rPr>
        <w:t>d say the guidance is useful for starting an</w:t>
      </w:r>
      <w:r w:rsidR="00B205EB">
        <w:rPr>
          <w:rFonts w:cs="Arial"/>
        </w:rPr>
        <w:t>ti</w:t>
      </w:r>
      <w:r w:rsidR="00BC56D5" w:rsidRPr="00BC56D5">
        <w:rPr>
          <w:rFonts w:cs="Arial"/>
        </w:rPr>
        <w:t xml:space="preserve">hypertensives, </w:t>
      </w:r>
      <w:r>
        <w:rPr>
          <w:rFonts w:cs="Arial"/>
        </w:rPr>
        <w:t xml:space="preserve">[but] </w:t>
      </w:r>
      <w:r w:rsidR="00BC56D5" w:rsidRPr="00BC56D5">
        <w:rPr>
          <w:rFonts w:cs="Arial"/>
        </w:rPr>
        <w:t>there</w:t>
      </w:r>
      <w:r>
        <w:rPr>
          <w:rFonts w:cs="Arial"/>
        </w:rPr>
        <w:t>’</w:t>
      </w:r>
      <w:r w:rsidR="00BC56D5" w:rsidRPr="00BC56D5">
        <w:rPr>
          <w:rFonts w:cs="Arial"/>
        </w:rPr>
        <w:t>s little guidance</w:t>
      </w:r>
      <w:r>
        <w:rPr>
          <w:rFonts w:cs="Arial"/>
        </w:rPr>
        <w:t xml:space="preserve"> about withdrawing </w:t>
      </w:r>
      <w:r w:rsidR="0024203B">
        <w:rPr>
          <w:rFonts w:cs="Arial"/>
        </w:rPr>
        <w:t xml:space="preserve">them </w:t>
      </w:r>
      <w:r>
        <w:rPr>
          <w:rFonts w:cs="Arial"/>
        </w:rPr>
        <w:t>and there’</w:t>
      </w:r>
      <w:r w:rsidR="00BC56D5" w:rsidRPr="00BC56D5">
        <w:rPr>
          <w:rFonts w:cs="Arial"/>
        </w:rPr>
        <w:t xml:space="preserve">s never been any guidance as to timeframes and how quickly you should be up-titrating or down-titrating.” </w:t>
      </w:r>
      <w:r w:rsidR="002A6D9E" w:rsidRPr="002A6D9E">
        <w:rPr>
          <w:rFonts w:cs="Arial"/>
        </w:rPr>
        <w:t>GP</w:t>
      </w:r>
      <w:r w:rsidR="00BC56D5">
        <w:rPr>
          <w:rFonts w:cs="Arial"/>
        </w:rPr>
        <w:t>04</w:t>
      </w:r>
      <w:r w:rsidR="002A6D9E" w:rsidRPr="002A6D9E">
        <w:rPr>
          <w:rFonts w:cs="Arial"/>
        </w:rPr>
        <w:t xml:space="preserve">, </w:t>
      </w:r>
      <w:r w:rsidR="00BC56D5">
        <w:rPr>
          <w:rFonts w:cs="Arial"/>
        </w:rPr>
        <w:t>3</w:t>
      </w:r>
      <w:r w:rsidR="002A6D9E" w:rsidRPr="002A6D9E">
        <w:rPr>
          <w:rFonts w:cs="Arial"/>
        </w:rPr>
        <w:t xml:space="preserve"> years of experience</w:t>
      </w:r>
    </w:p>
    <w:p w14:paraId="66683111" w14:textId="7646944C" w:rsidR="006A1DA0" w:rsidRPr="006A1DA0" w:rsidRDefault="006A1DA0" w:rsidP="006A1DA0">
      <w:r w:rsidRPr="006A1DA0">
        <w:t xml:space="preserve">Prescribing decisions were made with an eye </w:t>
      </w:r>
      <w:r w:rsidR="00D20805">
        <w:t>to</w:t>
      </w:r>
      <w:r w:rsidRPr="006A1DA0">
        <w:t xml:space="preserve"> requirements set out within the Quality and Outcomes (QOF) framework</w:t>
      </w:r>
      <w:r w:rsidR="00471F96">
        <w:t xml:space="preserve"> </w:t>
      </w:r>
      <w:r w:rsidR="00D160F9" w:rsidRPr="00D160F9">
        <w:rPr>
          <w:rFonts w:cs="Arial"/>
        </w:rPr>
        <w:t>(48)</w:t>
      </w:r>
      <w:r w:rsidRPr="006A1DA0">
        <w:t xml:space="preserve">. Whilst GPs appreciated the option to make the right decision for the patient, facilitated by the possibility of making an exception report from the QOF for such patients where necessary (currently </w:t>
      </w:r>
      <w:r w:rsidR="006D3068">
        <w:t>referred to as a</w:t>
      </w:r>
      <w:r w:rsidRPr="006A1DA0">
        <w:t xml:space="preserve"> “Personalised Care Adjustment”) </w:t>
      </w:r>
      <w:r w:rsidR="004E3F61" w:rsidRPr="004E3F61">
        <w:rPr>
          <w:rFonts w:cs="Arial"/>
        </w:rPr>
        <w:t>(8)</w:t>
      </w:r>
      <w:r w:rsidRPr="006A1DA0">
        <w:t>, they were</w:t>
      </w:r>
      <w:r w:rsidR="006B472E">
        <w:t xml:space="preserve"> also</w:t>
      </w:r>
      <w:r w:rsidRPr="006A1DA0">
        <w:t xml:space="preserve"> wary of the burden of additional </w:t>
      </w:r>
      <w:r w:rsidR="00E468E7" w:rsidRPr="001E272C">
        <w:rPr>
          <w:color w:val="2E74B5" w:themeColor="accent1" w:themeShade="BF"/>
        </w:rPr>
        <w:t xml:space="preserve">regulatory </w:t>
      </w:r>
      <w:r w:rsidRPr="006A1DA0">
        <w:t>inspections if targets were not met.</w:t>
      </w:r>
    </w:p>
    <w:p w14:paraId="462F3BDB" w14:textId="58E94E32" w:rsidR="006A1DA0" w:rsidRPr="006A1DA0" w:rsidRDefault="006A1DA0" w:rsidP="006A1DA0">
      <w:pPr>
        <w:ind w:left="851"/>
        <w:rPr>
          <w:rFonts w:cs="Arial"/>
        </w:rPr>
      </w:pPr>
      <w:r w:rsidRPr="006A1DA0">
        <w:rPr>
          <w:rFonts w:cs="Arial"/>
        </w:rPr>
        <w:t>“</w:t>
      </w:r>
      <w:r w:rsidR="001F5BE5">
        <w:rPr>
          <w:rFonts w:cs="Arial"/>
        </w:rPr>
        <w:t>W</w:t>
      </w:r>
      <w:r w:rsidRPr="006A1DA0">
        <w:rPr>
          <w:rFonts w:cs="Arial"/>
        </w:rPr>
        <w:t>e’re a bit reluctant to exempt because they think we’re cheating</w:t>
      </w:r>
      <w:r w:rsidR="006A3022">
        <w:rPr>
          <w:rFonts w:cs="Arial"/>
        </w:rPr>
        <w:t>.</w:t>
      </w:r>
      <w:r w:rsidRPr="006A1DA0">
        <w:rPr>
          <w:rFonts w:cs="Arial"/>
        </w:rPr>
        <w:t xml:space="preserve"> </w:t>
      </w:r>
      <w:r w:rsidR="006A3022">
        <w:rPr>
          <w:rFonts w:cs="Arial"/>
        </w:rPr>
        <w:t>A</w:t>
      </w:r>
      <w:r w:rsidRPr="006A1DA0">
        <w:rPr>
          <w:rFonts w:cs="Arial"/>
        </w:rPr>
        <w:t xml:space="preserve">nd if you exempt too many people then you get an inspection and then we’re all sort of looking over our shoulder about this. So, that’s very difficult because the system which is meant to be helping people is actually harming people at that point.” GP15, </w:t>
      </w:r>
      <w:r w:rsidR="00057FC2">
        <w:rPr>
          <w:rFonts w:cs="Arial"/>
        </w:rPr>
        <w:t>6 months</w:t>
      </w:r>
      <w:r w:rsidR="00BE6F43">
        <w:rPr>
          <w:rFonts w:cs="Arial"/>
        </w:rPr>
        <w:t xml:space="preserve"> of experience</w:t>
      </w:r>
    </w:p>
    <w:p w14:paraId="1D1822DE" w14:textId="10DD9895" w:rsidR="00CE3C91" w:rsidRDefault="00BF01A9" w:rsidP="00CE3C91">
      <w:r>
        <w:t xml:space="preserve">We found that </w:t>
      </w:r>
      <w:r w:rsidR="00CE3C91">
        <w:t xml:space="preserve">GPs with more professional experience </w:t>
      </w:r>
      <w:r w:rsidR="000B2A75" w:rsidRPr="001E272C">
        <w:rPr>
          <w:color w:val="2E74B5" w:themeColor="accent1" w:themeShade="BF"/>
        </w:rPr>
        <w:t xml:space="preserve">appeared </w:t>
      </w:r>
      <w:r w:rsidR="00C551B7" w:rsidRPr="006A1DA0">
        <w:t xml:space="preserve">more likely to deviate from national guidelines </w:t>
      </w:r>
      <w:r w:rsidR="00750BD0">
        <w:t xml:space="preserve">on </w:t>
      </w:r>
      <w:r w:rsidR="00C551B7" w:rsidRPr="006A1DA0">
        <w:t>acceptable blood pressure levels in</w:t>
      </w:r>
      <w:r w:rsidR="00C551B7">
        <w:t xml:space="preserve"> </w:t>
      </w:r>
      <w:r w:rsidR="00C551B7" w:rsidRPr="006A1DA0">
        <w:t>patients</w:t>
      </w:r>
      <w:r w:rsidR="008B1281">
        <w:t xml:space="preserve"> aged</w:t>
      </w:r>
      <w:r w:rsidR="00C551B7" w:rsidRPr="006A1DA0">
        <w:t xml:space="preserve"> over 80 years</w:t>
      </w:r>
      <w:r w:rsidR="00C551B7">
        <w:t xml:space="preserve"> and </w:t>
      </w:r>
      <w:r w:rsidR="00CE3C91">
        <w:t xml:space="preserve">were better equipped to draw on their tacit knowledge about how to deprescribe. </w:t>
      </w:r>
      <w:r w:rsidR="00C551B7">
        <w:t>L</w:t>
      </w:r>
      <w:r w:rsidR="00CE3C91">
        <w:t xml:space="preserve">ess experienced GPs </w:t>
      </w:r>
      <w:r w:rsidR="00307B1A" w:rsidRPr="001E272C">
        <w:rPr>
          <w:color w:val="2E74B5" w:themeColor="accent1" w:themeShade="BF"/>
        </w:rPr>
        <w:t xml:space="preserve">appeared </w:t>
      </w:r>
      <w:r w:rsidR="00CE3C91">
        <w:t xml:space="preserve">more likely to continue polypharmacy in patients without new clinical symptoms, justifying their reluctance to deprescribe by the lack of explicit </w:t>
      </w:r>
      <w:r w:rsidR="002B7AC6">
        <w:t xml:space="preserve">evidence </w:t>
      </w:r>
      <w:r w:rsidR="00CE3C91">
        <w:t xml:space="preserve">of </w:t>
      </w:r>
      <w:r w:rsidR="002B7AC6">
        <w:t>benefit</w:t>
      </w:r>
      <w:r w:rsidR="007756D6">
        <w:t xml:space="preserve"> </w:t>
      </w:r>
      <w:r w:rsidR="00CE3C91">
        <w:t>on deprescribing.</w:t>
      </w:r>
    </w:p>
    <w:p w14:paraId="41FE5E1D" w14:textId="77777777" w:rsidR="009C5C10" w:rsidRPr="009C5C10" w:rsidRDefault="009C5C10" w:rsidP="009C5C10">
      <w:pPr>
        <w:pStyle w:val="CommentText"/>
        <w:ind w:left="851"/>
        <w:rPr>
          <w:sz w:val="22"/>
          <w:szCs w:val="22"/>
        </w:rPr>
      </w:pPr>
      <w:r>
        <w:rPr>
          <w:sz w:val="22"/>
          <w:szCs w:val="22"/>
        </w:rPr>
        <w:t>“</w:t>
      </w:r>
      <w:r w:rsidRPr="009C5C10">
        <w:rPr>
          <w:sz w:val="22"/>
          <w:szCs w:val="22"/>
        </w:rPr>
        <w:t>There are obviously targets to be met for people with diabetes in terms of blood pressure and things like that, but equally, I’m allowed to, where it’s clinically appropriate, exceptionalise people anyway, so I can think and make that decision.” GP10, 10 years of experience</w:t>
      </w:r>
    </w:p>
    <w:p w14:paraId="566D529B" w14:textId="77777777" w:rsidR="009C5C10" w:rsidRDefault="009C5C10" w:rsidP="009C5C10">
      <w:pPr>
        <w:ind w:left="851"/>
      </w:pPr>
      <w:r>
        <w:t>“Is [the patient] going to have an increased risk of heart attacks or strokes from stopping [antihypertensives], at this age group? Probably not, but can I be a hundred per cent certain that she isn’t going to go and have a heart attack or stroke? No.” GP01, 1.5 years of experience</w:t>
      </w:r>
    </w:p>
    <w:p w14:paraId="3B06D681" w14:textId="77777777" w:rsidR="00A22CCA" w:rsidRPr="009A22F7" w:rsidRDefault="003D0E90" w:rsidP="002C591A">
      <w:pPr>
        <w:pStyle w:val="Heading3"/>
      </w:pPr>
      <w:r w:rsidRPr="009A22F7">
        <w:t>Patient considerations i</w:t>
      </w:r>
      <w:r w:rsidR="001E5AEB" w:rsidRPr="009A22F7">
        <w:t>n medication reduction decision-</w:t>
      </w:r>
      <w:r w:rsidRPr="009A22F7">
        <w:t>making</w:t>
      </w:r>
    </w:p>
    <w:p w14:paraId="105FF6AC" w14:textId="285F6E96" w:rsidR="00995C0B" w:rsidRDefault="00B52EB1" w:rsidP="00995C0B">
      <w:r>
        <w:t>Despite the scarcity of explicit guidance on deprescri</w:t>
      </w:r>
      <w:r w:rsidR="004771AA">
        <w:t>bing</w:t>
      </w:r>
      <w:r>
        <w:t xml:space="preserve">, some GPs were still willing to </w:t>
      </w:r>
      <w:r w:rsidR="00EE22B2">
        <w:t xml:space="preserve">consider </w:t>
      </w:r>
      <w:r>
        <w:t>reduc</w:t>
      </w:r>
      <w:r w:rsidR="00EE22B2">
        <w:t>ing</w:t>
      </w:r>
      <w:r>
        <w:t xml:space="preserve"> medication regimens in </w:t>
      </w:r>
      <w:r w:rsidR="00E468E7" w:rsidRPr="001E272C">
        <w:rPr>
          <w:color w:val="2E74B5" w:themeColor="accent1" w:themeShade="BF"/>
        </w:rPr>
        <w:t>people taking multiple medications</w:t>
      </w:r>
      <w:r>
        <w:t xml:space="preserve">, </w:t>
      </w:r>
      <w:r w:rsidR="004771AA">
        <w:t xml:space="preserve">whilst acknowledging </w:t>
      </w:r>
      <w:r w:rsidR="00BC53B6">
        <w:t>how complicated these decisions could be.</w:t>
      </w:r>
      <w:r w:rsidR="008D31BA">
        <w:t xml:space="preserve"> Notably, such GPs tended to have more years in practice.</w:t>
      </w:r>
      <w:r>
        <w:t xml:space="preserve"> </w:t>
      </w:r>
      <w:r w:rsidR="003D0E90">
        <w:t xml:space="preserve">In considering the rationale for medication reduction, </w:t>
      </w:r>
      <w:r w:rsidR="00995C0B">
        <w:t xml:space="preserve">GPs </w:t>
      </w:r>
      <w:r w:rsidR="003D0E90">
        <w:t>referred to the</w:t>
      </w:r>
      <w:r w:rsidR="006677AB">
        <w:t xml:space="preserve"> importance of</w:t>
      </w:r>
      <w:r w:rsidR="00995C0B">
        <w:t xml:space="preserve"> </w:t>
      </w:r>
      <w:r w:rsidR="002C6E99">
        <w:t xml:space="preserve">a </w:t>
      </w:r>
      <w:r w:rsidR="00995C0B">
        <w:t>patient’s medical history and comorbidities</w:t>
      </w:r>
      <w:r w:rsidR="002C6E99">
        <w:t>, notably</w:t>
      </w:r>
      <w:r w:rsidR="00995C0B">
        <w:t xml:space="preserve"> renal function, diabetes, and/or previous history of strokes or cardiac events.</w:t>
      </w:r>
    </w:p>
    <w:p w14:paraId="537F4EF6" w14:textId="5457FFAD" w:rsidR="004C7B46" w:rsidRDefault="004C7B46" w:rsidP="009A22F7">
      <w:pPr>
        <w:pStyle w:val="CommentText"/>
        <w:ind w:left="851"/>
        <w:rPr>
          <w:sz w:val="22"/>
          <w:szCs w:val="22"/>
        </w:rPr>
      </w:pPr>
      <w:r>
        <w:rPr>
          <w:sz w:val="22"/>
          <w:szCs w:val="22"/>
        </w:rPr>
        <w:lastRenderedPageBreak/>
        <w:t>“</w:t>
      </w:r>
      <w:r w:rsidRPr="004C7B46">
        <w:rPr>
          <w:sz w:val="22"/>
          <w:szCs w:val="22"/>
        </w:rPr>
        <w:t>You’ve got to walk the tightrope between not upsetting somebody’s kidney function but actually getting their blood pressure under control and then not allowing the heart failure to get a hold, and then</w:t>
      </w:r>
      <w:r>
        <w:rPr>
          <w:sz w:val="22"/>
          <w:szCs w:val="22"/>
        </w:rPr>
        <w:t>,</w:t>
      </w:r>
      <w:r w:rsidRPr="004C7B46">
        <w:rPr>
          <w:sz w:val="22"/>
          <w:szCs w:val="22"/>
        </w:rPr>
        <w:t xml:space="preserve"> if the heart failure gets a hold and you end up using diuretics</w:t>
      </w:r>
      <w:r w:rsidR="00DB0127">
        <w:rPr>
          <w:sz w:val="22"/>
          <w:szCs w:val="22"/>
        </w:rPr>
        <w:t>,</w:t>
      </w:r>
      <w:r w:rsidRPr="004C7B46">
        <w:rPr>
          <w:sz w:val="22"/>
          <w:szCs w:val="22"/>
        </w:rPr>
        <w:t xml:space="preserve"> then you upset the diabetes and they all interact.</w:t>
      </w:r>
      <w:r>
        <w:rPr>
          <w:sz w:val="22"/>
          <w:szCs w:val="22"/>
        </w:rPr>
        <w:t>” GP11, 26 years of experience</w:t>
      </w:r>
    </w:p>
    <w:p w14:paraId="6BC74DA8" w14:textId="110290E0" w:rsidR="00995C0B" w:rsidRDefault="00995C0B" w:rsidP="00995C0B">
      <w:r>
        <w:t xml:space="preserve">Concurrently, a number of GPs mentioned that some patients, especially those with prior experiences of stroke or cardiac events, might experience anxiety at the prospect of stopping medication that lowers the risk of those events. Given </w:t>
      </w:r>
      <w:r w:rsidR="00730F72" w:rsidRPr="001E272C">
        <w:rPr>
          <w:color w:val="2E74B5" w:themeColor="accent1" w:themeShade="BF"/>
        </w:rPr>
        <w:t xml:space="preserve">that common understanding of </w:t>
      </w:r>
      <w:r w:rsidR="0038683C" w:rsidRPr="001E272C">
        <w:rPr>
          <w:color w:val="2E74B5" w:themeColor="accent1" w:themeShade="BF"/>
        </w:rPr>
        <w:t>having a</w:t>
      </w:r>
      <w:r w:rsidR="00203315" w:rsidRPr="001E272C">
        <w:rPr>
          <w:color w:val="2E74B5" w:themeColor="accent1" w:themeShade="BF"/>
        </w:rPr>
        <w:t xml:space="preserve"> </w:t>
      </w:r>
      <w:r>
        <w:t>chronic condition</w:t>
      </w:r>
      <w:r w:rsidR="00730F72" w:rsidRPr="001E272C">
        <w:rPr>
          <w:color w:val="2E74B5" w:themeColor="accent1" w:themeShade="BF"/>
        </w:rPr>
        <w:t xml:space="preserve"> include</w:t>
      </w:r>
      <w:r w:rsidR="0038683C" w:rsidRPr="001E272C">
        <w:rPr>
          <w:color w:val="2E74B5" w:themeColor="accent1" w:themeShade="BF"/>
        </w:rPr>
        <w:t>s</w:t>
      </w:r>
      <w:r w:rsidR="00730F72" w:rsidRPr="001E272C">
        <w:rPr>
          <w:color w:val="2E74B5" w:themeColor="accent1" w:themeShade="BF"/>
        </w:rPr>
        <w:t xml:space="preserve"> </w:t>
      </w:r>
      <w:r w:rsidR="00203315" w:rsidRPr="001E272C">
        <w:rPr>
          <w:color w:val="2E74B5" w:themeColor="accent1" w:themeShade="BF"/>
        </w:rPr>
        <w:t>taking medication for the rest of one’s l</w:t>
      </w:r>
      <w:r w:rsidR="00F45E93" w:rsidRPr="001E272C">
        <w:rPr>
          <w:color w:val="2E74B5" w:themeColor="accent1" w:themeShade="BF"/>
        </w:rPr>
        <w:t>i</w:t>
      </w:r>
      <w:r w:rsidR="00203315" w:rsidRPr="001E272C">
        <w:rPr>
          <w:color w:val="2E74B5" w:themeColor="accent1" w:themeShade="BF"/>
        </w:rPr>
        <w:t>fe</w:t>
      </w:r>
      <w:r w:rsidR="005C1151" w:rsidRPr="001E272C">
        <w:rPr>
          <w:color w:val="2E74B5" w:themeColor="accent1" w:themeShade="BF"/>
        </w:rPr>
        <w:t xml:space="preserve"> </w:t>
      </w:r>
      <w:r w:rsidR="00D160F9" w:rsidRPr="00D160F9">
        <w:rPr>
          <w:rFonts w:cs="Arial"/>
        </w:rPr>
        <w:t>(37,49)</w:t>
      </w:r>
      <w:r>
        <w:t xml:space="preserve">, GPs with longer professional relationships </w:t>
      </w:r>
      <w:r w:rsidRPr="005E7C4E">
        <w:t>with</w:t>
      </w:r>
      <w:r>
        <w:t xml:space="preserve"> their patients might experience less resistance when suggesting medication withdrawal. However, this was not always the rule.</w:t>
      </w:r>
    </w:p>
    <w:p w14:paraId="57FB2615" w14:textId="09FF85A7" w:rsidR="00995C0B" w:rsidRDefault="00995C0B" w:rsidP="00995C0B">
      <w:pPr>
        <w:ind w:left="851"/>
      </w:pPr>
      <w:r>
        <w:t xml:space="preserve">“I think sometimes people are absolutely delighted at the prospect of not having to take quite so many tablets and actually quite welcome it. </w:t>
      </w:r>
      <w:r w:rsidR="005E6F52">
        <w:t>But</w:t>
      </w:r>
      <w:r>
        <w:t xml:space="preserve"> people who have had a stroke in the past are worried about the possibility of having a stroke if you stop the antihypertensive. So I think the way round that is to actually talk to people properly about the risks and the benefits.” GP11, 26 </w:t>
      </w:r>
      <w:r w:rsidR="00BE6F43">
        <w:t>years of experience</w:t>
      </w:r>
    </w:p>
    <w:p w14:paraId="7F15A441" w14:textId="77777777" w:rsidR="00995C0B" w:rsidRDefault="007C1720" w:rsidP="00995C0B">
      <w:r>
        <w:t>Conversely, a</w:t>
      </w:r>
      <w:r w:rsidR="00995C0B">
        <w:t xml:space="preserve"> poorly established relationship with a patient made it more difficult to bring up </w:t>
      </w:r>
      <w:r w:rsidR="00BF01A9">
        <w:t>the</w:t>
      </w:r>
      <w:r w:rsidR="00995C0B">
        <w:t xml:space="preserve"> possibility of withdrawing medication</w:t>
      </w:r>
      <w:r w:rsidR="00BF01A9">
        <w:t>,</w:t>
      </w:r>
      <w:r w:rsidR="00995C0B">
        <w:t xml:space="preserve"> as GPs were unsure of the patient’s preferences and did not want to cause them any unnecessary anxiety.</w:t>
      </w:r>
      <w:r w:rsidR="00570A35">
        <w:t xml:space="preserve"> As a result, in the absence of new medication-related symptoms, polypharmacy was likely to be continued.</w:t>
      </w:r>
    </w:p>
    <w:p w14:paraId="7C4B4B25" w14:textId="610E4F7F" w:rsidR="00995C0B" w:rsidRDefault="00995C0B" w:rsidP="00995C0B">
      <w:pPr>
        <w:ind w:left="851"/>
      </w:pPr>
      <w:r>
        <w:t xml:space="preserve">“[The patient]’s new to the surgery, I don’t know him, I don’t know how he feels really about the tablets given that I didn’t start them myself. It might be his choice that he would like to continue taking those tablets as he’s been taking them for a while and not had any problems.” GP01, 1.5 </w:t>
      </w:r>
      <w:r w:rsidR="00BE6F43">
        <w:t>years of experience</w:t>
      </w:r>
    </w:p>
    <w:p w14:paraId="6F8EBC41" w14:textId="3E343630" w:rsidR="00995C0B" w:rsidRDefault="00995C0B" w:rsidP="00995C0B">
      <w:r>
        <w:t xml:space="preserve">GPs also expressed a concern that </w:t>
      </w:r>
      <w:r w:rsidR="0018198D" w:rsidRPr="00C32AA9">
        <w:rPr>
          <w:color w:val="2E74B5" w:themeColor="accent1" w:themeShade="BF"/>
        </w:rPr>
        <w:t xml:space="preserve">older </w:t>
      </w:r>
      <w:r>
        <w:t xml:space="preserve">patients frequently struggle with adhering to their </w:t>
      </w:r>
      <w:r w:rsidR="00ED0C0B">
        <w:t xml:space="preserve">existing </w:t>
      </w:r>
      <w:r>
        <w:t>medication regime</w:t>
      </w:r>
      <w:r w:rsidR="00AD1506">
        <w:t>n</w:t>
      </w:r>
      <w:r>
        <w:t>s, which meant that any changes</w:t>
      </w:r>
      <w:r w:rsidR="00031049">
        <w:t xml:space="preserve"> –</w:t>
      </w:r>
      <w:r>
        <w:t xml:space="preserve"> including withdrawal of medication</w:t>
      </w:r>
      <w:r w:rsidR="00031049">
        <w:t xml:space="preserve"> –</w:t>
      </w:r>
      <w:r>
        <w:t xml:space="preserve"> might require considerations beyond the clinical effects of removing a single drug.</w:t>
      </w:r>
    </w:p>
    <w:p w14:paraId="49543BA7" w14:textId="77777777" w:rsidR="00995C0B" w:rsidRDefault="00995C0B" w:rsidP="00995C0B">
      <w:r>
        <w:t>Additionally, GPs recognised that even if withdrawal of antihypertensives seemed fairly safe from a clinical point of view, the possibility of a catastrophic event could not be entirely eliminated given the combination of a patient’s age and level of multimorbidity.</w:t>
      </w:r>
      <w:r w:rsidR="00E925DC">
        <w:t xml:space="preserve"> This means that even experienced GPs might hesitate making deprescribing decisions.</w:t>
      </w:r>
    </w:p>
    <w:p w14:paraId="3F8155A7" w14:textId="799D604F" w:rsidR="00995C0B" w:rsidRPr="00182C0A" w:rsidRDefault="00995C0B" w:rsidP="00995C0B">
      <w:pPr>
        <w:ind w:left="851"/>
      </w:pPr>
      <w:r>
        <w:t>“Something’s happened and then if you say</w:t>
      </w:r>
      <w:r w:rsidR="00DE534A">
        <w:t>:</w:t>
      </w:r>
      <w:r>
        <w:t xml:space="preserve"> </w:t>
      </w:r>
      <w:r w:rsidR="00DE534A">
        <w:t>‘H</w:t>
      </w:r>
      <w:r>
        <w:t>e’s had a fall and his blood pressure’s low, I think we need to reduce the medication</w:t>
      </w:r>
      <w:r w:rsidR="00DE534A">
        <w:t>’</w:t>
      </w:r>
      <w:r>
        <w:t xml:space="preserve">. That’s a lot easier than the more subtle quality of life, you know, potential risk of side-effect. And moving on, I guess your own </w:t>
      </w:r>
      <w:r w:rsidR="00573459">
        <w:t xml:space="preserve">worry as a </w:t>
      </w:r>
      <w:r>
        <w:t>GP</w:t>
      </w:r>
      <w:r w:rsidR="00E94557">
        <w:t xml:space="preserve"> is</w:t>
      </w:r>
      <w:r>
        <w:t xml:space="preserve"> that if you do stop his anti-hypertensives, if he has a stroke two weeks later, whether it be incidental or not, is that your fault </w:t>
      </w:r>
      <w:r w:rsidRPr="00182C0A">
        <w:t xml:space="preserve">or not?” GP10, 10 </w:t>
      </w:r>
      <w:r w:rsidR="00BE6F43" w:rsidRPr="00182C0A">
        <w:t>years of experience</w:t>
      </w:r>
    </w:p>
    <w:p w14:paraId="5FBFB54B" w14:textId="0BBAF7D0" w:rsidR="00995C0B" w:rsidRDefault="00182C0A" w:rsidP="00995C0B">
      <w:r w:rsidRPr="00182C0A">
        <w:t>Some GPs mentioned that they found themselves in a difficult position when their patients received specialist advice that was in conflict with more holistic primary care goals.</w:t>
      </w:r>
      <w:r>
        <w:t xml:space="preserve"> </w:t>
      </w:r>
      <w:r w:rsidR="00995C0B" w:rsidRPr="00182C0A">
        <w:t>Resolving</w:t>
      </w:r>
      <w:r w:rsidR="00995C0B">
        <w:t xml:space="preserve"> </w:t>
      </w:r>
      <w:r w:rsidR="00995C0B">
        <w:lastRenderedPageBreak/>
        <w:t>these</w:t>
      </w:r>
      <w:r>
        <w:t xml:space="preserve"> conflicts</w:t>
      </w:r>
      <w:r w:rsidR="00995C0B">
        <w:t xml:space="preserve"> </w:t>
      </w:r>
      <w:r w:rsidR="00A419FF">
        <w:t>can</w:t>
      </w:r>
      <w:r w:rsidR="00995C0B">
        <w:t xml:space="preserve"> </w:t>
      </w:r>
      <w:r w:rsidR="00A419FF">
        <w:t xml:space="preserve">undermine </w:t>
      </w:r>
      <w:r w:rsidR="00995C0B">
        <w:t xml:space="preserve">the patient’s trust, especially if the specialist’s recommendations </w:t>
      </w:r>
      <w:r w:rsidR="00B34F99">
        <w:t>cannot be easily integrated with patient</w:t>
      </w:r>
      <w:r w:rsidR="004214C9">
        <w:t>’</w:t>
      </w:r>
      <w:r w:rsidR="00995C0B">
        <w:t>s</w:t>
      </w:r>
      <w:r w:rsidR="00B34F99">
        <w:t xml:space="preserve"> preferences or priorities, and the GP’s perceptions of these</w:t>
      </w:r>
      <w:r w:rsidR="00995C0B">
        <w:t>.</w:t>
      </w:r>
    </w:p>
    <w:p w14:paraId="589ADEFA" w14:textId="77777777" w:rsidR="007E61BC" w:rsidRDefault="00995C0B" w:rsidP="00995C0B">
      <w:pPr>
        <w:ind w:left="851"/>
      </w:pPr>
      <w:r>
        <w:t>“To be quite blunt, I am getting tired of my elderly, frail patients being discharged [from hospitals] on long</w:t>
      </w:r>
      <w:r w:rsidR="00180424">
        <w:t>-</w:t>
      </w:r>
      <w:r>
        <w:t>term preventative medication that is potentially harmful. I think [consultants] need to be thinking about what they’re discharging on</w:t>
      </w:r>
      <w:r w:rsidR="00180424">
        <w:t>;</w:t>
      </w:r>
      <w:r>
        <w:t xml:space="preserve"> sometimes these polypharmacy patients could have a fall and end up in hospital. I would appreciate those doctors to be reviewing the polypharmacy, to be assisting us in this. It can’t just come from general practice.” GP15, </w:t>
      </w:r>
      <w:r w:rsidR="001B7431">
        <w:t>6 months</w:t>
      </w:r>
      <w:r w:rsidR="00BE6F43">
        <w:t xml:space="preserve"> of experience</w:t>
      </w:r>
    </w:p>
    <w:p w14:paraId="486909C4" w14:textId="77777777" w:rsidR="00B34F99" w:rsidRPr="008B505F" w:rsidRDefault="00B34F99" w:rsidP="002C591A">
      <w:pPr>
        <w:pStyle w:val="Heading3"/>
      </w:pPr>
      <w:r w:rsidRPr="008B505F">
        <w:t>Additional sources of concern i</w:t>
      </w:r>
      <w:r w:rsidR="001E5AEB" w:rsidRPr="008B505F">
        <w:t>n medication reduction decision-</w:t>
      </w:r>
      <w:r w:rsidRPr="008B505F">
        <w:t>making</w:t>
      </w:r>
    </w:p>
    <w:p w14:paraId="00A88218" w14:textId="740FB663" w:rsidR="00704EAE" w:rsidRPr="00704EAE" w:rsidRDefault="00C57C69" w:rsidP="00704EAE">
      <w:r>
        <w:t xml:space="preserve">Complex considerations </w:t>
      </w:r>
      <w:r w:rsidR="00822710">
        <w:t xml:space="preserve">impacting </w:t>
      </w:r>
      <w:r w:rsidR="004771AA">
        <w:t>on</w:t>
      </w:r>
      <w:r w:rsidR="00822710">
        <w:t xml:space="preserve"> decisions to deprescribe </w:t>
      </w:r>
      <w:r>
        <w:t>also involved factors beyond the</w:t>
      </w:r>
      <w:r w:rsidR="001954CF">
        <w:t xml:space="preserve"> health</w:t>
      </w:r>
      <w:r w:rsidR="004771AA">
        <w:t xml:space="preserve"> conditions</w:t>
      </w:r>
      <w:r w:rsidR="001954CF">
        <w:t xml:space="preserve"> of</w:t>
      </w:r>
      <w:r>
        <w:t xml:space="preserve"> individual patients. For instance, a</w:t>
      </w:r>
      <w:r w:rsidR="00704EAE" w:rsidRPr="00704EAE">
        <w:t>lmost all GPs interviewed mentioned</w:t>
      </w:r>
      <w:r w:rsidR="00B34367">
        <w:t xml:space="preserve"> that</w:t>
      </w:r>
      <w:r w:rsidR="00704EAE" w:rsidRPr="00704EAE">
        <w:t xml:space="preserve"> family and carers have to be taken into account when considering medication changes for </w:t>
      </w:r>
      <w:r w:rsidR="0071317D" w:rsidRPr="00C32AA9">
        <w:rPr>
          <w:color w:val="2E74B5" w:themeColor="accent1" w:themeShade="BF"/>
        </w:rPr>
        <w:t xml:space="preserve">older </w:t>
      </w:r>
      <w:r w:rsidR="00704EAE" w:rsidRPr="00704EAE">
        <w:t xml:space="preserve">patients. There was a general recognition that </w:t>
      </w:r>
      <w:r w:rsidR="00CE48F7">
        <w:t>decisions about</w:t>
      </w:r>
      <w:r w:rsidR="00704EAE" w:rsidRPr="00704EAE">
        <w:t xml:space="preserve"> medical care stretch beyond the doctor-patient dyad, irrespective of the patient’s ability to make independent </w:t>
      </w:r>
      <w:r w:rsidR="00CE48F7">
        <w:t>choices</w:t>
      </w:r>
      <w:r w:rsidR="00997678">
        <w:t>.</w:t>
      </w:r>
    </w:p>
    <w:p w14:paraId="5B9376AF" w14:textId="77777777" w:rsidR="00704EAE" w:rsidRPr="00704EAE" w:rsidRDefault="00704EAE" w:rsidP="00226130">
      <w:pPr>
        <w:ind w:left="851"/>
        <w:rPr>
          <w:rFonts w:cs="Arial"/>
        </w:rPr>
      </w:pPr>
      <w:r w:rsidRPr="00704EAE">
        <w:rPr>
          <w:rFonts w:cs="Arial"/>
        </w:rPr>
        <w:t xml:space="preserve">“If [the patient’s] family were a little bit more sort of accepting that age doesn’t mean that you’ve got to take lots of medication. And if they were less demanding on health services to expect that we continue to do things, and that if you stop something it doesn’t mean that you’re being a bad doctor, it means you’re just really trying to improve the quality of life index rather than pill pushing.” GP02, 15 </w:t>
      </w:r>
      <w:r w:rsidR="00BE6F43">
        <w:rPr>
          <w:rFonts w:cs="Arial"/>
        </w:rPr>
        <w:t>years of experience</w:t>
      </w:r>
    </w:p>
    <w:p w14:paraId="433CF89C" w14:textId="631A6DA2" w:rsidR="00704EAE" w:rsidRPr="00704EAE" w:rsidRDefault="00704EAE" w:rsidP="00704EAE">
      <w:r w:rsidRPr="00704EAE">
        <w:t>Many GPs pointed to additional time and resources necessary to monitor a safe withdrawal of antihypertensives</w:t>
      </w:r>
      <w:r w:rsidR="00794102" w:rsidRPr="00C32AA9">
        <w:rPr>
          <w:color w:val="2E74B5" w:themeColor="accent1" w:themeShade="BF"/>
        </w:rPr>
        <w:t xml:space="preserve"> that had to be weighed against </w:t>
      </w:r>
      <w:r w:rsidR="00B9711F" w:rsidRPr="00C32AA9">
        <w:rPr>
          <w:color w:val="2E74B5" w:themeColor="accent1" w:themeShade="BF"/>
        </w:rPr>
        <w:t>the possibility</w:t>
      </w:r>
      <w:r w:rsidR="005766A4" w:rsidRPr="00C32AA9">
        <w:rPr>
          <w:color w:val="2E74B5" w:themeColor="accent1" w:themeShade="BF"/>
        </w:rPr>
        <w:t xml:space="preserve"> of an adverse event, </w:t>
      </w:r>
      <w:r w:rsidR="00B9711F" w:rsidRPr="00C32AA9">
        <w:rPr>
          <w:color w:val="2E74B5" w:themeColor="accent1" w:themeShade="BF"/>
        </w:rPr>
        <w:t>or even</w:t>
      </w:r>
      <w:r w:rsidR="005766A4" w:rsidRPr="00C32AA9">
        <w:rPr>
          <w:color w:val="2E74B5" w:themeColor="accent1" w:themeShade="BF"/>
        </w:rPr>
        <w:t xml:space="preserve"> litigation</w:t>
      </w:r>
      <w:r w:rsidRPr="00704EAE">
        <w:t xml:space="preserve">. This included </w:t>
      </w:r>
      <w:r w:rsidR="00437534">
        <w:t xml:space="preserve">the potential for </w:t>
      </w:r>
      <w:r w:rsidRPr="00704EAE">
        <w:t xml:space="preserve">additional </w:t>
      </w:r>
      <w:r w:rsidR="00437534">
        <w:t xml:space="preserve">or longer </w:t>
      </w:r>
      <w:r w:rsidRPr="00704EAE">
        <w:t>appointments, home monitoring of blood p</w:t>
      </w:r>
      <w:r w:rsidR="00437534">
        <w:t xml:space="preserve">ressure </w:t>
      </w:r>
      <w:r w:rsidRPr="00704EAE">
        <w:t>and home visits for housebound patients. This was one of the main reasons for doctors being less keen on changing medication regime</w:t>
      </w:r>
      <w:r w:rsidR="0087563A">
        <w:t>n</w:t>
      </w:r>
      <w:r w:rsidRPr="00704EAE">
        <w:t>s in patients with no specific antihypertensives-related side effects.</w:t>
      </w:r>
    </w:p>
    <w:p w14:paraId="151A403B" w14:textId="77777777" w:rsidR="00704EAE" w:rsidRDefault="00704EAE" w:rsidP="00226130">
      <w:pPr>
        <w:ind w:left="851"/>
      </w:pPr>
      <w:r w:rsidRPr="00704EAE">
        <w:t xml:space="preserve">“Is there anything that’s stopping me – other than the problem that it could take more time, it could take more appointments to facilitate a safe withdrawal of tablets, in terms of following up with repeat home blood pressure monitoring, repeat appointments as to why we’re going to stop them as she’s been taking them for such a long time and been fine with them.” GP01, 1.5 </w:t>
      </w:r>
      <w:r w:rsidR="00BE6F43">
        <w:t>years of experience</w:t>
      </w:r>
    </w:p>
    <w:p w14:paraId="5A0A1F68" w14:textId="77777777" w:rsidR="002B6FF1" w:rsidRDefault="007368CA" w:rsidP="007368CA">
      <w:pPr>
        <w:pStyle w:val="Heading2"/>
      </w:pPr>
      <w:r>
        <w:t>Discussion</w:t>
      </w:r>
    </w:p>
    <w:p w14:paraId="7B5BC2F1" w14:textId="0274B266" w:rsidR="00D91EC5" w:rsidRDefault="00D91EC5" w:rsidP="00D91EC5">
      <w:pPr>
        <w:pStyle w:val="Heading3"/>
      </w:pPr>
      <w:r>
        <w:t>Summary</w:t>
      </w:r>
    </w:p>
    <w:p w14:paraId="77D102D3" w14:textId="19D4E3D6" w:rsidR="002F0412" w:rsidRDefault="00740108" w:rsidP="002F0412">
      <w:bookmarkStart w:id="0" w:name="_Hlk44579716"/>
      <w:r>
        <w:t>In older patients with multimorbidity, deprescribing decisions relating to antihypertensives are not straightforward.</w:t>
      </w:r>
      <w:bookmarkEnd w:id="0"/>
      <w:r w:rsidR="00122AB4">
        <w:t xml:space="preserve"> </w:t>
      </w:r>
      <w:r w:rsidR="002D6562">
        <w:t>I</w:t>
      </w:r>
      <w:r w:rsidR="00122AB4">
        <w:t xml:space="preserve">n everyday clinical practice, </w:t>
      </w:r>
      <w:r w:rsidR="00FA1309">
        <w:t xml:space="preserve">prescribing and </w:t>
      </w:r>
      <w:r w:rsidR="00122AB4">
        <w:t>deprescribing decisions demand</w:t>
      </w:r>
      <w:r w:rsidR="00FA1309">
        <w:t xml:space="preserve"> GPs </w:t>
      </w:r>
      <w:r w:rsidR="00BA5151">
        <w:t>trade off</w:t>
      </w:r>
      <w:r w:rsidR="00BA5151" w:rsidRPr="00704EAE">
        <w:t xml:space="preserve"> </w:t>
      </w:r>
      <w:r w:rsidR="00226130" w:rsidRPr="00704EAE">
        <w:t xml:space="preserve">a variety of factors, </w:t>
      </w:r>
      <w:r w:rsidR="00BA5151">
        <w:t>including</w:t>
      </w:r>
      <w:r w:rsidR="00BA5151" w:rsidRPr="00704EAE">
        <w:t xml:space="preserve"> </w:t>
      </w:r>
      <w:r w:rsidR="00B25F82">
        <w:t xml:space="preserve">explicit </w:t>
      </w:r>
      <w:r w:rsidR="00226130" w:rsidRPr="00704EAE">
        <w:t xml:space="preserve">pressures </w:t>
      </w:r>
      <w:r w:rsidR="00BA5151">
        <w:t>of</w:t>
      </w:r>
      <w:r w:rsidR="00226130" w:rsidRPr="00704EAE">
        <w:t xml:space="preserve"> prescribing targets</w:t>
      </w:r>
      <w:r w:rsidR="00BA5151">
        <w:t>,</w:t>
      </w:r>
      <w:r w:rsidR="00226130" w:rsidRPr="00704EAE">
        <w:t xml:space="preserve"> </w:t>
      </w:r>
      <w:r w:rsidR="00B25F82">
        <w:t xml:space="preserve">tacit </w:t>
      </w:r>
      <w:r w:rsidR="00BA5151">
        <w:t>and practical knowledge on</w:t>
      </w:r>
      <w:r w:rsidR="00226130" w:rsidRPr="00704EAE">
        <w:t xml:space="preserve"> polypharmacy appropriateness for individual patient</w:t>
      </w:r>
      <w:r w:rsidR="00BA5151">
        <w:t>s,</w:t>
      </w:r>
      <w:r w:rsidR="00DA6815" w:rsidRPr="00C32AA9">
        <w:rPr>
          <w:color w:val="2E74B5" w:themeColor="accent1" w:themeShade="BF"/>
        </w:rPr>
        <w:t xml:space="preserve"> patient preferences,</w:t>
      </w:r>
      <w:r w:rsidR="00BA5151" w:rsidRPr="00C32AA9">
        <w:rPr>
          <w:color w:val="2E74B5" w:themeColor="accent1" w:themeShade="BF"/>
        </w:rPr>
        <w:t xml:space="preserve"> </w:t>
      </w:r>
      <w:r w:rsidR="00BA5151">
        <w:t xml:space="preserve">and </w:t>
      </w:r>
      <w:r w:rsidR="00DA57A2">
        <w:t xml:space="preserve">even </w:t>
      </w:r>
      <w:r w:rsidR="00BA5151">
        <w:t>concerns from families wanting more active medical care for their loved one</w:t>
      </w:r>
      <w:r w:rsidR="00226130" w:rsidRPr="00704EAE">
        <w:t xml:space="preserve">. </w:t>
      </w:r>
      <w:r w:rsidR="009E5271">
        <w:t>In cases</w:t>
      </w:r>
      <w:r w:rsidR="00B205EB">
        <w:t xml:space="preserve"> where there are clear trigger</w:t>
      </w:r>
      <w:r w:rsidR="009E5271">
        <w:t xml:space="preserve"> events for deprescribing (such as </w:t>
      </w:r>
      <w:r w:rsidR="009E5271" w:rsidRPr="00704EAE">
        <w:t xml:space="preserve">specific </w:t>
      </w:r>
      <w:r w:rsidR="009E5271" w:rsidRPr="00704EAE">
        <w:lastRenderedPageBreak/>
        <w:t>symptoms</w:t>
      </w:r>
      <w:bookmarkStart w:id="1" w:name="_Hlk44579741"/>
      <w:r w:rsidR="00D11D82">
        <w:t>, a fall,</w:t>
      </w:r>
      <w:r w:rsidR="009E5271" w:rsidRPr="00704EAE">
        <w:t xml:space="preserve"> </w:t>
      </w:r>
      <w:bookmarkEnd w:id="1"/>
      <w:r w:rsidR="009E5271" w:rsidRPr="00704EAE">
        <w:t>or an explicit request from the patient</w:t>
      </w:r>
      <w:r w:rsidR="009E5271">
        <w:t xml:space="preserve">), mindlines are well established. </w:t>
      </w:r>
      <w:bookmarkStart w:id="2" w:name="_Hlk44579778"/>
      <w:r w:rsidR="00C1787A">
        <w:t>Outside of such triggers, our study shows that mindlines lead to a cautious approach to deprescribing by GPs, and a “watch-and-wait” approach is prevalent.</w:t>
      </w:r>
      <w:r w:rsidR="00C1787A" w:rsidDel="00C1787A">
        <w:t xml:space="preserve"> </w:t>
      </w:r>
      <w:r w:rsidR="005C5C93" w:rsidRPr="003C0F63">
        <w:t xml:space="preserve">Consequently, even those GPs who would be keen to reduce polypharmacy in their multimorbid </w:t>
      </w:r>
      <w:r w:rsidR="0071317D" w:rsidRPr="00C32AA9">
        <w:rPr>
          <w:color w:val="2E74B5" w:themeColor="accent1" w:themeShade="BF"/>
        </w:rPr>
        <w:t xml:space="preserve">older </w:t>
      </w:r>
      <w:r w:rsidR="005C5C93" w:rsidRPr="003C0F63">
        <w:t xml:space="preserve">patients may find it difficult to justify withdrawing antihypertensives without an explicit clinical reason, </w:t>
      </w:r>
      <w:r w:rsidR="005C5C93">
        <w:t xml:space="preserve">even in the context of strong relational </w:t>
      </w:r>
      <w:r w:rsidR="005C5C93" w:rsidRPr="003C0F63">
        <w:t>continuity</w:t>
      </w:r>
      <w:r w:rsidR="005C5C93">
        <w:t>.</w:t>
      </w:r>
      <w:bookmarkEnd w:id="2"/>
    </w:p>
    <w:p w14:paraId="4070E6F5" w14:textId="3D59DB92" w:rsidR="003139F6" w:rsidRDefault="00523BA1" w:rsidP="003139F6">
      <w:bookmarkStart w:id="3" w:name="_Hlk44579847"/>
      <w:r>
        <w:t>D</w:t>
      </w:r>
      <w:r w:rsidRPr="003C0F63">
        <w:t>eprescribing outside of a trigger event was considered</w:t>
      </w:r>
      <w:r>
        <w:t xml:space="preserve"> more frequently by GPs whose mindlines were informed by many more years of clinical </w:t>
      </w:r>
      <w:r w:rsidRPr="003C0F63">
        <w:t>experience</w:t>
      </w:r>
      <w:r>
        <w:t xml:space="preserve">. </w:t>
      </w:r>
      <w:bookmarkEnd w:id="3"/>
      <w:r w:rsidR="009B1CF3">
        <w:t>N</w:t>
      </w:r>
      <w:r w:rsidR="003139F6">
        <w:t xml:space="preserve">ewly qualified GPs </w:t>
      </w:r>
      <w:r>
        <w:t>were</w:t>
      </w:r>
      <w:r w:rsidR="009B1CF3">
        <w:t xml:space="preserve"> </w:t>
      </w:r>
      <w:r w:rsidR="003139F6">
        <w:t xml:space="preserve">less confident about stopping preventive medication in patients with complicated regimens who </w:t>
      </w:r>
      <w:r>
        <w:t xml:space="preserve">were </w:t>
      </w:r>
      <w:r w:rsidR="003139F6">
        <w:t>not experiencing side effects</w:t>
      </w:r>
      <w:r w:rsidR="00DA57A2">
        <w:t xml:space="preserve"> or another active clinical concern</w:t>
      </w:r>
      <w:r w:rsidR="003139F6">
        <w:t>.</w:t>
      </w:r>
      <w:r w:rsidR="002F0412" w:rsidRPr="002F0412">
        <w:t xml:space="preserve"> </w:t>
      </w:r>
      <w:r w:rsidR="002F0412">
        <w:t xml:space="preserve">The climate in which GPs </w:t>
      </w:r>
      <w:r w:rsidR="00E04588" w:rsidRPr="00C32AA9">
        <w:rPr>
          <w:color w:val="2E74B5" w:themeColor="accent1" w:themeShade="BF"/>
        </w:rPr>
        <w:t xml:space="preserve">practice </w:t>
      </w:r>
      <w:r w:rsidR="005924ED" w:rsidRPr="00C32AA9">
        <w:rPr>
          <w:color w:val="2E74B5" w:themeColor="accent1" w:themeShade="BF"/>
        </w:rPr>
        <w:t>makes them</w:t>
      </w:r>
      <w:r w:rsidR="00C02724" w:rsidRPr="00C32AA9">
        <w:rPr>
          <w:color w:val="2E74B5" w:themeColor="accent1" w:themeShade="BF"/>
        </w:rPr>
        <w:t xml:space="preserve"> </w:t>
      </w:r>
      <w:r w:rsidR="002F0412">
        <w:t xml:space="preserve">acutely </w:t>
      </w:r>
      <w:r w:rsidR="001F0A19">
        <w:t>aware</w:t>
      </w:r>
      <w:r w:rsidR="002F0412">
        <w:t xml:space="preserve"> about the threat of litigation following a deprescribing decision that led to an adverse event, making them less willing to consider medication reduction</w:t>
      </w:r>
      <w:r w:rsidR="00FE3B60">
        <w:t>.</w:t>
      </w:r>
      <w:r w:rsidR="00955B5B">
        <w:t xml:space="preserve"> </w:t>
      </w:r>
      <w:r w:rsidR="003139F6">
        <w:t xml:space="preserve">Although GPs’ anxiety about stopping antihypertensives </w:t>
      </w:r>
      <w:r w:rsidR="00190E64">
        <w:t>is</w:t>
      </w:r>
      <w:r w:rsidR="003139F6">
        <w:t xml:space="preserve"> likely to decrease as they gain more professional experience, their mindlines may form more readily if specific guidelines on reducing polypharmacy were available.</w:t>
      </w:r>
      <w:r w:rsidR="009B1CF3">
        <w:t xml:space="preserve"> Such guidelines will not become available without first generating robust empirical data from trials and (to a lesser extent) observational studies. </w:t>
      </w:r>
    </w:p>
    <w:p w14:paraId="7A971A9C" w14:textId="77777777" w:rsidR="00226130" w:rsidRPr="00704EAE" w:rsidRDefault="00226130" w:rsidP="008B505F">
      <w:pPr>
        <w:pStyle w:val="Heading3"/>
      </w:pPr>
      <w:r w:rsidRPr="00704EAE">
        <w:t>Strengths and limitations</w:t>
      </w:r>
    </w:p>
    <w:p w14:paraId="11E4C71D" w14:textId="07D40804" w:rsidR="00226130" w:rsidRDefault="000E0822" w:rsidP="005D6E96">
      <w:r w:rsidRPr="00704EAE">
        <w:t>While this study fits in with other research focusing on barriers and facilitators to deprescribing preventive medication</w:t>
      </w:r>
      <w:r>
        <w:t xml:space="preserve"> </w:t>
      </w:r>
      <w:r w:rsidR="003F30A8" w:rsidRPr="003F30A8">
        <w:rPr>
          <w:rFonts w:cs="Arial"/>
        </w:rPr>
        <w:t>(13,15,16,29,30,33,34,36–41)</w:t>
      </w:r>
      <w:r w:rsidRPr="00704EAE">
        <w:t>, it focuses on gaps in GPs</w:t>
      </w:r>
      <w:r>
        <w:t>’</w:t>
      </w:r>
      <w:r w:rsidRPr="00704EAE">
        <w:t xml:space="preserve"> in-practice knowledge </w:t>
      </w:r>
      <w:r>
        <w:t xml:space="preserve">and practice </w:t>
      </w:r>
      <w:r w:rsidRPr="00704EAE">
        <w:t>related to deprescribing antihypertensives</w:t>
      </w:r>
      <w:r w:rsidR="00D84B34" w:rsidRPr="00C32AA9">
        <w:rPr>
          <w:color w:val="2E74B5" w:themeColor="accent1" w:themeShade="BF"/>
        </w:rPr>
        <w:t>, drawing on thinking around mindlines</w:t>
      </w:r>
      <w:r w:rsidRPr="00704EAE">
        <w:t xml:space="preserve">. </w:t>
      </w:r>
      <w:r w:rsidR="00FF53F7">
        <w:t>Within the interview study, t</w:t>
      </w:r>
      <w:r w:rsidR="00226130" w:rsidRPr="00704EAE">
        <w:t>he use of chart-stimulated recall can add to the specificity of</w:t>
      </w:r>
      <w:r w:rsidR="00182C0A">
        <w:t xml:space="preserve"> interview data and facilitate</w:t>
      </w:r>
      <w:r w:rsidR="00226130" w:rsidRPr="00704EAE">
        <w:t xml:space="preserve"> deeper </w:t>
      </w:r>
      <w:r w:rsidR="00182C0A">
        <w:t>reflection in participants</w:t>
      </w:r>
      <w:r w:rsidR="00226130" w:rsidRPr="00704EAE">
        <w:t xml:space="preserve"> </w:t>
      </w:r>
      <w:r w:rsidR="00D160F9" w:rsidRPr="00D160F9">
        <w:rPr>
          <w:rFonts w:cs="Arial"/>
        </w:rPr>
        <w:t>(50)</w:t>
      </w:r>
      <w:r w:rsidR="00226130" w:rsidRPr="00704EAE">
        <w:t>. GPs were asked to hypothesise about deprescribing decisions in cases of specific patients, which required real-time articulation of reasons about why deprescribing did not occur. The findings of the study may be limited by the small geographical area in England from which GPs were recruited and by the relatively low number of participants.</w:t>
      </w:r>
    </w:p>
    <w:p w14:paraId="10B76181" w14:textId="77777777" w:rsidR="0010101A" w:rsidRPr="00B43148" w:rsidRDefault="0010101A" w:rsidP="008B505F">
      <w:pPr>
        <w:pStyle w:val="Heading3"/>
      </w:pPr>
      <w:r w:rsidRPr="00B43148">
        <w:t>Comparison with existing literature</w:t>
      </w:r>
    </w:p>
    <w:p w14:paraId="66244DA7" w14:textId="349DBD34" w:rsidR="0039406E" w:rsidRDefault="00425DF0" w:rsidP="007061EF">
      <w:r>
        <w:t xml:space="preserve">Clinicians develop mindlines </w:t>
      </w:r>
      <w:r w:rsidR="00BF58C8">
        <w:t>through everyday clinical practice and interaction</w:t>
      </w:r>
      <w:r>
        <w:t xml:space="preserve">. The robustness of these </w:t>
      </w:r>
      <w:r w:rsidR="00190E64">
        <w:t>mindlines depends on available information</w:t>
      </w:r>
      <w:r>
        <w:t xml:space="preserve"> in the form of the clinical evidence base (and guidelines) as well as professional experience and informal </w:t>
      </w:r>
      <w:r w:rsidR="00190E64">
        <w:t>knowledge</w:t>
      </w:r>
      <w:r>
        <w:t xml:space="preserve"> exchange between peers. </w:t>
      </w:r>
      <w:r w:rsidR="002D7C7E">
        <w:t xml:space="preserve">Participating GPs in our sample </w:t>
      </w:r>
      <w:r w:rsidR="00AB22B8">
        <w:t xml:space="preserve">have </w:t>
      </w:r>
      <w:r w:rsidR="002C1D8B">
        <w:t xml:space="preserve">demonstrated how their </w:t>
      </w:r>
      <w:r w:rsidR="00AB22B8">
        <w:t>decision-making</w:t>
      </w:r>
      <w:r w:rsidR="002C1D8B">
        <w:t xml:space="preserve"> </w:t>
      </w:r>
      <w:r w:rsidR="002D4E7E">
        <w:t xml:space="preserve">about deprescribing </w:t>
      </w:r>
      <w:r w:rsidR="002C1D8B">
        <w:t>draws primarily on their own and their colleagues’ professional experience</w:t>
      </w:r>
      <w:r w:rsidR="0010101A" w:rsidRPr="0010101A">
        <w:t xml:space="preserve"> </w:t>
      </w:r>
      <w:r w:rsidR="003C035E" w:rsidRPr="003C035E">
        <w:rPr>
          <w:rFonts w:cs="Arial"/>
        </w:rPr>
        <w:t>(20)</w:t>
      </w:r>
      <w:r w:rsidR="00FF53F7">
        <w:t xml:space="preserve">. </w:t>
      </w:r>
      <w:r w:rsidR="007061EF">
        <w:t xml:space="preserve">Where the evidence base on the need to deprescribe was perceived to be clearer, </w:t>
      </w:r>
      <w:r w:rsidR="00BF58C8">
        <w:t xml:space="preserve">such as in response to a trigger event, </w:t>
      </w:r>
      <w:r w:rsidR="007061EF">
        <w:t xml:space="preserve">GPs’ mindlines </w:t>
      </w:r>
      <w:r w:rsidR="00BF58C8">
        <w:t xml:space="preserve">were </w:t>
      </w:r>
      <w:r w:rsidR="00E64AE2">
        <w:t>well-developed</w:t>
      </w:r>
      <w:r w:rsidR="007061EF">
        <w:t xml:space="preserve">. In other scenarios, however, mindlines tended to emerge more </w:t>
      </w:r>
      <w:r w:rsidR="00190E64">
        <w:t>readily</w:t>
      </w:r>
      <w:r w:rsidR="007061EF">
        <w:t xml:space="preserve"> only among those physicians who have been practising longer. </w:t>
      </w:r>
    </w:p>
    <w:p w14:paraId="19C3FDED" w14:textId="189F11DC" w:rsidR="0010101A" w:rsidRPr="0010101A" w:rsidRDefault="00E64AE2" w:rsidP="00B43148">
      <w:r w:rsidRPr="00BF58C8">
        <w:t>Evidence supports the significance of mindlines in understanding how clinical decisions are made in the context of individual patients</w:t>
      </w:r>
      <w:r w:rsidR="00F736D1" w:rsidRPr="00C32AA9">
        <w:rPr>
          <w:color w:val="2E74B5" w:themeColor="accent1" w:themeShade="BF"/>
        </w:rPr>
        <w:t>’</w:t>
      </w:r>
      <w:r w:rsidRPr="00BF58C8">
        <w:t xml:space="preserve"> circumstances and broader structural pressures </w:t>
      </w:r>
      <w:r w:rsidR="00D160F9" w:rsidRPr="00D160F9">
        <w:rPr>
          <w:rFonts w:cs="Arial"/>
        </w:rPr>
        <w:t>(21,29,51)</w:t>
      </w:r>
      <w:r w:rsidRPr="00BF58C8">
        <w:t>.</w:t>
      </w:r>
      <w:r>
        <w:t xml:space="preserve"> </w:t>
      </w:r>
      <w:r w:rsidR="00D0418D" w:rsidRPr="00BF58C8">
        <w:t>A</w:t>
      </w:r>
      <w:r w:rsidR="00BF58C8">
        <w:t xml:space="preserve"> recent</w:t>
      </w:r>
      <w:r w:rsidR="00D0418D" w:rsidRPr="00BF58C8">
        <w:t xml:space="preserve"> example of the nature and impact of</w:t>
      </w:r>
      <w:r w:rsidR="006E3F06" w:rsidRPr="00BF58C8">
        <w:t xml:space="preserve"> mindlines </w:t>
      </w:r>
      <w:r w:rsidR="00D0418D" w:rsidRPr="00BF58C8">
        <w:t>comes from</w:t>
      </w:r>
      <w:r w:rsidR="006E3F06" w:rsidRPr="00BF58C8">
        <w:t xml:space="preserve"> a study of management strategies </w:t>
      </w:r>
      <w:r w:rsidR="00D0418D" w:rsidRPr="00BF58C8">
        <w:t>for</w:t>
      </w:r>
      <w:r w:rsidR="006E3F06" w:rsidRPr="00BF58C8">
        <w:t xml:space="preserve"> atopic eczema </w:t>
      </w:r>
      <w:r w:rsidR="00D160F9" w:rsidRPr="00D160F9">
        <w:rPr>
          <w:rFonts w:cs="Arial"/>
        </w:rPr>
        <w:t>(51)</w:t>
      </w:r>
      <w:r w:rsidR="006E3F06" w:rsidRPr="00BF58C8">
        <w:t xml:space="preserve">. Despite available evidence, such as NICE guidelines and local emollient guidelines, providing evidence-based treatment was challenging for GPs, who often perceived </w:t>
      </w:r>
      <w:r w:rsidR="00706C17">
        <w:t>changes to</w:t>
      </w:r>
      <w:r w:rsidR="006E3F06" w:rsidRPr="00BF58C8">
        <w:t xml:space="preserve"> recommended </w:t>
      </w:r>
      <w:r w:rsidR="000163F6" w:rsidRPr="00C32AA9">
        <w:rPr>
          <w:color w:val="2E74B5" w:themeColor="accent1" w:themeShade="BF"/>
        </w:rPr>
        <w:t xml:space="preserve">emollients </w:t>
      </w:r>
      <w:r w:rsidR="006E3F06" w:rsidRPr="00BF58C8">
        <w:t>as economically motivated. Instead, GPs</w:t>
      </w:r>
      <w:r w:rsidR="00706C17">
        <w:t>’ mindlines drew</w:t>
      </w:r>
      <w:r w:rsidR="006E3F06" w:rsidRPr="00BF58C8">
        <w:t xml:space="preserve"> on their own and their colleagues’ experience </w:t>
      </w:r>
      <w:r w:rsidR="00706C17">
        <w:t xml:space="preserve">of managing </w:t>
      </w:r>
      <w:r w:rsidR="00706C17">
        <w:lastRenderedPageBreak/>
        <w:t xml:space="preserve">eczema </w:t>
      </w:r>
      <w:r w:rsidR="006E3F06" w:rsidRPr="00BF58C8">
        <w:t xml:space="preserve">as well as online resources. Interestingly, practitioners who had personal experience of eczema were also the most likely to articulate a </w:t>
      </w:r>
      <w:r w:rsidR="0014088A" w:rsidRPr="00BF58C8">
        <w:t>nuanced</w:t>
      </w:r>
      <w:r w:rsidR="00A430BB" w:rsidRPr="00BF58C8">
        <w:t xml:space="preserve"> understanding</w:t>
      </w:r>
      <w:r w:rsidR="0014088A" w:rsidRPr="00BF58C8">
        <w:t xml:space="preserve"> of eczema management, including </w:t>
      </w:r>
      <w:r w:rsidR="006256A4" w:rsidRPr="00BF58C8">
        <w:t>robust</w:t>
      </w:r>
      <w:r w:rsidR="0014088A" w:rsidRPr="00BF58C8">
        <w:t xml:space="preserve"> knowledge of available products to treat it</w:t>
      </w:r>
      <w:r w:rsidR="00A55168" w:rsidRPr="00BF58C8">
        <w:t xml:space="preserve"> </w:t>
      </w:r>
      <w:r w:rsidR="00D160F9" w:rsidRPr="00D160F9">
        <w:rPr>
          <w:rFonts w:cs="Arial"/>
        </w:rPr>
        <w:t>(51)</w:t>
      </w:r>
      <w:r w:rsidR="0014088A" w:rsidRPr="00BF58C8">
        <w:t>.</w:t>
      </w:r>
      <w:r w:rsidR="006B61E1" w:rsidRPr="00BF58C8">
        <w:t xml:space="preserve"> </w:t>
      </w:r>
    </w:p>
    <w:p w14:paraId="0EF1230D" w14:textId="5509D049" w:rsidR="009C4B2B" w:rsidRDefault="00D64FE2" w:rsidP="00B43148">
      <w:r>
        <w:t>A</w:t>
      </w:r>
      <w:r w:rsidR="00FE2E5A">
        <w:t xml:space="preserve"> growing </w:t>
      </w:r>
      <w:r w:rsidR="008F26A2">
        <w:t>interest in de</w:t>
      </w:r>
      <w:r w:rsidR="00703754">
        <w:t>prescribing</w:t>
      </w:r>
      <w:r w:rsidR="008B4F61">
        <w:t xml:space="preserve"> in </w:t>
      </w:r>
      <w:r w:rsidR="0071317D" w:rsidRPr="00CF540B">
        <w:rPr>
          <w:color w:val="2E74B5" w:themeColor="accent1" w:themeShade="BF"/>
        </w:rPr>
        <w:t xml:space="preserve">older </w:t>
      </w:r>
      <w:r w:rsidR="008B4F61">
        <w:t>multimorbid patients</w:t>
      </w:r>
      <w:r w:rsidR="00703754">
        <w:t xml:space="preserve"> </w:t>
      </w:r>
      <w:r w:rsidR="00FE2E5A">
        <w:t>has been</w:t>
      </w:r>
      <w:r w:rsidR="00703754">
        <w:t xml:space="preserve"> fuelled by mounting evidence </w:t>
      </w:r>
      <w:r w:rsidR="00F034EE">
        <w:t xml:space="preserve">on the </w:t>
      </w:r>
      <w:r w:rsidR="00B876C7">
        <w:t xml:space="preserve">potential harms </w:t>
      </w:r>
      <w:r w:rsidR="00F034EE">
        <w:t>of polypharmacy</w:t>
      </w:r>
      <w:r w:rsidR="003D6543">
        <w:t xml:space="preserve"> over the last two decades</w:t>
      </w:r>
      <w:r>
        <w:t xml:space="preserve"> </w:t>
      </w:r>
      <w:r w:rsidR="00EC5692" w:rsidRPr="00EC5692">
        <w:rPr>
          <w:rFonts w:cs="Arial"/>
        </w:rPr>
        <w:t>(11–14,27)</w:t>
      </w:r>
      <w:r w:rsidR="00E55359">
        <w:rPr>
          <w:rFonts w:cs="Arial"/>
        </w:rPr>
        <w:t xml:space="preserve">, as </w:t>
      </w:r>
      <w:r w:rsidR="007C2E11">
        <w:rPr>
          <w:rFonts w:cs="Arial"/>
        </w:rPr>
        <w:t xml:space="preserve">evidenced by the </w:t>
      </w:r>
      <w:r w:rsidR="007C2E11" w:rsidRPr="00620764">
        <w:rPr>
          <w:rFonts w:cs="Arial"/>
        </w:rPr>
        <w:t xml:space="preserve">changes in the QOF </w:t>
      </w:r>
      <w:r w:rsidR="00EC5692" w:rsidRPr="00EC5692">
        <w:rPr>
          <w:rFonts w:cs="Arial"/>
        </w:rPr>
        <w:t>(8)</w:t>
      </w:r>
      <w:r w:rsidR="009C51D8" w:rsidRPr="00620764">
        <w:t xml:space="preserve">. </w:t>
      </w:r>
      <w:r w:rsidR="003D6543" w:rsidRPr="00620764">
        <w:t>However</w:t>
      </w:r>
      <w:r w:rsidR="009C51D8">
        <w:t>,</w:t>
      </w:r>
      <w:r>
        <w:t xml:space="preserve"> </w:t>
      </w:r>
      <w:r w:rsidR="00B6687D">
        <w:t xml:space="preserve">these trends </w:t>
      </w:r>
      <w:r w:rsidR="00C2511D">
        <w:t xml:space="preserve">have yet to </w:t>
      </w:r>
      <w:r w:rsidR="00B6687D">
        <w:t>translate into specific guidelines that would</w:t>
      </w:r>
      <w:r w:rsidR="00FE2E5A">
        <w:t xml:space="preserve"> </w:t>
      </w:r>
      <w:r w:rsidR="009C51D8">
        <w:t>equip</w:t>
      </w:r>
      <w:r w:rsidR="00FE2E5A">
        <w:t xml:space="preserve"> GPs </w:t>
      </w:r>
      <w:r w:rsidR="003D6543">
        <w:t>for stopping</w:t>
      </w:r>
      <w:r w:rsidR="00FE2E5A">
        <w:t xml:space="preserve"> preventive</w:t>
      </w:r>
      <w:r w:rsidR="001D7B05">
        <w:t xml:space="preserve"> medication</w:t>
      </w:r>
      <w:r w:rsidR="00FE2E5A">
        <w:t xml:space="preserve"> with the degree of </w:t>
      </w:r>
      <w:r w:rsidR="001D7B05">
        <w:t>confidence with which they prescribe it</w:t>
      </w:r>
      <w:r>
        <w:t xml:space="preserve"> </w:t>
      </w:r>
      <w:r w:rsidR="00EC5692" w:rsidRPr="00EC5692">
        <w:rPr>
          <w:rFonts w:cs="Arial"/>
        </w:rPr>
        <w:t>(17,31)</w:t>
      </w:r>
      <w:r w:rsidR="001D7B05">
        <w:t>.</w:t>
      </w:r>
      <w:r w:rsidR="00EB334A">
        <w:t xml:space="preserve"> </w:t>
      </w:r>
      <w:r w:rsidR="004F4EA1">
        <w:t xml:space="preserve">In this context, GPs must </w:t>
      </w:r>
      <w:r w:rsidR="009D3750">
        <w:t xml:space="preserve">(and do) </w:t>
      </w:r>
      <w:r w:rsidR="004F4EA1">
        <w:t>rely on their own and their colleagues’ experience when</w:t>
      </w:r>
      <w:r w:rsidR="00510FA8">
        <w:t xml:space="preserve"> making decisions to deprescribe. </w:t>
      </w:r>
      <w:r w:rsidR="00B876C7">
        <w:t>Consequently</w:t>
      </w:r>
      <w:r w:rsidR="0030068B">
        <w:t>,</w:t>
      </w:r>
      <w:r w:rsidR="00A44B23">
        <w:t xml:space="preserve"> the decision to continue polypharmacy</w:t>
      </w:r>
      <w:r w:rsidR="0030068B">
        <w:t xml:space="preserve"> in a patient who is not experiencing any side effects</w:t>
      </w:r>
      <w:r w:rsidR="00A44B23">
        <w:t xml:space="preserve"> </w:t>
      </w:r>
      <w:r w:rsidR="005465B2">
        <w:t xml:space="preserve">may </w:t>
      </w:r>
      <w:r w:rsidR="00A44B23">
        <w:t>often simply</w:t>
      </w:r>
      <w:r w:rsidR="005465B2">
        <w:t xml:space="preserve"> seem</w:t>
      </w:r>
      <w:r w:rsidR="009D3750">
        <w:t xml:space="preserve"> both </w:t>
      </w:r>
      <w:r w:rsidR="00182C0A">
        <w:t>risk-averse</w:t>
      </w:r>
      <w:r w:rsidR="009D3750">
        <w:t xml:space="preserve"> and</w:t>
      </w:r>
      <w:r w:rsidR="00A44B23">
        <w:t xml:space="preserve"> wise</w:t>
      </w:r>
      <w:r w:rsidR="00D36B27">
        <w:t>, as exemplified in our</w:t>
      </w:r>
      <w:r w:rsidR="00F96A86">
        <w:t xml:space="preserve"> interviews with GPs</w:t>
      </w:r>
      <w:r w:rsidR="00A44B23">
        <w:t>.</w:t>
      </w:r>
    </w:p>
    <w:p w14:paraId="79F44DAE" w14:textId="77777777" w:rsidR="0010101A" w:rsidRPr="00B43148" w:rsidRDefault="0010101A" w:rsidP="008B505F">
      <w:pPr>
        <w:pStyle w:val="Heading3"/>
      </w:pPr>
      <w:r w:rsidRPr="00B43148">
        <w:t>Implications for research and practice</w:t>
      </w:r>
    </w:p>
    <w:p w14:paraId="55E6CEF6" w14:textId="44C31EBD" w:rsidR="007368CA" w:rsidRDefault="00B40EC3" w:rsidP="00D855CB">
      <w:r>
        <w:t>T</w:t>
      </w:r>
      <w:r w:rsidR="001C16AF" w:rsidRPr="001C16AF">
        <w:t xml:space="preserve">here is a rising need to </w:t>
      </w:r>
      <w:r w:rsidR="00044B16" w:rsidRPr="001C16AF">
        <w:t>secur</w:t>
      </w:r>
      <w:r w:rsidR="00044B16">
        <w:t>e</w:t>
      </w:r>
      <w:r w:rsidR="00044B16" w:rsidRPr="001C16AF">
        <w:t xml:space="preserve"> evidence on </w:t>
      </w:r>
      <w:r w:rsidR="00044B16">
        <w:t>when and for whom</w:t>
      </w:r>
      <w:r w:rsidR="00044B16" w:rsidRPr="001C16AF">
        <w:t xml:space="preserve"> deprescribing is most likely to be beneficial</w:t>
      </w:r>
      <w:r w:rsidR="00A2042B">
        <w:t>,</w:t>
      </w:r>
      <w:r w:rsidR="007C2E11">
        <w:t xml:space="preserve"> as current practice </w:t>
      </w:r>
      <w:r w:rsidR="00441810">
        <w:t xml:space="preserve">heavily </w:t>
      </w:r>
      <w:r w:rsidR="007C2E11">
        <w:t>relies on GP’s experience and intuition</w:t>
      </w:r>
      <w:r>
        <w:t xml:space="preserve">. </w:t>
      </w:r>
      <w:r w:rsidR="00B25B6A" w:rsidRPr="00CF540B">
        <w:rPr>
          <w:color w:val="2E74B5" w:themeColor="accent1" w:themeShade="BF"/>
        </w:rPr>
        <w:t xml:space="preserve">These tacit approaches to making complex decisions are critical to developing confidence to attempt deprescribing, and may be strengthened through reflective practice. </w:t>
      </w:r>
      <w:r>
        <w:t xml:space="preserve">As future doctors </w:t>
      </w:r>
      <w:r w:rsidRPr="00B40EC3">
        <w:t xml:space="preserve">will be dealing with an increasingly aged, multimorbid cohort of patients, </w:t>
      </w:r>
      <w:r>
        <w:t>deprescribing</w:t>
      </w:r>
      <w:r w:rsidR="00D431A4">
        <w:t xml:space="preserve"> as</w:t>
      </w:r>
      <w:r w:rsidRPr="00B40EC3">
        <w:t xml:space="preserve"> a skill </w:t>
      </w:r>
      <w:r w:rsidR="00D431A4">
        <w:t>will</w:t>
      </w:r>
      <w:r w:rsidRPr="00B40EC3">
        <w:t xml:space="preserve"> need a place in </w:t>
      </w:r>
      <w:r w:rsidR="00D431A4">
        <w:t xml:space="preserve">the </w:t>
      </w:r>
      <w:r w:rsidR="001C16AF" w:rsidRPr="001C16AF">
        <w:t>medical training curricul</w:t>
      </w:r>
      <w:r w:rsidR="00D51913">
        <w:t>um</w:t>
      </w:r>
      <w:r w:rsidR="001C16AF" w:rsidRPr="001C16AF">
        <w:t>.</w:t>
      </w:r>
      <w:r w:rsidR="00943FC6">
        <w:t xml:space="preserve"> </w:t>
      </w:r>
      <w:r w:rsidR="00ED2EE8">
        <w:t>At the same time, it is important to recognise that</w:t>
      </w:r>
      <w:r w:rsidR="0093511F">
        <w:t>,</w:t>
      </w:r>
      <w:r w:rsidR="00ED2EE8">
        <w:t xml:space="preserve"> </w:t>
      </w:r>
      <w:r w:rsidR="000D6E75">
        <w:t xml:space="preserve">given the complexity of individual </w:t>
      </w:r>
      <w:r w:rsidR="00E468E7" w:rsidRPr="00CF540B">
        <w:rPr>
          <w:color w:val="2E74B5" w:themeColor="accent1" w:themeShade="BF"/>
        </w:rPr>
        <w:t>people taking multiple medications</w:t>
      </w:r>
      <w:r w:rsidR="000D6E75">
        <w:t xml:space="preserve">, professional guidelines and training are </w:t>
      </w:r>
      <w:r w:rsidR="00620764">
        <w:t>un</w:t>
      </w:r>
      <w:r w:rsidR="000D6E75">
        <w:t xml:space="preserve">likely to be </w:t>
      </w:r>
      <w:r w:rsidR="00B302F3">
        <w:t>sufficient</w:t>
      </w:r>
      <w:r w:rsidR="00DC1431">
        <w:t xml:space="preserve"> to </w:t>
      </w:r>
      <w:r w:rsidR="00DC1431" w:rsidRPr="00DC1431">
        <w:t>address</w:t>
      </w:r>
      <w:r w:rsidR="00DC1431">
        <w:t xml:space="preserve"> eac</w:t>
      </w:r>
      <w:r w:rsidR="00BE1F2A">
        <w:t>h patient</w:t>
      </w:r>
      <w:r w:rsidR="0072691B">
        <w:t>’s</w:t>
      </w:r>
      <w:r w:rsidR="00BE1F2A">
        <w:t xml:space="preserve"> needs and preferences in the light of their complex medication regimens and possible adverse effects.</w:t>
      </w:r>
      <w:r w:rsidR="0063334A">
        <w:t xml:space="preserve"> </w:t>
      </w:r>
      <w:r w:rsidR="007A6343">
        <w:t>Doctors</w:t>
      </w:r>
      <w:r w:rsidR="0063334A">
        <w:t xml:space="preserve"> will </w:t>
      </w:r>
      <w:r w:rsidR="00A2042B">
        <w:t xml:space="preserve">develop and </w:t>
      </w:r>
      <w:r w:rsidR="0063334A">
        <w:t>rely on mindlines when making complex decisions</w:t>
      </w:r>
      <w:r w:rsidR="00F637A5">
        <w:t xml:space="preserve"> about reducing </w:t>
      </w:r>
      <w:r w:rsidR="00F637A5" w:rsidRPr="00DB586A">
        <w:t>polypharmacy</w:t>
      </w:r>
      <w:r w:rsidR="00A2042B">
        <w:t xml:space="preserve">: </w:t>
      </w:r>
      <w:r w:rsidR="00BF58C8">
        <w:t>surfacing the nature of such mindlines – as in this study – is one way to share practice more widely</w:t>
      </w:r>
      <w:r w:rsidR="0046306B" w:rsidRPr="00DB586A">
        <w:t>.</w:t>
      </w:r>
      <w:r w:rsidR="00DB586A" w:rsidRPr="00DB586A">
        <w:t xml:space="preserve"> A</w:t>
      </w:r>
      <w:r w:rsidR="00BF58C8">
        <w:t>s time goes on, a</w:t>
      </w:r>
      <w:r w:rsidR="00DB586A" w:rsidRPr="00DB586A">
        <w:t xml:space="preserve">n improved evidence base on the impact of deprescribing and guidelines on when and how to deprescribe are likely to support the </w:t>
      </w:r>
      <w:r w:rsidR="00BF58C8">
        <w:t>strengthening</w:t>
      </w:r>
      <w:r w:rsidR="00BF58C8" w:rsidRPr="00DB586A">
        <w:t xml:space="preserve"> </w:t>
      </w:r>
      <w:r w:rsidR="00DB586A" w:rsidRPr="00DB586A">
        <w:t xml:space="preserve">of </w:t>
      </w:r>
      <w:r w:rsidR="00D507BC">
        <w:t>mindlines</w:t>
      </w:r>
      <w:r w:rsidR="00DB586A" w:rsidRPr="00DB586A">
        <w:t xml:space="preserve"> around deprescribing, even without trigger events.</w:t>
      </w:r>
    </w:p>
    <w:p w14:paraId="01E5850B" w14:textId="2740732D" w:rsidR="00E41DAF" w:rsidRDefault="00E41DAF" w:rsidP="00D855CB"/>
    <w:p w14:paraId="2EF16BC0" w14:textId="1A789B20" w:rsidR="006A68C6" w:rsidRDefault="006A68C6">
      <w:pPr>
        <w:autoSpaceDE/>
        <w:autoSpaceDN/>
        <w:adjustRightInd/>
        <w:spacing w:after="0"/>
      </w:pPr>
      <w:r>
        <w:br w:type="page"/>
      </w:r>
    </w:p>
    <w:p w14:paraId="1FE3E209" w14:textId="77777777" w:rsidR="00296169" w:rsidRPr="00EA37D7" w:rsidRDefault="00296169" w:rsidP="00D855CB"/>
    <w:p w14:paraId="1657999E" w14:textId="77777777" w:rsidR="00E41DAF" w:rsidRDefault="00E41DAF" w:rsidP="00E41DAF">
      <w:pPr>
        <w:pStyle w:val="Heading2"/>
      </w:pPr>
      <w:r>
        <w:t>Tables and figures</w:t>
      </w:r>
    </w:p>
    <w:p w14:paraId="3AAC4C32" w14:textId="77777777" w:rsidR="00E41DAF" w:rsidRPr="00830912" w:rsidRDefault="00E41DAF" w:rsidP="00E41DAF">
      <w:pPr>
        <w:autoSpaceDE/>
        <w:autoSpaceDN/>
        <w:adjustRightInd/>
        <w:spacing w:after="160" w:line="259" w:lineRule="auto"/>
        <w:rPr>
          <w:szCs w:val="22"/>
          <w:highlight w:val="yellow"/>
        </w:rPr>
      </w:pPr>
      <w:bookmarkStart w:id="4" w:name="_Toc498362855"/>
      <w:r w:rsidRPr="009168FB">
        <w:rPr>
          <w:rFonts w:eastAsiaTheme="minorEastAsia"/>
          <w:b/>
          <w:szCs w:val="22"/>
        </w:rPr>
        <w:t>Table 1.</w:t>
      </w:r>
      <w:r w:rsidRPr="00830912">
        <w:rPr>
          <w:rFonts w:eastAsiaTheme="minorEastAsia"/>
          <w:szCs w:val="22"/>
        </w:rPr>
        <w:t xml:space="preserve"> Summary details of practices and participants in GP interview s</w:t>
      </w:r>
      <w:bookmarkEnd w:id="4"/>
      <w:r w:rsidRPr="00830912">
        <w:rPr>
          <w:rFonts w:eastAsiaTheme="minorEastAsia"/>
          <w:szCs w:val="22"/>
        </w:rPr>
        <w:t>tudy</w:t>
      </w:r>
    </w:p>
    <w:tbl>
      <w:tblPr>
        <w:tblStyle w:val="GridTable4-Accent5"/>
        <w:tblW w:w="9776" w:type="dxa"/>
        <w:tblLook w:val="04A0" w:firstRow="1" w:lastRow="0" w:firstColumn="1" w:lastColumn="0" w:noHBand="0" w:noVBand="1"/>
      </w:tblPr>
      <w:tblGrid>
        <w:gridCol w:w="1271"/>
        <w:gridCol w:w="992"/>
        <w:gridCol w:w="1276"/>
        <w:gridCol w:w="1559"/>
        <w:gridCol w:w="1134"/>
        <w:gridCol w:w="1418"/>
        <w:gridCol w:w="2126"/>
      </w:tblGrid>
      <w:tr w:rsidR="00E41DAF" w:rsidRPr="007374B1" w14:paraId="5E1F2B60" w14:textId="77777777" w:rsidTr="007C2E1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7EF3EAA2" w14:textId="77777777" w:rsidR="00E41DAF" w:rsidRPr="007374B1" w:rsidRDefault="00E41DAF" w:rsidP="007C2E11">
            <w:pPr>
              <w:spacing w:after="0"/>
              <w:rPr>
                <w:rFonts w:cs="Arial"/>
                <w:color w:val="auto"/>
                <w:sz w:val="18"/>
                <w:szCs w:val="18"/>
              </w:rPr>
            </w:pPr>
            <w:r>
              <w:rPr>
                <w:rFonts w:eastAsia="Times New Roman" w:cs="Arial"/>
                <w:color w:val="auto"/>
                <w:kern w:val="24"/>
                <w:sz w:val="18"/>
                <w:szCs w:val="18"/>
                <w:lang w:eastAsia="en-GB"/>
              </w:rPr>
              <w:t xml:space="preserve">Practice </w:t>
            </w:r>
            <w:r w:rsidRPr="007374B1">
              <w:rPr>
                <w:rFonts w:eastAsia="Times New Roman" w:cs="Arial"/>
                <w:color w:val="auto"/>
                <w:kern w:val="24"/>
                <w:sz w:val="18"/>
                <w:szCs w:val="18"/>
                <w:lang w:eastAsia="en-GB"/>
              </w:rPr>
              <w:t>ID</w:t>
            </w:r>
          </w:p>
        </w:tc>
        <w:tc>
          <w:tcPr>
            <w:tcW w:w="992" w:type="dxa"/>
            <w:vAlign w:val="center"/>
          </w:tcPr>
          <w:p w14:paraId="6E7D4C33" w14:textId="77777777" w:rsidR="00E41DAF" w:rsidRPr="007374B1" w:rsidRDefault="00E41DAF"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7374B1">
              <w:rPr>
                <w:rFonts w:eastAsia="Times New Roman" w:cs="Arial"/>
                <w:color w:val="auto"/>
                <w:kern w:val="24"/>
                <w:sz w:val="18"/>
                <w:szCs w:val="18"/>
                <w:lang w:eastAsia="en-GB"/>
              </w:rPr>
              <w:t>Area</w:t>
            </w:r>
          </w:p>
        </w:tc>
        <w:tc>
          <w:tcPr>
            <w:tcW w:w="1276" w:type="dxa"/>
            <w:vAlign w:val="center"/>
          </w:tcPr>
          <w:p w14:paraId="57E12A66" w14:textId="77777777" w:rsidR="00E41DAF" w:rsidRPr="007374B1" w:rsidRDefault="00E41DAF"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7374B1">
              <w:rPr>
                <w:rFonts w:eastAsia="Times New Roman" w:cs="Arial"/>
                <w:color w:val="auto"/>
                <w:kern w:val="24"/>
                <w:sz w:val="18"/>
                <w:szCs w:val="18"/>
                <w:lang w:eastAsia="en-GB"/>
              </w:rPr>
              <w:t>Patient list</w:t>
            </w:r>
            <w:r>
              <w:rPr>
                <w:rFonts w:eastAsia="Times New Roman" w:cs="Arial"/>
                <w:color w:val="auto"/>
                <w:kern w:val="24"/>
                <w:sz w:val="18"/>
                <w:szCs w:val="18"/>
                <w:lang w:eastAsia="en-GB"/>
              </w:rPr>
              <w:t xml:space="preserve"> size</w:t>
            </w:r>
          </w:p>
        </w:tc>
        <w:tc>
          <w:tcPr>
            <w:tcW w:w="1559" w:type="dxa"/>
            <w:vAlign w:val="center"/>
          </w:tcPr>
          <w:p w14:paraId="74247E37" w14:textId="77777777" w:rsidR="00E41DAF" w:rsidRPr="007374B1" w:rsidRDefault="00E41DAF"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7374B1">
              <w:rPr>
                <w:rFonts w:eastAsia="Times New Roman" w:cs="Arial"/>
                <w:color w:val="auto"/>
                <w:kern w:val="24"/>
                <w:sz w:val="18"/>
                <w:szCs w:val="18"/>
                <w:lang w:eastAsia="en-GB"/>
              </w:rPr>
              <w:t>Number of GPs</w:t>
            </w:r>
            <w:r>
              <w:rPr>
                <w:rFonts w:eastAsia="Times New Roman" w:cs="Arial"/>
                <w:color w:val="auto"/>
                <w:kern w:val="24"/>
                <w:sz w:val="18"/>
                <w:szCs w:val="18"/>
                <w:lang w:eastAsia="en-GB"/>
              </w:rPr>
              <w:t xml:space="preserve"> interviewed</w:t>
            </w:r>
          </w:p>
        </w:tc>
        <w:tc>
          <w:tcPr>
            <w:tcW w:w="1134" w:type="dxa"/>
            <w:vAlign w:val="center"/>
          </w:tcPr>
          <w:p w14:paraId="370B0B27" w14:textId="38FAD434" w:rsidR="00E41DAF" w:rsidRPr="007374B1" w:rsidRDefault="00E41DAF"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7374B1">
              <w:rPr>
                <w:rFonts w:eastAsia="Times New Roman" w:cs="Arial"/>
                <w:color w:val="auto"/>
                <w:kern w:val="24"/>
                <w:sz w:val="18"/>
                <w:szCs w:val="18"/>
                <w:lang w:eastAsia="en-GB"/>
              </w:rPr>
              <w:t>Age range</w:t>
            </w:r>
          </w:p>
        </w:tc>
        <w:tc>
          <w:tcPr>
            <w:tcW w:w="1418" w:type="dxa"/>
            <w:vAlign w:val="center"/>
          </w:tcPr>
          <w:p w14:paraId="3DB7A4B8" w14:textId="77777777" w:rsidR="00E41DAF" w:rsidRPr="007374B1" w:rsidRDefault="00E41DAF"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7374B1">
              <w:rPr>
                <w:rFonts w:eastAsia="Times New Roman" w:cs="Arial"/>
                <w:color w:val="auto"/>
                <w:kern w:val="24"/>
                <w:sz w:val="18"/>
                <w:szCs w:val="18"/>
                <w:lang w:eastAsia="en-GB"/>
              </w:rPr>
              <w:t>Gender</w:t>
            </w:r>
          </w:p>
        </w:tc>
        <w:tc>
          <w:tcPr>
            <w:tcW w:w="2126" w:type="dxa"/>
            <w:vAlign w:val="center"/>
          </w:tcPr>
          <w:p w14:paraId="4937009C" w14:textId="1FB9A7D9" w:rsidR="00E41DAF" w:rsidRPr="007374B1" w:rsidRDefault="00EB0D33" w:rsidP="007C2E11">
            <w:pPr>
              <w:spacing w:after="0"/>
              <w:cnfStyle w:val="100000000000" w:firstRow="1" w:lastRow="0" w:firstColumn="0" w:lastColumn="0" w:oddVBand="0" w:evenVBand="0" w:oddHBand="0" w:evenHBand="0" w:firstRowFirstColumn="0" w:firstRowLastColumn="0" w:lastRowFirstColumn="0" w:lastRowLastColumn="0"/>
              <w:rPr>
                <w:rFonts w:cs="Arial"/>
                <w:color w:val="auto"/>
                <w:sz w:val="18"/>
                <w:szCs w:val="18"/>
              </w:rPr>
            </w:pPr>
            <w:r w:rsidRPr="0085641D">
              <w:rPr>
                <w:rFonts w:eastAsia="Times New Roman" w:cs="Arial"/>
                <w:color w:val="2E74B5" w:themeColor="accent1" w:themeShade="BF"/>
                <w:kern w:val="24"/>
                <w:sz w:val="18"/>
                <w:szCs w:val="18"/>
                <w:lang w:eastAsia="en-GB"/>
              </w:rPr>
              <w:t>Range of y</w:t>
            </w:r>
            <w:r w:rsidR="00E41DAF">
              <w:rPr>
                <w:rFonts w:eastAsia="Times New Roman" w:cs="Arial"/>
                <w:color w:val="auto"/>
                <w:kern w:val="24"/>
                <w:sz w:val="18"/>
                <w:szCs w:val="18"/>
                <w:lang w:eastAsia="en-GB"/>
              </w:rPr>
              <w:t xml:space="preserve">ears </w:t>
            </w:r>
            <w:r w:rsidR="00E41DAF" w:rsidRPr="007374B1">
              <w:rPr>
                <w:rFonts w:eastAsia="Times New Roman" w:cs="Arial"/>
                <w:color w:val="auto"/>
                <w:kern w:val="24"/>
                <w:sz w:val="18"/>
                <w:szCs w:val="18"/>
                <w:lang w:eastAsia="en-GB"/>
              </w:rPr>
              <w:t>at practice</w:t>
            </w:r>
          </w:p>
        </w:tc>
      </w:tr>
      <w:tr w:rsidR="00E41DAF" w:rsidRPr="007374B1" w14:paraId="4351DFED" w14:textId="77777777" w:rsidTr="007C2E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CCFDF62" w14:textId="77777777" w:rsidR="00E41DAF" w:rsidRPr="007374B1" w:rsidRDefault="00E41DAF" w:rsidP="007C2E11">
            <w:pPr>
              <w:spacing w:after="0"/>
              <w:rPr>
                <w:rFonts w:cs="Arial"/>
                <w:sz w:val="18"/>
                <w:szCs w:val="18"/>
              </w:rPr>
            </w:pPr>
            <w:r w:rsidRPr="007374B1">
              <w:rPr>
                <w:rFonts w:eastAsia="Times New Roman" w:cs="Arial"/>
                <w:kern w:val="24"/>
                <w:sz w:val="18"/>
                <w:szCs w:val="18"/>
                <w:lang w:eastAsia="en-GB"/>
              </w:rPr>
              <w:t>Practice 1</w:t>
            </w:r>
          </w:p>
        </w:tc>
        <w:tc>
          <w:tcPr>
            <w:tcW w:w="992" w:type="dxa"/>
            <w:vAlign w:val="center"/>
          </w:tcPr>
          <w:p w14:paraId="7DB9A6D0"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kern w:val="24"/>
                <w:sz w:val="18"/>
                <w:szCs w:val="18"/>
                <w:lang w:eastAsia="en-GB"/>
              </w:rPr>
              <w:t>rural</w:t>
            </w:r>
          </w:p>
        </w:tc>
        <w:tc>
          <w:tcPr>
            <w:tcW w:w="1276" w:type="dxa"/>
            <w:vAlign w:val="center"/>
          </w:tcPr>
          <w:p w14:paraId="56416F46"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kern w:val="24"/>
                <w:sz w:val="18"/>
                <w:szCs w:val="18"/>
                <w:lang w:eastAsia="en-GB"/>
              </w:rPr>
              <w:t>8</w:t>
            </w:r>
            <w:r>
              <w:rPr>
                <w:rFonts w:eastAsia="Times New Roman" w:cs="Arial"/>
                <w:kern w:val="24"/>
                <w:sz w:val="18"/>
                <w:szCs w:val="18"/>
                <w:lang w:eastAsia="en-GB"/>
              </w:rPr>
              <w:t>,000</w:t>
            </w:r>
          </w:p>
        </w:tc>
        <w:tc>
          <w:tcPr>
            <w:tcW w:w="1559" w:type="dxa"/>
            <w:vAlign w:val="center"/>
          </w:tcPr>
          <w:p w14:paraId="2756B80F"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kern w:val="24"/>
                <w:sz w:val="18"/>
                <w:szCs w:val="18"/>
                <w:lang w:eastAsia="en-GB"/>
              </w:rPr>
              <w:t>4</w:t>
            </w:r>
          </w:p>
        </w:tc>
        <w:tc>
          <w:tcPr>
            <w:tcW w:w="1134" w:type="dxa"/>
            <w:vAlign w:val="center"/>
          </w:tcPr>
          <w:p w14:paraId="44C00DA1" w14:textId="6602CD98" w:rsidR="004E3B29" w:rsidRPr="00CF540B" w:rsidRDefault="00E41DAF"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3</w:t>
            </w:r>
            <w:r w:rsidR="00190232" w:rsidRPr="00CF540B">
              <w:rPr>
                <w:rFonts w:eastAsia="Times New Roman" w:cs="Arial"/>
                <w:color w:val="2E74B5" w:themeColor="accent1" w:themeShade="BF"/>
                <w:kern w:val="24"/>
                <w:sz w:val="18"/>
                <w:szCs w:val="18"/>
                <w:lang w:eastAsia="en-GB"/>
              </w:rPr>
              <w:t>0-35</w:t>
            </w:r>
          </w:p>
          <w:p w14:paraId="6A892063" w14:textId="66DF9CA6" w:rsidR="004E3B29" w:rsidRPr="00CF540B" w:rsidRDefault="00190232"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45-50</w:t>
            </w:r>
          </w:p>
          <w:p w14:paraId="5413B146" w14:textId="5BC81F1E" w:rsidR="004E3B29" w:rsidRPr="00CF540B" w:rsidRDefault="00190232"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45-50</w:t>
            </w:r>
          </w:p>
          <w:p w14:paraId="44DFD2F1" w14:textId="5DF99D0B" w:rsidR="00E41DAF" w:rsidRPr="007374B1" w:rsidRDefault="00190232"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50-55</w:t>
            </w:r>
          </w:p>
        </w:tc>
        <w:tc>
          <w:tcPr>
            <w:tcW w:w="1418" w:type="dxa"/>
            <w:vAlign w:val="center"/>
          </w:tcPr>
          <w:p w14:paraId="148EA0A7" w14:textId="4DFFB656" w:rsidR="00E41DAF" w:rsidRPr="00CF540B" w:rsidRDefault="00AE4699"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male</w:t>
            </w:r>
          </w:p>
          <w:p w14:paraId="518B1DEE" w14:textId="0ACCFD8B" w:rsidR="0009372C" w:rsidRPr="00CF540B" w:rsidRDefault="00AE4699"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rPr>
            </w:pPr>
            <w:r w:rsidRPr="00CF540B">
              <w:rPr>
                <w:rFonts w:eastAsia="Times New Roman" w:cs="Arial"/>
                <w:color w:val="2E74B5" w:themeColor="accent1" w:themeShade="BF"/>
                <w:kern w:val="24"/>
                <w:sz w:val="18"/>
                <w:szCs w:val="18"/>
              </w:rPr>
              <w:t>m</w:t>
            </w:r>
            <w:r w:rsidR="0009372C" w:rsidRPr="00CF540B">
              <w:rPr>
                <w:rFonts w:eastAsia="Times New Roman" w:cs="Arial"/>
                <w:color w:val="2E74B5" w:themeColor="accent1" w:themeShade="BF"/>
                <w:kern w:val="24"/>
                <w:sz w:val="18"/>
                <w:szCs w:val="18"/>
              </w:rPr>
              <w:t>ale</w:t>
            </w:r>
          </w:p>
          <w:p w14:paraId="5A0FE193" w14:textId="05650F4A" w:rsidR="0009372C" w:rsidRPr="00CF540B" w:rsidRDefault="00AE4699"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rPr>
            </w:pPr>
            <w:r w:rsidRPr="00CF540B">
              <w:rPr>
                <w:rFonts w:eastAsia="Times New Roman" w:cs="Arial"/>
                <w:color w:val="2E74B5" w:themeColor="accent1" w:themeShade="BF"/>
                <w:kern w:val="24"/>
                <w:sz w:val="18"/>
                <w:szCs w:val="18"/>
              </w:rPr>
              <w:t>m</w:t>
            </w:r>
            <w:r w:rsidR="0009372C" w:rsidRPr="00CF540B">
              <w:rPr>
                <w:rFonts w:eastAsia="Times New Roman" w:cs="Arial"/>
                <w:color w:val="2E74B5" w:themeColor="accent1" w:themeShade="BF"/>
                <w:kern w:val="24"/>
                <w:sz w:val="18"/>
                <w:szCs w:val="18"/>
              </w:rPr>
              <w:t>ale</w:t>
            </w:r>
          </w:p>
          <w:p w14:paraId="59AC49EE" w14:textId="01FEDCEE" w:rsidR="0009372C" w:rsidRPr="007374B1" w:rsidRDefault="00AE4699"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rPr>
              <w:t>m</w:t>
            </w:r>
            <w:r w:rsidR="0009372C" w:rsidRPr="00CF540B">
              <w:rPr>
                <w:rFonts w:eastAsia="Times New Roman" w:cs="Arial"/>
                <w:color w:val="2E74B5" w:themeColor="accent1" w:themeShade="BF"/>
                <w:kern w:val="24"/>
                <w:sz w:val="18"/>
                <w:szCs w:val="18"/>
              </w:rPr>
              <w:t>ale</w:t>
            </w:r>
          </w:p>
        </w:tc>
        <w:tc>
          <w:tcPr>
            <w:tcW w:w="2126" w:type="dxa"/>
            <w:vAlign w:val="center"/>
          </w:tcPr>
          <w:p w14:paraId="04B5E738" w14:textId="7AE4CAB3" w:rsidR="004E3B29" w:rsidRDefault="00E41DAF"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kern w:val="24"/>
                <w:sz w:val="18"/>
                <w:szCs w:val="18"/>
                <w:lang w:eastAsia="en-GB"/>
              </w:rPr>
            </w:pPr>
            <w:r>
              <w:rPr>
                <w:rFonts w:eastAsia="Times New Roman" w:cs="Arial"/>
                <w:kern w:val="24"/>
                <w:sz w:val="18"/>
                <w:szCs w:val="18"/>
                <w:lang w:eastAsia="en-GB"/>
              </w:rPr>
              <w:t>&lt;</w:t>
            </w:r>
            <w:r w:rsidR="0085641D" w:rsidRPr="0085641D">
              <w:rPr>
                <w:rFonts w:eastAsia="Times New Roman" w:cs="Arial"/>
                <w:color w:val="2E74B5" w:themeColor="accent1" w:themeShade="BF"/>
                <w:kern w:val="24"/>
                <w:sz w:val="18"/>
                <w:szCs w:val="18"/>
                <w:lang w:eastAsia="en-GB"/>
              </w:rPr>
              <w:t>5</w:t>
            </w:r>
            <w:r w:rsidR="0085641D">
              <w:rPr>
                <w:rFonts w:eastAsia="Times New Roman" w:cs="Arial"/>
                <w:color w:val="2E74B5" w:themeColor="accent1" w:themeShade="BF"/>
                <w:kern w:val="24"/>
                <w:sz w:val="18"/>
                <w:szCs w:val="18"/>
                <w:lang w:eastAsia="en-GB"/>
              </w:rPr>
              <w:t xml:space="preserve"> </w:t>
            </w:r>
            <w:r w:rsidRPr="007374B1">
              <w:rPr>
                <w:rFonts w:eastAsia="Times New Roman" w:cs="Arial"/>
                <w:kern w:val="24"/>
                <w:sz w:val="18"/>
                <w:szCs w:val="18"/>
                <w:lang w:eastAsia="en-GB"/>
              </w:rPr>
              <w:t>yrs</w:t>
            </w:r>
          </w:p>
          <w:p w14:paraId="68D3F886" w14:textId="12B1A514" w:rsidR="004E3B29" w:rsidRPr="0085641D" w:rsidRDefault="00EB0D33"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5-</w:t>
            </w:r>
            <w:r w:rsidR="004E3B29" w:rsidRPr="0085641D">
              <w:rPr>
                <w:rFonts w:eastAsia="Times New Roman" w:cs="Arial"/>
                <w:color w:val="2E74B5" w:themeColor="accent1" w:themeShade="BF"/>
                <w:kern w:val="24"/>
                <w:sz w:val="18"/>
                <w:szCs w:val="18"/>
                <w:lang w:eastAsia="en-GB"/>
              </w:rPr>
              <w:t>10</w:t>
            </w:r>
            <w:r w:rsidR="00AE4699" w:rsidRPr="0085641D">
              <w:rPr>
                <w:rFonts w:eastAsia="Times New Roman" w:cs="Arial"/>
                <w:color w:val="2E74B5" w:themeColor="accent1" w:themeShade="BF"/>
                <w:kern w:val="24"/>
                <w:sz w:val="18"/>
                <w:szCs w:val="18"/>
                <w:lang w:eastAsia="en-GB"/>
              </w:rPr>
              <w:t xml:space="preserve"> yrs</w:t>
            </w:r>
          </w:p>
          <w:p w14:paraId="2E558977" w14:textId="774005A3" w:rsidR="004E3B29" w:rsidRPr="0085641D" w:rsidRDefault="00EB0D33"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10-</w:t>
            </w:r>
            <w:r w:rsidR="004E3B29" w:rsidRPr="0085641D">
              <w:rPr>
                <w:rFonts w:eastAsia="Times New Roman" w:cs="Arial"/>
                <w:color w:val="2E74B5" w:themeColor="accent1" w:themeShade="BF"/>
                <w:kern w:val="24"/>
                <w:sz w:val="18"/>
                <w:szCs w:val="18"/>
                <w:lang w:eastAsia="en-GB"/>
              </w:rPr>
              <w:t>15</w:t>
            </w:r>
            <w:r w:rsidR="00AE4699" w:rsidRPr="0085641D">
              <w:rPr>
                <w:rFonts w:eastAsia="Times New Roman" w:cs="Arial"/>
                <w:color w:val="2E74B5" w:themeColor="accent1" w:themeShade="BF"/>
                <w:kern w:val="24"/>
                <w:sz w:val="18"/>
                <w:szCs w:val="18"/>
                <w:lang w:eastAsia="en-GB"/>
              </w:rPr>
              <w:t xml:space="preserve"> yrs</w:t>
            </w:r>
          </w:p>
          <w:p w14:paraId="419D1C42" w14:textId="23A1D231" w:rsidR="00E41DAF" w:rsidRPr="007374B1" w:rsidRDefault="00EB0D33"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85641D">
              <w:rPr>
                <w:rFonts w:eastAsia="Times New Roman" w:cs="Arial"/>
                <w:color w:val="2E74B5" w:themeColor="accent1" w:themeShade="BF"/>
                <w:kern w:val="24"/>
                <w:sz w:val="18"/>
                <w:szCs w:val="18"/>
                <w:lang w:eastAsia="en-GB"/>
              </w:rPr>
              <w:t>20-</w:t>
            </w:r>
            <w:r w:rsidR="00E41DAF">
              <w:rPr>
                <w:rFonts w:eastAsia="Times New Roman" w:cs="Arial"/>
                <w:kern w:val="24"/>
                <w:sz w:val="18"/>
                <w:szCs w:val="18"/>
                <w:lang w:eastAsia="en-GB"/>
              </w:rPr>
              <w:t>2</w:t>
            </w:r>
            <w:r w:rsidR="00E41DAF" w:rsidRPr="007374B1">
              <w:rPr>
                <w:rFonts w:eastAsia="Times New Roman" w:cs="Arial"/>
                <w:kern w:val="24"/>
                <w:sz w:val="18"/>
                <w:szCs w:val="18"/>
                <w:lang w:eastAsia="en-GB"/>
              </w:rPr>
              <w:t>5 yrs</w:t>
            </w:r>
          </w:p>
        </w:tc>
      </w:tr>
      <w:tr w:rsidR="00E41DAF" w:rsidRPr="007374B1" w14:paraId="6DE60A24" w14:textId="77777777" w:rsidTr="007C2E11">
        <w:tc>
          <w:tcPr>
            <w:cnfStyle w:val="001000000000" w:firstRow="0" w:lastRow="0" w:firstColumn="1" w:lastColumn="0" w:oddVBand="0" w:evenVBand="0" w:oddHBand="0" w:evenHBand="0" w:firstRowFirstColumn="0" w:firstRowLastColumn="0" w:lastRowFirstColumn="0" w:lastRowLastColumn="0"/>
            <w:tcW w:w="1271" w:type="dxa"/>
            <w:vAlign w:val="center"/>
          </w:tcPr>
          <w:p w14:paraId="370859AB"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2</w:t>
            </w:r>
          </w:p>
        </w:tc>
        <w:tc>
          <w:tcPr>
            <w:tcW w:w="992" w:type="dxa"/>
            <w:vAlign w:val="center"/>
          </w:tcPr>
          <w:p w14:paraId="5664D567"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mixed</w:t>
            </w:r>
          </w:p>
        </w:tc>
        <w:tc>
          <w:tcPr>
            <w:tcW w:w="1276" w:type="dxa"/>
            <w:vAlign w:val="center"/>
          </w:tcPr>
          <w:p w14:paraId="755BB9EA"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Pr>
                <w:rFonts w:eastAsia="Times New Roman" w:cs="Arial"/>
                <w:color w:val="000000" w:themeColor="dark1"/>
                <w:kern w:val="24"/>
                <w:sz w:val="18"/>
                <w:szCs w:val="18"/>
                <w:lang w:eastAsia="en-GB"/>
              </w:rPr>
              <w:t>9,000</w:t>
            </w:r>
          </w:p>
        </w:tc>
        <w:tc>
          <w:tcPr>
            <w:tcW w:w="1559" w:type="dxa"/>
            <w:vAlign w:val="center"/>
          </w:tcPr>
          <w:p w14:paraId="5AF83C9E"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1</w:t>
            </w:r>
          </w:p>
        </w:tc>
        <w:tc>
          <w:tcPr>
            <w:tcW w:w="1134" w:type="dxa"/>
            <w:vAlign w:val="center"/>
          </w:tcPr>
          <w:p w14:paraId="003A67EC" w14:textId="4C0A8683" w:rsidR="00E41DAF" w:rsidRPr="007374B1" w:rsidRDefault="00190232"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50-55</w:t>
            </w:r>
          </w:p>
        </w:tc>
        <w:tc>
          <w:tcPr>
            <w:tcW w:w="1418" w:type="dxa"/>
            <w:vAlign w:val="center"/>
          </w:tcPr>
          <w:p w14:paraId="5BB17923"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male</w:t>
            </w:r>
          </w:p>
        </w:tc>
        <w:tc>
          <w:tcPr>
            <w:tcW w:w="2126" w:type="dxa"/>
            <w:vAlign w:val="center"/>
          </w:tcPr>
          <w:p w14:paraId="42811A98" w14:textId="1209611E" w:rsidR="00E41DAF" w:rsidRPr="007374B1" w:rsidRDefault="00EB0D33"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85641D">
              <w:rPr>
                <w:rFonts w:eastAsia="Times New Roman" w:cs="Arial"/>
                <w:color w:val="2E74B5" w:themeColor="accent1" w:themeShade="BF"/>
                <w:kern w:val="24"/>
                <w:sz w:val="18"/>
                <w:szCs w:val="18"/>
                <w:lang w:eastAsia="en-GB"/>
              </w:rPr>
              <w:t>5-10</w:t>
            </w:r>
            <w:r w:rsidR="00E41DAF" w:rsidRPr="0085641D">
              <w:rPr>
                <w:rFonts w:eastAsia="Times New Roman" w:cs="Arial"/>
                <w:color w:val="2E74B5" w:themeColor="accent1" w:themeShade="BF"/>
                <w:kern w:val="24"/>
                <w:sz w:val="18"/>
                <w:szCs w:val="18"/>
                <w:lang w:eastAsia="en-GB"/>
              </w:rPr>
              <w:t xml:space="preserve"> </w:t>
            </w:r>
            <w:r w:rsidR="00E41DAF" w:rsidRPr="007374B1">
              <w:rPr>
                <w:rFonts w:eastAsia="Times New Roman" w:cs="Arial"/>
                <w:color w:val="000000" w:themeColor="dark1"/>
                <w:kern w:val="24"/>
                <w:sz w:val="18"/>
                <w:szCs w:val="18"/>
                <w:lang w:eastAsia="en-GB"/>
              </w:rPr>
              <w:t>yrs</w:t>
            </w:r>
          </w:p>
        </w:tc>
      </w:tr>
      <w:tr w:rsidR="00E41DAF" w:rsidRPr="007374B1" w14:paraId="068F36DB" w14:textId="77777777" w:rsidTr="007C2E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2D1FE783"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3</w:t>
            </w:r>
          </w:p>
        </w:tc>
        <w:tc>
          <w:tcPr>
            <w:tcW w:w="992" w:type="dxa"/>
            <w:vAlign w:val="center"/>
          </w:tcPr>
          <w:p w14:paraId="3C015DBD"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mixed</w:t>
            </w:r>
          </w:p>
        </w:tc>
        <w:tc>
          <w:tcPr>
            <w:tcW w:w="1276" w:type="dxa"/>
            <w:vAlign w:val="center"/>
          </w:tcPr>
          <w:p w14:paraId="1B75EAA3"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9,500</w:t>
            </w:r>
          </w:p>
        </w:tc>
        <w:tc>
          <w:tcPr>
            <w:tcW w:w="1559" w:type="dxa"/>
            <w:vAlign w:val="center"/>
          </w:tcPr>
          <w:p w14:paraId="15B733ED"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2</w:t>
            </w:r>
          </w:p>
        </w:tc>
        <w:tc>
          <w:tcPr>
            <w:tcW w:w="1134" w:type="dxa"/>
            <w:vAlign w:val="center"/>
          </w:tcPr>
          <w:p w14:paraId="3E1F8064" w14:textId="12ABB106" w:rsidR="00AE4699" w:rsidRPr="00CF540B" w:rsidRDefault="00190232"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50-55</w:t>
            </w:r>
          </w:p>
          <w:p w14:paraId="304FD43B" w14:textId="3A420AF8" w:rsidR="00E41DAF" w:rsidRPr="007374B1" w:rsidRDefault="00190232"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55-60</w:t>
            </w:r>
          </w:p>
        </w:tc>
        <w:tc>
          <w:tcPr>
            <w:tcW w:w="1418" w:type="dxa"/>
            <w:vAlign w:val="center"/>
          </w:tcPr>
          <w:p w14:paraId="018D99B4" w14:textId="2E0425BC" w:rsidR="00E41DAF" w:rsidRPr="00CF540B" w:rsidRDefault="00AE4699"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female</w:t>
            </w:r>
          </w:p>
          <w:p w14:paraId="304E3FB2" w14:textId="70286680"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male</w:t>
            </w:r>
          </w:p>
        </w:tc>
        <w:tc>
          <w:tcPr>
            <w:tcW w:w="2126" w:type="dxa"/>
            <w:vAlign w:val="center"/>
          </w:tcPr>
          <w:p w14:paraId="57FA392F" w14:textId="3A709306" w:rsidR="00AE4699" w:rsidRPr="0085641D" w:rsidRDefault="00AE4699"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2</w:t>
            </w:r>
            <w:r w:rsidR="00EB0D33" w:rsidRPr="0085641D">
              <w:rPr>
                <w:rFonts w:eastAsia="Times New Roman" w:cs="Arial"/>
                <w:color w:val="2E74B5" w:themeColor="accent1" w:themeShade="BF"/>
                <w:kern w:val="24"/>
                <w:sz w:val="18"/>
                <w:szCs w:val="18"/>
                <w:lang w:eastAsia="en-GB"/>
              </w:rPr>
              <w:t>5-30</w:t>
            </w:r>
            <w:r w:rsidRPr="0085641D">
              <w:rPr>
                <w:rFonts w:eastAsia="Times New Roman" w:cs="Arial"/>
                <w:color w:val="2E74B5" w:themeColor="accent1" w:themeShade="BF"/>
                <w:kern w:val="24"/>
                <w:sz w:val="18"/>
                <w:szCs w:val="18"/>
                <w:lang w:eastAsia="en-GB"/>
              </w:rPr>
              <w:t xml:space="preserve"> yrs</w:t>
            </w:r>
          </w:p>
          <w:p w14:paraId="44EE5712" w14:textId="2199DE0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85641D">
              <w:rPr>
                <w:rFonts w:eastAsia="Times New Roman" w:cs="Arial"/>
                <w:color w:val="2E74B5" w:themeColor="accent1" w:themeShade="BF"/>
                <w:kern w:val="24"/>
                <w:sz w:val="18"/>
                <w:szCs w:val="18"/>
                <w:lang w:eastAsia="en-GB"/>
              </w:rPr>
              <w:t>1</w:t>
            </w:r>
            <w:r w:rsidR="00EB0D33" w:rsidRPr="0085641D">
              <w:rPr>
                <w:rFonts w:eastAsia="Times New Roman" w:cs="Arial"/>
                <w:color w:val="2E74B5" w:themeColor="accent1" w:themeShade="BF"/>
                <w:kern w:val="24"/>
                <w:sz w:val="18"/>
                <w:szCs w:val="18"/>
                <w:lang w:eastAsia="en-GB"/>
              </w:rPr>
              <w:t>0-15</w:t>
            </w:r>
            <w:r w:rsidR="00AE4699" w:rsidRPr="0085641D">
              <w:rPr>
                <w:rFonts w:eastAsia="Times New Roman" w:cs="Arial"/>
                <w:color w:val="2E74B5" w:themeColor="accent1" w:themeShade="BF"/>
                <w:kern w:val="24"/>
                <w:sz w:val="18"/>
                <w:szCs w:val="18"/>
                <w:lang w:eastAsia="en-GB"/>
              </w:rPr>
              <w:t xml:space="preserve"> yrs</w:t>
            </w:r>
          </w:p>
        </w:tc>
      </w:tr>
      <w:tr w:rsidR="00E41DAF" w:rsidRPr="007374B1" w14:paraId="4D8B1356" w14:textId="77777777" w:rsidTr="007C2E11">
        <w:tc>
          <w:tcPr>
            <w:cnfStyle w:val="001000000000" w:firstRow="0" w:lastRow="0" w:firstColumn="1" w:lastColumn="0" w:oddVBand="0" w:evenVBand="0" w:oddHBand="0" w:evenHBand="0" w:firstRowFirstColumn="0" w:firstRowLastColumn="0" w:lastRowFirstColumn="0" w:lastRowLastColumn="0"/>
            <w:tcW w:w="1271" w:type="dxa"/>
            <w:vAlign w:val="center"/>
          </w:tcPr>
          <w:p w14:paraId="3F381B2B"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4</w:t>
            </w:r>
          </w:p>
        </w:tc>
        <w:tc>
          <w:tcPr>
            <w:tcW w:w="992" w:type="dxa"/>
            <w:vAlign w:val="center"/>
          </w:tcPr>
          <w:p w14:paraId="66770F85"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urban</w:t>
            </w:r>
          </w:p>
        </w:tc>
        <w:tc>
          <w:tcPr>
            <w:tcW w:w="1276" w:type="dxa"/>
            <w:vAlign w:val="center"/>
          </w:tcPr>
          <w:p w14:paraId="009B456D"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11,500</w:t>
            </w:r>
          </w:p>
        </w:tc>
        <w:tc>
          <w:tcPr>
            <w:tcW w:w="1559" w:type="dxa"/>
            <w:vAlign w:val="center"/>
          </w:tcPr>
          <w:p w14:paraId="5FC30D7C"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sz w:val="18"/>
                <w:szCs w:val="18"/>
                <w:lang w:eastAsia="en-GB"/>
              </w:rPr>
            </w:pPr>
            <w:r w:rsidRPr="007374B1">
              <w:rPr>
                <w:rFonts w:eastAsia="Times New Roman" w:cs="Arial"/>
                <w:color w:val="000000" w:themeColor="dark1"/>
                <w:kern w:val="24"/>
                <w:sz w:val="18"/>
                <w:szCs w:val="18"/>
                <w:lang w:eastAsia="en-GB"/>
              </w:rPr>
              <w:t>2</w:t>
            </w:r>
          </w:p>
        </w:tc>
        <w:tc>
          <w:tcPr>
            <w:tcW w:w="1134" w:type="dxa"/>
            <w:vAlign w:val="center"/>
          </w:tcPr>
          <w:p w14:paraId="2FC42C2F" w14:textId="6DC808BD" w:rsidR="00A03E87" w:rsidRPr="00CF540B" w:rsidRDefault="00190232"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30-35</w:t>
            </w:r>
          </w:p>
          <w:p w14:paraId="58E9324D" w14:textId="2D458F47" w:rsidR="00E41DAF" w:rsidRPr="007374B1" w:rsidRDefault="00190232"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35-40</w:t>
            </w:r>
          </w:p>
        </w:tc>
        <w:tc>
          <w:tcPr>
            <w:tcW w:w="1418" w:type="dxa"/>
            <w:vAlign w:val="center"/>
          </w:tcPr>
          <w:p w14:paraId="053B9AA1" w14:textId="58F12819"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dark1"/>
                <w:kern w:val="24"/>
                <w:sz w:val="18"/>
                <w:szCs w:val="18"/>
                <w:lang w:eastAsia="en-GB"/>
              </w:rPr>
            </w:pPr>
            <w:r w:rsidRPr="007374B1">
              <w:rPr>
                <w:rFonts w:eastAsia="Times New Roman" w:cs="Arial"/>
                <w:color w:val="000000" w:themeColor="dark1"/>
                <w:kern w:val="24"/>
                <w:sz w:val="18"/>
                <w:szCs w:val="18"/>
                <w:lang w:eastAsia="en-GB"/>
              </w:rPr>
              <w:t>male</w:t>
            </w:r>
          </w:p>
          <w:p w14:paraId="5AA7C01E" w14:textId="369C1AA1"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female</w:t>
            </w:r>
          </w:p>
        </w:tc>
        <w:tc>
          <w:tcPr>
            <w:tcW w:w="2126" w:type="dxa"/>
            <w:vAlign w:val="center"/>
          </w:tcPr>
          <w:p w14:paraId="2DE08CE8" w14:textId="170516B2" w:rsidR="00A03E87" w:rsidRPr="0085641D" w:rsidRDefault="00EB0D33"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 xml:space="preserve">&lt;5 </w:t>
            </w:r>
            <w:r w:rsidR="00A03E87" w:rsidRPr="0085641D">
              <w:rPr>
                <w:rFonts w:eastAsia="Times New Roman" w:cs="Arial"/>
                <w:color w:val="2E74B5" w:themeColor="accent1" w:themeShade="BF"/>
                <w:kern w:val="24"/>
                <w:sz w:val="18"/>
                <w:szCs w:val="18"/>
                <w:lang w:eastAsia="en-GB"/>
              </w:rPr>
              <w:t>yrs</w:t>
            </w:r>
          </w:p>
          <w:p w14:paraId="7082307D" w14:textId="3944785E" w:rsidR="00E41DAF" w:rsidRPr="007374B1" w:rsidRDefault="003716D8"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sz w:val="18"/>
                <w:szCs w:val="18"/>
                <w:lang w:eastAsia="en-GB"/>
              </w:rPr>
            </w:pPr>
            <w:r w:rsidRPr="0085641D">
              <w:rPr>
                <w:rFonts w:eastAsia="Times New Roman" w:cs="Arial"/>
                <w:color w:val="2E74B5" w:themeColor="accent1" w:themeShade="BF"/>
                <w:kern w:val="24"/>
                <w:sz w:val="18"/>
                <w:szCs w:val="18"/>
                <w:lang w:eastAsia="en-GB"/>
              </w:rPr>
              <w:t xml:space="preserve">5-10 </w:t>
            </w:r>
            <w:r w:rsidR="00E41DAF" w:rsidRPr="007374B1">
              <w:rPr>
                <w:rFonts w:eastAsia="Times New Roman" w:cs="Arial"/>
                <w:color w:val="000000" w:themeColor="dark1"/>
                <w:kern w:val="24"/>
                <w:sz w:val="18"/>
                <w:szCs w:val="18"/>
                <w:lang w:eastAsia="en-GB"/>
              </w:rPr>
              <w:t>yrs</w:t>
            </w:r>
          </w:p>
        </w:tc>
      </w:tr>
      <w:tr w:rsidR="00E41DAF" w:rsidRPr="007374B1" w14:paraId="0C7E1D88" w14:textId="77777777" w:rsidTr="007C2E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6B71A1AE"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5</w:t>
            </w:r>
          </w:p>
        </w:tc>
        <w:tc>
          <w:tcPr>
            <w:tcW w:w="992" w:type="dxa"/>
            <w:vAlign w:val="center"/>
          </w:tcPr>
          <w:p w14:paraId="01548F71"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mixed</w:t>
            </w:r>
          </w:p>
        </w:tc>
        <w:tc>
          <w:tcPr>
            <w:tcW w:w="1276" w:type="dxa"/>
            <w:vAlign w:val="center"/>
          </w:tcPr>
          <w:p w14:paraId="240FA603"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9,500</w:t>
            </w:r>
          </w:p>
        </w:tc>
        <w:tc>
          <w:tcPr>
            <w:tcW w:w="1559" w:type="dxa"/>
            <w:vAlign w:val="center"/>
          </w:tcPr>
          <w:p w14:paraId="07609145"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1</w:t>
            </w:r>
          </w:p>
        </w:tc>
        <w:tc>
          <w:tcPr>
            <w:tcW w:w="1134" w:type="dxa"/>
            <w:vAlign w:val="center"/>
          </w:tcPr>
          <w:p w14:paraId="1EB1AA52" w14:textId="06B0C56C" w:rsidR="00E41DAF" w:rsidRPr="007374B1" w:rsidRDefault="00EB0D33"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40-45</w:t>
            </w:r>
          </w:p>
        </w:tc>
        <w:tc>
          <w:tcPr>
            <w:tcW w:w="1418" w:type="dxa"/>
            <w:vAlign w:val="center"/>
          </w:tcPr>
          <w:p w14:paraId="20DFC7FF"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male</w:t>
            </w:r>
          </w:p>
        </w:tc>
        <w:tc>
          <w:tcPr>
            <w:tcW w:w="2126" w:type="dxa"/>
            <w:vAlign w:val="center"/>
          </w:tcPr>
          <w:p w14:paraId="4408464F" w14:textId="12CA6F7D" w:rsidR="00E41DAF" w:rsidRPr="003B2A55" w:rsidRDefault="003716D8"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dark1"/>
                <w:kern w:val="24"/>
                <w:sz w:val="18"/>
                <w:szCs w:val="18"/>
                <w:lang w:eastAsia="en-GB"/>
              </w:rPr>
            </w:pPr>
            <w:r w:rsidRPr="0085641D">
              <w:rPr>
                <w:rFonts w:eastAsia="Times New Roman" w:cs="Arial"/>
                <w:color w:val="2E74B5" w:themeColor="accent1" w:themeShade="BF"/>
                <w:kern w:val="24"/>
                <w:sz w:val="18"/>
                <w:szCs w:val="18"/>
                <w:lang w:eastAsia="en-GB"/>
              </w:rPr>
              <w:t xml:space="preserve">5-10 </w:t>
            </w:r>
            <w:r w:rsidR="00E41DAF">
              <w:rPr>
                <w:rFonts w:eastAsia="Times New Roman" w:cs="Arial"/>
                <w:color w:val="000000" w:themeColor="dark1"/>
                <w:kern w:val="24"/>
                <w:sz w:val="18"/>
                <w:szCs w:val="18"/>
                <w:lang w:eastAsia="en-GB"/>
              </w:rPr>
              <w:t>yrs</w:t>
            </w:r>
          </w:p>
        </w:tc>
      </w:tr>
      <w:tr w:rsidR="00E41DAF" w:rsidRPr="007374B1" w14:paraId="71961325" w14:textId="77777777" w:rsidTr="007C2E11">
        <w:tc>
          <w:tcPr>
            <w:cnfStyle w:val="001000000000" w:firstRow="0" w:lastRow="0" w:firstColumn="1" w:lastColumn="0" w:oddVBand="0" w:evenVBand="0" w:oddHBand="0" w:evenHBand="0" w:firstRowFirstColumn="0" w:firstRowLastColumn="0" w:lastRowFirstColumn="0" w:lastRowLastColumn="0"/>
            <w:tcW w:w="1271" w:type="dxa"/>
            <w:vAlign w:val="center"/>
          </w:tcPr>
          <w:p w14:paraId="5D3F9783"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6</w:t>
            </w:r>
          </w:p>
        </w:tc>
        <w:tc>
          <w:tcPr>
            <w:tcW w:w="992" w:type="dxa"/>
            <w:vAlign w:val="center"/>
          </w:tcPr>
          <w:p w14:paraId="6BA463C4"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rural</w:t>
            </w:r>
          </w:p>
        </w:tc>
        <w:tc>
          <w:tcPr>
            <w:tcW w:w="1276" w:type="dxa"/>
            <w:vAlign w:val="center"/>
          </w:tcPr>
          <w:p w14:paraId="1C94349E"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7,000</w:t>
            </w:r>
          </w:p>
        </w:tc>
        <w:tc>
          <w:tcPr>
            <w:tcW w:w="1559" w:type="dxa"/>
            <w:vAlign w:val="center"/>
          </w:tcPr>
          <w:p w14:paraId="7CB33FC7" w14:textId="77777777"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3</w:t>
            </w:r>
          </w:p>
        </w:tc>
        <w:tc>
          <w:tcPr>
            <w:tcW w:w="1134" w:type="dxa"/>
            <w:vAlign w:val="center"/>
          </w:tcPr>
          <w:p w14:paraId="64C0F7A2" w14:textId="6D8B5EED" w:rsidR="000067F2" w:rsidRPr="00CF540B" w:rsidRDefault="00EB0D33"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30-35</w:t>
            </w:r>
          </w:p>
          <w:p w14:paraId="5A5FAC00" w14:textId="5B467CC0" w:rsidR="000067F2" w:rsidRPr="00CF540B" w:rsidRDefault="00EB0D33"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45-50</w:t>
            </w:r>
          </w:p>
          <w:p w14:paraId="03A29FD8" w14:textId="3D0B78D0" w:rsidR="00E41DAF" w:rsidRPr="007374B1" w:rsidRDefault="00EB0D33"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CF540B">
              <w:rPr>
                <w:rFonts w:eastAsia="Times New Roman" w:cs="Arial"/>
                <w:color w:val="2E74B5" w:themeColor="accent1" w:themeShade="BF"/>
                <w:kern w:val="24"/>
                <w:sz w:val="18"/>
                <w:szCs w:val="18"/>
                <w:lang w:eastAsia="en-GB"/>
              </w:rPr>
              <w:t>45-50</w:t>
            </w:r>
          </w:p>
        </w:tc>
        <w:tc>
          <w:tcPr>
            <w:tcW w:w="1418" w:type="dxa"/>
            <w:vAlign w:val="center"/>
          </w:tcPr>
          <w:p w14:paraId="10DAE056" w14:textId="1DB65A46" w:rsidR="00E41DAF" w:rsidRDefault="00E41DAF"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dark1"/>
                <w:kern w:val="24"/>
                <w:sz w:val="18"/>
                <w:szCs w:val="18"/>
                <w:lang w:eastAsia="en-GB"/>
              </w:rPr>
            </w:pPr>
            <w:r w:rsidRPr="007374B1">
              <w:rPr>
                <w:rFonts w:eastAsia="Times New Roman" w:cs="Arial"/>
                <w:color w:val="000000" w:themeColor="dark1"/>
                <w:kern w:val="24"/>
                <w:sz w:val="18"/>
                <w:szCs w:val="18"/>
                <w:lang w:eastAsia="en-GB"/>
              </w:rPr>
              <w:t>male</w:t>
            </w:r>
          </w:p>
          <w:p w14:paraId="269DC1AA" w14:textId="2666DA26" w:rsidR="000067F2" w:rsidRPr="00CF540B" w:rsidRDefault="000067F2"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CF540B">
              <w:rPr>
                <w:rFonts w:eastAsia="Times New Roman" w:cs="Arial"/>
                <w:color w:val="2E74B5" w:themeColor="accent1" w:themeShade="BF"/>
                <w:kern w:val="24"/>
                <w:sz w:val="18"/>
                <w:szCs w:val="18"/>
                <w:lang w:eastAsia="en-GB"/>
              </w:rPr>
              <w:t>male</w:t>
            </w:r>
          </w:p>
          <w:p w14:paraId="37DD05EE" w14:textId="77B1E35A" w:rsidR="00E41DAF" w:rsidRPr="007374B1" w:rsidRDefault="00E41DAF"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female</w:t>
            </w:r>
          </w:p>
        </w:tc>
        <w:tc>
          <w:tcPr>
            <w:tcW w:w="2126" w:type="dxa"/>
            <w:vAlign w:val="center"/>
          </w:tcPr>
          <w:p w14:paraId="422DAA85" w14:textId="3316C554" w:rsidR="000067F2" w:rsidRPr="0085641D" w:rsidRDefault="003716D8"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&lt;5years</w:t>
            </w:r>
          </w:p>
          <w:p w14:paraId="7B479699" w14:textId="5056FE0E" w:rsidR="00E41DAF" w:rsidRDefault="003716D8" w:rsidP="007C2E11">
            <w:pPr>
              <w:spacing w:after="0"/>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dark1"/>
                <w:kern w:val="24"/>
                <w:sz w:val="18"/>
                <w:szCs w:val="18"/>
                <w:lang w:eastAsia="en-GB"/>
              </w:rPr>
            </w:pPr>
            <w:r w:rsidRPr="0085641D">
              <w:rPr>
                <w:rFonts w:eastAsia="Times New Roman" w:cs="Arial"/>
                <w:color w:val="2E74B5" w:themeColor="accent1" w:themeShade="BF"/>
                <w:kern w:val="24"/>
                <w:sz w:val="18"/>
                <w:szCs w:val="18"/>
                <w:lang w:eastAsia="en-GB"/>
              </w:rPr>
              <w:t>10-</w:t>
            </w:r>
            <w:r w:rsidR="00E41DAF" w:rsidRPr="007374B1">
              <w:rPr>
                <w:rFonts w:eastAsia="Times New Roman" w:cs="Arial"/>
                <w:color w:val="000000" w:themeColor="dark1"/>
                <w:kern w:val="24"/>
                <w:sz w:val="18"/>
                <w:szCs w:val="18"/>
                <w:lang w:eastAsia="en-GB"/>
              </w:rPr>
              <w:t>15</w:t>
            </w:r>
            <w:r w:rsidR="00E41DAF">
              <w:rPr>
                <w:rFonts w:eastAsia="Times New Roman" w:cs="Arial"/>
                <w:color w:val="000000" w:themeColor="dark1"/>
                <w:kern w:val="24"/>
                <w:sz w:val="18"/>
                <w:szCs w:val="18"/>
                <w:lang w:eastAsia="en-GB"/>
              </w:rPr>
              <w:t xml:space="preserve"> </w:t>
            </w:r>
            <w:r w:rsidR="00E41DAF" w:rsidRPr="007374B1">
              <w:rPr>
                <w:rFonts w:eastAsia="Times New Roman" w:cs="Arial"/>
                <w:color w:val="000000" w:themeColor="dark1"/>
                <w:kern w:val="24"/>
                <w:sz w:val="18"/>
                <w:szCs w:val="18"/>
                <w:lang w:eastAsia="en-GB"/>
              </w:rPr>
              <w:t>yrs</w:t>
            </w:r>
          </w:p>
          <w:p w14:paraId="35394843" w14:textId="32293FA2" w:rsidR="000067F2" w:rsidRPr="007374B1" w:rsidRDefault="000067F2" w:rsidP="007C2E11">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r w:rsidRPr="0085641D">
              <w:rPr>
                <w:rFonts w:cs="Arial"/>
                <w:color w:val="2E74B5" w:themeColor="accent1" w:themeShade="BF"/>
                <w:sz w:val="18"/>
                <w:szCs w:val="18"/>
              </w:rPr>
              <w:t>1</w:t>
            </w:r>
            <w:r w:rsidR="003716D8" w:rsidRPr="0085641D">
              <w:rPr>
                <w:rFonts w:cs="Arial"/>
                <w:color w:val="2E74B5" w:themeColor="accent1" w:themeShade="BF"/>
                <w:sz w:val="18"/>
                <w:szCs w:val="18"/>
              </w:rPr>
              <w:t>0-15</w:t>
            </w:r>
            <w:r w:rsidRPr="0085641D">
              <w:rPr>
                <w:rFonts w:cs="Arial"/>
                <w:color w:val="2E74B5" w:themeColor="accent1" w:themeShade="BF"/>
                <w:sz w:val="18"/>
                <w:szCs w:val="18"/>
              </w:rPr>
              <w:t xml:space="preserve"> yrs</w:t>
            </w:r>
          </w:p>
        </w:tc>
      </w:tr>
      <w:tr w:rsidR="00E41DAF" w:rsidRPr="007374B1" w14:paraId="6246F650" w14:textId="77777777" w:rsidTr="007C2E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vAlign w:val="center"/>
          </w:tcPr>
          <w:p w14:paraId="2569665C" w14:textId="77777777" w:rsidR="00E41DAF" w:rsidRPr="007374B1" w:rsidRDefault="00E41DAF" w:rsidP="007C2E11">
            <w:pPr>
              <w:spacing w:after="0"/>
              <w:rPr>
                <w:rFonts w:cs="Arial"/>
                <w:sz w:val="18"/>
                <w:szCs w:val="18"/>
              </w:rPr>
            </w:pPr>
            <w:r w:rsidRPr="007374B1">
              <w:rPr>
                <w:rFonts w:eastAsia="Times New Roman" w:cs="Arial"/>
                <w:color w:val="000000" w:themeColor="dark1"/>
                <w:kern w:val="24"/>
                <w:sz w:val="18"/>
                <w:szCs w:val="18"/>
                <w:lang w:eastAsia="en-GB"/>
              </w:rPr>
              <w:t>Practice 7</w:t>
            </w:r>
          </w:p>
        </w:tc>
        <w:tc>
          <w:tcPr>
            <w:tcW w:w="992" w:type="dxa"/>
            <w:vAlign w:val="center"/>
          </w:tcPr>
          <w:p w14:paraId="57888AE6"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rural</w:t>
            </w:r>
          </w:p>
        </w:tc>
        <w:tc>
          <w:tcPr>
            <w:tcW w:w="1276" w:type="dxa"/>
            <w:vAlign w:val="center"/>
          </w:tcPr>
          <w:p w14:paraId="2C456B3A"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Pr>
                <w:rFonts w:cs="Arial"/>
                <w:color w:val="000000"/>
                <w:sz w:val="18"/>
                <w:szCs w:val="18"/>
              </w:rPr>
              <w:t>4,000</w:t>
            </w:r>
          </w:p>
        </w:tc>
        <w:tc>
          <w:tcPr>
            <w:tcW w:w="1559" w:type="dxa"/>
            <w:vAlign w:val="center"/>
          </w:tcPr>
          <w:p w14:paraId="7E2F6975" w14:textId="7777777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2</w:t>
            </w:r>
          </w:p>
        </w:tc>
        <w:tc>
          <w:tcPr>
            <w:tcW w:w="1134" w:type="dxa"/>
            <w:vAlign w:val="center"/>
          </w:tcPr>
          <w:p w14:paraId="6DBF607A" w14:textId="7C268BA4" w:rsidR="00E41DAF" w:rsidRDefault="00EB0D33"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dark1"/>
                <w:kern w:val="24"/>
                <w:sz w:val="18"/>
                <w:szCs w:val="18"/>
                <w:lang w:eastAsia="en-GB"/>
              </w:rPr>
            </w:pPr>
            <w:r>
              <w:rPr>
                <w:rFonts w:eastAsia="Times New Roman" w:cs="Arial"/>
                <w:color w:val="000000" w:themeColor="dark1"/>
                <w:kern w:val="24"/>
                <w:sz w:val="18"/>
                <w:szCs w:val="18"/>
                <w:lang w:eastAsia="en-GB"/>
              </w:rPr>
              <w:t>55-60</w:t>
            </w:r>
          </w:p>
          <w:p w14:paraId="7BEDA217" w14:textId="6B5C6890" w:rsidR="002D4B06" w:rsidRPr="007374B1" w:rsidRDefault="002D4B06"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Pr>
                <w:rFonts w:cs="Arial"/>
                <w:sz w:val="18"/>
                <w:szCs w:val="18"/>
              </w:rPr>
              <w:t>5</w:t>
            </w:r>
            <w:r w:rsidR="00EB0D33">
              <w:rPr>
                <w:rFonts w:cs="Arial"/>
                <w:sz w:val="18"/>
                <w:szCs w:val="18"/>
              </w:rPr>
              <w:t>5-60</w:t>
            </w:r>
          </w:p>
        </w:tc>
        <w:tc>
          <w:tcPr>
            <w:tcW w:w="1418" w:type="dxa"/>
            <w:vAlign w:val="center"/>
          </w:tcPr>
          <w:p w14:paraId="66703E78" w14:textId="33E5892E"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dark1"/>
                <w:kern w:val="24"/>
                <w:sz w:val="18"/>
                <w:szCs w:val="18"/>
                <w:lang w:eastAsia="en-GB"/>
              </w:rPr>
            </w:pPr>
            <w:r w:rsidRPr="007374B1">
              <w:rPr>
                <w:rFonts w:eastAsia="Times New Roman" w:cs="Arial"/>
                <w:color w:val="000000" w:themeColor="dark1"/>
                <w:kern w:val="24"/>
                <w:sz w:val="18"/>
                <w:szCs w:val="18"/>
                <w:lang w:eastAsia="en-GB"/>
              </w:rPr>
              <w:t>male</w:t>
            </w:r>
          </w:p>
          <w:p w14:paraId="7B197402" w14:textId="07CC7757" w:rsidR="00E41DAF" w:rsidRPr="007374B1" w:rsidRDefault="00E41DAF"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7374B1">
              <w:rPr>
                <w:rFonts w:eastAsia="Times New Roman" w:cs="Arial"/>
                <w:color w:val="000000" w:themeColor="dark1"/>
                <w:kern w:val="24"/>
                <w:sz w:val="18"/>
                <w:szCs w:val="18"/>
                <w:lang w:eastAsia="en-GB"/>
              </w:rPr>
              <w:t>female</w:t>
            </w:r>
          </w:p>
        </w:tc>
        <w:tc>
          <w:tcPr>
            <w:tcW w:w="2126" w:type="dxa"/>
            <w:vAlign w:val="center"/>
          </w:tcPr>
          <w:p w14:paraId="3C745DAD" w14:textId="6EC7440F" w:rsidR="002D4B06" w:rsidRPr="0085641D" w:rsidRDefault="003716D8" w:rsidP="007C2E11">
            <w:pPr>
              <w:spacing w:after="0"/>
              <w:cnfStyle w:val="000000100000" w:firstRow="0" w:lastRow="0" w:firstColumn="0" w:lastColumn="0" w:oddVBand="0" w:evenVBand="0" w:oddHBand="1" w:evenHBand="0" w:firstRowFirstColumn="0" w:firstRowLastColumn="0" w:lastRowFirstColumn="0" w:lastRowLastColumn="0"/>
              <w:rPr>
                <w:rFonts w:eastAsia="Times New Roman" w:cs="Arial"/>
                <w:color w:val="2E74B5" w:themeColor="accent1" w:themeShade="BF"/>
                <w:kern w:val="24"/>
                <w:sz w:val="18"/>
                <w:szCs w:val="18"/>
                <w:lang w:eastAsia="en-GB"/>
              </w:rPr>
            </w:pPr>
            <w:r w:rsidRPr="0085641D">
              <w:rPr>
                <w:rFonts w:eastAsia="Times New Roman" w:cs="Arial"/>
                <w:color w:val="2E74B5" w:themeColor="accent1" w:themeShade="BF"/>
                <w:kern w:val="24"/>
                <w:sz w:val="18"/>
                <w:szCs w:val="18"/>
                <w:lang w:eastAsia="en-GB"/>
              </w:rPr>
              <w:t xml:space="preserve">&lt;5 yrs </w:t>
            </w:r>
          </w:p>
          <w:p w14:paraId="1A845894" w14:textId="03FA7EB7" w:rsidR="00E41DAF" w:rsidRPr="007374B1" w:rsidRDefault="003716D8" w:rsidP="007C2E11">
            <w:pPr>
              <w:spacing w:after="0"/>
              <w:cnfStyle w:val="000000100000" w:firstRow="0" w:lastRow="0" w:firstColumn="0" w:lastColumn="0" w:oddVBand="0" w:evenVBand="0" w:oddHBand="1" w:evenHBand="0" w:firstRowFirstColumn="0" w:firstRowLastColumn="0" w:lastRowFirstColumn="0" w:lastRowLastColumn="0"/>
              <w:rPr>
                <w:rFonts w:cs="Arial"/>
                <w:sz w:val="18"/>
                <w:szCs w:val="18"/>
              </w:rPr>
            </w:pPr>
            <w:r w:rsidRPr="0085641D">
              <w:rPr>
                <w:rFonts w:eastAsia="Times New Roman" w:cs="Arial"/>
                <w:color w:val="2E74B5" w:themeColor="accent1" w:themeShade="BF"/>
                <w:kern w:val="24"/>
                <w:sz w:val="18"/>
                <w:szCs w:val="18"/>
                <w:lang w:eastAsia="en-GB"/>
              </w:rPr>
              <w:t xml:space="preserve">5-10 </w:t>
            </w:r>
            <w:r w:rsidR="00E41DAF" w:rsidRPr="007374B1">
              <w:rPr>
                <w:rFonts w:eastAsia="Times New Roman" w:cs="Arial"/>
                <w:color w:val="000000" w:themeColor="dark1"/>
                <w:kern w:val="24"/>
                <w:sz w:val="18"/>
                <w:szCs w:val="18"/>
                <w:lang w:eastAsia="en-GB"/>
              </w:rPr>
              <w:t>y</w:t>
            </w:r>
            <w:r w:rsidR="00E41DAF">
              <w:rPr>
                <w:rFonts w:eastAsia="Times New Roman" w:cs="Arial"/>
                <w:color w:val="000000" w:themeColor="dark1"/>
                <w:kern w:val="24"/>
                <w:sz w:val="18"/>
                <w:szCs w:val="18"/>
                <w:lang w:eastAsia="en-GB"/>
              </w:rPr>
              <w:t>rs</w:t>
            </w:r>
          </w:p>
        </w:tc>
      </w:tr>
    </w:tbl>
    <w:p w14:paraId="57643F04" w14:textId="77777777" w:rsidR="00E41DAF" w:rsidRDefault="00E41DAF" w:rsidP="00E41DAF"/>
    <w:p w14:paraId="3BD26222" w14:textId="7C8A0B6F" w:rsidR="00EE3030" w:rsidRDefault="00EE3030">
      <w:pPr>
        <w:autoSpaceDE/>
        <w:autoSpaceDN/>
        <w:adjustRightInd/>
        <w:spacing w:after="0"/>
      </w:pPr>
      <w:r>
        <w:br w:type="page"/>
      </w:r>
    </w:p>
    <w:p w14:paraId="51266C5D" w14:textId="77777777" w:rsidR="00EE3030" w:rsidRPr="00EE3030" w:rsidRDefault="00EE3030" w:rsidP="00EE3030">
      <w:pPr>
        <w:rPr>
          <w:noProof/>
        </w:rPr>
      </w:pPr>
      <w:r w:rsidRPr="009168FB">
        <w:rPr>
          <w:b/>
        </w:rPr>
        <w:lastRenderedPageBreak/>
        <w:t xml:space="preserve">Figure </w:t>
      </w:r>
      <w:r>
        <w:rPr>
          <w:b/>
        </w:rPr>
        <w:t>1</w:t>
      </w:r>
      <w:r w:rsidRPr="009168FB">
        <w:rPr>
          <w:b/>
        </w:rPr>
        <w:t>.</w:t>
      </w:r>
      <w:r>
        <w:rPr>
          <w:noProof/>
        </w:rPr>
        <w:t xml:space="preserve"> </w:t>
      </w:r>
      <w:r w:rsidRPr="00EE3030">
        <w:rPr>
          <w:noProof/>
        </w:rPr>
        <w:t xml:space="preserve">Influences on antihypertensive prescribing and deprescribing decisions for primary care patients. </w:t>
      </w:r>
    </w:p>
    <w:p w14:paraId="56E59D41" w14:textId="334EB42B" w:rsidR="00E41DAF" w:rsidRDefault="00A33EC6" w:rsidP="00E41DAF">
      <w:r>
        <w:rPr>
          <w:noProof/>
          <w:lang w:eastAsia="en-GB"/>
        </w:rPr>
        <w:drawing>
          <wp:inline distT="0" distB="0" distL="0" distR="0" wp14:anchorId="6D629B9A" wp14:editId="770B7501">
            <wp:extent cx="5817600" cy="51372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9">
                      <a:extLst>
                        <a:ext uri="{28A0092B-C50C-407E-A947-70E740481C1C}">
                          <a14:useLocalDpi xmlns:a14="http://schemas.microsoft.com/office/drawing/2010/main" val="0"/>
                        </a:ext>
                      </a:extLst>
                    </a:blip>
                    <a:srcRect l="12217" r="24088"/>
                    <a:stretch/>
                  </pic:blipFill>
                  <pic:spPr bwMode="auto">
                    <a:xfrm>
                      <a:off x="0" y="0"/>
                      <a:ext cx="5817600" cy="5137200"/>
                    </a:xfrm>
                    <a:prstGeom prst="rect">
                      <a:avLst/>
                    </a:prstGeom>
                    <a:ln>
                      <a:noFill/>
                    </a:ln>
                    <a:extLst>
                      <a:ext uri="{53640926-AAD7-44D8-BBD7-CCE9431645EC}">
                        <a14:shadowObscured xmlns:a14="http://schemas.microsoft.com/office/drawing/2010/main"/>
                      </a:ext>
                    </a:extLst>
                  </pic:spPr>
                </pic:pic>
              </a:graphicData>
            </a:graphic>
          </wp:inline>
        </w:drawing>
      </w:r>
    </w:p>
    <w:p w14:paraId="10670735" w14:textId="75A0AEA1" w:rsidR="00C02656" w:rsidRDefault="00C02656">
      <w:pPr>
        <w:autoSpaceDE/>
        <w:autoSpaceDN/>
        <w:adjustRightInd/>
        <w:spacing w:after="0"/>
      </w:pPr>
      <w:r>
        <w:br w:type="page"/>
      </w:r>
    </w:p>
    <w:p w14:paraId="30583DD1" w14:textId="77777777" w:rsidR="00072D98" w:rsidRDefault="00072D98" w:rsidP="00E41DAF"/>
    <w:p w14:paraId="063A467E" w14:textId="74696855" w:rsidR="00C02656" w:rsidRDefault="00E41DAF" w:rsidP="00E41DAF">
      <w:r w:rsidRPr="009168FB">
        <w:rPr>
          <w:b/>
        </w:rPr>
        <w:t xml:space="preserve">Figure </w:t>
      </w:r>
      <w:r w:rsidR="00EE3030">
        <w:rPr>
          <w:b/>
        </w:rPr>
        <w:t>2</w:t>
      </w:r>
      <w:r w:rsidRPr="009168FB">
        <w:rPr>
          <w:b/>
        </w:rPr>
        <w:t>.</w:t>
      </w:r>
      <w:r>
        <w:rPr>
          <w:noProof/>
        </w:rPr>
        <w:t xml:space="preserve"> Polypharmacy and medication reduction mindlines</w:t>
      </w:r>
      <w:r>
        <w:t>.</w:t>
      </w:r>
      <w:r w:rsidR="0085120E">
        <w:br/>
      </w:r>
    </w:p>
    <w:p w14:paraId="001A077D" w14:textId="18817B50" w:rsidR="00E41DAF" w:rsidRDefault="00C02656" w:rsidP="00E41DAF">
      <w:r>
        <w:rPr>
          <w:noProof/>
          <w:lang w:eastAsia="en-GB"/>
        </w:rPr>
        <w:drawing>
          <wp:inline distT="0" distB="0" distL="0" distR="0" wp14:anchorId="03B0660F" wp14:editId="7871CD5B">
            <wp:extent cx="5847080" cy="3288982"/>
            <wp:effectExtent l="0" t="0" r="127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2 Mindline development 2020-06-17.JPG"/>
                    <pic:cNvPicPr/>
                  </pic:nvPicPr>
                  <pic:blipFill>
                    <a:blip r:embed="rId10">
                      <a:extLst>
                        <a:ext uri="{28A0092B-C50C-407E-A947-70E740481C1C}">
                          <a14:useLocalDpi xmlns:a14="http://schemas.microsoft.com/office/drawing/2010/main" val="0"/>
                        </a:ext>
                      </a:extLst>
                    </a:blip>
                    <a:stretch>
                      <a:fillRect/>
                    </a:stretch>
                  </pic:blipFill>
                  <pic:spPr>
                    <a:xfrm>
                      <a:off x="0" y="0"/>
                      <a:ext cx="5847080" cy="3288982"/>
                    </a:xfrm>
                    <a:prstGeom prst="rect">
                      <a:avLst/>
                    </a:prstGeom>
                  </pic:spPr>
                </pic:pic>
              </a:graphicData>
            </a:graphic>
          </wp:inline>
        </w:drawing>
      </w:r>
    </w:p>
    <w:p w14:paraId="63CC8F62" w14:textId="77777777" w:rsidR="00072D98" w:rsidRDefault="00072D98">
      <w:pPr>
        <w:autoSpaceDE/>
        <w:autoSpaceDN/>
        <w:adjustRightInd/>
        <w:spacing w:after="160" w:line="259" w:lineRule="auto"/>
        <w:rPr>
          <w:highlight w:val="yellow"/>
        </w:rPr>
      </w:pPr>
    </w:p>
    <w:p w14:paraId="28F96211" w14:textId="77777777" w:rsidR="00C8201E" w:rsidRDefault="00C8201E" w:rsidP="00C8201E">
      <w:pPr>
        <w:pStyle w:val="Heading2"/>
      </w:pPr>
      <w:r>
        <w:t>Statements</w:t>
      </w:r>
    </w:p>
    <w:p w14:paraId="72B56749" w14:textId="77777777" w:rsidR="00C8201E" w:rsidRPr="003B3211" w:rsidRDefault="00C8201E" w:rsidP="008C3333">
      <w:pPr>
        <w:pStyle w:val="Heading3"/>
        <w:rPr>
          <w:b w:val="0"/>
        </w:rPr>
      </w:pPr>
      <w:r w:rsidRPr="003B3211">
        <w:t>Funding</w:t>
      </w:r>
    </w:p>
    <w:p w14:paraId="34485D4C" w14:textId="29BD8B38" w:rsidR="00C8201E" w:rsidRDefault="00C8201E" w:rsidP="00C8201E">
      <w:r w:rsidRPr="00DE728F">
        <w:t>This work receive</w:t>
      </w:r>
      <w:r>
        <w:t>d</w:t>
      </w:r>
      <w:r w:rsidRPr="00DE728F">
        <w:t xml:space="preserve"> joint funding from the National Institute for Health Research (NIHR) Oxford Collaboration for Leadership in Applied Health Research and Care (CLAHRC) at Oxford Health NHS Foundation Trust (ref: P2-501) and the NIHR School for Primary Care Research (SPCR; ref 335)</w:t>
      </w:r>
      <w:r>
        <w:t xml:space="preserve"> as a sub-study of the OPTiMISE antihypertensive medication reduction trial</w:t>
      </w:r>
      <w:r w:rsidRPr="00DE728F">
        <w:t xml:space="preserve">. </w:t>
      </w:r>
      <w:r>
        <w:t xml:space="preserve">CS has been funded by an NIHR Clinical Lectureship. </w:t>
      </w:r>
      <w:r w:rsidRPr="00DE728F">
        <w:t>JS and RJMcM have been funded by an NIHR Professorship (NIHR-RP-R2-12-015).</w:t>
      </w:r>
      <w:r>
        <w:t xml:space="preserve"> </w:t>
      </w:r>
      <w:r w:rsidRPr="00144F37">
        <w:t>JS</w:t>
      </w:r>
      <w:r>
        <w:t xml:space="preserve"> now receives funding from the</w:t>
      </w:r>
      <w:r w:rsidRPr="00144F37">
        <w:t xml:space="preserve"> Wellcome Trust/Royal Society </w:t>
      </w:r>
      <w:r>
        <w:t xml:space="preserve">via a </w:t>
      </w:r>
      <w:r w:rsidRPr="00144F37">
        <w:t>Sir Henry Dale Fellowship (ref: 211182/Z/18/Z)</w:t>
      </w:r>
      <w:r>
        <w:t>.</w:t>
      </w:r>
      <w:r w:rsidRPr="00DE728F">
        <w:t xml:space="preserve"> </w:t>
      </w:r>
      <w:r>
        <w:t>JM, RMcM are NIHR Senior Investigators. KK</w:t>
      </w:r>
      <w:r w:rsidR="00706C17">
        <w:t>, CS</w:t>
      </w:r>
      <w:r>
        <w:t xml:space="preserve"> and JB are</w:t>
      </w:r>
      <w:r w:rsidRPr="00C47641">
        <w:t xml:space="preserve"> supported by the Health Foundation’s grant to the University of Cambridge for The Healthcare Improvement Studies (THIS) Institute.</w:t>
      </w:r>
      <w:r>
        <w:t xml:space="preserve"> </w:t>
      </w:r>
      <w:r w:rsidRPr="004265C9">
        <w:t>THIS Institute is sup</w:t>
      </w:r>
      <w:r>
        <w:t xml:space="preserve">ported by the Health Foundation – </w:t>
      </w:r>
      <w:r w:rsidRPr="004265C9">
        <w:t>an independent charity committed to bringing about better health and health care for people in the UK.</w:t>
      </w:r>
    </w:p>
    <w:p w14:paraId="18A68F17" w14:textId="3493BF24" w:rsidR="002D2C02" w:rsidRPr="002D2C02" w:rsidRDefault="002D2C02" w:rsidP="008C3333">
      <w:pPr>
        <w:pStyle w:val="Heading3"/>
        <w:rPr>
          <w:b w:val="0"/>
        </w:rPr>
      </w:pPr>
      <w:r w:rsidRPr="008C3333">
        <w:t>Ethical</w:t>
      </w:r>
      <w:r w:rsidRPr="002D2C02">
        <w:rPr>
          <w:b w:val="0"/>
        </w:rPr>
        <w:t xml:space="preserve"> </w:t>
      </w:r>
      <w:r w:rsidRPr="008C3333">
        <w:t>approval</w:t>
      </w:r>
    </w:p>
    <w:p w14:paraId="5CE01C89" w14:textId="64B621E9" w:rsidR="002D2C02" w:rsidRDefault="00004B59">
      <w:pPr>
        <w:autoSpaceDE/>
        <w:autoSpaceDN/>
        <w:adjustRightInd/>
        <w:spacing w:after="160" w:line="259" w:lineRule="auto"/>
      </w:pPr>
      <w:r>
        <w:t>This study has be</w:t>
      </w:r>
      <w:r w:rsidR="0033138E" w:rsidRPr="0033138E">
        <w:t>en approved by the Research Ethics Committee (South Central</w:t>
      </w:r>
      <w:r w:rsidR="00C83DC3">
        <w:t xml:space="preserve"> – </w:t>
      </w:r>
      <w:r w:rsidR="0033138E" w:rsidRPr="0033138E">
        <w:t>Oxford A; ref 16/SC/0628), Medicines and Healthcare products Regulatory Agency (ref 21584/0</w:t>
      </w:r>
      <w:r w:rsidR="00D06144">
        <w:t>371/001–0001), host institution</w:t>
      </w:r>
      <w:r w:rsidR="0033138E" w:rsidRPr="0033138E">
        <w:t>s and Health Research Authority.</w:t>
      </w:r>
    </w:p>
    <w:p w14:paraId="1B6E4D4A" w14:textId="1ED133E7" w:rsidR="00004B59" w:rsidRPr="008C3333" w:rsidRDefault="00004B59" w:rsidP="008C3333">
      <w:pPr>
        <w:pStyle w:val="Heading3"/>
      </w:pPr>
      <w:r w:rsidRPr="008C3333">
        <w:lastRenderedPageBreak/>
        <w:t>Competing interests</w:t>
      </w:r>
    </w:p>
    <w:p w14:paraId="5AC0EC40" w14:textId="7588EC0E" w:rsidR="00004B59" w:rsidRDefault="00D06144">
      <w:pPr>
        <w:autoSpaceDE/>
        <w:autoSpaceDN/>
        <w:adjustRightInd/>
        <w:spacing w:after="160" w:line="259" w:lineRule="auto"/>
        <w:rPr>
          <w:highlight w:val="yellow"/>
        </w:rPr>
      </w:pPr>
      <w:r w:rsidRPr="00D06144">
        <w:t>The authors</w:t>
      </w:r>
      <w:r>
        <w:t xml:space="preserve"> declare no competing interests.</w:t>
      </w:r>
    </w:p>
    <w:p w14:paraId="20B8D438" w14:textId="77777777" w:rsidR="00C8201E" w:rsidRPr="003B3211" w:rsidRDefault="00C8201E" w:rsidP="008C3333">
      <w:pPr>
        <w:pStyle w:val="Heading3"/>
        <w:rPr>
          <w:b w:val="0"/>
        </w:rPr>
      </w:pPr>
      <w:r w:rsidRPr="003B3211">
        <w:t>Acknowledgements</w:t>
      </w:r>
    </w:p>
    <w:p w14:paraId="6DB23930" w14:textId="719C8C0D" w:rsidR="00C8201E" w:rsidRDefault="00C8201E" w:rsidP="00C8201E">
      <w:pPr>
        <w:spacing w:line="276" w:lineRule="auto"/>
      </w:pPr>
      <w:r>
        <w:t>We thank the GPs who participated in this study, and staff from NIHR Eastern CRN for their support.</w:t>
      </w:r>
    </w:p>
    <w:p w14:paraId="1DB5C5C9" w14:textId="618D760A" w:rsidR="004A6E33" w:rsidRDefault="004A6E33" w:rsidP="00C8201E">
      <w:pPr>
        <w:spacing w:line="276" w:lineRule="auto"/>
        <w:rPr>
          <w:szCs w:val="22"/>
        </w:rPr>
      </w:pPr>
    </w:p>
    <w:p w14:paraId="0AF655BF" w14:textId="77777777" w:rsidR="00296169" w:rsidRDefault="00296169" w:rsidP="00C8201E">
      <w:pPr>
        <w:spacing w:line="276" w:lineRule="auto"/>
        <w:rPr>
          <w:szCs w:val="22"/>
        </w:rPr>
      </w:pPr>
    </w:p>
    <w:p w14:paraId="774E9391" w14:textId="58CC9051" w:rsidR="007368CA" w:rsidRDefault="002F4D9B" w:rsidP="003B3211">
      <w:pPr>
        <w:pStyle w:val="Heading2"/>
      </w:pPr>
      <w:r>
        <w:t>R</w:t>
      </w:r>
      <w:r w:rsidR="007368CA">
        <w:t>eferences</w:t>
      </w:r>
    </w:p>
    <w:p w14:paraId="1D87C6F7" w14:textId="080EFAF7" w:rsidR="002C2D82" w:rsidRDefault="002C2D82" w:rsidP="002C2D82">
      <w:pPr>
        <w:pStyle w:val="Bibliography"/>
      </w:pPr>
      <w:r>
        <w:t xml:space="preserve">1. </w:t>
      </w:r>
      <w:r>
        <w:tab/>
        <w:t xml:space="preserve">Ettehad D, Emdin CA, Kiran A, Anderson SG, Callender T, Emberson J, et al. Blood pressure lowering for prevention of cardiovascular disease and death: A systematic review and meta-analysis. The Lancet. 2016;387(10022):957–67. </w:t>
      </w:r>
    </w:p>
    <w:p w14:paraId="7CE8BCA8" w14:textId="77777777" w:rsidR="002C2D82" w:rsidRDefault="002C2D82" w:rsidP="002C2D82">
      <w:pPr>
        <w:pStyle w:val="Bibliography"/>
      </w:pPr>
      <w:r>
        <w:t xml:space="preserve">2. </w:t>
      </w:r>
      <w:r>
        <w:tab/>
        <w:t xml:space="preserve">Fretheim A, Odgaard-Jensen J, Brørs O, Madsen S, Njølstad I, Norheim OF, et al. Comparative effectiveness of antihypertensive medication for primary prevention of cardiovascular disease: Systematic review and multiple treatments meta-analysis. BMC Med. 2012;10(33):1–14. </w:t>
      </w:r>
    </w:p>
    <w:p w14:paraId="079A6B73" w14:textId="77777777" w:rsidR="002C2D82" w:rsidRDefault="002C2D82" w:rsidP="002C2D82">
      <w:pPr>
        <w:pStyle w:val="Bibliography"/>
      </w:pPr>
      <w:r>
        <w:t xml:space="preserve">3. </w:t>
      </w:r>
      <w:r>
        <w:tab/>
        <w:t xml:space="preserve">Jongstra S, Jk H, Tj Q, Richard E. Antihypertensive withdrawal for the prevention of cognitive decline ( Review ). Cochrane Database Syst Rev. 2016;(11). </w:t>
      </w:r>
    </w:p>
    <w:p w14:paraId="4A18DC57" w14:textId="77777777" w:rsidR="002C2D82" w:rsidRDefault="002C2D82" w:rsidP="002C2D82">
      <w:pPr>
        <w:pStyle w:val="Bibliography"/>
      </w:pPr>
      <w:r>
        <w:t xml:space="preserve">4. </w:t>
      </w:r>
      <w:r>
        <w:tab/>
        <w:t xml:space="preserve">Whelton PK. Evolution of blood pressure clinical practice guidelines: A personal perspective. Can J Cardiol. 2019;35(5):570–81. </w:t>
      </w:r>
    </w:p>
    <w:p w14:paraId="36C9CCF9" w14:textId="77777777" w:rsidR="002C2D82" w:rsidRDefault="002C2D82" w:rsidP="002C2D82">
      <w:pPr>
        <w:pStyle w:val="Bibliography"/>
      </w:pPr>
      <w:r>
        <w:t xml:space="preserve">5. </w:t>
      </w:r>
      <w:r>
        <w:tab/>
        <w:t xml:space="preserve">Bejan-Angoulvant T, Saadatian-Elahi M, Wright JM, Schron EB, Lindholm LH, Fagard R, et al. Treatment of hypertension in patients 80 years and older: The lower the better? A meta-analysis of randomized controlled trials. J Hypertens. 2010;28(7):1366–72. </w:t>
      </w:r>
    </w:p>
    <w:p w14:paraId="76C93E5A" w14:textId="77777777" w:rsidR="002C2D82" w:rsidRDefault="002C2D82" w:rsidP="002C2D82">
      <w:pPr>
        <w:pStyle w:val="Bibliography"/>
      </w:pPr>
      <w:r>
        <w:t xml:space="preserve">6. </w:t>
      </w:r>
      <w:r>
        <w:tab/>
        <w:t xml:space="preserve">Mair FS. Multimorbidity: What next? BJGP. 2017;(June):248–9. </w:t>
      </w:r>
    </w:p>
    <w:p w14:paraId="2169F0FE" w14:textId="77777777" w:rsidR="002C2D82" w:rsidRDefault="002C2D82" w:rsidP="002C2D82">
      <w:pPr>
        <w:pStyle w:val="Bibliography"/>
      </w:pPr>
      <w:r>
        <w:t xml:space="preserve">7. </w:t>
      </w:r>
      <w:r>
        <w:tab/>
        <w:t xml:space="preserve">Marengoni A, Onder G. Guidelines, polypharmacy, and drug-drug interactions in patients with multimorbidity: A cascade of failure. BMJ. 2015;350(h1059):1–2. </w:t>
      </w:r>
    </w:p>
    <w:p w14:paraId="784F0222" w14:textId="77777777" w:rsidR="002C2D82" w:rsidRDefault="002C2D82" w:rsidP="002C2D82">
      <w:pPr>
        <w:pStyle w:val="Bibliography"/>
      </w:pPr>
      <w:r>
        <w:t xml:space="preserve">8. </w:t>
      </w:r>
      <w:r>
        <w:tab/>
        <w:t xml:space="preserve">NHS England. 2018/19 General Medical Services (GMS) contract Quality and Outcomes Framework (QOF). Guidance for GMS contract 2019/20 in England. Leeds; 2019 p. 80–80. </w:t>
      </w:r>
    </w:p>
    <w:p w14:paraId="0A11C598" w14:textId="77777777" w:rsidR="002C2D82" w:rsidRDefault="002C2D82" w:rsidP="002C2D82">
      <w:pPr>
        <w:pStyle w:val="Bibliography"/>
      </w:pPr>
      <w:r>
        <w:t xml:space="preserve">9. </w:t>
      </w:r>
      <w:r>
        <w:tab/>
        <w:t xml:space="preserve">Bradley MC, Motterlini N, Padmanabhan S, Cahir C, Williams T, Fahey T, et al. Potentially inappropriate prescribing among older people in the United Kingdom. BMC Geriatr. 2014;14(72):1–9. </w:t>
      </w:r>
    </w:p>
    <w:p w14:paraId="66D619C7" w14:textId="77777777" w:rsidR="002C2D82" w:rsidRDefault="002C2D82" w:rsidP="002C2D82">
      <w:pPr>
        <w:pStyle w:val="Bibliography"/>
      </w:pPr>
      <w:r>
        <w:lastRenderedPageBreak/>
        <w:t xml:space="preserve">10. </w:t>
      </w:r>
      <w:r>
        <w:tab/>
        <w:t xml:space="preserve">Garfinkel D, Zur-Gil S, Ben-Israel J. The War against Polypharmacy: A New Cost-Effective Geriatric-Palliative Approach for Improving Drug Therapy in Disabled Elderly People. IMAJ. 2007;9(June):430–4. </w:t>
      </w:r>
    </w:p>
    <w:p w14:paraId="3EA7E506" w14:textId="77777777" w:rsidR="002C2D82" w:rsidRDefault="002C2D82" w:rsidP="002C2D82">
      <w:pPr>
        <w:pStyle w:val="Bibliography"/>
      </w:pPr>
      <w:r>
        <w:t xml:space="preserve">11. </w:t>
      </w:r>
      <w:r>
        <w:tab/>
        <w:t xml:space="preserve">Thio SL, Nam J, van Driel ML, Dirven T, Blom JW. Effects of discontinuation of chronic medication in primary care: A systematic review of deprescribing trials. Br J Gen Pract. 2018;68(675):e663–72. </w:t>
      </w:r>
    </w:p>
    <w:p w14:paraId="4A09E913" w14:textId="77777777" w:rsidR="002C2D82" w:rsidRDefault="002C2D82" w:rsidP="002C2D82">
      <w:pPr>
        <w:pStyle w:val="Bibliography"/>
      </w:pPr>
      <w:r>
        <w:t xml:space="preserve">12. </w:t>
      </w:r>
      <w:r>
        <w:tab/>
        <w:t xml:space="preserve">Reeve E, Shakib S, Hendrix I, Roberts MS, Wiese MD. Review of deprescribing processes and development of an evidence-based, patient-centred deprescribing process. Br J Clin Pharmacol. 2014;78(4):738–47. </w:t>
      </w:r>
    </w:p>
    <w:p w14:paraId="793F6C32" w14:textId="77777777" w:rsidR="002C2D82" w:rsidRDefault="002C2D82" w:rsidP="002C2D82">
      <w:pPr>
        <w:pStyle w:val="Bibliography"/>
      </w:pPr>
      <w:r>
        <w:t xml:space="preserve">13. </w:t>
      </w:r>
      <w:r>
        <w:tab/>
        <w:t xml:space="preserve">van Middelaar T, Moll van Charante EP. Deprescribing preventive medication in older patients. Br J Gen Pract. 2018;68(675):456–7. </w:t>
      </w:r>
    </w:p>
    <w:p w14:paraId="1126A264" w14:textId="77777777" w:rsidR="002C2D82" w:rsidRDefault="002C2D82" w:rsidP="002C2D82">
      <w:pPr>
        <w:pStyle w:val="Bibliography"/>
      </w:pPr>
      <w:r>
        <w:t xml:space="preserve">14. </w:t>
      </w:r>
      <w:r>
        <w:tab/>
        <w:t xml:space="preserve">Potter K, Flicker L, Page A, Etherton-Beer C. Deprescribing in Frail Older People: A randomised controlled trial. PLoS ONE. 2016;11(3):1–21. </w:t>
      </w:r>
    </w:p>
    <w:p w14:paraId="1230A348" w14:textId="77777777" w:rsidR="002C2D82" w:rsidRDefault="002C2D82" w:rsidP="002C2D82">
      <w:pPr>
        <w:pStyle w:val="Bibliography"/>
      </w:pPr>
      <w:r>
        <w:t xml:space="preserve">15. </w:t>
      </w:r>
      <w:r>
        <w:tab/>
        <w:t xml:space="preserve">Scott IA, Anderson K, Freeman CR, Stowasser DA. First do no harm: A real need to deprescribe in older patients. Med J Aust. 2014;202(7):ii–ii. </w:t>
      </w:r>
    </w:p>
    <w:p w14:paraId="6EF4C989" w14:textId="77777777" w:rsidR="002C2D82" w:rsidRDefault="002C2D82" w:rsidP="002C2D82">
      <w:pPr>
        <w:pStyle w:val="Bibliography"/>
      </w:pPr>
      <w:r>
        <w:t xml:space="preserve">16. </w:t>
      </w:r>
      <w:r>
        <w:tab/>
        <w:t xml:space="preserve">Mantelli S, Jungo KT, Rozsnyai Z, Reeve E, Luymes CH, Poortvliet RKE, et al. How general practitioners would deprescribe in frail oldest-old with polypharmacy – the LESS study. BMC Fam Pract. 2018 Dec;19(169):1–8. </w:t>
      </w:r>
    </w:p>
    <w:p w14:paraId="3FE47871" w14:textId="77777777" w:rsidR="002C2D82" w:rsidRDefault="002C2D82" w:rsidP="002C2D82">
      <w:pPr>
        <w:pStyle w:val="Bibliography"/>
      </w:pPr>
      <w:r>
        <w:t xml:space="preserve">17. </w:t>
      </w:r>
      <w:r>
        <w:tab/>
        <w:t xml:space="preserve">Bate L, Hutchinson A, Underhill J, Maskrey N. How clinical decisions are made. Br J Cinical Pharmacol. 2012 Oct;74(4):614–20. </w:t>
      </w:r>
    </w:p>
    <w:p w14:paraId="3AED61A4" w14:textId="77777777" w:rsidR="002C2D82" w:rsidRDefault="002C2D82" w:rsidP="002C2D82">
      <w:pPr>
        <w:pStyle w:val="Bibliography"/>
      </w:pPr>
      <w:r>
        <w:t xml:space="preserve">18. </w:t>
      </w:r>
      <w:r>
        <w:tab/>
        <w:t xml:space="preserve">Sinnott C, Hugh SM, Boyce MB, Bradley CP. What to give the patient who has everything? A qualitative study of prescribing for multimorbidity in primary care. Br J Gen Pract. 2015 Mar;65(632):e184–91. </w:t>
      </w:r>
    </w:p>
    <w:p w14:paraId="3FC79B35" w14:textId="77777777" w:rsidR="002C2D82" w:rsidRDefault="002C2D82" w:rsidP="002C2D82">
      <w:pPr>
        <w:pStyle w:val="Bibliography"/>
      </w:pPr>
      <w:r>
        <w:t xml:space="preserve">19. </w:t>
      </w:r>
      <w:r>
        <w:tab/>
        <w:t xml:space="preserve">Turner JP, Richard C, Lussier MT, Lavoie ME, Farrell B, Roberge D, et al. Deprescribing conversations: A closer look at prescriber–patient communication. Ther Adv Drug Saf. 2018;9(12):687–98. </w:t>
      </w:r>
    </w:p>
    <w:p w14:paraId="679A16CB" w14:textId="77777777" w:rsidR="002C2D82" w:rsidRDefault="002C2D82" w:rsidP="002C2D82">
      <w:pPr>
        <w:pStyle w:val="Bibliography"/>
      </w:pPr>
      <w:r>
        <w:t xml:space="preserve">20. </w:t>
      </w:r>
      <w:r>
        <w:tab/>
        <w:t xml:space="preserve">Gabbay J, le May A. Evidence based guidelines or collectively constructed “mindlines?” Ethnographic study of knowledge management in primary care. BMJ. 2004;329(30 October):1–5. </w:t>
      </w:r>
    </w:p>
    <w:p w14:paraId="1D696215" w14:textId="77777777" w:rsidR="002C2D82" w:rsidRDefault="002C2D82" w:rsidP="002C2D82">
      <w:pPr>
        <w:pStyle w:val="Bibliography"/>
      </w:pPr>
      <w:r>
        <w:t xml:space="preserve">21. </w:t>
      </w:r>
      <w:r>
        <w:tab/>
        <w:t xml:space="preserve">Wieringa S, Engebretsen E, Heggen K, Greenhalgh T. How knowledge is constructed and exchanged in virtual communities of physicians: Qualitative study of mindlines online. J Med Internet Res. 2018;20(2):1–14. </w:t>
      </w:r>
    </w:p>
    <w:p w14:paraId="6EE48E87" w14:textId="77777777" w:rsidR="002C2D82" w:rsidRDefault="002C2D82" w:rsidP="002C2D82">
      <w:pPr>
        <w:pStyle w:val="Bibliography"/>
      </w:pPr>
      <w:r>
        <w:t xml:space="preserve">22. </w:t>
      </w:r>
      <w:r>
        <w:tab/>
        <w:t xml:space="preserve">Wieringa S, Greenhalgh T. 10 years of mindlines: A systematic review and commentary. Implement Sci. 2015;10(1):1–11. </w:t>
      </w:r>
    </w:p>
    <w:p w14:paraId="513CB525" w14:textId="77777777" w:rsidR="002C2D82" w:rsidRDefault="002C2D82" w:rsidP="002C2D82">
      <w:pPr>
        <w:pStyle w:val="Bibliography"/>
      </w:pPr>
      <w:r>
        <w:lastRenderedPageBreak/>
        <w:t xml:space="preserve">23. </w:t>
      </w:r>
      <w:r>
        <w:tab/>
        <w:t xml:space="preserve">Scott IA, Hilmer SN, Reeve E, Potter K, Couteur DL, Rigby D, et al. Reducing Inappropriate Polypharmacy: The Process of Deprescribing. JAMA Intern Med. 2015 May 1;175(5):827–34. </w:t>
      </w:r>
    </w:p>
    <w:p w14:paraId="20FE400F" w14:textId="77777777" w:rsidR="002C2D82" w:rsidRDefault="002C2D82" w:rsidP="002C2D82">
      <w:pPr>
        <w:pStyle w:val="Bibliography"/>
      </w:pPr>
      <w:r>
        <w:t xml:space="preserve">24. </w:t>
      </w:r>
      <w:r>
        <w:tab/>
        <w:t xml:space="preserve">McGrath K, Hajjar ER, Kumar C, Hwang C, Salzman B, K. M, et al. Deprescribing: A simple method for reducing polypharmacy. J Fam Pract. 2017;66(7):436–45. </w:t>
      </w:r>
    </w:p>
    <w:p w14:paraId="54EC3D57" w14:textId="77777777" w:rsidR="002C2D82" w:rsidRDefault="002C2D82" w:rsidP="002C2D82">
      <w:pPr>
        <w:pStyle w:val="Bibliography"/>
      </w:pPr>
      <w:r>
        <w:t xml:space="preserve">25. </w:t>
      </w:r>
      <w:r>
        <w:tab/>
        <w:t xml:space="preserve">Scottish Government Polypharmacy Model of Care Group. Polypharmacy Guidance Realistic Prescribing, 3rd Edition. 2018 p. 1–40. </w:t>
      </w:r>
    </w:p>
    <w:p w14:paraId="05FA0DCC" w14:textId="77777777" w:rsidR="002C2D82" w:rsidRDefault="002C2D82" w:rsidP="002C2D82">
      <w:pPr>
        <w:pStyle w:val="Bibliography"/>
      </w:pPr>
      <w:r>
        <w:t xml:space="preserve">26. </w:t>
      </w:r>
      <w:r>
        <w:tab/>
        <w:t xml:space="preserve">NICE. Multimorbidity and polypharmacy [KTT18]. 2017;(January):1–8. </w:t>
      </w:r>
    </w:p>
    <w:p w14:paraId="64F000C2" w14:textId="77777777" w:rsidR="002C2D82" w:rsidRDefault="002C2D82" w:rsidP="002C2D82">
      <w:pPr>
        <w:pStyle w:val="Bibliography"/>
      </w:pPr>
      <w:r>
        <w:t xml:space="preserve">27. </w:t>
      </w:r>
      <w:r>
        <w:tab/>
        <w:t>Reeve E, Jordan V, Thompson W, Sawan M, Todd A, Gammie TM, et al. Withdrawal of antihypertensive drugs in older people. Cochrane Database Syst Rev [Internet]. 2020 [cited 2020 Jun 15];(6). Available from: https://www.cochranelibrary.com/cdsr/doi/10.1002/14651858.CD012572.pub2/full</w:t>
      </w:r>
    </w:p>
    <w:p w14:paraId="6659EE69" w14:textId="77777777" w:rsidR="002C2D82" w:rsidRDefault="002C2D82" w:rsidP="002C2D82">
      <w:pPr>
        <w:pStyle w:val="Bibliography"/>
      </w:pPr>
      <w:r>
        <w:t xml:space="preserve">28. </w:t>
      </w:r>
      <w:r>
        <w:tab/>
        <w:t xml:space="preserve">Bokhof B, Junius-Walker U. Reducing Polypharmacy from the Perspectives of General Practitioners and Older Patients: A Synthesis of Qualitative Studies. Drugs Aging. 2016;33(4):249–66. </w:t>
      </w:r>
    </w:p>
    <w:p w14:paraId="231C2D7B" w14:textId="77777777" w:rsidR="002C2D82" w:rsidRDefault="002C2D82" w:rsidP="002C2D82">
      <w:pPr>
        <w:pStyle w:val="Bibliography"/>
      </w:pPr>
      <w:r>
        <w:t xml:space="preserve">29. </w:t>
      </w:r>
      <w:r>
        <w:tab/>
        <w:t xml:space="preserve">Grant A, Sullivan F, Dowell J. An ethnographic exploration of influences on prescribing in general practice: why is there variation in prescribing practices? Implement Sci. 2013;8(72):1–14. </w:t>
      </w:r>
    </w:p>
    <w:p w14:paraId="0B097A6A" w14:textId="77777777" w:rsidR="002C2D82" w:rsidRDefault="002C2D82" w:rsidP="002C2D82">
      <w:pPr>
        <w:pStyle w:val="Bibliography"/>
      </w:pPr>
      <w:r>
        <w:t xml:space="preserve">30. </w:t>
      </w:r>
      <w:r>
        <w:tab/>
        <w:t xml:space="preserve">Carrier H, Zaytseva A, Bocquier A, Villani P, Verdoux H, Fortin M, et al. GPs’ management of polypharmacy and therapeutic dilemma in patients with multimorbidity: a cross-sectional survey of GPs in France. Br J Gen Pract. 2019 Apr;69(681):e270–8. </w:t>
      </w:r>
    </w:p>
    <w:p w14:paraId="05A9E6DD" w14:textId="77777777" w:rsidR="002C2D82" w:rsidRDefault="002C2D82" w:rsidP="002C2D82">
      <w:pPr>
        <w:pStyle w:val="Bibliography"/>
      </w:pPr>
      <w:r>
        <w:t xml:space="preserve">31. </w:t>
      </w:r>
      <w:r>
        <w:tab/>
        <w:t xml:space="preserve">Gillespie R, Mullan J, Harrison L. Deprescribing for older adults in Australia: Factors influencing GPs. Aust J Prim Health. 2018 Jan;24(6):463–9. </w:t>
      </w:r>
    </w:p>
    <w:p w14:paraId="620A6228" w14:textId="77777777" w:rsidR="002C2D82" w:rsidRDefault="002C2D82" w:rsidP="002C2D82">
      <w:pPr>
        <w:pStyle w:val="Bibliography"/>
      </w:pPr>
      <w:r>
        <w:t xml:space="preserve">32. </w:t>
      </w:r>
      <w:r>
        <w:tab/>
        <w:t xml:space="preserve">Schuling J, Gebben H, Veehof LJG, Haaijer-Ruskamp F. Deprescribing medication in very elderly patients with multimorbidity: the view of Dutch GPs. A qualitative study. BMC Fam Pract. 2012;13(56):1–7. </w:t>
      </w:r>
    </w:p>
    <w:p w14:paraId="43648960" w14:textId="77777777" w:rsidR="002C2D82" w:rsidRDefault="002C2D82" w:rsidP="002C2D82">
      <w:pPr>
        <w:pStyle w:val="Bibliography"/>
      </w:pPr>
      <w:r>
        <w:t xml:space="preserve">33. </w:t>
      </w:r>
      <w:r>
        <w:tab/>
        <w:t>van Middelaar T, Ivens SD, Peet PG van, Poortvliet RKE, Richard E, Pols AJ, et al. Prescribing and deprescribing antihypertensive medication in older people by Dutch general practitioners: a qualitative study. BMJ Open [Internet]. 2018 Apr 1 [cited 2019 Dec 16];8(4). Available from: https://bmjopen.bmj.com/content/8/4/e020871</w:t>
      </w:r>
    </w:p>
    <w:p w14:paraId="02F6F07C" w14:textId="77777777" w:rsidR="002C2D82" w:rsidRDefault="002C2D82" w:rsidP="002C2D82">
      <w:pPr>
        <w:pStyle w:val="Bibliography"/>
      </w:pPr>
      <w:r>
        <w:t xml:space="preserve">34. </w:t>
      </w:r>
      <w:r>
        <w:tab/>
        <w:t xml:space="preserve">Palagyi A, Keay L, Harper J, Potter J, Lindley RI. Barricades and brickwalls – a qualitative study exploring perceptions of medication use and deprescribing in long-term care. BMC Geriatr. 2016 Jan 15;16(1):15. </w:t>
      </w:r>
    </w:p>
    <w:p w14:paraId="567478E5" w14:textId="77777777" w:rsidR="002C2D82" w:rsidRDefault="002C2D82" w:rsidP="002C2D82">
      <w:pPr>
        <w:pStyle w:val="Bibliography"/>
      </w:pPr>
      <w:r>
        <w:t xml:space="preserve">35. </w:t>
      </w:r>
      <w:r>
        <w:tab/>
        <w:t xml:space="preserve">Avery AJ, Bell BG. Rationalising medications through deprescribing. BMJ Online. 2019;364(l570):1–2. </w:t>
      </w:r>
    </w:p>
    <w:p w14:paraId="4D4EDDB5" w14:textId="77777777" w:rsidR="002C2D82" w:rsidRDefault="002C2D82" w:rsidP="002C2D82">
      <w:pPr>
        <w:pStyle w:val="Bibliography"/>
      </w:pPr>
      <w:r>
        <w:lastRenderedPageBreak/>
        <w:t xml:space="preserve">36. </w:t>
      </w:r>
      <w:r>
        <w:tab/>
        <w:t xml:space="preserve">Djatche L, Lee S, Singer D, Hegarty SE, Lombardi M, Maio V. How confident are physicians in deprescribing for the elderly and what barriers prevent deprescribing? J Clin Pharm Ther. 2018 Aug;43(4):550–5. </w:t>
      </w:r>
    </w:p>
    <w:p w14:paraId="659C448A" w14:textId="77777777" w:rsidR="002C2D82" w:rsidRDefault="002C2D82" w:rsidP="002C2D82">
      <w:pPr>
        <w:pStyle w:val="Bibliography"/>
      </w:pPr>
      <w:r>
        <w:t xml:space="preserve">37. </w:t>
      </w:r>
      <w:r>
        <w:tab/>
        <w:t xml:space="preserve">Gillespie RJ, Harrison L, Mullan J. Deprescribing medications for older adults in the primary care context: A mixed studies review. Health Sci Rep. 2018 Jul;1(e45):1–13. </w:t>
      </w:r>
    </w:p>
    <w:p w14:paraId="36FE4F87" w14:textId="77777777" w:rsidR="002C2D82" w:rsidRDefault="002C2D82" w:rsidP="002C2D82">
      <w:pPr>
        <w:pStyle w:val="Bibliography"/>
      </w:pPr>
      <w:r>
        <w:t xml:space="preserve">38. </w:t>
      </w:r>
      <w:r>
        <w:tab/>
        <w:t xml:space="preserve">Anderson K, Stowasser D, Freeman C, Scott I. Prescriber barriers and enablers to minimising potentially inappropriate medications in adults: a systematic review and thematic synthesis. BMJ Open. 2014 Dec 1;4(12):e006544. </w:t>
      </w:r>
    </w:p>
    <w:p w14:paraId="553DCF60" w14:textId="77777777" w:rsidR="002C2D82" w:rsidRDefault="002C2D82" w:rsidP="002C2D82">
      <w:pPr>
        <w:pStyle w:val="Bibliography"/>
      </w:pPr>
      <w:r>
        <w:t xml:space="preserve">39. </w:t>
      </w:r>
      <w:r>
        <w:tab/>
        <w:t xml:space="preserve">Scott  A. I, Gray  C. L, Martin  H. J, Pillans  I. P, Mitchell  A. C. Deciding when to stop: towards evidence-based deprescribing of drugs in older populations. Evid Based Med. 2013;18(4):121–4. </w:t>
      </w:r>
    </w:p>
    <w:p w14:paraId="3F496DD7" w14:textId="77777777" w:rsidR="002C2D82" w:rsidRDefault="002C2D82" w:rsidP="002C2D82">
      <w:pPr>
        <w:pStyle w:val="Bibliography"/>
      </w:pPr>
      <w:r>
        <w:t xml:space="preserve">40. </w:t>
      </w:r>
      <w:r>
        <w:tab/>
        <w:t xml:space="preserve">Anthierens S, Tansens A, Petrovic M, Christiaens T. Qualitative insights into general practitioners views on polypharmacy. BMC Fam Pract. 2010;11(65):1–6. </w:t>
      </w:r>
    </w:p>
    <w:p w14:paraId="7F07B462" w14:textId="77777777" w:rsidR="002C2D82" w:rsidRDefault="002C2D82" w:rsidP="002C2D82">
      <w:pPr>
        <w:pStyle w:val="Bibliography"/>
      </w:pPr>
      <w:r>
        <w:t xml:space="preserve">41. </w:t>
      </w:r>
      <w:r>
        <w:tab/>
        <w:t xml:space="preserve">Ailabouni NJ, Nishtala PS, Mangin D, Tordoff JM. General practitioners’ insight into deprescribing for the multimorbid older individual: a qualitative study. Int J Clin Pract. 2016 Mar;70(3):261–76. </w:t>
      </w:r>
    </w:p>
    <w:p w14:paraId="65A0074A" w14:textId="77777777" w:rsidR="002C2D82" w:rsidRDefault="002C2D82" w:rsidP="002C2D82">
      <w:pPr>
        <w:pStyle w:val="Bibliography"/>
      </w:pPr>
      <w:r>
        <w:t xml:space="preserve">42. </w:t>
      </w:r>
      <w:r>
        <w:tab/>
        <w:t xml:space="preserve">Sheppard JP, Burt J, Lown M, Temple E, Lowe R, Fraser R, et al. Effect of Antihypertensive Medication Reduction vs Usual Care on Short-term Blood Pressure Control in Patients With Hypertension Aged 80 Years and Older: The OPTIMISE Randomized Clinical Trial. JAMA. 2020 26;323(20):2039–51. </w:t>
      </w:r>
    </w:p>
    <w:p w14:paraId="47448D1B" w14:textId="77777777" w:rsidR="002C2D82" w:rsidRDefault="002C2D82" w:rsidP="002C2D82">
      <w:pPr>
        <w:pStyle w:val="Bibliography"/>
      </w:pPr>
      <w:r>
        <w:t xml:space="preserve">43. </w:t>
      </w:r>
      <w:r>
        <w:tab/>
        <w:t xml:space="preserve">Malterud K, Siersma V, Guassora AD. Sample Size in Qualitative Interview Studies: Guided by Information Power. Qualitative Health Research. 2016;26(13):1753–60. </w:t>
      </w:r>
    </w:p>
    <w:p w14:paraId="2BE61BE0" w14:textId="77777777" w:rsidR="002C2D82" w:rsidRDefault="002C2D82" w:rsidP="002C2D82">
      <w:pPr>
        <w:pStyle w:val="Bibliography"/>
      </w:pPr>
      <w:r>
        <w:t xml:space="preserve">44. </w:t>
      </w:r>
      <w:r>
        <w:tab/>
        <w:t xml:space="preserve">Braun V, Clarke V. Using thematic analysis in psychology. Qual Res Psychol. 2006 Jan 1;3(2):77–101. </w:t>
      </w:r>
    </w:p>
    <w:p w14:paraId="35C83CC3" w14:textId="77777777" w:rsidR="002C2D82" w:rsidRDefault="002C2D82" w:rsidP="002C2D82">
      <w:pPr>
        <w:pStyle w:val="Bibliography"/>
      </w:pPr>
      <w:r>
        <w:t xml:space="preserve">45. </w:t>
      </w:r>
      <w:r>
        <w:tab/>
        <w:t xml:space="preserve">Saldaña J. The Coding Manual for Qualitative Researchers. Los Angeles: SAGE; 2016. </w:t>
      </w:r>
    </w:p>
    <w:p w14:paraId="5DCFDD41" w14:textId="77777777" w:rsidR="002C2D82" w:rsidRDefault="002C2D82" w:rsidP="002C2D82">
      <w:pPr>
        <w:pStyle w:val="Bibliography"/>
      </w:pPr>
      <w:r>
        <w:t xml:space="preserve">46. </w:t>
      </w:r>
      <w:r>
        <w:tab/>
        <w:t xml:space="preserve">Gabbay J, le May A. Mindlines: making sense of evidence in practice. Br J Gen Pract. 2016;66(649):402–3. </w:t>
      </w:r>
    </w:p>
    <w:p w14:paraId="0A67ED58" w14:textId="77777777" w:rsidR="002C2D82" w:rsidRDefault="002C2D82" w:rsidP="002C2D82">
      <w:pPr>
        <w:pStyle w:val="Bibliography"/>
      </w:pPr>
      <w:r>
        <w:t xml:space="preserve">47. </w:t>
      </w:r>
      <w:r>
        <w:tab/>
        <w:t xml:space="preserve">Gabbay J, le May A. Practice-based evidence for healthcare: Clinical mindlines. London, New York: Routledge; 2011. </w:t>
      </w:r>
    </w:p>
    <w:p w14:paraId="5008FD91" w14:textId="77777777" w:rsidR="002C2D82" w:rsidRDefault="002C2D82" w:rsidP="002C2D82">
      <w:pPr>
        <w:pStyle w:val="Bibliography"/>
      </w:pPr>
      <w:r>
        <w:t xml:space="preserve">48. </w:t>
      </w:r>
      <w:r>
        <w:tab/>
        <w:t xml:space="preserve">Campbell S, Hannon K, Lester H. Exception reporting in the quality and outcomes framework: Views of practice staff - A qualitative study. Br J Gen Pract. 2011;61(585):183–9. </w:t>
      </w:r>
    </w:p>
    <w:p w14:paraId="03F49126" w14:textId="77777777" w:rsidR="002C2D82" w:rsidRDefault="002C2D82" w:rsidP="002C2D82">
      <w:pPr>
        <w:pStyle w:val="Bibliography"/>
      </w:pPr>
      <w:r>
        <w:t xml:space="preserve">49. </w:t>
      </w:r>
      <w:r>
        <w:tab/>
        <w:t xml:space="preserve">Reeve E, Low L-F, Hilmer SN. Beliefs and attitudes of older adults and carers about deprescribing of medications: A qualitative focus group study. BJGP. 2016 Aug;66(649):e552-60. </w:t>
      </w:r>
    </w:p>
    <w:p w14:paraId="587120BE" w14:textId="77777777" w:rsidR="002C2D82" w:rsidRDefault="002C2D82" w:rsidP="002C2D82">
      <w:pPr>
        <w:pStyle w:val="Bibliography"/>
      </w:pPr>
      <w:r>
        <w:lastRenderedPageBreak/>
        <w:t xml:space="preserve">50. </w:t>
      </w:r>
      <w:r>
        <w:tab/>
        <w:t xml:space="preserve">Sinnott C, Kelly MA, Bradley CP. A scoping review of the potential for chart stimulated recall as a clinical research method. BMC Health Serv Res. 2017 Dec;17(583):1–11. </w:t>
      </w:r>
    </w:p>
    <w:p w14:paraId="0701ECDF" w14:textId="77777777" w:rsidR="002C2D82" w:rsidRDefault="002C2D82" w:rsidP="002C2D82">
      <w:pPr>
        <w:pStyle w:val="Bibliography"/>
      </w:pPr>
      <w:r>
        <w:t xml:space="preserve">51. </w:t>
      </w:r>
      <w:r>
        <w:tab/>
        <w:t xml:space="preserve">Cowdell F. Knowledge mobilisation: An ethnographic study of the influence of practitioner mindlines on atopic eczema self-management in primary care in the UK. BMJ Open. 2019;9(e025220):1–9. </w:t>
      </w:r>
    </w:p>
    <w:p w14:paraId="3AC94CAB" w14:textId="0596DFA9" w:rsidR="00C07CB5" w:rsidRPr="00C07CB5" w:rsidRDefault="00C07CB5" w:rsidP="00D24CBC">
      <w:pPr>
        <w:pStyle w:val="Bibliography"/>
      </w:pPr>
    </w:p>
    <w:sectPr w:rsidR="00C07CB5" w:rsidRPr="00C07CB5" w:rsidSect="00713452">
      <w:headerReference w:type="default" r:id="rId11"/>
      <w:footerReference w:type="default" r:id="rId12"/>
      <w:pgSz w:w="11906" w:h="16838"/>
      <w:pgMar w:top="2268" w:right="1349" w:bottom="2325" w:left="1349" w:header="680" w:footer="567" w:gutter="0"/>
      <w:cols w:space="708"/>
      <w:titlePg/>
      <w:docGrid w:linePitch="39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6B8936" w14:textId="77777777" w:rsidR="00F32C42" w:rsidRDefault="00F32C42" w:rsidP="00A118B4">
      <w:r>
        <w:separator/>
      </w:r>
    </w:p>
    <w:p w14:paraId="647BA5E5" w14:textId="77777777" w:rsidR="00F32C42" w:rsidRDefault="00F32C42" w:rsidP="00A118B4"/>
  </w:endnote>
  <w:endnote w:type="continuationSeparator" w:id="0">
    <w:p w14:paraId="482CC5E6" w14:textId="77777777" w:rsidR="00F32C42" w:rsidRDefault="00F32C42" w:rsidP="00A118B4">
      <w:r>
        <w:continuationSeparator/>
      </w:r>
    </w:p>
    <w:p w14:paraId="78B0F712" w14:textId="77777777" w:rsidR="00F32C42" w:rsidRDefault="00F32C42" w:rsidP="00A118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GeorgiaPro-Regular">
    <w:altName w:val="Lucida Bright"/>
    <w:panose1 w:val="00000000000000000000"/>
    <w:charset w:val="00"/>
    <w:family w:val="roman"/>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1" w:usb1="00000000" w:usb2="00000000" w:usb3="00000000" w:csb0="00000009" w:csb1="00000000"/>
  </w:font>
  <w:font w:name="Arial-BoldM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ource Code Pro Light">
    <w:altName w:val="Consolas"/>
    <w:charset w:val="00"/>
    <w:family w:val="modern"/>
    <w:pitch w:val="fixed"/>
    <w:sig w:usb0="20000007" w:usb1="00000001" w:usb2="00000000" w:usb3="00000000" w:csb0="00000193" w:csb1="00000000"/>
  </w:font>
  <w:font w:name="AdvMETAN-R">
    <w:panose1 w:val="00000000000000000000"/>
    <w:charset w:val="00"/>
    <w:family w:val="swiss"/>
    <w:notTrueType/>
    <w:pitch w:val="default"/>
    <w:sig w:usb0="00000003" w:usb1="00000000" w:usb2="00000000" w:usb3="00000000" w:csb0="00000001" w:csb1="00000000"/>
  </w:font>
  <w:font w:name="HelveticaNeueLTStd-Cn">
    <w:altName w:val="MS Gothic"/>
    <w:panose1 w:val="00000000000000000000"/>
    <w:charset w:val="80"/>
    <w:family w:val="swiss"/>
    <w:notTrueType/>
    <w:pitch w:val="default"/>
    <w:sig w:usb0="00000000"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E6022E" w14:textId="0D56298C" w:rsidR="00BD6DFA" w:rsidRPr="0019577F" w:rsidRDefault="00BD6DFA" w:rsidP="00612ED7">
    <w:pPr>
      <w:pStyle w:val="Footer"/>
      <w:tabs>
        <w:tab w:val="clear" w:pos="4513"/>
        <w:tab w:val="clear" w:pos="9026"/>
        <w:tab w:val="left" w:pos="3300"/>
      </w:tabs>
      <w:jc w:val="right"/>
    </w:pPr>
    <w:r w:rsidRPr="000E7D10">
      <w:rPr>
        <w:sz w:val="18"/>
      </w:rPr>
      <w:fldChar w:fldCharType="begin"/>
    </w:r>
    <w:r w:rsidRPr="000E7D10">
      <w:rPr>
        <w:sz w:val="18"/>
      </w:rPr>
      <w:instrText xml:space="preserve"> PAGE   \* MERGEFORMAT </w:instrText>
    </w:r>
    <w:r w:rsidRPr="000E7D10">
      <w:rPr>
        <w:sz w:val="18"/>
      </w:rPr>
      <w:fldChar w:fldCharType="separate"/>
    </w:r>
    <w:r w:rsidR="00BB3A23">
      <w:rPr>
        <w:noProof/>
        <w:sz w:val="18"/>
      </w:rPr>
      <w:t>8</w:t>
    </w:r>
    <w:r w:rsidRPr="000E7D10">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974326" w14:textId="77777777" w:rsidR="00F32C42" w:rsidRDefault="00F32C42" w:rsidP="00A118B4">
      <w:r>
        <w:separator/>
      </w:r>
    </w:p>
    <w:p w14:paraId="7BF7C5A5" w14:textId="77777777" w:rsidR="00F32C42" w:rsidRDefault="00F32C42" w:rsidP="00A118B4"/>
  </w:footnote>
  <w:footnote w:type="continuationSeparator" w:id="0">
    <w:p w14:paraId="4B723DD0" w14:textId="77777777" w:rsidR="00F32C42" w:rsidRDefault="00F32C42" w:rsidP="00A118B4">
      <w:r>
        <w:continuationSeparator/>
      </w:r>
    </w:p>
    <w:p w14:paraId="78BA324B" w14:textId="77777777" w:rsidR="00F32C42" w:rsidRDefault="00F32C42" w:rsidP="00A118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1FBE6" w14:textId="30701233" w:rsidR="00BD6DFA" w:rsidRDefault="00BD6DFA" w:rsidP="00612ED7">
    <w:pPr>
      <w:pStyle w:val="Header"/>
      <w:tabs>
        <w:tab w:val="clear" w:pos="4513"/>
        <w:tab w:val="clear" w:pos="9026"/>
        <w:tab w:val="left" w:pos="0"/>
        <w:tab w:val="right" w:pos="9208"/>
      </w:tabs>
      <w:ind w:left="-993"/>
      <w:jc w:val="right"/>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B9AAE9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0B26B7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74EF0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9629AC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828DD9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ED44AE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23004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576F3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2DEB2E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26C546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AD013B"/>
    <w:multiLevelType w:val="hybridMultilevel"/>
    <w:tmpl w:val="AE6ACAFC"/>
    <w:lvl w:ilvl="0" w:tplc="BA8CFF06">
      <w:start w:val="1"/>
      <w:numFmt w:val="bullet"/>
      <w:lvlText w:val="·"/>
      <w:lvlJc w:val="left"/>
      <w:pPr>
        <w:ind w:left="720" w:hanging="360"/>
      </w:pPr>
      <w:rPr>
        <w:rFonts w:ascii="Symbol" w:hAnsi="Symbol" w:hint="default"/>
      </w:rPr>
    </w:lvl>
    <w:lvl w:ilvl="1" w:tplc="5686E954">
      <w:start w:val="1"/>
      <w:numFmt w:val="bullet"/>
      <w:lvlText w:val="o"/>
      <w:lvlJc w:val="left"/>
      <w:pPr>
        <w:ind w:left="1440" w:hanging="360"/>
      </w:pPr>
      <w:rPr>
        <w:rFonts w:ascii="Courier New" w:hAnsi="Courier New" w:hint="default"/>
      </w:rPr>
    </w:lvl>
    <w:lvl w:ilvl="2" w:tplc="C01C74C0">
      <w:start w:val="1"/>
      <w:numFmt w:val="bullet"/>
      <w:lvlText w:val=""/>
      <w:lvlJc w:val="left"/>
      <w:pPr>
        <w:ind w:left="2160" w:hanging="360"/>
      </w:pPr>
      <w:rPr>
        <w:rFonts w:ascii="Wingdings" w:hAnsi="Wingdings" w:hint="default"/>
      </w:rPr>
    </w:lvl>
    <w:lvl w:ilvl="3" w:tplc="8E8E553A">
      <w:start w:val="1"/>
      <w:numFmt w:val="bullet"/>
      <w:lvlText w:val=""/>
      <w:lvlJc w:val="left"/>
      <w:pPr>
        <w:ind w:left="2880" w:hanging="360"/>
      </w:pPr>
      <w:rPr>
        <w:rFonts w:ascii="Symbol" w:hAnsi="Symbol" w:hint="default"/>
      </w:rPr>
    </w:lvl>
    <w:lvl w:ilvl="4" w:tplc="0DF85F9E">
      <w:start w:val="1"/>
      <w:numFmt w:val="bullet"/>
      <w:lvlText w:val="o"/>
      <w:lvlJc w:val="left"/>
      <w:pPr>
        <w:ind w:left="3600" w:hanging="360"/>
      </w:pPr>
      <w:rPr>
        <w:rFonts w:ascii="Courier New" w:hAnsi="Courier New" w:hint="default"/>
      </w:rPr>
    </w:lvl>
    <w:lvl w:ilvl="5" w:tplc="A89605A6">
      <w:start w:val="1"/>
      <w:numFmt w:val="bullet"/>
      <w:lvlText w:val=""/>
      <w:lvlJc w:val="left"/>
      <w:pPr>
        <w:ind w:left="4320" w:hanging="360"/>
      </w:pPr>
      <w:rPr>
        <w:rFonts w:ascii="Wingdings" w:hAnsi="Wingdings" w:hint="default"/>
      </w:rPr>
    </w:lvl>
    <w:lvl w:ilvl="6" w:tplc="FF307108">
      <w:start w:val="1"/>
      <w:numFmt w:val="bullet"/>
      <w:lvlText w:val=""/>
      <w:lvlJc w:val="left"/>
      <w:pPr>
        <w:ind w:left="5040" w:hanging="360"/>
      </w:pPr>
      <w:rPr>
        <w:rFonts w:ascii="Symbol" w:hAnsi="Symbol" w:hint="default"/>
      </w:rPr>
    </w:lvl>
    <w:lvl w:ilvl="7" w:tplc="AFBA213E">
      <w:start w:val="1"/>
      <w:numFmt w:val="bullet"/>
      <w:lvlText w:val="o"/>
      <w:lvlJc w:val="left"/>
      <w:pPr>
        <w:ind w:left="5760" w:hanging="360"/>
      </w:pPr>
      <w:rPr>
        <w:rFonts w:ascii="Courier New" w:hAnsi="Courier New" w:hint="default"/>
      </w:rPr>
    </w:lvl>
    <w:lvl w:ilvl="8" w:tplc="CA1E6248">
      <w:start w:val="1"/>
      <w:numFmt w:val="bullet"/>
      <w:lvlText w:val=""/>
      <w:lvlJc w:val="left"/>
      <w:pPr>
        <w:ind w:left="6480" w:hanging="360"/>
      </w:pPr>
      <w:rPr>
        <w:rFonts w:ascii="Wingdings" w:hAnsi="Wingdings" w:hint="default"/>
      </w:rPr>
    </w:lvl>
  </w:abstractNum>
  <w:abstractNum w:abstractNumId="11" w15:restartNumberingAfterBreak="0">
    <w:nsid w:val="04403F89"/>
    <w:multiLevelType w:val="hybridMultilevel"/>
    <w:tmpl w:val="43C2C3AC"/>
    <w:lvl w:ilvl="0" w:tplc="1A0ED886">
      <w:start w:val="1"/>
      <w:numFmt w:val="decimal"/>
      <w:lvlText w:val="%1)"/>
      <w:lvlJc w:val="left"/>
      <w:pPr>
        <w:ind w:left="108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11E70BA2"/>
    <w:multiLevelType w:val="hybridMultilevel"/>
    <w:tmpl w:val="0C50CE34"/>
    <w:lvl w:ilvl="0" w:tplc="A30A5C16">
      <w:start w:val="1"/>
      <w:numFmt w:val="decimal"/>
      <w:pStyle w:val="Orderedlist"/>
      <w:lvlText w:val="(%1)"/>
      <w:lvlJc w:val="left"/>
      <w:pPr>
        <w:ind w:left="1080" w:hanging="360"/>
      </w:pPr>
      <w:rPr>
        <w:rFonts w:hint="default"/>
        <w:b/>
        <w:i w:val="0"/>
        <w:color w:val="DD0031"/>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1491391B"/>
    <w:multiLevelType w:val="hybridMultilevel"/>
    <w:tmpl w:val="F6B4E5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496743C"/>
    <w:multiLevelType w:val="hybridMultilevel"/>
    <w:tmpl w:val="423C50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91E4B47"/>
    <w:multiLevelType w:val="hybridMultilevel"/>
    <w:tmpl w:val="3760A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C28672E"/>
    <w:multiLevelType w:val="hybridMultilevel"/>
    <w:tmpl w:val="23ACD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FD39D4"/>
    <w:multiLevelType w:val="multilevel"/>
    <w:tmpl w:val="C94046A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2764BD4"/>
    <w:multiLevelType w:val="hybridMultilevel"/>
    <w:tmpl w:val="60169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3C32729"/>
    <w:multiLevelType w:val="hybridMultilevel"/>
    <w:tmpl w:val="1E04E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D807E8"/>
    <w:multiLevelType w:val="hybridMultilevel"/>
    <w:tmpl w:val="EEEC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E6B74B7"/>
    <w:multiLevelType w:val="hybridMultilevel"/>
    <w:tmpl w:val="DB8C1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E85345"/>
    <w:multiLevelType w:val="hybridMultilevel"/>
    <w:tmpl w:val="7D940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863C0D"/>
    <w:multiLevelType w:val="hybridMultilevel"/>
    <w:tmpl w:val="9C5278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B0F4398"/>
    <w:multiLevelType w:val="hybridMultilevel"/>
    <w:tmpl w:val="D4345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3A2BD0"/>
    <w:multiLevelType w:val="hybridMultilevel"/>
    <w:tmpl w:val="142422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E4754A"/>
    <w:multiLevelType w:val="multilevel"/>
    <w:tmpl w:val="C6880D5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rPr>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7" w15:restartNumberingAfterBreak="0">
    <w:nsid w:val="596E0CB1"/>
    <w:multiLevelType w:val="hybridMultilevel"/>
    <w:tmpl w:val="4B7A09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6114F2"/>
    <w:multiLevelType w:val="hybridMultilevel"/>
    <w:tmpl w:val="57861808"/>
    <w:lvl w:ilvl="0" w:tplc="F1A6FE1A">
      <w:start w:val="1"/>
      <w:numFmt w:val="bullet"/>
      <w:lvlText w:val=""/>
      <w:lvlJc w:val="left"/>
      <w:pPr>
        <w:ind w:left="1080" w:hanging="360"/>
      </w:pPr>
      <w:rPr>
        <w:rFonts w:ascii="Symbol" w:hAnsi="Symbol" w:hint="default"/>
        <w:color w:val="DD003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2D125C3"/>
    <w:multiLevelType w:val="hybridMultilevel"/>
    <w:tmpl w:val="1F4647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83328F4"/>
    <w:multiLevelType w:val="hybridMultilevel"/>
    <w:tmpl w:val="C8C02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216AA8"/>
    <w:multiLevelType w:val="hybridMultilevel"/>
    <w:tmpl w:val="075E1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6F52DE"/>
    <w:multiLevelType w:val="hybridMultilevel"/>
    <w:tmpl w:val="9AB6B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844AB7"/>
    <w:multiLevelType w:val="hybridMultilevel"/>
    <w:tmpl w:val="02549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41E74D1"/>
    <w:multiLevelType w:val="hybridMultilevel"/>
    <w:tmpl w:val="AD3EC194"/>
    <w:lvl w:ilvl="0" w:tplc="00ECC4D0">
      <w:start w:val="1"/>
      <w:numFmt w:val="bullet"/>
      <w:pStyle w:val="Unorderedlist"/>
      <w:lvlText w:val=""/>
      <w:lvlJc w:val="left"/>
      <w:pPr>
        <w:ind w:left="1080" w:hanging="360"/>
      </w:pPr>
      <w:rPr>
        <w:rFonts w:ascii="Symbol" w:hAnsi="Symbol" w:hint="default"/>
        <w:color w:val="DD0031"/>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7588444E"/>
    <w:multiLevelType w:val="hybridMultilevel"/>
    <w:tmpl w:val="0EF05B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6B26D8A"/>
    <w:multiLevelType w:val="hybridMultilevel"/>
    <w:tmpl w:val="67DA7DDC"/>
    <w:lvl w:ilvl="0" w:tplc="ABD0FD56">
      <w:numFmt w:val="bullet"/>
      <w:lvlText w:val="-"/>
      <w:lvlJc w:val="left"/>
      <w:pPr>
        <w:ind w:left="410" w:hanging="360"/>
      </w:pPr>
      <w:rPr>
        <w:rFonts w:ascii="Garamond" w:eastAsia="Arial" w:hAnsi="Garamond" w:cs="Times New Roman"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num w:numId="1">
    <w:abstractNumId w:val="32"/>
  </w:num>
  <w:num w:numId="2">
    <w:abstractNumId w:val="34"/>
  </w:num>
  <w:num w:numId="3">
    <w:abstractNumId w:val="27"/>
  </w:num>
  <w:num w:numId="4">
    <w:abstractNumId w:val="11"/>
  </w:num>
  <w:num w:numId="5">
    <w:abstractNumId w:val="17"/>
  </w:num>
  <w:num w:numId="6">
    <w:abstractNumId w:val="26"/>
  </w:num>
  <w:num w:numId="7">
    <w:abstractNumId w:val="13"/>
  </w:num>
  <w:num w:numId="8">
    <w:abstractNumId w:val="28"/>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12"/>
  </w:num>
  <w:num w:numId="20">
    <w:abstractNumId w:val="24"/>
  </w:num>
  <w:num w:numId="21">
    <w:abstractNumId w:val="15"/>
  </w:num>
  <w:num w:numId="22">
    <w:abstractNumId w:val="19"/>
  </w:num>
  <w:num w:numId="23">
    <w:abstractNumId w:val="20"/>
  </w:num>
  <w:num w:numId="24">
    <w:abstractNumId w:val="31"/>
  </w:num>
  <w:num w:numId="25">
    <w:abstractNumId w:val="30"/>
  </w:num>
  <w:num w:numId="26">
    <w:abstractNumId w:val="18"/>
  </w:num>
  <w:num w:numId="27">
    <w:abstractNumId w:val="18"/>
  </w:num>
  <w:num w:numId="28">
    <w:abstractNumId w:val="22"/>
  </w:num>
  <w:num w:numId="29">
    <w:abstractNumId w:val="33"/>
  </w:num>
  <w:num w:numId="30">
    <w:abstractNumId w:val="36"/>
  </w:num>
  <w:num w:numId="31">
    <w:abstractNumId w:val="21"/>
  </w:num>
  <w:num w:numId="32">
    <w:abstractNumId w:val="14"/>
  </w:num>
  <w:num w:numId="33">
    <w:abstractNumId w:val="35"/>
  </w:num>
  <w:num w:numId="34">
    <w:abstractNumId w:val="25"/>
  </w:num>
  <w:num w:numId="35">
    <w:abstractNumId w:val="23"/>
  </w:num>
  <w:num w:numId="36">
    <w:abstractNumId w:val="16"/>
  </w:num>
  <w:num w:numId="37">
    <w:abstractNumId w:val="29"/>
  </w:num>
  <w:num w:numId="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oNotDisplayPageBoundari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AD2"/>
    <w:rsid w:val="000033F0"/>
    <w:rsid w:val="00004B59"/>
    <w:rsid w:val="0000654F"/>
    <w:rsid w:val="000067F2"/>
    <w:rsid w:val="00006833"/>
    <w:rsid w:val="000071BB"/>
    <w:rsid w:val="0001549D"/>
    <w:rsid w:val="000163F6"/>
    <w:rsid w:val="00017A96"/>
    <w:rsid w:val="000203FD"/>
    <w:rsid w:val="0002064C"/>
    <w:rsid w:val="000213DB"/>
    <w:rsid w:val="000232B1"/>
    <w:rsid w:val="0002419E"/>
    <w:rsid w:val="00024932"/>
    <w:rsid w:val="00024A77"/>
    <w:rsid w:val="00024EB5"/>
    <w:rsid w:val="0002500A"/>
    <w:rsid w:val="00025CB3"/>
    <w:rsid w:val="0002663A"/>
    <w:rsid w:val="00027F00"/>
    <w:rsid w:val="00031049"/>
    <w:rsid w:val="000328C2"/>
    <w:rsid w:val="000339D5"/>
    <w:rsid w:val="00033B61"/>
    <w:rsid w:val="00034793"/>
    <w:rsid w:val="00034F06"/>
    <w:rsid w:val="00035FDB"/>
    <w:rsid w:val="000377A4"/>
    <w:rsid w:val="000402B2"/>
    <w:rsid w:val="00041255"/>
    <w:rsid w:val="00041791"/>
    <w:rsid w:val="00041E2B"/>
    <w:rsid w:val="00042F55"/>
    <w:rsid w:val="00044B16"/>
    <w:rsid w:val="00045B65"/>
    <w:rsid w:val="00050787"/>
    <w:rsid w:val="00054AF2"/>
    <w:rsid w:val="00056FB8"/>
    <w:rsid w:val="0005765A"/>
    <w:rsid w:val="00057FC2"/>
    <w:rsid w:val="000616DD"/>
    <w:rsid w:val="00061A66"/>
    <w:rsid w:val="000644F7"/>
    <w:rsid w:val="000649E3"/>
    <w:rsid w:val="00065D49"/>
    <w:rsid w:val="00066AEE"/>
    <w:rsid w:val="000674FA"/>
    <w:rsid w:val="00067EB0"/>
    <w:rsid w:val="00072136"/>
    <w:rsid w:val="00072B07"/>
    <w:rsid w:val="00072D98"/>
    <w:rsid w:val="0007426C"/>
    <w:rsid w:val="0007444D"/>
    <w:rsid w:val="0007492C"/>
    <w:rsid w:val="0007556F"/>
    <w:rsid w:val="00075A31"/>
    <w:rsid w:val="00076AC4"/>
    <w:rsid w:val="00077EC3"/>
    <w:rsid w:val="000815CA"/>
    <w:rsid w:val="00082727"/>
    <w:rsid w:val="000845B2"/>
    <w:rsid w:val="000856A9"/>
    <w:rsid w:val="0009372C"/>
    <w:rsid w:val="00093920"/>
    <w:rsid w:val="000943D4"/>
    <w:rsid w:val="00095952"/>
    <w:rsid w:val="000A03A2"/>
    <w:rsid w:val="000A1328"/>
    <w:rsid w:val="000A1914"/>
    <w:rsid w:val="000A1D20"/>
    <w:rsid w:val="000A2B37"/>
    <w:rsid w:val="000A3EC7"/>
    <w:rsid w:val="000A4C68"/>
    <w:rsid w:val="000A7132"/>
    <w:rsid w:val="000A716D"/>
    <w:rsid w:val="000B0866"/>
    <w:rsid w:val="000B1DC2"/>
    <w:rsid w:val="000B2A75"/>
    <w:rsid w:val="000B2C9A"/>
    <w:rsid w:val="000B4114"/>
    <w:rsid w:val="000B424D"/>
    <w:rsid w:val="000B467A"/>
    <w:rsid w:val="000B661A"/>
    <w:rsid w:val="000B6678"/>
    <w:rsid w:val="000B7FD2"/>
    <w:rsid w:val="000C38FF"/>
    <w:rsid w:val="000C775A"/>
    <w:rsid w:val="000D1E38"/>
    <w:rsid w:val="000D29D9"/>
    <w:rsid w:val="000D2E32"/>
    <w:rsid w:val="000D3381"/>
    <w:rsid w:val="000D41CC"/>
    <w:rsid w:val="000D5802"/>
    <w:rsid w:val="000D6BA0"/>
    <w:rsid w:val="000D6E75"/>
    <w:rsid w:val="000E0822"/>
    <w:rsid w:val="000E0BD3"/>
    <w:rsid w:val="000E0FEE"/>
    <w:rsid w:val="000E293F"/>
    <w:rsid w:val="000E3FA0"/>
    <w:rsid w:val="000E4428"/>
    <w:rsid w:val="000E47AC"/>
    <w:rsid w:val="000E7D10"/>
    <w:rsid w:val="000F08B7"/>
    <w:rsid w:val="000F0C0E"/>
    <w:rsid w:val="000F34DD"/>
    <w:rsid w:val="000F442F"/>
    <w:rsid w:val="000F4B1F"/>
    <w:rsid w:val="000F6C98"/>
    <w:rsid w:val="000F7935"/>
    <w:rsid w:val="001001F8"/>
    <w:rsid w:val="00100DC2"/>
    <w:rsid w:val="0010101A"/>
    <w:rsid w:val="001011F9"/>
    <w:rsid w:val="001020A6"/>
    <w:rsid w:val="00102442"/>
    <w:rsid w:val="00104FD9"/>
    <w:rsid w:val="00106E85"/>
    <w:rsid w:val="00107948"/>
    <w:rsid w:val="00107A00"/>
    <w:rsid w:val="00110566"/>
    <w:rsid w:val="00111FA1"/>
    <w:rsid w:val="00113718"/>
    <w:rsid w:val="00113C04"/>
    <w:rsid w:val="00114031"/>
    <w:rsid w:val="001165D3"/>
    <w:rsid w:val="00122AB4"/>
    <w:rsid w:val="00123FC3"/>
    <w:rsid w:val="00124070"/>
    <w:rsid w:val="00127F45"/>
    <w:rsid w:val="00127FEC"/>
    <w:rsid w:val="00131083"/>
    <w:rsid w:val="001319A2"/>
    <w:rsid w:val="00132478"/>
    <w:rsid w:val="001329B8"/>
    <w:rsid w:val="00132F3E"/>
    <w:rsid w:val="00133739"/>
    <w:rsid w:val="00133891"/>
    <w:rsid w:val="0013658A"/>
    <w:rsid w:val="0013664A"/>
    <w:rsid w:val="001366B5"/>
    <w:rsid w:val="0014088A"/>
    <w:rsid w:val="00141CA7"/>
    <w:rsid w:val="00142F18"/>
    <w:rsid w:val="00143E34"/>
    <w:rsid w:val="00144065"/>
    <w:rsid w:val="0014469F"/>
    <w:rsid w:val="00144AC4"/>
    <w:rsid w:val="00146025"/>
    <w:rsid w:val="00146F6E"/>
    <w:rsid w:val="001470C5"/>
    <w:rsid w:val="00150DE2"/>
    <w:rsid w:val="00151660"/>
    <w:rsid w:val="001529B7"/>
    <w:rsid w:val="00154802"/>
    <w:rsid w:val="00155A29"/>
    <w:rsid w:val="00155B0A"/>
    <w:rsid w:val="00155F7B"/>
    <w:rsid w:val="001572C7"/>
    <w:rsid w:val="001604FE"/>
    <w:rsid w:val="00161981"/>
    <w:rsid w:val="0016272B"/>
    <w:rsid w:val="001627A5"/>
    <w:rsid w:val="00162E27"/>
    <w:rsid w:val="001630CF"/>
    <w:rsid w:val="00163B86"/>
    <w:rsid w:val="001643DB"/>
    <w:rsid w:val="00164BE6"/>
    <w:rsid w:val="001667C3"/>
    <w:rsid w:val="00170681"/>
    <w:rsid w:val="0017398C"/>
    <w:rsid w:val="00173C66"/>
    <w:rsid w:val="00175BBD"/>
    <w:rsid w:val="00177D74"/>
    <w:rsid w:val="00180197"/>
    <w:rsid w:val="00180340"/>
    <w:rsid w:val="00180424"/>
    <w:rsid w:val="00180645"/>
    <w:rsid w:val="001813E1"/>
    <w:rsid w:val="0018198D"/>
    <w:rsid w:val="001819D3"/>
    <w:rsid w:val="00181CFF"/>
    <w:rsid w:val="00182664"/>
    <w:rsid w:val="00182C0A"/>
    <w:rsid w:val="0018482C"/>
    <w:rsid w:val="00186A2C"/>
    <w:rsid w:val="00187A40"/>
    <w:rsid w:val="00187D79"/>
    <w:rsid w:val="00190232"/>
    <w:rsid w:val="00190547"/>
    <w:rsid w:val="00190E5C"/>
    <w:rsid w:val="00190E64"/>
    <w:rsid w:val="00191CD8"/>
    <w:rsid w:val="00193A7D"/>
    <w:rsid w:val="00195107"/>
    <w:rsid w:val="00195493"/>
    <w:rsid w:val="001954CF"/>
    <w:rsid w:val="0019577F"/>
    <w:rsid w:val="0019736F"/>
    <w:rsid w:val="001A0FFB"/>
    <w:rsid w:val="001A17DF"/>
    <w:rsid w:val="001A4126"/>
    <w:rsid w:val="001A5C23"/>
    <w:rsid w:val="001B014B"/>
    <w:rsid w:val="001B4D8D"/>
    <w:rsid w:val="001B68E8"/>
    <w:rsid w:val="001B6C77"/>
    <w:rsid w:val="001B6D58"/>
    <w:rsid w:val="001B7431"/>
    <w:rsid w:val="001C16AF"/>
    <w:rsid w:val="001C30ED"/>
    <w:rsid w:val="001C79DA"/>
    <w:rsid w:val="001D03BB"/>
    <w:rsid w:val="001D6CBF"/>
    <w:rsid w:val="001D77B2"/>
    <w:rsid w:val="001D7B05"/>
    <w:rsid w:val="001E00A8"/>
    <w:rsid w:val="001E0907"/>
    <w:rsid w:val="001E0B23"/>
    <w:rsid w:val="001E272C"/>
    <w:rsid w:val="001E3842"/>
    <w:rsid w:val="001E5AEB"/>
    <w:rsid w:val="001E5E20"/>
    <w:rsid w:val="001F0A19"/>
    <w:rsid w:val="001F1C71"/>
    <w:rsid w:val="001F3E77"/>
    <w:rsid w:val="001F44DE"/>
    <w:rsid w:val="001F5BE5"/>
    <w:rsid w:val="001F6404"/>
    <w:rsid w:val="001F7377"/>
    <w:rsid w:val="001F7810"/>
    <w:rsid w:val="0020074E"/>
    <w:rsid w:val="00201258"/>
    <w:rsid w:val="00202B5B"/>
    <w:rsid w:val="00203315"/>
    <w:rsid w:val="002033A8"/>
    <w:rsid w:val="00203DA2"/>
    <w:rsid w:val="002042DD"/>
    <w:rsid w:val="00204B36"/>
    <w:rsid w:val="00205B22"/>
    <w:rsid w:val="00205C92"/>
    <w:rsid w:val="00206417"/>
    <w:rsid w:val="00212716"/>
    <w:rsid w:val="00214777"/>
    <w:rsid w:val="00214944"/>
    <w:rsid w:val="00215E96"/>
    <w:rsid w:val="002164E1"/>
    <w:rsid w:val="00216C64"/>
    <w:rsid w:val="00217185"/>
    <w:rsid w:val="002171FE"/>
    <w:rsid w:val="002207A5"/>
    <w:rsid w:val="00221724"/>
    <w:rsid w:val="00222663"/>
    <w:rsid w:val="00223A99"/>
    <w:rsid w:val="00223C8F"/>
    <w:rsid w:val="00226130"/>
    <w:rsid w:val="00226DBB"/>
    <w:rsid w:val="00227560"/>
    <w:rsid w:val="002275C9"/>
    <w:rsid w:val="00227D80"/>
    <w:rsid w:val="002303D5"/>
    <w:rsid w:val="0023074D"/>
    <w:rsid w:val="00230F88"/>
    <w:rsid w:val="00231097"/>
    <w:rsid w:val="00232DC1"/>
    <w:rsid w:val="00233637"/>
    <w:rsid w:val="0023514F"/>
    <w:rsid w:val="00235188"/>
    <w:rsid w:val="00235268"/>
    <w:rsid w:val="002366F7"/>
    <w:rsid w:val="002369CA"/>
    <w:rsid w:val="00240E73"/>
    <w:rsid w:val="0024119F"/>
    <w:rsid w:val="00241481"/>
    <w:rsid w:val="0024203B"/>
    <w:rsid w:val="0024342B"/>
    <w:rsid w:val="00243EC5"/>
    <w:rsid w:val="002500C0"/>
    <w:rsid w:val="00250EF6"/>
    <w:rsid w:val="002512FC"/>
    <w:rsid w:val="002564FA"/>
    <w:rsid w:val="00256DE8"/>
    <w:rsid w:val="002577BB"/>
    <w:rsid w:val="002577CD"/>
    <w:rsid w:val="00260554"/>
    <w:rsid w:val="002616CE"/>
    <w:rsid w:val="0026179C"/>
    <w:rsid w:val="00263453"/>
    <w:rsid w:val="00263644"/>
    <w:rsid w:val="00266C74"/>
    <w:rsid w:val="00267ACE"/>
    <w:rsid w:val="002727BB"/>
    <w:rsid w:val="00272F73"/>
    <w:rsid w:val="00273FB7"/>
    <w:rsid w:val="00274114"/>
    <w:rsid w:val="00280687"/>
    <w:rsid w:val="00281369"/>
    <w:rsid w:val="002852F4"/>
    <w:rsid w:val="0028558F"/>
    <w:rsid w:val="00285A5B"/>
    <w:rsid w:val="002868B9"/>
    <w:rsid w:val="00287B55"/>
    <w:rsid w:val="00291C8F"/>
    <w:rsid w:val="00291E38"/>
    <w:rsid w:val="00293473"/>
    <w:rsid w:val="002946FA"/>
    <w:rsid w:val="002959B9"/>
    <w:rsid w:val="00296169"/>
    <w:rsid w:val="002A1CCF"/>
    <w:rsid w:val="002A27FE"/>
    <w:rsid w:val="002A3F50"/>
    <w:rsid w:val="002A5393"/>
    <w:rsid w:val="002A5A2F"/>
    <w:rsid w:val="002A652B"/>
    <w:rsid w:val="002A6CAC"/>
    <w:rsid w:val="002A6D9E"/>
    <w:rsid w:val="002A7C6F"/>
    <w:rsid w:val="002B1650"/>
    <w:rsid w:val="002B302B"/>
    <w:rsid w:val="002B3389"/>
    <w:rsid w:val="002B6FF1"/>
    <w:rsid w:val="002B7AC6"/>
    <w:rsid w:val="002C017E"/>
    <w:rsid w:val="002C1D8B"/>
    <w:rsid w:val="002C2D82"/>
    <w:rsid w:val="002C3343"/>
    <w:rsid w:val="002C3B4B"/>
    <w:rsid w:val="002C3E96"/>
    <w:rsid w:val="002C591A"/>
    <w:rsid w:val="002C6E99"/>
    <w:rsid w:val="002C73CD"/>
    <w:rsid w:val="002D02B0"/>
    <w:rsid w:val="002D0B62"/>
    <w:rsid w:val="002D0BAD"/>
    <w:rsid w:val="002D2C02"/>
    <w:rsid w:val="002D4B06"/>
    <w:rsid w:val="002D4E7E"/>
    <w:rsid w:val="002D6562"/>
    <w:rsid w:val="002D7C7E"/>
    <w:rsid w:val="002E025C"/>
    <w:rsid w:val="002E04B1"/>
    <w:rsid w:val="002E0EF1"/>
    <w:rsid w:val="002E23EF"/>
    <w:rsid w:val="002E27E7"/>
    <w:rsid w:val="002E2F01"/>
    <w:rsid w:val="002E5EB0"/>
    <w:rsid w:val="002E6F7F"/>
    <w:rsid w:val="002F0412"/>
    <w:rsid w:val="002F0EAE"/>
    <w:rsid w:val="002F182A"/>
    <w:rsid w:val="002F1C69"/>
    <w:rsid w:val="002F447F"/>
    <w:rsid w:val="002F4D9B"/>
    <w:rsid w:val="002F53D5"/>
    <w:rsid w:val="002F5400"/>
    <w:rsid w:val="002F5FDF"/>
    <w:rsid w:val="002F67E0"/>
    <w:rsid w:val="002F79F6"/>
    <w:rsid w:val="0030068B"/>
    <w:rsid w:val="00300737"/>
    <w:rsid w:val="00300D37"/>
    <w:rsid w:val="00303C44"/>
    <w:rsid w:val="003051DB"/>
    <w:rsid w:val="00305A57"/>
    <w:rsid w:val="00307B1A"/>
    <w:rsid w:val="0031089C"/>
    <w:rsid w:val="003139F6"/>
    <w:rsid w:val="00314CC6"/>
    <w:rsid w:val="0031648B"/>
    <w:rsid w:val="00317133"/>
    <w:rsid w:val="00320E5C"/>
    <w:rsid w:val="003227DF"/>
    <w:rsid w:val="003241AB"/>
    <w:rsid w:val="00324DCD"/>
    <w:rsid w:val="0032672E"/>
    <w:rsid w:val="00326FEB"/>
    <w:rsid w:val="0033138E"/>
    <w:rsid w:val="00333790"/>
    <w:rsid w:val="00333A1C"/>
    <w:rsid w:val="00333B63"/>
    <w:rsid w:val="00333BCD"/>
    <w:rsid w:val="00335509"/>
    <w:rsid w:val="003366BB"/>
    <w:rsid w:val="003377D4"/>
    <w:rsid w:val="003378FD"/>
    <w:rsid w:val="00337D1A"/>
    <w:rsid w:val="00340DF6"/>
    <w:rsid w:val="00342480"/>
    <w:rsid w:val="00342EBA"/>
    <w:rsid w:val="003452D0"/>
    <w:rsid w:val="00346623"/>
    <w:rsid w:val="00346B38"/>
    <w:rsid w:val="003471A8"/>
    <w:rsid w:val="0035078D"/>
    <w:rsid w:val="0035327B"/>
    <w:rsid w:val="00355B5E"/>
    <w:rsid w:val="00355DC1"/>
    <w:rsid w:val="003561A8"/>
    <w:rsid w:val="003604FD"/>
    <w:rsid w:val="00361C9C"/>
    <w:rsid w:val="0036242B"/>
    <w:rsid w:val="003629FB"/>
    <w:rsid w:val="00364A29"/>
    <w:rsid w:val="003657B5"/>
    <w:rsid w:val="003716D8"/>
    <w:rsid w:val="0037184B"/>
    <w:rsid w:val="00376AA2"/>
    <w:rsid w:val="0038683C"/>
    <w:rsid w:val="00391956"/>
    <w:rsid w:val="0039406E"/>
    <w:rsid w:val="003A0358"/>
    <w:rsid w:val="003A144B"/>
    <w:rsid w:val="003A1E9B"/>
    <w:rsid w:val="003A6CD8"/>
    <w:rsid w:val="003A786C"/>
    <w:rsid w:val="003B0428"/>
    <w:rsid w:val="003B0733"/>
    <w:rsid w:val="003B2A55"/>
    <w:rsid w:val="003B2F1E"/>
    <w:rsid w:val="003B3211"/>
    <w:rsid w:val="003B39E3"/>
    <w:rsid w:val="003B57B3"/>
    <w:rsid w:val="003B5EEC"/>
    <w:rsid w:val="003B681D"/>
    <w:rsid w:val="003B6BAB"/>
    <w:rsid w:val="003B77B2"/>
    <w:rsid w:val="003B7FFA"/>
    <w:rsid w:val="003C0012"/>
    <w:rsid w:val="003C035E"/>
    <w:rsid w:val="003C0F63"/>
    <w:rsid w:val="003C1459"/>
    <w:rsid w:val="003C1A44"/>
    <w:rsid w:val="003C4098"/>
    <w:rsid w:val="003C4B16"/>
    <w:rsid w:val="003C531A"/>
    <w:rsid w:val="003C5CBC"/>
    <w:rsid w:val="003C62D1"/>
    <w:rsid w:val="003C66FC"/>
    <w:rsid w:val="003C77CB"/>
    <w:rsid w:val="003D0E90"/>
    <w:rsid w:val="003D295E"/>
    <w:rsid w:val="003D2FE0"/>
    <w:rsid w:val="003D4C89"/>
    <w:rsid w:val="003D53C3"/>
    <w:rsid w:val="003D5F0C"/>
    <w:rsid w:val="003D60A4"/>
    <w:rsid w:val="003D6543"/>
    <w:rsid w:val="003D6AEF"/>
    <w:rsid w:val="003E1098"/>
    <w:rsid w:val="003E10B0"/>
    <w:rsid w:val="003E3C4A"/>
    <w:rsid w:val="003E4DA8"/>
    <w:rsid w:val="003E7D27"/>
    <w:rsid w:val="003F1D1C"/>
    <w:rsid w:val="003F2BD2"/>
    <w:rsid w:val="003F30A8"/>
    <w:rsid w:val="003F57BE"/>
    <w:rsid w:val="003F5F57"/>
    <w:rsid w:val="00401641"/>
    <w:rsid w:val="00401C67"/>
    <w:rsid w:val="004021DC"/>
    <w:rsid w:val="004022E4"/>
    <w:rsid w:val="004028D1"/>
    <w:rsid w:val="0040557B"/>
    <w:rsid w:val="0040682A"/>
    <w:rsid w:val="00407509"/>
    <w:rsid w:val="00411038"/>
    <w:rsid w:val="00411073"/>
    <w:rsid w:val="00414844"/>
    <w:rsid w:val="00417470"/>
    <w:rsid w:val="0042042F"/>
    <w:rsid w:val="004207AE"/>
    <w:rsid w:val="004214C9"/>
    <w:rsid w:val="0042202E"/>
    <w:rsid w:val="00422BD2"/>
    <w:rsid w:val="00424A87"/>
    <w:rsid w:val="0042577C"/>
    <w:rsid w:val="00425DF0"/>
    <w:rsid w:val="00426946"/>
    <w:rsid w:val="00427F66"/>
    <w:rsid w:val="00430395"/>
    <w:rsid w:val="004306DC"/>
    <w:rsid w:val="004337AD"/>
    <w:rsid w:val="00435252"/>
    <w:rsid w:val="00435834"/>
    <w:rsid w:val="004358B9"/>
    <w:rsid w:val="0043745E"/>
    <w:rsid w:val="00437534"/>
    <w:rsid w:val="00441810"/>
    <w:rsid w:val="00442974"/>
    <w:rsid w:val="00442B19"/>
    <w:rsid w:val="00442BA5"/>
    <w:rsid w:val="0044358E"/>
    <w:rsid w:val="00443B07"/>
    <w:rsid w:val="00444E8B"/>
    <w:rsid w:val="00446A53"/>
    <w:rsid w:val="0045334C"/>
    <w:rsid w:val="00453D59"/>
    <w:rsid w:val="00454C67"/>
    <w:rsid w:val="00454CBB"/>
    <w:rsid w:val="00455861"/>
    <w:rsid w:val="00455C37"/>
    <w:rsid w:val="00455C70"/>
    <w:rsid w:val="00455D75"/>
    <w:rsid w:val="00456596"/>
    <w:rsid w:val="004577B3"/>
    <w:rsid w:val="00460651"/>
    <w:rsid w:val="00461509"/>
    <w:rsid w:val="00462877"/>
    <w:rsid w:val="0046306B"/>
    <w:rsid w:val="004642D5"/>
    <w:rsid w:val="00464437"/>
    <w:rsid w:val="0046499A"/>
    <w:rsid w:val="00464CC4"/>
    <w:rsid w:val="00465337"/>
    <w:rsid w:val="00466F82"/>
    <w:rsid w:val="00471F96"/>
    <w:rsid w:val="00472B86"/>
    <w:rsid w:val="00473B37"/>
    <w:rsid w:val="0047575E"/>
    <w:rsid w:val="00475E67"/>
    <w:rsid w:val="004764FA"/>
    <w:rsid w:val="00476D79"/>
    <w:rsid w:val="004771AA"/>
    <w:rsid w:val="00482175"/>
    <w:rsid w:val="0048359C"/>
    <w:rsid w:val="004839D2"/>
    <w:rsid w:val="00483EBA"/>
    <w:rsid w:val="00486F16"/>
    <w:rsid w:val="00487E4D"/>
    <w:rsid w:val="00490E26"/>
    <w:rsid w:val="00492D97"/>
    <w:rsid w:val="00493CC9"/>
    <w:rsid w:val="0049412F"/>
    <w:rsid w:val="00494871"/>
    <w:rsid w:val="004950F4"/>
    <w:rsid w:val="00495762"/>
    <w:rsid w:val="00497589"/>
    <w:rsid w:val="004A1024"/>
    <w:rsid w:val="004A1CB6"/>
    <w:rsid w:val="004A2576"/>
    <w:rsid w:val="004A3906"/>
    <w:rsid w:val="004A3AA7"/>
    <w:rsid w:val="004A4313"/>
    <w:rsid w:val="004A6D4A"/>
    <w:rsid w:val="004A6E33"/>
    <w:rsid w:val="004B153A"/>
    <w:rsid w:val="004B514B"/>
    <w:rsid w:val="004B51F1"/>
    <w:rsid w:val="004B52B9"/>
    <w:rsid w:val="004B558F"/>
    <w:rsid w:val="004B698C"/>
    <w:rsid w:val="004B6D8C"/>
    <w:rsid w:val="004B7214"/>
    <w:rsid w:val="004B7499"/>
    <w:rsid w:val="004C0BAF"/>
    <w:rsid w:val="004C100D"/>
    <w:rsid w:val="004C1419"/>
    <w:rsid w:val="004C14B8"/>
    <w:rsid w:val="004C25AA"/>
    <w:rsid w:val="004C3048"/>
    <w:rsid w:val="004C505F"/>
    <w:rsid w:val="004C60A7"/>
    <w:rsid w:val="004C734E"/>
    <w:rsid w:val="004C7B46"/>
    <w:rsid w:val="004C7BF5"/>
    <w:rsid w:val="004D0EBC"/>
    <w:rsid w:val="004D1AEF"/>
    <w:rsid w:val="004D1C4E"/>
    <w:rsid w:val="004D1EF5"/>
    <w:rsid w:val="004D21A2"/>
    <w:rsid w:val="004D38BD"/>
    <w:rsid w:val="004D6DF4"/>
    <w:rsid w:val="004D6E31"/>
    <w:rsid w:val="004D7D6E"/>
    <w:rsid w:val="004E0728"/>
    <w:rsid w:val="004E121E"/>
    <w:rsid w:val="004E13C3"/>
    <w:rsid w:val="004E1A27"/>
    <w:rsid w:val="004E3B29"/>
    <w:rsid w:val="004E3E3D"/>
    <w:rsid w:val="004E3F3B"/>
    <w:rsid w:val="004E3F61"/>
    <w:rsid w:val="004E4491"/>
    <w:rsid w:val="004E7282"/>
    <w:rsid w:val="004E7653"/>
    <w:rsid w:val="004F09FE"/>
    <w:rsid w:val="004F1C99"/>
    <w:rsid w:val="004F31F3"/>
    <w:rsid w:val="004F3C69"/>
    <w:rsid w:val="004F4795"/>
    <w:rsid w:val="004F4EA1"/>
    <w:rsid w:val="004F7C18"/>
    <w:rsid w:val="0050551A"/>
    <w:rsid w:val="00510146"/>
    <w:rsid w:val="00510FA8"/>
    <w:rsid w:val="005142C8"/>
    <w:rsid w:val="00515617"/>
    <w:rsid w:val="005222BE"/>
    <w:rsid w:val="005224AE"/>
    <w:rsid w:val="00523BA1"/>
    <w:rsid w:val="00527BAC"/>
    <w:rsid w:val="005315FE"/>
    <w:rsid w:val="0053396C"/>
    <w:rsid w:val="005379DE"/>
    <w:rsid w:val="00540525"/>
    <w:rsid w:val="0054070B"/>
    <w:rsid w:val="00540D66"/>
    <w:rsid w:val="00540FDE"/>
    <w:rsid w:val="00541455"/>
    <w:rsid w:val="00542095"/>
    <w:rsid w:val="00543137"/>
    <w:rsid w:val="00543602"/>
    <w:rsid w:val="005465B2"/>
    <w:rsid w:val="00546EFC"/>
    <w:rsid w:val="00550915"/>
    <w:rsid w:val="005512F6"/>
    <w:rsid w:val="005520B5"/>
    <w:rsid w:val="00561FA2"/>
    <w:rsid w:val="0056223D"/>
    <w:rsid w:val="0056356A"/>
    <w:rsid w:val="00564A82"/>
    <w:rsid w:val="005659FD"/>
    <w:rsid w:val="00567449"/>
    <w:rsid w:val="0056754A"/>
    <w:rsid w:val="00570271"/>
    <w:rsid w:val="005702D1"/>
    <w:rsid w:val="00570404"/>
    <w:rsid w:val="00570A35"/>
    <w:rsid w:val="00572A4E"/>
    <w:rsid w:val="00573459"/>
    <w:rsid w:val="00573792"/>
    <w:rsid w:val="005766A4"/>
    <w:rsid w:val="005801AF"/>
    <w:rsid w:val="00581D67"/>
    <w:rsid w:val="00583790"/>
    <w:rsid w:val="00586D61"/>
    <w:rsid w:val="00587823"/>
    <w:rsid w:val="005924ED"/>
    <w:rsid w:val="00592882"/>
    <w:rsid w:val="00592898"/>
    <w:rsid w:val="00594642"/>
    <w:rsid w:val="0059561A"/>
    <w:rsid w:val="00595E37"/>
    <w:rsid w:val="0059755E"/>
    <w:rsid w:val="00597E38"/>
    <w:rsid w:val="005A0AA1"/>
    <w:rsid w:val="005A73D5"/>
    <w:rsid w:val="005B14DD"/>
    <w:rsid w:val="005B248D"/>
    <w:rsid w:val="005B4D1E"/>
    <w:rsid w:val="005C0F23"/>
    <w:rsid w:val="005C1151"/>
    <w:rsid w:val="005C1FEA"/>
    <w:rsid w:val="005C4603"/>
    <w:rsid w:val="005C5224"/>
    <w:rsid w:val="005C5C93"/>
    <w:rsid w:val="005D27E2"/>
    <w:rsid w:val="005D3EA7"/>
    <w:rsid w:val="005D42F6"/>
    <w:rsid w:val="005D4481"/>
    <w:rsid w:val="005D6757"/>
    <w:rsid w:val="005D6E96"/>
    <w:rsid w:val="005D73F7"/>
    <w:rsid w:val="005E097E"/>
    <w:rsid w:val="005E1196"/>
    <w:rsid w:val="005E1479"/>
    <w:rsid w:val="005E181C"/>
    <w:rsid w:val="005E2624"/>
    <w:rsid w:val="005E6F52"/>
    <w:rsid w:val="005E7C4E"/>
    <w:rsid w:val="005F1EE2"/>
    <w:rsid w:val="005F46AA"/>
    <w:rsid w:val="005F47F1"/>
    <w:rsid w:val="005F4BB4"/>
    <w:rsid w:val="005F4C7E"/>
    <w:rsid w:val="005F4DE0"/>
    <w:rsid w:val="005F6099"/>
    <w:rsid w:val="005F6747"/>
    <w:rsid w:val="00601AA3"/>
    <w:rsid w:val="00602DCF"/>
    <w:rsid w:val="006041A1"/>
    <w:rsid w:val="006049C0"/>
    <w:rsid w:val="00605193"/>
    <w:rsid w:val="006060EE"/>
    <w:rsid w:val="00606B59"/>
    <w:rsid w:val="00610482"/>
    <w:rsid w:val="00611FDD"/>
    <w:rsid w:val="006125C7"/>
    <w:rsid w:val="00612ED7"/>
    <w:rsid w:val="00613813"/>
    <w:rsid w:val="006154B5"/>
    <w:rsid w:val="0061637B"/>
    <w:rsid w:val="00616BFA"/>
    <w:rsid w:val="00617F9B"/>
    <w:rsid w:val="00620764"/>
    <w:rsid w:val="00621CA4"/>
    <w:rsid w:val="00621D69"/>
    <w:rsid w:val="0062234D"/>
    <w:rsid w:val="006229A5"/>
    <w:rsid w:val="0062450F"/>
    <w:rsid w:val="0062454F"/>
    <w:rsid w:val="006247AA"/>
    <w:rsid w:val="006256A4"/>
    <w:rsid w:val="00626046"/>
    <w:rsid w:val="0062674A"/>
    <w:rsid w:val="00630339"/>
    <w:rsid w:val="0063091E"/>
    <w:rsid w:val="00630DE3"/>
    <w:rsid w:val="00632797"/>
    <w:rsid w:val="0063334A"/>
    <w:rsid w:val="0063472D"/>
    <w:rsid w:val="00634733"/>
    <w:rsid w:val="00634A63"/>
    <w:rsid w:val="0064032D"/>
    <w:rsid w:val="00640A66"/>
    <w:rsid w:val="00641B63"/>
    <w:rsid w:val="00641C69"/>
    <w:rsid w:val="006421C6"/>
    <w:rsid w:val="00642FAA"/>
    <w:rsid w:val="00643685"/>
    <w:rsid w:val="00643EA8"/>
    <w:rsid w:val="00644E05"/>
    <w:rsid w:val="0065004E"/>
    <w:rsid w:val="006505ED"/>
    <w:rsid w:val="00651174"/>
    <w:rsid w:val="006513DA"/>
    <w:rsid w:val="0065301F"/>
    <w:rsid w:val="00653E3A"/>
    <w:rsid w:val="00654783"/>
    <w:rsid w:val="00655F80"/>
    <w:rsid w:val="0065653E"/>
    <w:rsid w:val="00661487"/>
    <w:rsid w:val="006629BE"/>
    <w:rsid w:val="0066432E"/>
    <w:rsid w:val="0066469C"/>
    <w:rsid w:val="0066602A"/>
    <w:rsid w:val="006677AB"/>
    <w:rsid w:val="006679FB"/>
    <w:rsid w:val="00670649"/>
    <w:rsid w:val="00670DD6"/>
    <w:rsid w:val="00671C5A"/>
    <w:rsid w:val="00673A3E"/>
    <w:rsid w:val="00674F7C"/>
    <w:rsid w:val="00675F18"/>
    <w:rsid w:val="00676E44"/>
    <w:rsid w:val="0067746C"/>
    <w:rsid w:val="006847F4"/>
    <w:rsid w:val="00685326"/>
    <w:rsid w:val="0068573D"/>
    <w:rsid w:val="006928FC"/>
    <w:rsid w:val="00692ED4"/>
    <w:rsid w:val="006934EF"/>
    <w:rsid w:val="006944BE"/>
    <w:rsid w:val="00696040"/>
    <w:rsid w:val="006A13E7"/>
    <w:rsid w:val="006A1DA0"/>
    <w:rsid w:val="006A3022"/>
    <w:rsid w:val="006A4029"/>
    <w:rsid w:val="006A57AF"/>
    <w:rsid w:val="006A68C6"/>
    <w:rsid w:val="006A6FD9"/>
    <w:rsid w:val="006A6FF5"/>
    <w:rsid w:val="006A7C01"/>
    <w:rsid w:val="006B1010"/>
    <w:rsid w:val="006B3278"/>
    <w:rsid w:val="006B3351"/>
    <w:rsid w:val="006B472E"/>
    <w:rsid w:val="006B4EC3"/>
    <w:rsid w:val="006B61E1"/>
    <w:rsid w:val="006C1812"/>
    <w:rsid w:val="006C222B"/>
    <w:rsid w:val="006C4D83"/>
    <w:rsid w:val="006C522D"/>
    <w:rsid w:val="006C6441"/>
    <w:rsid w:val="006C71C3"/>
    <w:rsid w:val="006D0FE0"/>
    <w:rsid w:val="006D1826"/>
    <w:rsid w:val="006D2D37"/>
    <w:rsid w:val="006D2F55"/>
    <w:rsid w:val="006D3068"/>
    <w:rsid w:val="006D3809"/>
    <w:rsid w:val="006E065A"/>
    <w:rsid w:val="006E1110"/>
    <w:rsid w:val="006E1A5D"/>
    <w:rsid w:val="006E3F06"/>
    <w:rsid w:val="006E421B"/>
    <w:rsid w:val="006E500E"/>
    <w:rsid w:val="006E5259"/>
    <w:rsid w:val="006E6E2E"/>
    <w:rsid w:val="006E6F71"/>
    <w:rsid w:val="006F0130"/>
    <w:rsid w:val="006F02CA"/>
    <w:rsid w:val="006F146E"/>
    <w:rsid w:val="006F5166"/>
    <w:rsid w:val="006F555E"/>
    <w:rsid w:val="006F6B84"/>
    <w:rsid w:val="006F78B0"/>
    <w:rsid w:val="00700FC0"/>
    <w:rsid w:val="00703754"/>
    <w:rsid w:val="007046DA"/>
    <w:rsid w:val="007048F4"/>
    <w:rsid w:val="00704EAE"/>
    <w:rsid w:val="007061EF"/>
    <w:rsid w:val="007063F4"/>
    <w:rsid w:val="00706C17"/>
    <w:rsid w:val="00707CAD"/>
    <w:rsid w:val="007101BF"/>
    <w:rsid w:val="0071317D"/>
    <w:rsid w:val="00713452"/>
    <w:rsid w:val="007143D4"/>
    <w:rsid w:val="007149E2"/>
    <w:rsid w:val="00715434"/>
    <w:rsid w:val="007203C2"/>
    <w:rsid w:val="00720FE7"/>
    <w:rsid w:val="00721BFF"/>
    <w:rsid w:val="0072691B"/>
    <w:rsid w:val="0073041A"/>
    <w:rsid w:val="00730F72"/>
    <w:rsid w:val="007316FA"/>
    <w:rsid w:val="00732507"/>
    <w:rsid w:val="007368CA"/>
    <w:rsid w:val="007374B1"/>
    <w:rsid w:val="0074002B"/>
    <w:rsid w:val="00740108"/>
    <w:rsid w:val="00740C17"/>
    <w:rsid w:val="00741072"/>
    <w:rsid w:val="00741FD8"/>
    <w:rsid w:val="00742D48"/>
    <w:rsid w:val="007438FF"/>
    <w:rsid w:val="0074478E"/>
    <w:rsid w:val="00744A66"/>
    <w:rsid w:val="00746076"/>
    <w:rsid w:val="00747A7D"/>
    <w:rsid w:val="00750BD0"/>
    <w:rsid w:val="007510BF"/>
    <w:rsid w:val="0075454C"/>
    <w:rsid w:val="007555B7"/>
    <w:rsid w:val="007601E3"/>
    <w:rsid w:val="00760409"/>
    <w:rsid w:val="00761307"/>
    <w:rsid w:val="00762149"/>
    <w:rsid w:val="00762910"/>
    <w:rsid w:val="007655EC"/>
    <w:rsid w:val="00765B4D"/>
    <w:rsid w:val="00770753"/>
    <w:rsid w:val="00770780"/>
    <w:rsid w:val="007728A4"/>
    <w:rsid w:val="007756D6"/>
    <w:rsid w:val="00777F0C"/>
    <w:rsid w:val="007801EC"/>
    <w:rsid w:val="00780E38"/>
    <w:rsid w:val="00781A08"/>
    <w:rsid w:val="0078264E"/>
    <w:rsid w:val="007831F5"/>
    <w:rsid w:val="00783DB9"/>
    <w:rsid w:val="00784A8C"/>
    <w:rsid w:val="00787B00"/>
    <w:rsid w:val="00787DE7"/>
    <w:rsid w:val="00790A9A"/>
    <w:rsid w:val="00791684"/>
    <w:rsid w:val="00794102"/>
    <w:rsid w:val="00795E70"/>
    <w:rsid w:val="00797578"/>
    <w:rsid w:val="007A4422"/>
    <w:rsid w:val="007A4F9A"/>
    <w:rsid w:val="007A5CE5"/>
    <w:rsid w:val="007A60AB"/>
    <w:rsid w:val="007A6343"/>
    <w:rsid w:val="007A7D22"/>
    <w:rsid w:val="007B22EB"/>
    <w:rsid w:val="007B2940"/>
    <w:rsid w:val="007B42F4"/>
    <w:rsid w:val="007B4922"/>
    <w:rsid w:val="007B4F65"/>
    <w:rsid w:val="007C1720"/>
    <w:rsid w:val="007C2E11"/>
    <w:rsid w:val="007C4FC1"/>
    <w:rsid w:val="007C543F"/>
    <w:rsid w:val="007C57AB"/>
    <w:rsid w:val="007C5DDE"/>
    <w:rsid w:val="007C61E1"/>
    <w:rsid w:val="007C63A7"/>
    <w:rsid w:val="007D0E2C"/>
    <w:rsid w:val="007D15DD"/>
    <w:rsid w:val="007D2625"/>
    <w:rsid w:val="007D2E46"/>
    <w:rsid w:val="007D34D6"/>
    <w:rsid w:val="007D39F2"/>
    <w:rsid w:val="007D6346"/>
    <w:rsid w:val="007E0038"/>
    <w:rsid w:val="007E080F"/>
    <w:rsid w:val="007E0A80"/>
    <w:rsid w:val="007E47FA"/>
    <w:rsid w:val="007E5214"/>
    <w:rsid w:val="007E58F7"/>
    <w:rsid w:val="007E61BC"/>
    <w:rsid w:val="007E6D34"/>
    <w:rsid w:val="007E7DA4"/>
    <w:rsid w:val="007F0F01"/>
    <w:rsid w:val="007F0FDB"/>
    <w:rsid w:val="007F15B9"/>
    <w:rsid w:val="007F2CEE"/>
    <w:rsid w:val="007F6DA3"/>
    <w:rsid w:val="00800F71"/>
    <w:rsid w:val="0080161A"/>
    <w:rsid w:val="00803F14"/>
    <w:rsid w:val="008040CE"/>
    <w:rsid w:val="00805C91"/>
    <w:rsid w:val="00806134"/>
    <w:rsid w:val="00811D5A"/>
    <w:rsid w:val="00811D7F"/>
    <w:rsid w:val="00812A41"/>
    <w:rsid w:val="008148C6"/>
    <w:rsid w:val="00814AAF"/>
    <w:rsid w:val="00815202"/>
    <w:rsid w:val="00815D9F"/>
    <w:rsid w:val="00815DC4"/>
    <w:rsid w:val="008200E2"/>
    <w:rsid w:val="00821199"/>
    <w:rsid w:val="0082159B"/>
    <w:rsid w:val="00821610"/>
    <w:rsid w:val="00821C4E"/>
    <w:rsid w:val="00822710"/>
    <w:rsid w:val="00822E2C"/>
    <w:rsid w:val="008230F5"/>
    <w:rsid w:val="008236B2"/>
    <w:rsid w:val="00824FC5"/>
    <w:rsid w:val="00825B5F"/>
    <w:rsid w:val="00825DC1"/>
    <w:rsid w:val="00830912"/>
    <w:rsid w:val="008313C3"/>
    <w:rsid w:val="0083197C"/>
    <w:rsid w:val="008324B8"/>
    <w:rsid w:val="00834401"/>
    <w:rsid w:val="00835C5C"/>
    <w:rsid w:val="008373F0"/>
    <w:rsid w:val="00837B4C"/>
    <w:rsid w:val="00837D74"/>
    <w:rsid w:val="00840B4C"/>
    <w:rsid w:val="0084104D"/>
    <w:rsid w:val="0084160F"/>
    <w:rsid w:val="00841673"/>
    <w:rsid w:val="00841BCF"/>
    <w:rsid w:val="008422E9"/>
    <w:rsid w:val="008437D5"/>
    <w:rsid w:val="00845A66"/>
    <w:rsid w:val="0085120E"/>
    <w:rsid w:val="00851CDA"/>
    <w:rsid w:val="00851EAE"/>
    <w:rsid w:val="00851F9F"/>
    <w:rsid w:val="008528FD"/>
    <w:rsid w:val="0085356A"/>
    <w:rsid w:val="008535BC"/>
    <w:rsid w:val="0085429D"/>
    <w:rsid w:val="008542B9"/>
    <w:rsid w:val="00855E09"/>
    <w:rsid w:val="0085641D"/>
    <w:rsid w:val="0085721B"/>
    <w:rsid w:val="00860B92"/>
    <w:rsid w:val="00861486"/>
    <w:rsid w:val="008630DA"/>
    <w:rsid w:val="008634D6"/>
    <w:rsid w:val="0086645A"/>
    <w:rsid w:val="00866F4B"/>
    <w:rsid w:val="0086708C"/>
    <w:rsid w:val="0086736E"/>
    <w:rsid w:val="00867F8B"/>
    <w:rsid w:val="008705C3"/>
    <w:rsid w:val="008711DA"/>
    <w:rsid w:val="00874674"/>
    <w:rsid w:val="00874B0E"/>
    <w:rsid w:val="0087563A"/>
    <w:rsid w:val="00877611"/>
    <w:rsid w:val="00877862"/>
    <w:rsid w:val="00877EA7"/>
    <w:rsid w:val="00877F35"/>
    <w:rsid w:val="00880C2B"/>
    <w:rsid w:val="0088473F"/>
    <w:rsid w:val="00886085"/>
    <w:rsid w:val="008866FE"/>
    <w:rsid w:val="00887F0C"/>
    <w:rsid w:val="008910DE"/>
    <w:rsid w:val="00891DD5"/>
    <w:rsid w:val="0089326A"/>
    <w:rsid w:val="008955AB"/>
    <w:rsid w:val="00895946"/>
    <w:rsid w:val="00896F69"/>
    <w:rsid w:val="008A3DD9"/>
    <w:rsid w:val="008A496D"/>
    <w:rsid w:val="008A60BF"/>
    <w:rsid w:val="008A65D4"/>
    <w:rsid w:val="008A680D"/>
    <w:rsid w:val="008A6D93"/>
    <w:rsid w:val="008A7FAA"/>
    <w:rsid w:val="008B00A6"/>
    <w:rsid w:val="008B1281"/>
    <w:rsid w:val="008B36F1"/>
    <w:rsid w:val="008B491C"/>
    <w:rsid w:val="008B4F61"/>
    <w:rsid w:val="008B505F"/>
    <w:rsid w:val="008B69A1"/>
    <w:rsid w:val="008B6E61"/>
    <w:rsid w:val="008B7B02"/>
    <w:rsid w:val="008C0C3B"/>
    <w:rsid w:val="008C12BC"/>
    <w:rsid w:val="008C1E1A"/>
    <w:rsid w:val="008C2F3B"/>
    <w:rsid w:val="008C2FD5"/>
    <w:rsid w:val="008C3333"/>
    <w:rsid w:val="008C4791"/>
    <w:rsid w:val="008C63A1"/>
    <w:rsid w:val="008C7723"/>
    <w:rsid w:val="008C7798"/>
    <w:rsid w:val="008C77DD"/>
    <w:rsid w:val="008C7B3F"/>
    <w:rsid w:val="008D1F32"/>
    <w:rsid w:val="008D220B"/>
    <w:rsid w:val="008D2C2F"/>
    <w:rsid w:val="008D31BA"/>
    <w:rsid w:val="008D538F"/>
    <w:rsid w:val="008D5545"/>
    <w:rsid w:val="008D56FB"/>
    <w:rsid w:val="008E099D"/>
    <w:rsid w:val="008E118F"/>
    <w:rsid w:val="008E2D4F"/>
    <w:rsid w:val="008E3C98"/>
    <w:rsid w:val="008E4A73"/>
    <w:rsid w:val="008E5F0F"/>
    <w:rsid w:val="008E607F"/>
    <w:rsid w:val="008F16C0"/>
    <w:rsid w:val="008F1E15"/>
    <w:rsid w:val="008F26A2"/>
    <w:rsid w:val="008F3E04"/>
    <w:rsid w:val="008F3F18"/>
    <w:rsid w:val="008F4456"/>
    <w:rsid w:val="008F448F"/>
    <w:rsid w:val="008F454D"/>
    <w:rsid w:val="008F49CE"/>
    <w:rsid w:val="008F49D5"/>
    <w:rsid w:val="00900A9F"/>
    <w:rsid w:val="00901272"/>
    <w:rsid w:val="00901A5D"/>
    <w:rsid w:val="0090264F"/>
    <w:rsid w:val="00905211"/>
    <w:rsid w:val="0090617F"/>
    <w:rsid w:val="009063A9"/>
    <w:rsid w:val="009072F5"/>
    <w:rsid w:val="00914FB2"/>
    <w:rsid w:val="009159BD"/>
    <w:rsid w:val="00915DD7"/>
    <w:rsid w:val="00916478"/>
    <w:rsid w:val="009168FB"/>
    <w:rsid w:val="00917D44"/>
    <w:rsid w:val="00920344"/>
    <w:rsid w:val="00921917"/>
    <w:rsid w:val="0092245F"/>
    <w:rsid w:val="00924FC9"/>
    <w:rsid w:val="00927875"/>
    <w:rsid w:val="0093016B"/>
    <w:rsid w:val="009320F3"/>
    <w:rsid w:val="00933D8C"/>
    <w:rsid w:val="0093511F"/>
    <w:rsid w:val="00935C23"/>
    <w:rsid w:val="00936B7F"/>
    <w:rsid w:val="009403E5"/>
    <w:rsid w:val="009407B6"/>
    <w:rsid w:val="00942737"/>
    <w:rsid w:val="00943817"/>
    <w:rsid w:val="009438FC"/>
    <w:rsid w:val="00943FC6"/>
    <w:rsid w:val="009446E1"/>
    <w:rsid w:val="009451DC"/>
    <w:rsid w:val="0094548C"/>
    <w:rsid w:val="0094578B"/>
    <w:rsid w:val="00946CD3"/>
    <w:rsid w:val="00951D04"/>
    <w:rsid w:val="0095325E"/>
    <w:rsid w:val="00955B5B"/>
    <w:rsid w:val="00960D70"/>
    <w:rsid w:val="00961118"/>
    <w:rsid w:val="00961583"/>
    <w:rsid w:val="0096200F"/>
    <w:rsid w:val="00964075"/>
    <w:rsid w:val="0096498F"/>
    <w:rsid w:val="00964C97"/>
    <w:rsid w:val="009655A3"/>
    <w:rsid w:val="009660BE"/>
    <w:rsid w:val="0096654F"/>
    <w:rsid w:val="00966CBD"/>
    <w:rsid w:val="009709DF"/>
    <w:rsid w:val="00972B34"/>
    <w:rsid w:val="00972BA4"/>
    <w:rsid w:val="00977A5F"/>
    <w:rsid w:val="00980BE5"/>
    <w:rsid w:val="00980E55"/>
    <w:rsid w:val="00981188"/>
    <w:rsid w:val="00981727"/>
    <w:rsid w:val="009839E1"/>
    <w:rsid w:val="00985DCD"/>
    <w:rsid w:val="00993C09"/>
    <w:rsid w:val="00993C5A"/>
    <w:rsid w:val="00994095"/>
    <w:rsid w:val="00995C0B"/>
    <w:rsid w:val="00995CDA"/>
    <w:rsid w:val="009960D2"/>
    <w:rsid w:val="0099681A"/>
    <w:rsid w:val="00996FEB"/>
    <w:rsid w:val="00997678"/>
    <w:rsid w:val="0099789A"/>
    <w:rsid w:val="00997B32"/>
    <w:rsid w:val="009A0B7F"/>
    <w:rsid w:val="009A22F7"/>
    <w:rsid w:val="009A3943"/>
    <w:rsid w:val="009A4477"/>
    <w:rsid w:val="009A52DC"/>
    <w:rsid w:val="009A5C0A"/>
    <w:rsid w:val="009A5E2D"/>
    <w:rsid w:val="009A62A1"/>
    <w:rsid w:val="009A745A"/>
    <w:rsid w:val="009B03A4"/>
    <w:rsid w:val="009B0B2F"/>
    <w:rsid w:val="009B1738"/>
    <w:rsid w:val="009B1CF3"/>
    <w:rsid w:val="009B258E"/>
    <w:rsid w:val="009B3A6A"/>
    <w:rsid w:val="009B4158"/>
    <w:rsid w:val="009C0028"/>
    <w:rsid w:val="009C2BA5"/>
    <w:rsid w:val="009C46A3"/>
    <w:rsid w:val="009C4B2B"/>
    <w:rsid w:val="009C51D8"/>
    <w:rsid w:val="009C5C10"/>
    <w:rsid w:val="009D2FB6"/>
    <w:rsid w:val="009D3750"/>
    <w:rsid w:val="009D4A88"/>
    <w:rsid w:val="009E4F30"/>
    <w:rsid w:val="009E5271"/>
    <w:rsid w:val="009E5749"/>
    <w:rsid w:val="009E5822"/>
    <w:rsid w:val="009E5875"/>
    <w:rsid w:val="009E6F48"/>
    <w:rsid w:val="009F003C"/>
    <w:rsid w:val="009F022D"/>
    <w:rsid w:val="009F108A"/>
    <w:rsid w:val="009F4EA0"/>
    <w:rsid w:val="009F5826"/>
    <w:rsid w:val="009F5C12"/>
    <w:rsid w:val="009F754A"/>
    <w:rsid w:val="00A0071B"/>
    <w:rsid w:val="00A03E87"/>
    <w:rsid w:val="00A05D03"/>
    <w:rsid w:val="00A068EC"/>
    <w:rsid w:val="00A105BB"/>
    <w:rsid w:val="00A118B4"/>
    <w:rsid w:val="00A11E09"/>
    <w:rsid w:val="00A125CB"/>
    <w:rsid w:val="00A13067"/>
    <w:rsid w:val="00A14C47"/>
    <w:rsid w:val="00A2042B"/>
    <w:rsid w:val="00A2239D"/>
    <w:rsid w:val="00A22CCA"/>
    <w:rsid w:val="00A2461A"/>
    <w:rsid w:val="00A251EF"/>
    <w:rsid w:val="00A25C91"/>
    <w:rsid w:val="00A26AA8"/>
    <w:rsid w:val="00A30765"/>
    <w:rsid w:val="00A3097F"/>
    <w:rsid w:val="00A30DE0"/>
    <w:rsid w:val="00A335BE"/>
    <w:rsid w:val="00A33EC6"/>
    <w:rsid w:val="00A37CFB"/>
    <w:rsid w:val="00A4109B"/>
    <w:rsid w:val="00A41864"/>
    <w:rsid w:val="00A419FF"/>
    <w:rsid w:val="00A41CB2"/>
    <w:rsid w:val="00A4222E"/>
    <w:rsid w:val="00A430BB"/>
    <w:rsid w:val="00A4385E"/>
    <w:rsid w:val="00A44B23"/>
    <w:rsid w:val="00A45224"/>
    <w:rsid w:val="00A46AC7"/>
    <w:rsid w:val="00A501C2"/>
    <w:rsid w:val="00A5220C"/>
    <w:rsid w:val="00A52FFB"/>
    <w:rsid w:val="00A54389"/>
    <w:rsid w:val="00A54919"/>
    <w:rsid w:val="00A55168"/>
    <w:rsid w:val="00A571BA"/>
    <w:rsid w:val="00A605E2"/>
    <w:rsid w:val="00A60BDD"/>
    <w:rsid w:val="00A64874"/>
    <w:rsid w:val="00A64AEC"/>
    <w:rsid w:val="00A6506D"/>
    <w:rsid w:val="00A6683D"/>
    <w:rsid w:val="00A724B0"/>
    <w:rsid w:val="00A72B78"/>
    <w:rsid w:val="00A730C5"/>
    <w:rsid w:val="00A734D7"/>
    <w:rsid w:val="00A738D2"/>
    <w:rsid w:val="00A7590E"/>
    <w:rsid w:val="00A76522"/>
    <w:rsid w:val="00A766A3"/>
    <w:rsid w:val="00A76837"/>
    <w:rsid w:val="00A82F79"/>
    <w:rsid w:val="00A838A7"/>
    <w:rsid w:val="00A839A1"/>
    <w:rsid w:val="00A83F72"/>
    <w:rsid w:val="00A86BBD"/>
    <w:rsid w:val="00A8774E"/>
    <w:rsid w:val="00A87E2C"/>
    <w:rsid w:val="00A90E93"/>
    <w:rsid w:val="00A92F08"/>
    <w:rsid w:val="00A94BC9"/>
    <w:rsid w:val="00A967EC"/>
    <w:rsid w:val="00AA1E46"/>
    <w:rsid w:val="00AA504B"/>
    <w:rsid w:val="00AA5891"/>
    <w:rsid w:val="00AA6684"/>
    <w:rsid w:val="00AB00F4"/>
    <w:rsid w:val="00AB0FA6"/>
    <w:rsid w:val="00AB22B8"/>
    <w:rsid w:val="00AB2357"/>
    <w:rsid w:val="00AB3995"/>
    <w:rsid w:val="00AB5725"/>
    <w:rsid w:val="00AB668D"/>
    <w:rsid w:val="00AC022D"/>
    <w:rsid w:val="00AC0658"/>
    <w:rsid w:val="00AC1CBB"/>
    <w:rsid w:val="00AC28F4"/>
    <w:rsid w:val="00AC3488"/>
    <w:rsid w:val="00AC427A"/>
    <w:rsid w:val="00AC492B"/>
    <w:rsid w:val="00AC5B45"/>
    <w:rsid w:val="00AC69FF"/>
    <w:rsid w:val="00AC6D40"/>
    <w:rsid w:val="00AC7732"/>
    <w:rsid w:val="00AD04F7"/>
    <w:rsid w:val="00AD1506"/>
    <w:rsid w:val="00AD1D42"/>
    <w:rsid w:val="00AD3ADC"/>
    <w:rsid w:val="00AD62CB"/>
    <w:rsid w:val="00AD7630"/>
    <w:rsid w:val="00AD7D62"/>
    <w:rsid w:val="00AE2876"/>
    <w:rsid w:val="00AE2D9A"/>
    <w:rsid w:val="00AE4699"/>
    <w:rsid w:val="00AE46BC"/>
    <w:rsid w:val="00AE49BF"/>
    <w:rsid w:val="00AE53FE"/>
    <w:rsid w:val="00AE5CFB"/>
    <w:rsid w:val="00AE7C13"/>
    <w:rsid w:val="00AE7D24"/>
    <w:rsid w:val="00AF28CE"/>
    <w:rsid w:val="00AF36FB"/>
    <w:rsid w:val="00AF7DC7"/>
    <w:rsid w:val="00B00D1E"/>
    <w:rsid w:val="00B02B57"/>
    <w:rsid w:val="00B05805"/>
    <w:rsid w:val="00B064EC"/>
    <w:rsid w:val="00B06723"/>
    <w:rsid w:val="00B07DAC"/>
    <w:rsid w:val="00B105F0"/>
    <w:rsid w:val="00B120C5"/>
    <w:rsid w:val="00B12D32"/>
    <w:rsid w:val="00B139B1"/>
    <w:rsid w:val="00B146B4"/>
    <w:rsid w:val="00B1684D"/>
    <w:rsid w:val="00B16AC7"/>
    <w:rsid w:val="00B20577"/>
    <w:rsid w:val="00B205EB"/>
    <w:rsid w:val="00B25B6A"/>
    <w:rsid w:val="00B25F82"/>
    <w:rsid w:val="00B265DE"/>
    <w:rsid w:val="00B2724B"/>
    <w:rsid w:val="00B2785A"/>
    <w:rsid w:val="00B302F3"/>
    <w:rsid w:val="00B305B2"/>
    <w:rsid w:val="00B3433D"/>
    <w:rsid w:val="00B34367"/>
    <w:rsid w:val="00B34C12"/>
    <w:rsid w:val="00B34F99"/>
    <w:rsid w:val="00B35E71"/>
    <w:rsid w:val="00B36E5B"/>
    <w:rsid w:val="00B37CD6"/>
    <w:rsid w:val="00B37ECA"/>
    <w:rsid w:val="00B40109"/>
    <w:rsid w:val="00B40EC3"/>
    <w:rsid w:val="00B41433"/>
    <w:rsid w:val="00B42397"/>
    <w:rsid w:val="00B429F1"/>
    <w:rsid w:val="00B4310D"/>
    <w:rsid w:val="00B43148"/>
    <w:rsid w:val="00B4408F"/>
    <w:rsid w:val="00B45035"/>
    <w:rsid w:val="00B457DE"/>
    <w:rsid w:val="00B46645"/>
    <w:rsid w:val="00B46C24"/>
    <w:rsid w:val="00B479BB"/>
    <w:rsid w:val="00B514E1"/>
    <w:rsid w:val="00B52EB1"/>
    <w:rsid w:val="00B5310D"/>
    <w:rsid w:val="00B537FC"/>
    <w:rsid w:val="00B56900"/>
    <w:rsid w:val="00B60EA5"/>
    <w:rsid w:val="00B61883"/>
    <w:rsid w:val="00B6287F"/>
    <w:rsid w:val="00B62C2D"/>
    <w:rsid w:val="00B6489E"/>
    <w:rsid w:val="00B65C11"/>
    <w:rsid w:val="00B6687D"/>
    <w:rsid w:val="00B66A04"/>
    <w:rsid w:val="00B70044"/>
    <w:rsid w:val="00B708FB"/>
    <w:rsid w:val="00B7320C"/>
    <w:rsid w:val="00B73AF8"/>
    <w:rsid w:val="00B73F04"/>
    <w:rsid w:val="00B75E5A"/>
    <w:rsid w:val="00B768DB"/>
    <w:rsid w:val="00B773B6"/>
    <w:rsid w:val="00B805AE"/>
    <w:rsid w:val="00B81101"/>
    <w:rsid w:val="00B8247A"/>
    <w:rsid w:val="00B827AC"/>
    <w:rsid w:val="00B82E0B"/>
    <w:rsid w:val="00B83B71"/>
    <w:rsid w:val="00B84D38"/>
    <w:rsid w:val="00B854BC"/>
    <w:rsid w:val="00B85A86"/>
    <w:rsid w:val="00B876C7"/>
    <w:rsid w:val="00B87BC6"/>
    <w:rsid w:val="00B94C62"/>
    <w:rsid w:val="00B9711F"/>
    <w:rsid w:val="00B97732"/>
    <w:rsid w:val="00BA06AF"/>
    <w:rsid w:val="00BA0972"/>
    <w:rsid w:val="00BA3A9F"/>
    <w:rsid w:val="00BA5151"/>
    <w:rsid w:val="00BA5238"/>
    <w:rsid w:val="00BA5970"/>
    <w:rsid w:val="00BA5D40"/>
    <w:rsid w:val="00BA7EC1"/>
    <w:rsid w:val="00BB1B75"/>
    <w:rsid w:val="00BB1C67"/>
    <w:rsid w:val="00BB25C2"/>
    <w:rsid w:val="00BB2D62"/>
    <w:rsid w:val="00BB333C"/>
    <w:rsid w:val="00BB34CE"/>
    <w:rsid w:val="00BB3A23"/>
    <w:rsid w:val="00BB4DC8"/>
    <w:rsid w:val="00BB5F34"/>
    <w:rsid w:val="00BB639C"/>
    <w:rsid w:val="00BB673B"/>
    <w:rsid w:val="00BC0215"/>
    <w:rsid w:val="00BC1481"/>
    <w:rsid w:val="00BC1B36"/>
    <w:rsid w:val="00BC3A32"/>
    <w:rsid w:val="00BC53B6"/>
    <w:rsid w:val="00BC56D5"/>
    <w:rsid w:val="00BC5763"/>
    <w:rsid w:val="00BC61AC"/>
    <w:rsid w:val="00BC6864"/>
    <w:rsid w:val="00BC6C24"/>
    <w:rsid w:val="00BD0F0C"/>
    <w:rsid w:val="00BD4233"/>
    <w:rsid w:val="00BD5882"/>
    <w:rsid w:val="00BD5DA9"/>
    <w:rsid w:val="00BD6DFA"/>
    <w:rsid w:val="00BD7AB8"/>
    <w:rsid w:val="00BD7DC9"/>
    <w:rsid w:val="00BE05F2"/>
    <w:rsid w:val="00BE1239"/>
    <w:rsid w:val="00BE1F2A"/>
    <w:rsid w:val="00BE31D9"/>
    <w:rsid w:val="00BE3C09"/>
    <w:rsid w:val="00BE4D7C"/>
    <w:rsid w:val="00BE56BC"/>
    <w:rsid w:val="00BE5E54"/>
    <w:rsid w:val="00BE6F43"/>
    <w:rsid w:val="00BF01A9"/>
    <w:rsid w:val="00BF087A"/>
    <w:rsid w:val="00BF279A"/>
    <w:rsid w:val="00BF3D62"/>
    <w:rsid w:val="00BF3FE0"/>
    <w:rsid w:val="00BF4000"/>
    <w:rsid w:val="00BF4137"/>
    <w:rsid w:val="00BF4EE9"/>
    <w:rsid w:val="00BF58C8"/>
    <w:rsid w:val="00BF604B"/>
    <w:rsid w:val="00BF67A8"/>
    <w:rsid w:val="00BF7599"/>
    <w:rsid w:val="00C00796"/>
    <w:rsid w:val="00C02656"/>
    <w:rsid w:val="00C02724"/>
    <w:rsid w:val="00C02944"/>
    <w:rsid w:val="00C03A16"/>
    <w:rsid w:val="00C05AC5"/>
    <w:rsid w:val="00C07CB5"/>
    <w:rsid w:val="00C1009D"/>
    <w:rsid w:val="00C11164"/>
    <w:rsid w:val="00C120BF"/>
    <w:rsid w:val="00C143B8"/>
    <w:rsid w:val="00C15EFB"/>
    <w:rsid w:val="00C16AEB"/>
    <w:rsid w:val="00C1787A"/>
    <w:rsid w:val="00C208ED"/>
    <w:rsid w:val="00C20A71"/>
    <w:rsid w:val="00C20F45"/>
    <w:rsid w:val="00C2102A"/>
    <w:rsid w:val="00C216A9"/>
    <w:rsid w:val="00C22BB9"/>
    <w:rsid w:val="00C22DCC"/>
    <w:rsid w:val="00C2323F"/>
    <w:rsid w:val="00C242E3"/>
    <w:rsid w:val="00C2511D"/>
    <w:rsid w:val="00C25C5D"/>
    <w:rsid w:val="00C26630"/>
    <w:rsid w:val="00C2702C"/>
    <w:rsid w:val="00C274CB"/>
    <w:rsid w:val="00C303E2"/>
    <w:rsid w:val="00C3152E"/>
    <w:rsid w:val="00C317C7"/>
    <w:rsid w:val="00C32AA9"/>
    <w:rsid w:val="00C3310F"/>
    <w:rsid w:val="00C334BD"/>
    <w:rsid w:val="00C3484D"/>
    <w:rsid w:val="00C352EA"/>
    <w:rsid w:val="00C35733"/>
    <w:rsid w:val="00C35F54"/>
    <w:rsid w:val="00C36213"/>
    <w:rsid w:val="00C37A22"/>
    <w:rsid w:val="00C40B9A"/>
    <w:rsid w:val="00C431D6"/>
    <w:rsid w:val="00C440C2"/>
    <w:rsid w:val="00C461EF"/>
    <w:rsid w:val="00C46E0D"/>
    <w:rsid w:val="00C476F3"/>
    <w:rsid w:val="00C5036E"/>
    <w:rsid w:val="00C50F85"/>
    <w:rsid w:val="00C52D1A"/>
    <w:rsid w:val="00C551B7"/>
    <w:rsid w:val="00C57C69"/>
    <w:rsid w:val="00C629CA"/>
    <w:rsid w:val="00C661D7"/>
    <w:rsid w:val="00C67460"/>
    <w:rsid w:val="00C67742"/>
    <w:rsid w:val="00C67C9A"/>
    <w:rsid w:val="00C73519"/>
    <w:rsid w:val="00C74485"/>
    <w:rsid w:val="00C75239"/>
    <w:rsid w:val="00C7691F"/>
    <w:rsid w:val="00C777C5"/>
    <w:rsid w:val="00C77A9C"/>
    <w:rsid w:val="00C80000"/>
    <w:rsid w:val="00C81876"/>
    <w:rsid w:val="00C81A59"/>
    <w:rsid w:val="00C8201E"/>
    <w:rsid w:val="00C821B9"/>
    <w:rsid w:val="00C82A69"/>
    <w:rsid w:val="00C82A77"/>
    <w:rsid w:val="00C83DC3"/>
    <w:rsid w:val="00C841EF"/>
    <w:rsid w:val="00C84E19"/>
    <w:rsid w:val="00C86797"/>
    <w:rsid w:val="00C86F38"/>
    <w:rsid w:val="00C901EA"/>
    <w:rsid w:val="00C91517"/>
    <w:rsid w:val="00C92FEC"/>
    <w:rsid w:val="00C96620"/>
    <w:rsid w:val="00C973AE"/>
    <w:rsid w:val="00C97479"/>
    <w:rsid w:val="00CA05E3"/>
    <w:rsid w:val="00CA0993"/>
    <w:rsid w:val="00CA0F9F"/>
    <w:rsid w:val="00CA1546"/>
    <w:rsid w:val="00CA1CA7"/>
    <w:rsid w:val="00CA26F9"/>
    <w:rsid w:val="00CA3073"/>
    <w:rsid w:val="00CA385B"/>
    <w:rsid w:val="00CA4DBB"/>
    <w:rsid w:val="00CA68F2"/>
    <w:rsid w:val="00CB1D0E"/>
    <w:rsid w:val="00CB47DE"/>
    <w:rsid w:val="00CB5A06"/>
    <w:rsid w:val="00CB7144"/>
    <w:rsid w:val="00CB7BF2"/>
    <w:rsid w:val="00CC2217"/>
    <w:rsid w:val="00CC2FA5"/>
    <w:rsid w:val="00CC301F"/>
    <w:rsid w:val="00CC3573"/>
    <w:rsid w:val="00CC59B8"/>
    <w:rsid w:val="00CC6EA7"/>
    <w:rsid w:val="00CC6FE3"/>
    <w:rsid w:val="00CC792F"/>
    <w:rsid w:val="00CC7A3C"/>
    <w:rsid w:val="00CC7F6C"/>
    <w:rsid w:val="00CD1D45"/>
    <w:rsid w:val="00CD224E"/>
    <w:rsid w:val="00CD287B"/>
    <w:rsid w:val="00CD4938"/>
    <w:rsid w:val="00CD4B78"/>
    <w:rsid w:val="00CD4D6E"/>
    <w:rsid w:val="00CD4FA3"/>
    <w:rsid w:val="00CD6266"/>
    <w:rsid w:val="00CD6C92"/>
    <w:rsid w:val="00CD7FDA"/>
    <w:rsid w:val="00CE010C"/>
    <w:rsid w:val="00CE0423"/>
    <w:rsid w:val="00CE25BD"/>
    <w:rsid w:val="00CE39FE"/>
    <w:rsid w:val="00CE3C91"/>
    <w:rsid w:val="00CE3F23"/>
    <w:rsid w:val="00CE48DE"/>
    <w:rsid w:val="00CE48F7"/>
    <w:rsid w:val="00CE4CC3"/>
    <w:rsid w:val="00CE4D73"/>
    <w:rsid w:val="00CE5241"/>
    <w:rsid w:val="00CF070B"/>
    <w:rsid w:val="00CF073B"/>
    <w:rsid w:val="00CF21B7"/>
    <w:rsid w:val="00CF2D11"/>
    <w:rsid w:val="00CF2DF7"/>
    <w:rsid w:val="00CF40A7"/>
    <w:rsid w:val="00CF5032"/>
    <w:rsid w:val="00CF518E"/>
    <w:rsid w:val="00CF51CD"/>
    <w:rsid w:val="00CF540B"/>
    <w:rsid w:val="00D00DBF"/>
    <w:rsid w:val="00D0343D"/>
    <w:rsid w:val="00D03EB8"/>
    <w:rsid w:val="00D0418D"/>
    <w:rsid w:val="00D045C8"/>
    <w:rsid w:val="00D05DA3"/>
    <w:rsid w:val="00D06144"/>
    <w:rsid w:val="00D06B85"/>
    <w:rsid w:val="00D10970"/>
    <w:rsid w:val="00D10EA7"/>
    <w:rsid w:val="00D11D82"/>
    <w:rsid w:val="00D12106"/>
    <w:rsid w:val="00D12829"/>
    <w:rsid w:val="00D13E8F"/>
    <w:rsid w:val="00D160F9"/>
    <w:rsid w:val="00D1630C"/>
    <w:rsid w:val="00D165B6"/>
    <w:rsid w:val="00D17EF0"/>
    <w:rsid w:val="00D20805"/>
    <w:rsid w:val="00D216EA"/>
    <w:rsid w:val="00D21BDF"/>
    <w:rsid w:val="00D22058"/>
    <w:rsid w:val="00D2325B"/>
    <w:rsid w:val="00D24CBC"/>
    <w:rsid w:val="00D262FC"/>
    <w:rsid w:val="00D26E5D"/>
    <w:rsid w:val="00D27599"/>
    <w:rsid w:val="00D277B5"/>
    <w:rsid w:val="00D32937"/>
    <w:rsid w:val="00D32B36"/>
    <w:rsid w:val="00D33338"/>
    <w:rsid w:val="00D34A00"/>
    <w:rsid w:val="00D36351"/>
    <w:rsid w:val="00D36B27"/>
    <w:rsid w:val="00D37FBA"/>
    <w:rsid w:val="00D420BF"/>
    <w:rsid w:val="00D431A4"/>
    <w:rsid w:val="00D438A6"/>
    <w:rsid w:val="00D4455B"/>
    <w:rsid w:val="00D452CA"/>
    <w:rsid w:val="00D455BB"/>
    <w:rsid w:val="00D507BC"/>
    <w:rsid w:val="00D5159F"/>
    <w:rsid w:val="00D51913"/>
    <w:rsid w:val="00D60302"/>
    <w:rsid w:val="00D61F51"/>
    <w:rsid w:val="00D62C39"/>
    <w:rsid w:val="00D63033"/>
    <w:rsid w:val="00D64EB1"/>
    <w:rsid w:val="00D64FE2"/>
    <w:rsid w:val="00D652FE"/>
    <w:rsid w:val="00D65480"/>
    <w:rsid w:val="00D66895"/>
    <w:rsid w:val="00D7018C"/>
    <w:rsid w:val="00D708BD"/>
    <w:rsid w:val="00D70CEA"/>
    <w:rsid w:val="00D70DAD"/>
    <w:rsid w:val="00D71A13"/>
    <w:rsid w:val="00D71CA9"/>
    <w:rsid w:val="00D73821"/>
    <w:rsid w:val="00D7410E"/>
    <w:rsid w:val="00D75BF0"/>
    <w:rsid w:val="00D76179"/>
    <w:rsid w:val="00D80C87"/>
    <w:rsid w:val="00D818CB"/>
    <w:rsid w:val="00D8215B"/>
    <w:rsid w:val="00D8298C"/>
    <w:rsid w:val="00D83236"/>
    <w:rsid w:val="00D84B34"/>
    <w:rsid w:val="00D851AC"/>
    <w:rsid w:val="00D855CB"/>
    <w:rsid w:val="00D8563D"/>
    <w:rsid w:val="00D87398"/>
    <w:rsid w:val="00D91EC5"/>
    <w:rsid w:val="00D925BF"/>
    <w:rsid w:val="00D951ED"/>
    <w:rsid w:val="00D96A82"/>
    <w:rsid w:val="00D97301"/>
    <w:rsid w:val="00D97796"/>
    <w:rsid w:val="00DA0EC2"/>
    <w:rsid w:val="00DA11F4"/>
    <w:rsid w:val="00DA1A65"/>
    <w:rsid w:val="00DA27DE"/>
    <w:rsid w:val="00DA2AA0"/>
    <w:rsid w:val="00DA42B5"/>
    <w:rsid w:val="00DA4A1A"/>
    <w:rsid w:val="00DA57A2"/>
    <w:rsid w:val="00DA6815"/>
    <w:rsid w:val="00DA68B4"/>
    <w:rsid w:val="00DA6CE1"/>
    <w:rsid w:val="00DA7F23"/>
    <w:rsid w:val="00DB0127"/>
    <w:rsid w:val="00DB0CD9"/>
    <w:rsid w:val="00DB143D"/>
    <w:rsid w:val="00DB1B94"/>
    <w:rsid w:val="00DB355F"/>
    <w:rsid w:val="00DB586A"/>
    <w:rsid w:val="00DB7DF6"/>
    <w:rsid w:val="00DC0033"/>
    <w:rsid w:val="00DC1431"/>
    <w:rsid w:val="00DC1BAE"/>
    <w:rsid w:val="00DC2688"/>
    <w:rsid w:val="00DC45EB"/>
    <w:rsid w:val="00DC55CC"/>
    <w:rsid w:val="00DD0AA3"/>
    <w:rsid w:val="00DD2B31"/>
    <w:rsid w:val="00DD2BB8"/>
    <w:rsid w:val="00DD3226"/>
    <w:rsid w:val="00DD4305"/>
    <w:rsid w:val="00DD5C7D"/>
    <w:rsid w:val="00DD602C"/>
    <w:rsid w:val="00DD623E"/>
    <w:rsid w:val="00DD6801"/>
    <w:rsid w:val="00DD73D7"/>
    <w:rsid w:val="00DE010D"/>
    <w:rsid w:val="00DE0CBF"/>
    <w:rsid w:val="00DE52E2"/>
    <w:rsid w:val="00DE534A"/>
    <w:rsid w:val="00DE569D"/>
    <w:rsid w:val="00DE5C13"/>
    <w:rsid w:val="00DE64F2"/>
    <w:rsid w:val="00DE7018"/>
    <w:rsid w:val="00DE728F"/>
    <w:rsid w:val="00DE7AB5"/>
    <w:rsid w:val="00DF0C0A"/>
    <w:rsid w:val="00DF2757"/>
    <w:rsid w:val="00DF4B61"/>
    <w:rsid w:val="00DF54C1"/>
    <w:rsid w:val="00DF550A"/>
    <w:rsid w:val="00DF56D2"/>
    <w:rsid w:val="00DF743B"/>
    <w:rsid w:val="00DF7BAD"/>
    <w:rsid w:val="00E001EE"/>
    <w:rsid w:val="00E0258A"/>
    <w:rsid w:val="00E04588"/>
    <w:rsid w:val="00E05069"/>
    <w:rsid w:val="00E06018"/>
    <w:rsid w:val="00E07199"/>
    <w:rsid w:val="00E07241"/>
    <w:rsid w:val="00E113AC"/>
    <w:rsid w:val="00E113AD"/>
    <w:rsid w:val="00E137E6"/>
    <w:rsid w:val="00E1719E"/>
    <w:rsid w:val="00E17676"/>
    <w:rsid w:val="00E2286F"/>
    <w:rsid w:val="00E23015"/>
    <w:rsid w:val="00E25009"/>
    <w:rsid w:val="00E27B9C"/>
    <w:rsid w:val="00E307F2"/>
    <w:rsid w:val="00E32301"/>
    <w:rsid w:val="00E33A04"/>
    <w:rsid w:val="00E33E73"/>
    <w:rsid w:val="00E34805"/>
    <w:rsid w:val="00E35761"/>
    <w:rsid w:val="00E36BA9"/>
    <w:rsid w:val="00E37A94"/>
    <w:rsid w:val="00E40F1C"/>
    <w:rsid w:val="00E41DAF"/>
    <w:rsid w:val="00E41E7B"/>
    <w:rsid w:val="00E451A5"/>
    <w:rsid w:val="00E45B6C"/>
    <w:rsid w:val="00E45E3A"/>
    <w:rsid w:val="00E463DB"/>
    <w:rsid w:val="00E468E7"/>
    <w:rsid w:val="00E478B5"/>
    <w:rsid w:val="00E47CC5"/>
    <w:rsid w:val="00E502BA"/>
    <w:rsid w:val="00E50D9C"/>
    <w:rsid w:val="00E51499"/>
    <w:rsid w:val="00E5185E"/>
    <w:rsid w:val="00E53311"/>
    <w:rsid w:val="00E53EE5"/>
    <w:rsid w:val="00E54079"/>
    <w:rsid w:val="00E55359"/>
    <w:rsid w:val="00E56476"/>
    <w:rsid w:val="00E606BC"/>
    <w:rsid w:val="00E609E5"/>
    <w:rsid w:val="00E635F0"/>
    <w:rsid w:val="00E637FD"/>
    <w:rsid w:val="00E64AE2"/>
    <w:rsid w:val="00E65508"/>
    <w:rsid w:val="00E65A90"/>
    <w:rsid w:val="00E65FF4"/>
    <w:rsid w:val="00E660FE"/>
    <w:rsid w:val="00E66DA1"/>
    <w:rsid w:val="00E67771"/>
    <w:rsid w:val="00E67AD2"/>
    <w:rsid w:val="00E7102E"/>
    <w:rsid w:val="00E74698"/>
    <w:rsid w:val="00E74E2D"/>
    <w:rsid w:val="00E75A0C"/>
    <w:rsid w:val="00E75F26"/>
    <w:rsid w:val="00E775DA"/>
    <w:rsid w:val="00E8330F"/>
    <w:rsid w:val="00E84837"/>
    <w:rsid w:val="00E851DC"/>
    <w:rsid w:val="00E856CB"/>
    <w:rsid w:val="00E8626A"/>
    <w:rsid w:val="00E864A8"/>
    <w:rsid w:val="00E9125F"/>
    <w:rsid w:val="00E91CB8"/>
    <w:rsid w:val="00E923AF"/>
    <w:rsid w:val="00E925DC"/>
    <w:rsid w:val="00E94557"/>
    <w:rsid w:val="00E94563"/>
    <w:rsid w:val="00E95319"/>
    <w:rsid w:val="00EA01A8"/>
    <w:rsid w:val="00EA0F50"/>
    <w:rsid w:val="00EA2768"/>
    <w:rsid w:val="00EA37D7"/>
    <w:rsid w:val="00EA4798"/>
    <w:rsid w:val="00EA4B8B"/>
    <w:rsid w:val="00EA4BC1"/>
    <w:rsid w:val="00EA5B69"/>
    <w:rsid w:val="00EA5DD4"/>
    <w:rsid w:val="00EA73A6"/>
    <w:rsid w:val="00EB0478"/>
    <w:rsid w:val="00EB0D33"/>
    <w:rsid w:val="00EB182E"/>
    <w:rsid w:val="00EB1886"/>
    <w:rsid w:val="00EB2510"/>
    <w:rsid w:val="00EB334A"/>
    <w:rsid w:val="00EB3834"/>
    <w:rsid w:val="00EB5F91"/>
    <w:rsid w:val="00EB6555"/>
    <w:rsid w:val="00EB6FEF"/>
    <w:rsid w:val="00EB7782"/>
    <w:rsid w:val="00EC08B4"/>
    <w:rsid w:val="00EC11F3"/>
    <w:rsid w:val="00EC129F"/>
    <w:rsid w:val="00EC149A"/>
    <w:rsid w:val="00EC15FE"/>
    <w:rsid w:val="00EC1F2E"/>
    <w:rsid w:val="00EC32CE"/>
    <w:rsid w:val="00EC51B8"/>
    <w:rsid w:val="00EC555B"/>
    <w:rsid w:val="00EC5692"/>
    <w:rsid w:val="00EC6D07"/>
    <w:rsid w:val="00EC7FD8"/>
    <w:rsid w:val="00ED0C0B"/>
    <w:rsid w:val="00ED0F63"/>
    <w:rsid w:val="00ED1F23"/>
    <w:rsid w:val="00ED2EE8"/>
    <w:rsid w:val="00ED4748"/>
    <w:rsid w:val="00ED4B85"/>
    <w:rsid w:val="00ED6ECB"/>
    <w:rsid w:val="00EE1553"/>
    <w:rsid w:val="00EE22B2"/>
    <w:rsid w:val="00EE2EB2"/>
    <w:rsid w:val="00EE3030"/>
    <w:rsid w:val="00EE374A"/>
    <w:rsid w:val="00EE4E5D"/>
    <w:rsid w:val="00EE7966"/>
    <w:rsid w:val="00EF3942"/>
    <w:rsid w:val="00EF53C8"/>
    <w:rsid w:val="00EF64C3"/>
    <w:rsid w:val="00EF79EE"/>
    <w:rsid w:val="00F01165"/>
    <w:rsid w:val="00F014E8"/>
    <w:rsid w:val="00F01A30"/>
    <w:rsid w:val="00F034EE"/>
    <w:rsid w:val="00F035AA"/>
    <w:rsid w:val="00F0389C"/>
    <w:rsid w:val="00F05F68"/>
    <w:rsid w:val="00F0684E"/>
    <w:rsid w:val="00F07EDC"/>
    <w:rsid w:val="00F1215F"/>
    <w:rsid w:val="00F126F4"/>
    <w:rsid w:val="00F12CC0"/>
    <w:rsid w:val="00F13BFE"/>
    <w:rsid w:val="00F157F1"/>
    <w:rsid w:val="00F16EC9"/>
    <w:rsid w:val="00F21A7B"/>
    <w:rsid w:val="00F236D2"/>
    <w:rsid w:val="00F246DD"/>
    <w:rsid w:val="00F27C31"/>
    <w:rsid w:val="00F30DCD"/>
    <w:rsid w:val="00F31A30"/>
    <w:rsid w:val="00F324A4"/>
    <w:rsid w:val="00F32C42"/>
    <w:rsid w:val="00F33BBD"/>
    <w:rsid w:val="00F34726"/>
    <w:rsid w:val="00F34AA6"/>
    <w:rsid w:val="00F353B5"/>
    <w:rsid w:val="00F36082"/>
    <w:rsid w:val="00F37416"/>
    <w:rsid w:val="00F37C8F"/>
    <w:rsid w:val="00F37F8B"/>
    <w:rsid w:val="00F412C9"/>
    <w:rsid w:val="00F43E9A"/>
    <w:rsid w:val="00F4409E"/>
    <w:rsid w:val="00F44CF1"/>
    <w:rsid w:val="00F458DE"/>
    <w:rsid w:val="00F45E93"/>
    <w:rsid w:val="00F4632D"/>
    <w:rsid w:val="00F51800"/>
    <w:rsid w:val="00F51AEC"/>
    <w:rsid w:val="00F52B3C"/>
    <w:rsid w:val="00F530E1"/>
    <w:rsid w:val="00F55951"/>
    <w:rsid w:val="00F573FB"/>
    <w:rsid w:val="00F57BF6"/>
    <w:rsid w:val="00F61B00"/>
    <w:rsid w:val="00F63069"/>
    <w:rsid w:val="00F637A5"/>
    <w:rsid w:val="00F66866"/>
    <w:rsid w:val="00F66C0E"/>
    <w:rsid w:val="00F67AE1"/>
    <w:rsid w:val="00F70060"/>
    <w:rsid w:val="00F708B6"/>
    <w:rsid w:val="00F71440"/>
    <w:rsid w:val="00F71E0F"/>
    <w:rsid w:val="00F72C9E"/>
    <w:rsid w:val="00F736D1"/>
    <w:rsid w:val="00F741F4"/>
    <w:rsid w:val="00F741FF"/>
    <w:rsid w:val="00F76182"/>
    <w:rsid w:val="00F80A1C"/>
    <w:rsid w:val="00F81BAD"/>
    <w:rsid w:val="00F84235"/>
    <w:rsid w:val="00F854A7"/>
    <w:rsid w:val="00F857E3"/>
    <w:rsid w:val="00F85A85"/>
    <w:rsid w:val="00F85C33"/>
    <w:rsid w:val="00F85DAE"/>
    <w:rsid w:val="00F9019D"/>
    <w:rsid w:val="00F92010"/>
    <w:rsid w:val="00F925C7"/>
    <w:rsid w:val="00F934CA"/>
    <w:rsid w:val="00F9370B"/>
    <w:rsid w:val="00F93869"/>
    <w:rsid w:val="00F94552"/>
    <w:rsid w:val="00F94CE2"/>
    <w:rsid w:val="00F954B0"/>
    <w:rsid w:val="00F969EF"/>
    <w:rsid w:val="00F96A86"/>
    <w:rsid w:val="00FA0F29"/>
    <w:rsid w:val="00FA1309"/>
    <w:rsid w:val="00FA3424"/>
    <w:rsid w:val="00FA46FC"/>
    <w:rsid w:val="00FA4E1F"/>
    <w:rsid w:val="00FA6882"/>
    <w:rsid w:val="00FA6A2F"/>
    <w:rsid w:val="00FA6DF7"/>
    <w:rsid w:val="00FA77CC"/>
    <w:rsid w:val="00FA7B81"/>
    <w:rsid w:val="00FB29B6"/>
    <w:rsid w:val="00FB4537"/>
    <w:rsid w:val="00FB5141"/>
    <w:rsid w:val="00FB6174"/>
    <w:rsid w:val="00FB6270"/>
    <w:rsid w:val="00FB6F04"/>
    <w:rsid w:val="00FB756E"/>
    <w:rsid w:val="00FC0486"/>
    <w:rsid w:val="00FC3562"/>
    <w:rsid w:val="00FC4197"/>
    <w:rsid w:val="00FC4845"/>
    <w:rsid w:val="00FC4CB0"/>
    <w:rsid w:val="00FC537E"/>
    <w:rsid w:val="00FC5535"/>
    <w:rsid w:val="00FC69C2"/>
    <w:rsid w:val="00FD38F9"/>
    <w:rsid w:val="00FD547B"/>
    <w:rsid w:val="00FD589B"/>
    <w:rsid w:val="00FD58A4"/>
    <w:rsid w:val="00FD5A77"/>
    <w:rsid w:val="00FE0421"/>
    <w:rsid w:val="00FE1BC7"/>
    <w:rsid w:val="00FE2E5A"/>
    <w:rsid w:val="00FE3B60"/>
    <w:rsid w:val="00FE5BBD"/>
    <w:rsid w:val="00FE5D93"/>
    <w:rsid w:val="00FE736B"/>
    <w:rsid w:val="00FE77C6"/>
    <w:rsid w:val="00FF02FD"/>
    <w:rsid w:val="00FF06AF"/>
    <w:rsid w:val="00FF101A"/>
    <w:rsid w:val="00FF102A"/>
    <w:rsid w:val="00FF209F"/>
    <w:rsid w:val="00FF39AF"/>
    <w:rsid w:val="00FF4E5F"/>
    <w:rsid w:val="00FF53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74405"/>
  <w15:chartTrackingRefBased/>
  <w15:docId w15:val="{4ADFA4A2-ECAF-44AF-AFE4-745389D15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4C97"/>
    <w:pPr>
      <w:autoSpaceDE w:val="0"/>
      <w:autoSpaceDN w:val="0"/>
      <w:adjustRightInd w:val="0"/>
      <w:spacing w:after="240"/>
    </w:pPr>
    <w:rPr>
      <w:sz w:val="22"/>
      <w:szCs w:val="24"/>
      <w:lang w:eastAsia="en-US"/>
    </w:rPr>
  </w:style>
  <w:style w:type="paragraph" w:styleId="Heading1">
    <w:name w:val="heading 1"/>
    <w:basedOn w:val="Normal"/>
    <w:next w:val="Normal"/>
    <w:link w:val="Heading1Char"/>
    <w:uiPriority w:val="9"/>
    <w:qFormat/>
    <w:rsid w:val="00806134"/>
    <w:pPr>
      <w:spacing w:before="240"/>
      <w:outlineLvl w:val="0"/>
    </w:pPr>
    <w:rPr>
      <w:rFonts w:ascii="Georgia" w:hAnsi="Georgia" w:cs="GeorgiaPro-Regular"/>
      <w:sz w:val="56"/>
      <w:szCs w:val="56"/>
    </w:rPr>
  </w:style>
  <w:style w:type="paragraph" w:styleId="Heading2">
    <w:name w:val="heading 2"/>
    <w:basedOn w:val="Normal"/>
    <w:next w:val="Normal"/>
    <w:link w:val="Heading2Char"/>
    <w:uiPriority w:val="9"/>
    <w:unhideWhenUsed/>
    <w:qFormat/>
    <w:rsid w:val="00806134"/>
    <w:pPr>
      <w:spacing w:before="240"/>
      <w:outlineLvl w:val="1"/>
    </w:pPr>
    <w:rPr>
      <w:rFonts w:ascii="Georgia" w:hAnsi="Georgia" w:cs="Georgia"/>
      <w:sz w:val="36"/>
      <w:szCs w:val="36"/>
    </w:rPr>
  </w:style>
  <w:style w:type="paragraph" w:styleId="Heading3">
    <w:name w:val="heading 3"/>
    <w:basedOn w:val="Heading4"/>
    <w:next w:val="Normal"/>
    <w:link w:val="Heading3Char"/>
    <w:uiPriority w:val="9"/>
    <w:unhideWhenUsed/>
    <w:qFormat/>
    <w:rsid w:val="00806134"/>
    <w:pPr>
      <w:outlineLvl w:val="2"/>
    </w:pPr>
    <w:rPr>
      <w:color w:val="DD0031"/>
    </w:rPr>
  </w:style>
  <w:style w:type="paragraph" w:styleId="Heading4">
    <w:name w:val="heading 4"/>
    <w:basedOn w:val="Normal"/>
    <w:next w:val="Normal"/>
    <w:link w:val="Heading4Char"/>
    <w:uiPriority w:val="9"/>
    <w:unhideWhenUsed/>
    <w:qFormat/>
    <w:rsid w:val="00806134"/>
    <w:pPr>
      <w:spacing w:before="240" w:after="0"/>
      <w:outlineLvl w:val="3"/>
    </w:pPr>
    <w:rPr>
      <w:b/>
      <w:bCs/>
    </w:rPr>
  </w:style>
  <w:style w:type="paragraph" w:styleId="Heading5">
    <w:name w:val="heading 5"/>
    <w:basedOn w:val="Heading4"/>
    <w:next w:val="Normal"/>
    <w:link w:val="Heading5Char"/>
    <w:uiPriority w:val="9"/>
    <w:unhideWhenUsed/>
    <w:rsid w:val="008E5F0F"/>
    <w:pPr>
      <w:outlineLvl w:val="4"/>
    </w:pPr>
  </w:style>
  <w:style w:type="paragraph" w:styleId="Heading6">
    <w:name w:val="heading 6"/>
    <w:basedOn w:val="Normal"/>
    <w:next w:val="Normal"/>
    <w:link w:val="Heading6Char"/>
    <w:uiPriority w:val="9"/>
    <w:semiHidden/>
    <w:unhideWhenUsed/>
    <w:rsid w:val="007149E2"/>
    <w:pPr>
      <w:keepNext/>
      <w:keepLines/>
      <w:numPr>
        <w:ilvl w:val="5"/>
        <w:numId w:val="6"/>
      </w:numPr>
      <w:spacing w:before="40" w:after="0"/>
      <w:outlineLvl w:val="5"/>
    </w:pPr>
    <w:rPr>
      <w:rFonts w:eastAsia="Times New Roman"/>
      <w:color w:val="DD0031"/>
    </w:rPr>
  </w:style>
  <w:style w:type="paragraph" w:styleId="Heading7">
    <w:name w:val="heading 7"/>
    <w:basedOn w:val="Normal"/>
    <w:next w:val="Normal"/>
    <w:link w:val="Heading7Char"/>
    <w:uiPriority w:val="9"/>
    <w:semiHidden/>
    <w:unhideWhenUsed/>
    <w:qFormat/>
    <w:rsid w:val="006D2F55"/>
    <w:pPr>
      <w:keepNext/>
      <w:keepLines/>
      <w:numPr>
        <w:ilvl w:val="6"/>
        <w:numId w:val="6"/>
      </w:numPr>
      <w:spacing w:before="40" w:after="0"/>
      <w:outlineLvl w:val="6"/>
    </w:pPr>
    <w:rPr>
      <w:rFonts w:eastAsia="Times New Roman"/>
      <w:i/>
      <w:iCs/>
      <w:color w:val="6E0018"/>
    </w:rPr>
  </w:style>
  <w:style w:type="paragraph" w:styleId="Heading8">
    <w:name w:val="heading 8"/>
    <w:basedOn w:val="Normal"/>
    <w:next w:val="Normal"/>
    <w:link w:val="Heading8Char"/>
    <w:uiPriority w:val="9"/>
    <w:semiHidden/>
    <w:unhideWhenUsed/>
    <w:qFormat/>
    <w:rsid w:val="006D2F55"/>
    <w:pPr>
      <w:keepNext/>
      <w:keepLines/>
      <w:numPr>
        <w:ilvl w:val="7"/>
        <w:numId w:val="6"/>
      </w:numPr>
      <w:spacing w:before="40" w:after="0"/>
      <w:outlineLvl w:val="7"/>
    </w:pPr>
    <w:rPr>
      <w:rFonts w:eastAsia="Times New Roman"/>
      <w:color w:val="595959"/>
      <w:sz w:val="21"/>
      <w:szCs w:val="21"/>
    </w:rPr>
  </w:style>
  <w:style w:type="paragraph" w:styleId="Heading9">
    <w:name w:val="heading 9"/>
    <w:basedOn w:val="Normal"/>
    <w:next w:val="Normal"/>
    <w:link w:val="Heading9Char"/>
    <w:uiPriority w:val="9"/>
    <w:semiHidden/>
    <w:unhideWhenUsed/>
    <w:qFormat/>
    <w:rsid w:val="006D2F55"/>
    <w:pPr>
      <w:keepNext/>
      <w:keepLines/>
      <w:numPr>
        <w:ilvl w:val="8"/>
        <w:numId w:val="6"/>
      </w:numPr>
      <w:spacing w:before="40" w:after="0"/>
      <w:outlineLvl w:val="8"/>
    </w:pPr>
    <w:rPr>
      <w:rFonts w:eastAsia="Times New Roman"/>
      <w:i/>
      <w:iCs/>
      <w:color w:val="59595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E56BC"/>
    <w:rPr>
      <w:rFonts w:ascii="Georgia" w:hAnsi="Georgia" w:cs="GeorgiaPro-Regular"/>
      <w:sz w:val="72"/>
      <w:szCs w:val="72"/>
    </w:rPr>
  </w:style>
  <w:style w:type="character" w:customStyle="1" w:styleId="TitleChar">
    <w:name w:val="Title Char"/>
    <w:link w:val="Title"/>
    <w:uiPriority w:val="10"/>
    <w:rsid w:val="00BE56BC"/>
    <w:rPr>
      <w:rFonts w:ascii="Georgia" w:hAnsi="Georgia" w:cs="GeorgiaPro-Regular"/>
      <w:color w:val="3C3C3C"/>
      <w:sz w:val="72"/>
      <w:szCs w:val="72"/>
    </w:rPr>
  </w:style>
  <w:style w:type="character" w:customStyle="1" w:styleId="Heading1Char">
    <w:name w:val="Heading 1 Char"/>
    <w:link w:val="Heading1"/>
    <w:uiPriority w:val="9"/>
    <w:rsid w:val="006D2F55"/>
    <w:rPr>
      <w:rFonts w:ascii="Georgia" w:hAnsi="Georgia" w:cs="GeorgiaPro-Regular"/>
      <w:color w:val="3C3C3C"/>
      <w:sz w:val="56"/>
      <w:szCs w:val="56"/>
    </w:rPr>
  </w:style>
  <w:style w:type="character" w:customStyle="1" w:styleId="Heading2Char">
    <w:name w:val="Heading 2 Char"/>
    <w:link w:val="Heading2"/>
    <w:uiPriority w:val="9"/>
    <w:rsid w:val="0019577F"/>
    <w:rPr>
      <w:rFonts w:ascii="Georgia" w:hAnsi="Georgia" w:cs="Georgia"/>
      <w:color w:val="3C3C3C"/>
      <w:sz w:val="36"/>
      <w:szCs w:val="36"/>
    </w:rPr>
  </w:style>
  <w:style w:type="character" w:customStyle="1" w:styleId="Heading3Char">
    <w:name w:val="Heading 3 Char"/>
    <w:link w:val="Heading3"/>
    <w:uiPriority w:val="9"/>
    <w:rsid w:val="00D05DA3"/>
    <w:rPr>
      <w:rFonts w:ascii="Arial" w:hAnsi="Arial" w:cs="Arial"/>
      <w:b/>
      <w:bCs/>
      <w:color w:val="DD0031"/>
      <w:sz w:val="24"/>
      <w:szCs w:val="24"/>
    </w:rPr>
  </w:style>
  <w:style w:type="character" w:customStyle="1" w:styleId="Heading4Char">
    <w:name w:val="Heading 4 Char"/>
    <w:link w:val="Heading4"/>
    <w:uiPriority w:val="9"/>
    <w:rsid w:val="00D05DA3"/>
    <w:rPr>
      <w:rFonts w:ascii="Arial" w:hAnsi="Arial" w:cs="Arial"/>
      <w:b/>
      <w:bCs/>
      <w:color w:val="3C3C3C"/>
      <w:sz w:val="24"/>
      <w:szCs w:val="24"/>
    </w:rPr>
  </w:style>
  <w:style w:type="paragraph" w:styleId="Header">
    <w:name w:val="header"/>
    <w:basedOn w:val="Normal"/>
    <w:link w:val="HeaderChar"/>
    <w:uiPriority w:val="99"/>
    <w:unhideWhenUsed/>
    <w:rsid w:val="00B265DE"/>
    <w:pPr>
      <w:tabs>
        <w:tab w:val="center" w:pos="4513"/>
        <w:tab w:val="right" w:pos="9026"/>
      </w:tabs>
    </w:pPr>
  </w:style>
  <w:style w:type="character" w:customStyle="1" w:styleId="HeaderChar">
    <w:name w:val="Header Char"/>
    <w:link w:val="Header"/>
    <w:uiPriority w:val="99"/>
    <w:rsid w:val="00B265DE"/>
    <w:rPr>
      <w:rFonts w:ascii="ArialMT" w:hAnsi="ArialMT" w:cs="ArialMT"/>
      <w:color w:val="3C3C3C"/>
      <w:sz w:val="29"/>
      <w:szCs w:val="29"/>
    </w:rPr>
  </w:style>
  <w:style w:type="paragraph" w:styleId="Footer">
    <w:name w:val="footer"/>
    <w:basedOn w:val="Normal"/>
    <w:link w:val="FooterChar"/>
    <w:uiPriority w:val="99"/>
    <w:unhideWhenUsed/>
    <w:rsid w:val="00B265DE"/>
    <w:pPr>
      <w:tabs>
        <w:tab w:val="center" w:pos="4513"/>
        <w:tab w:val="right" w:pos="9026"/>
      </w:tabs>
    </w:pPr>
  </w:style>
  <w:style w:type="character" w:customStyle="1" w:styleId="FooterChar">
    <w:name w:val="Footer Char"/>
    <w:link w:val="Footer"/>
    <w:uiPriority w:val="99"/>
    <w:rsid w:val="00B265DE"/>
    <w:rPr>
      <w:rFonts w:ascii="ArialMT" w:hAnsi="ArialMT" w:cs="ArialMT"/>
      <w:color w:val="3C3C3C"/>
      <w:sz w:val="29"/>
      <w:szCs w:val="29"/>
    </w:rPr>
  </w:style>
  <w:style w:type="character" w:customStyle="1" w:styleId="Heading5Char">
    <w:name w:val="Heading 5 Char"/>
    <w:link w:val="Heading5"/>
    <w:uiPriority w:val="9"/>
    <w:rsid w:val="008E5F0F"/>
    <w:rPr>
      <w:rFonts w:ascii="Arial-BoldMT" w:hAnsi="Arial-BoldMT" w:cs="Arial-BoldMT"/>
      <w:b/>
      <w:bCs/>
      <w:color w:val="3C3C3C"/>
      <w:sz w:val="29"/>
      <w:szCs w:val="29"/>
    </w:rPr>
  </w:style>
  <w:style w:type="paragraph" w:styleId="Quote">
    <w:name w:val="Quote"/>
    <w:basedOn w:val="Normal"/>
    <w:next w:val="Normal"/>
    <w:link w:val="QuoteChar"/>
    <w:uiPriority w:val="29"/>
    <w:qFormat/>
    <w:rsid w:val="00BE56BC"/>
    <w:pPr>
      <w:spacing w:before="240"/>
    </w:pPr>
    <w:rPr>
      <w:rFonts w:ascii="Georgia" w:hAnsi="Georgia"/>
    </w:rPr>
  </w:style>
  <w:style w:type="character" w:customStyle="1" w:styleId="QuoteChar">
    <w:name w:val="Quote Char"/>
    <w:link w:val="Quote"/>
    <w:uiPriority w:val="29"/>
    <w:rsid w:val="00BE56BC"/>
    <w:rPr>
      <w:rFonts w:ascii="Georgia" w:hAnsi="Georgia" w:cs="Arial"/>
      <w:color w:val="3C3C3C"/>
      <w:sz w:val="24"/>
      <w:szCs w:val="24"/>
    </w:rPr>
  </w:style>
  <w:style w:type="paragraph" w:styleId="ListParagraph">
    <w:name w:val="List Paragraph"/>
    <w:basedOn w:val="Normal"/>
    <w:link w:val="ListParagraphChar"/>
    <w:uiPriority w:val="34"/>
    <w:qFormat/>
    <w:rsid w:val="00FD58A4"/>
    <w:pPr>
      <w:ind w:left="720"/>
      <w:contextualSpacing/>
    </w:pPr>
  </w:style>
  <w:style w:type="paragraph" w:styleId="BalloonText">
    <w:name w:val="Balloon Text"/>
    <w:basedOn w:val="Normal"/>
    <w:link w:val="BalloonTextChar"/>
    <w:uiPriority w:val="99"/>
    <w:semiHidden/>
    <w:unhideWhenUsed/>
    <w:rsid w:val="0019577F"/>
    <w:pPr>
      <w:spacing w:after="0"/>
    </w:pPr>
    <w:rPr>
      <w:rFonts w:ascii="Segoe UI" w:hAnsi="Segoe UI" w:cs="Segoe UI"/>
      <w:sz w:val="18"/>
      <w:szCs w:val="18"/>
    </w:rPr>
  </w:style>
  <w:style w:type="character" w:customStyle="1" w:styleId="BalloonTextChar">
    <w:name w:val="Balloon Text Char"/>
    <w:link w:val="BalloonText"/>
    <w:uiPriority w:val="99"/>
    <w:semiHidden/>
    <w:rsid w:val="0019577F"/>
    <w:rPr>
      <w:rFonts w:ascii="Segoe UI" w:hAnsi="Segoe UI" w:cs="Segoe UI"/>
      <w:color w:val="3C3C3C"/>
      <w:sz w:val="18"/>
      <w:szCs w:val="18"/>
    </w:rPr>
  </w:style>
  <w:style w:type="paragraph" w:customStyle="1" w:styleId="DecimalAligned">
    <w:name w:val="Decimal Aligned"/>
    <w:basedOn w:val="Normal"/>
    <w:uiPriority w:val="40"/>
    <w:rsid w:val="009D4A88"/>
    <w:pPr>
      <w:tabs>
        <w:tab w:val="decimal" w:pos="360"/>
      </w:tabs>
      <w:autoSpaceDE/>
      <w:autoSpaceDN/>
      <w:adjustRightInd/>
      <w:spacing w:after="200" w:line="276" w:lineRule="auto"/>
    </w:pPr>
    <w:rPr>
      <w:rFonts w:eastAsia="Times New Roman"/>
      <w:szCs w:val="22"/>
      <w:lang w:val="en-US"/>
    </w:rPr>
  </w:style>
  <w:style w:type="paragraph" w:styleId="FootnoteText">
    <w:name w:val="footnote text"/>
    <w:basedOn w:val="Normal"/>
    <w:link w:val="FootnoteTextChar"/>
    <w:uiPriority w:val="99"/>
    <w:unhideWhenUsed/>
    <w:rsid w:val="00AE5CFB"/>
    <w:pPr>
      <w:autoSpaceDE/>
      <w:autoSpaceDN/>
      <w:adjustRightInd/>
      <w:spacing w:after="0"/>
    </w:pPr>
    <w:rPr>
      <w:rFonts w:eastAsia="Times New Roman"/>
      <w:szCs w:val="22"/>
      <w:lang w:val="en-US"/>
    </w:rPr>
  </w:style>
  <w:style w:type="character" w:customStyle="1" w:styleId="FootnoteTextChar">
    <w:name w:val="Footnote Text Char"/>
    <w:link w:val="FootnoteText"/>
    <w:uiPriority w:val="99"/>
    <w:rsid w:val="00AE5CFB"/>
    <w:rPr>
      <w:rFonts w:ascii="Arial" w:eastAsia="Times New Roman" w:hAnsi="Arial" w:cs="Arial"/>
      <w:lang w:val="en-US"/>
    </w:rPr>
  </w:style>
  <w:style w:type="character" w:styleId="SubtleEmphasis">
    <w:name w:val="Subtle Emphasis"/>
    <w:uiPriority w:val="19"/>
    <w:rsid w:val="009D4A88"/>
    <w:rPr>
      <w:i/>
      <w:iCs/>
    </w:rPr>
  </w:style>
  <w:style w:type="table" w:styleId="LightShading-Accent1">
    <w:name w:val="Light Shading Accent 1"/>
    <w:basedOn w:val="TableNormal"/>
    <w:uiPriority w:val="60"/>
    <w:rsid w:val="009D4A88"/>
    <w:rPr>
      <w:rFonts w:eastAsia="Times New Roman"/>
      <w:color w:val="A50024"/>
      <w:lang w:val="en-US"/>
    </w:rPr>
    <w:tblPr>
      <w:tblStyleRowBandSize w:val="1"/>
      <w:tblStyleColBandSize w:val="1"/>
      <w:tblBorders>
        <w:top w:val="single" w:sz="8" w:space="0" w:color="DD0031"/>
        <w:bottom w:val="single" w:sz="8" w:space="0" w:color="DD0031"/>
      </w:tblBorders>
    </w:tblPr>
    <w:tblStylePr w:type="firstRow">
      <w:pPr>
        <w:spacing w:before="0" w:after="0" w:line="240" w:lineRule="auto"/>
      </w:pPr>
      <w:rPr>
        <w:b/>
        <w:bCs/>
      </w:rPr>
      <w:tblPr/>
      <w:tcPr>
        <w:tcBorders>
          <w:top w:val="single" w:sz="8" w:space="0" w:color="DD0031"/>
          <w:left w:val="nil"/>
          <w:bottom w:val="single" w:sz="8" w:space="0" w:color="DD0031"/>
          <w:right w:val="nil"/>
          <w:insideH w:val="nil"/>
          <w:insideV w:val="nil"/>
        </w:tcBorders>
      </w:tcPr>
    </w:tblStylePr>
    <w:tblStylePr w:type="lastRow">
      <w:pPr>
        <w:spacing w:before="0" w:after="0" w:line="240" w:lineRule="auto"/>
      </w:pPr>
      <w:rPr>
        <w:b/>
        <w:bCs/>
      </w:rPr>
      <w:tblPr/>
      <w:tcPr>
        <w:tcBorders>
          <w:top w:val="single" w:sz="8" w:space="0" w:color="DD0031"/>
          <w:left w:val="nil"/>
          <w:bottom w:val="single" w:sz="8" w:space="0" w:color="DD00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B7C7"/>
      </w:tcPr>
    </w:tblStylePr>
    <w:tblStylePr w:type="band1Horz">
      <w:tblPr/>
      <w:tcPr>
        <w:tcBorders>
          <w:left w:val="nil"/>
          <w:right w:val="nil"/>
          <w:insideH w:val="nil"/>
          <w:insideV w:val="nil"/>
        </w:tcBorders>
        <w:shd w:val="clear" w:color="auto" w:fill="FFB7C7"/>
      </w:tcPr>
    </w:tblStylePr>
  </w:style>
  <w:style w:type="table" w:styleId="TableGrid">
    <w:name w:val="Table Grid"/>
    <w:basedOn w:val="TableNormal"/>
    <w:uiPriority w:val="59"/>
    <w:rsid w:val="009D4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6Colorful-Accent1">
    <w:name w:val="List Table 6 Colorful Accent 1"/>
    <w:basedOn w:val="TableNormal"/>
    <w:uiPriority w:val="51"/>
    <w:rsid w:val="009D4A88"/>
    <w:rPr>
      <w:color w:val="A50024"/>
    </w:rPr>
    <w:tblPr>
      <w:tblStyleRowBandSize w:val="1"/>
      <w:tblStyleColBandSize w:val="1"/>
      <w:tblBorders>
        <w:top w:val="single" w:sz="4" w:space="0" w:color="DD0031"/>
        <w:bottom w:val="single" w:sz="4" w:space="0" w:color="DD0031"/>
      </w:tblBorders>
    </w:tblPr>
    <w:tblStylePr w:type="firstRow">
      <w:rPr>
        <w:b/>
        <w:bCs/>
      </w:rPr>
      <w:tblPr/>
      <w:tcPr>
        <w:tcBorders>
          <w:bottom w:val="single" w:sz="4" w:space="0" w:color="DD0031"/>
        </w:tcBorders>
      </w:tcPr>
    </w:tblStylePr>
    <w:tblStylePr w:type="lastRow">
      <w:rPr>
        <w:b/>
        <w:bCs/>
      </w:rPr>
      <w:tblPr/>
      <w:tcPr>
        <w:tcBorders>
          <w:top w:val="double" w:sz="4" w:space="0" w:color="DD0031"/>
        </w:tcBorders>
      </w:tcPr>
    </w:tblStylePr>
    <w:tblStylePr w:type="firstCol">
      <w:rPr>
        <w:b/>
        <w:bCs/>
      </w:rPr>
    </w:tblStylePr>
    <w:tblStylePr w:type="lastCol">
      <w:rPr>
        <w:b/>
        <w:bCs/>
      </w:rPr>
    </w:tblStylePr>
    <w:tblStylePr w:type="band1Vert">
      <w:tblPr/>
      <w:tcPr>
        <w:shd w:val="clear" w:color="auto" w:fill="FFC5D1"/>
      </w:tcPr>
    </w:tblStylePr>
    <w:tblStylePr w:type="band1Horz">
      <w:tblPr/>
      <w:tcPr>
        <w:shd w:val="clear" w:color="auto" w:fill="FFC5D1"/>
      </w:tcPr>
    </w:tblStylePr>
  </w:style>
  <w:style w:type="paragraph" w:customStyle="1" w:styleId="Orderedlist">
    <w:name w:val="Ordered list"/>
    <w:basedOn w:val="ListParagraph"/>
    <w:link w:val="OrderedlistChar"/>
    <w:qFormat/>
    <w:rsid w:val="006E421B"/>
    <w:pPr>
      <w:numPr>
        <w:numId w:val="19"/>
      </w:numPr>
    </w:pPr>
  </w:style>
  <w:style w:type="paragraph" w:customStyle="1" w:styleId="Unorderedlist">
    <w:name w:val="Unordered list"/>
    <w:basedOn w:val="ListBullet"/>
    <w:link w:val="UnorderedlistChar"/>
    <w:qFormat/>
    <w:rsid w:val="00966CBD"/>
    <w:pPr>
      <w:numPr>
        <w:numId w:val="2"/>
      </w:numPr>
    </w:pPr>
  </w:style>
  <w:style w:type="character" w:customStyle="1" w:styleId="ListParagraphChar">
    <w:name w:val="List Paragraph Char"/>
    <w:link w:val="ListParagraph"/>
    <w:uiPriority w:val="34"/>
    <w:rsid w:val="008D538F"/>
    <w:rPr>
      <w:rFonts w:ascii="Arial" w:hAnsi="Arial" w:cs="Arial"/>
      <w:color w:val="3C3C3C"/>
      <w:sz w:val="24"/>
      <w:szCs w:val="24"/>
    </w:rPr>
  </w:style>
  <w:style w:type="character" w:customStyle="1" w:styleId="OrderedlistChar">
    <w:name w:val="Ordered list Char"/>
    <w:link w:val="Orderedlist"/>
    <w:rsid w:val="006E421B"/>
    <w:rPr>
      <w:rFonts w:ascii="Arial" w:hAnsi="Arial" w:cs="Arial"/>
      <w:color w:val="3C3C3C"/>
      <w:sz w:val="24"/>
      <w:szCs w:val="24"/>
    </w:rPr>
  </w:style>
  <w:style w:type="character" w:customStyle="1" w:styleId="Heading6Char">
    <w:name w:val="Heading 6 Char"/>
    <w:link w:val="Heading6"/>
    <w:uiPriority w:val="9"/>
    <w:semiHidden/>
    <w:rsid w:val="007149E2"/>
    <w:rPr>
      <w:rFonts w:ascii="Arial" w:eastAsia="Times New Roman" w:hAnsi="Arial" w:cs="Times New Roman"/>
      <w:color w:val="DD0031"/>
      <w:sz w:val="24"/>
      <w:szCs w:val="24"/>
    </w:rPr>
  </w:style>
  <w:style w:type="character" w:customStyle="1" w:styleId="UnorderedlistChar">
    <w:name w:val="Unordered list Char"/>
    <w:link w:val="Unorderedlist"/>
    <w:rsid w:val="00966CBD"/>
    <w:rPr>
      <w:rFonts w:ascii="Arial" w:hAnsi="Arial" w:cs="Arial"/>
      <w:color w:val="3C3C3C"/>
      <w:sz w:val="24"/>
      <w:szCs w:val="24"/>
    </w:rPr>
  </w:style>
  <w:style w:type="character" w:customStyle="1" w:styleId="Heading7Char">
    <w:name w:val="Heading 7 Char"/>
    <w:link w:val="Heading7"/>
    <w:uiPriority w:val="9"/>
    <w:semiHidden/>
    <w:rsid w:val="006D2F55"/>
    <w:rPr>
      <w:rFonts w:ascii="Arial" w:eastAsia="Times New Roman" w:hAnsi="Arial" w:cs="Times New Roman"/>
      <w:i/>
      <w:iCs/>
      <w:color w:val="6E0018"/>
      <w:sz w:val="24"/>
      <w:szCs w:val="24"/>
    </w:rPr>
  </w:style>
  <w:style w:type="character" w:customStyle="1" w:styleId="Heading8Char">
    <w:name w:val="Heading 8 Char"/>
    <w:link w:val="Heading8"/>
    <w:uiPriority w:val="9"/>
    <w:semiHidden/>
    <w:rsid w:val="006D2F55"/>
    <w:rPr>
      <w:rFonts w:ascii="Arial" w:eastAsia="Times New Roman" w:hAnsi="Arial" w:cs="Times New Roman"/>
      <w:color w:val="595959"/>
      <w:sz w:val="21"/>
      <w:szCs w:val="21"/>
    </w:rPr>
  </w:style>
  <w:style w:type="character" w:customStyle="1" w:styleId="Heading9Char">
    <w:name w:val="Heading 9 Char"/>
    <w:link w:val="Heading9"/>
    <w:uiPriority w:val="9"/>
    <w:semiHidden/>
    <w:rsid w:val="006D2F55"/>
    <w:rPr>
      <w:rFonts w:ascii="Arial" w:eastAsia="Times New Roman" w:hAnsi="Arial" w:cs="Times New Roman"/>
      <w:i/>
      <w:iCs/>
      <w:color w:val="595959"/>
      <w:sz w:val="21"/>
      <w:szCs w:val="21"/>
    </w:rPr>
  </w:style>
  <w:style w:type="paragraph" w:styleId="Subtitle">
    <w:name w:val="Subtitle"/>
    <w:aliases w:val="Authors and subtitle"/>
    <w:basedOn w:val="Normal"/>
    <w:next w:val="Normal"/>
    <w:link w:val="SubtitleChar"/>
    <w:uiPriority w:val="11"/>
    <w:rsid w:val="00D7410E"/>
    <w:pPr>
      <w:spacing w:before="240"/>
    </w:pPr>
    <w:rPr>
      <w:noProof/>
      <w:color w:val="DD0031"/>
      <w:sz w:val="40"/>
      <w:szCs w:val="40"/>
      <w:lang w:eastAsia="en-GB"/>
    </w:rPr>
  </w:style>
  <w:style w:type="character" w:customStyle="1" w:styleId="SubtitleChar">
    <w:name w:val="Subtitle Char"/>
    <w:aliases w:val="Authors and subtitle Char"/>
    <w:link w:val="Subtitle"/>
    <w:uiPriority w:val="11"/>
    <w:rsid w:val="00D7410E"/>
    <w:rPr>
      <w:rFonts w:ascii="Arial" w:hAnsi="Arial" w:cs="Arial"/>
      <w:noProof/>
      <w:color w:val="DD0031"/>
      <w:sz w:val="40"/>
      <w:szCs w:val="40"/>
      <w:lang w:eastAsia="en-GB"/>
    </w:rPr>
  </w:style>
  <w:style w:type="paragraph" w:styleId="TOC1">
    <w:name w:val="toc 1"/>
    <w:basedOn w:val="Normal"/>
    <w:next w:val="Normal"/>
    <w:autoRedefine/>
    <w:uiPriority w:val="39"/>
    <w:unhideWhenUsed/>
    <w:rsid w:val="00CD6C92"/>
    <w:pPr>
      <w:spacing w:before="360"/>
    </w:pPr>
    <w:rPr>
      <w:b/>
      <w:bCs/>
      <w:szCs w:val="20"/>
    </w:rPr>
  </w:style>
  <w:style w:type="paragraph" w:styleId="TOC2">
    <w:name w:val="toc 2"/>
    <w:basedOn w:val="Normal"/>
    <w:next w:val="Normal"/>
    <w:autoRedefine/>
    <w:uiPriority w:val="39"/>
    <w:unhideWhenUsed/>
    <w:rsid w:val="00CD6C92"/>
    <w:pPr>
      <w:spacing w:before="240" w:after="120"/>
      <w:ind w:left="240"/>
    </w:pPr>
    <w:rPr>
      <w:iCs/>
      <w:szCs w:val="20"/>
    </w:rPr>
  </w:style>
  <w:style w:type="paragraph" w:styleId="TOC3">
    <w:name w:val="toc 3"/>
    <w:basedOn w:val="Normal"/>
    <w:next w:val="Normal"/>
    <w:autoRedefine/>
    <w:uiPriority w:val="39"/>
    <w:unhideWhenUsed/>
    <w:rsid w:val="00CD6C92"/>
    <w:pPr>
      <w:spacing w:before="120" w:after="120"/>
      <w:ind w:left="480"/>
    </w:pPr>
    <w:rPr>
      <w:szCs w:val="20"/>
    </w:rPr>
  </w:style>
  <w:style w:type="paragraph" w:styleId="TOC4">
    <w:name w:val="toc 4"/>
    <w:basedOn w:val="Normal"/>
    <w:next w:val="Normal"/>
    <w:autoRedefine/>
    <w:uiPriority w:val="39"/>
    <w:unhideWhenUsed/>
    <w:rsid w:val="00D05DA3"/>
    <w:pPr>
      <w:spacing w:after="0"/>
      <w:ind w:left="720"/>
    </w:pPr>
    <w:rPr>
      <w:sz w:val="20"/>
      <w:szCs w:val="20"/>
    </w:rPr>
  </w:style>
  <w:style w:type="paragraph" w:styleId="TOC5">
    <w:name w:val="toc 5"/>
    <w:basedOn w:val="Normal"/>
    <w:next w:val="Normal"/>
    <w:autoRedefine/>
    <w:uiPriority w:val="39"/>
    <w:unhideWhenUsed/>
    <w:rsid w:val="00D05DA3"/>
    <w:pPr>
      <w:spacing w:after="0"/>
      <w:ind w:left="960"/>
    </w:pPr>
    <w:rPr>
      <w:sz w:val="20"/>
      <w:szCs w:val="20"/>
    </w:rPr>
  </w:style>
  <w:style w:type="paragraph" w:styleId="TOC6">
    <w:name w:val="toc 6"/>
    <w:basedOn w:val="Normal"/>
    <w:next w:val="Normal"/>
    <w:autoRedefine/>
    <w:uiPriority w:val="39"/>
    <w:unhideWhenUsed/>
    <w:rsid w:val="00D05DA3"/>
    <w:pPr>
      <w:spacing w:after="0"/>
      <w:ind w:left="1200"/>
    </w:pPr>
    <w:rPr>
      <w:sz w:val="20"/>
      <w:szCs w:val="20"/>
    </w:rPr>
  </w:style>
  <w:style w:type="paragraph" w:styleId="TOC7">
    <w:name w:val="toc 7"/>
    <w:basedOn w:val="Normal"/>
    <w:next w:val="Normal"/>
    <w:autoRedefine/>
    <w:uiPriority w:val="39"/>
    <w:unhideWhenUsed/>
    <w:rsid w:val="00D05DA3"/>
    <w:pPr>
      <w:spacing w:after="0"/>
      <w:ind w:left="1440"/>
    </w:pPr>
    <w:rPr>
      <w:sz w:val="20"/>
      <w:szCs w:val="20"/>
    </w:rPr>
  </w:style>
  <w:style w:type="paragraph" w:styleId="TOC8">
    <w:name w:val="toc 8"/>
    <w:basedOn w:val="Normal"/>
    <w:next w:val="Normal"/>
    <w:autoRedefine/>
    <w:uiPriority w:val="39"/>
    <w:unhideWhenUsed/>
    <w:rsid w:val="00D05DA3"/>
    <w:pPr>
      <w:spacing w:after="0"/>
      <w:ind w:left="1680"/>
    </w:pPr>
    <w:rPr>
      <w:sz w:val="20"/>
      <w:szCs w:val="20"/>
    </w:rPr>
  </w:style>
  <w:style w:type="paragraph" w:styleId="TOC9">
    <w:name w:val="toc 9"/>
    <w:basedOn w:val="Normal"/>
    <w:next w:val="Normal"/>
    <w:autoRedefine/>
    <w:uiPriority w:val="39"/>
    <w:unhideWhenUsed/>
    <w:rsid w:val="00D05DA3"/>
    <w:pPr>
      <w:spacing w:after="0"/>
      <w:ind w:left="1920"/>
    </w:pPr>
    <w:rPr>
      <w:sz w:val="20"/>
      <w:szCs w:val="20"/>
    </w:rPr>
  </w:style>
  <w:style w:type="character" w:styleId="Hyperlink">
    <w:name w:val="Hyperlink"/>
    <w:uiPriority w:val="99"/>
    <w:unhideWhenUsed/>
    <w:rsid w:val="00D05DA3"/>
    <w:rPr>
      <w:color w:val="DD0031"/>
      <w:u w:val="single"/>
    </w:rPr>
  </w:style>
  <w:style w:type="character" w:styleId="PlaceholderText">
    <w:name w:val="Placeholder Text"/>
    <w:uiPriority w:val="99"/>
    <w:semiHidden/>
    <w:rsid w:val="00D05DA3"/>
    <w:rPr>
      <w:color w:val="808080"/>
    </w:rPr>
  </w:style>
  <w:style w:type="paragraph" w:styleId="TOCHeading">
    <w:name w:val="TOC Heading"/>
    <w:basedOn w:val="Heading1"/>
    <w:next w:val="Normal"/>
    <w:uiPriority w:val="39"/>
    <w:unhideWhenUsed/>
    <w:qFormat/>
    <w:rsid w:val="00D1630C"/>
    <w:pPr>
      <w:keepNext/>
      <w:keepLines/>
      <w:autoSpaceDE/>
      <w:autoSpaceDN/>
      <w:adjustRightInd/>
      <w:spacing w:after="0" w:line="259" w:lineRule="auto"/>
      <w:outlineLvl w:val="9"/>
    </w:pPr>
    <w:rPr>
      <w:rFonts w:ascii="Arial" w:eastAsia="Times New Roman" w:hAnsi="Arial" w:cs="Arial"/>
      <w:b/>
      <w:color w:val="DD0031"/>
      <w:sz w:val="32"/>
      <w:szCs w:val="32"/>
      <w:lang w:val="en-US"/>
    </w:rPr>
  </w:style>
  <w:style w:type="paragraph" w:customStyle="1" w:styleId="Reporttype">
    <w:name w:val="Report type"/>
    <w:basedOn w:val="Subtitle"/>
    <w:link w:val="ReporttypeChar"/>
    <w:rsid w:val="007149E2"/>
  </w:style>
  <w:style w:type="paragraph" w:styleId="ListBullet">
    <w:name w:val="List Bullet"/>
    <w:basedOn w:val="Normal"/>
    <w:uiPriority w:val="99"/>
    <w:semiHidden/>
    <w:unhideWhenUsed/>
    <w:rsid w:val="00921917"/>
    <w:pPr>
      <w:numPr>
        <w:numId w:val="9"/>
      </w:numPr>
      <w:contextualSpacing/>
    </w:pPr>
  </w:style>
  <w:style w:type="character" w:styleId="FootnoteReference">
    <w:name w:val="footnote reference"/>
    <w:uiPriority w:val="99"/>
    <w:semiHidden/>
    <w:unhideWhenUsed/>
    <w:rsid w:val="00AE5CFB"/>
    <w:rPr>
      <w:color w:val="DD0031"/>
      <w:vertAlign w:val="superscript"/>
    </w:rPr>
  </w:style>
  <w:style w:type="character" w:customStyle="1" w:styleId="ReporttypeChar">
    <w:name w:val="Report type Char"/>
    <w:link w:val="Reporttype"/>
    <w:rsid w:val="007149E2"/>
    <w:rPr>
      <w:rFonts w:ascii="Arial" w:hAnsi="Arial" w:cs="Arial"/>
      <w:noProof/>
      <w:color w:val="DD0031"/>
      <w:sz w:val="40"/>
      <w:szCs w:val="40"/>
      <w:lang w:eastAsia="en-GB"/>
    </w:rPr>
  </w:style>
  <w:style w:type="table" w:styleId="GridTable1Light-Accent1">
    <w:name w:val="Grid Table 1 Light Accent 1"/>
    <w:basedOn w:val="TableNormal"/>
    <w:uiPriority w:val="46"/>
    <w:rsid w:val="0046499A"/>
    <w:rPr>
      <w:color w:val="3C3C3C"/>
      <w:sz w:val="16"/>
    </w:rPr>
    <w:tblPr>
      <w:tblStyleRowBandSize w:val="1"/>
      <w:tblStyleColBandSize w:val="1"/>
      <w:tblBorders>
        <w:top w:val="single" w:sz="4" w:space="0" w:color="FF8BA4"/>
        <w:left w:val="single" w:sz="4" w:space="0" w:color="FF8BA4"/>
        <w:bottom w:val="single" w:sz="4" w:space="0" w:color="FF8BA4"/>
        <w:right w:val="single" w:sz="4" w:space="0" w:color="FF8BA4"/>
        <w:insideH w:val="single" w:sz="4" w:space="0" w:color="FF8BA4"/>
        <w:insideV w:val="single" w:sz="4" w:space="0" w:color="FF8BA4"/>
      </w:tblBorders>
    </w:tblPr>
    <w:tblStylePr w:type="firstRow">
      <w:rPr>
        <w:b/>
        <w:bCs/>
      </w:rPr>
      <w:tblPr/>
      <w:tcPr>
        <w:tcBorders>
          <w:bottom w:val="single" w:sz="12" w:space="0" w:color="FF5177"/>
        </w:tcBorders>
      </w:tcPr>
    </w:tblStylePr>
    <w:tblStylePr w:type="lastRow">
      <w:rPr>
        <w:b/>
        <w:bCs/>
      </w:rPr>
      <w:tblPr/>
      <w:tcPr>
        <w:tcBorders>
          <w:top w:val="double" w:sz="2" w:space="0" w:color="FF5177"/>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515617"/>
    <w:tblPr>
      <w:tblStyleRowBandSize w:val="1"/>
      <w:tblStyleColBandSize w:val="1"/>
      <w:tblBorders>
        <w:top w:val="single" w:sz="2" w:space="0" w:color="FF5177"/>
        <w:bottom w:val="single" w:sz="2" w:space="0" w:color="FF5177"/>
        <w:insideH w:val="single" w:sz="2" w:space="0" w:color="FF5177"/>
        <w:insideV w:val="single" w:sz="2" w:space="0" w:color="FF5177"/>
      </w:tblBorders>
    </w:tblPr>
    <w:tblStylePr w:type="firstRow">
      <w:rPr>
        <w:b/>
        <w:bCs/>
      </w:rPr>
      <w:tblPr/>
      <w:tcPr>
        <w:tcBorders>
          <w:top w:val="nil"/>
          <w:bottom w:val="single" w:sz="12" w:space="0" w:color="FF5177"/>
          <w:insideH w:val="nil"/>
          <w:insideV w:val="nil"/>
        </w:tcBorders>
        <w:shd w:val="clear" w:color="auto" w:fill="C8C9C7"/>
      </w:tcPr>
    </w:tblStylePr>
    <w:tblStylePr w:type="lastRow">
      <w:rPr>
        <w:b/>
        <w:bCs/>
      </w:rPr>
      <w:tblPr/>
      <w:tcPr>
        <w:tcBorders>
          <w:top w:val="double" w:sz="2" w:space="0" w:color="FF5177"/>
          <w:bottom w:val="nil"/>
          <w:insideH w:val="nil"/>
          <w:insideV w:val="nil"/>
        </w:tcBorders>
        <w:shd w:val="clear" w:color="auto" w:fill="C8C9C7"/>
      </w:tcPr>
    </w:tblStylePr>
    <w:tblStylePr w:type="firstCol">
      <w:rPr>
        <w:b/>
        <w:bCs/>
      </w:rPr>
    </w:tblStylePr>
    <w:tblStylePr w:type="lastCol">
      <w:rPr>
        <w:b/>
        <w:bCs/>
      </w:rPr>
    </w:tblStylePr>
    <w:tblStylePr w:type="band1Vert">
      <w:tblPr/>
      <w:tcPr>
        <w:shd w:val="clear" w:color="auto" w:fill="FFC5D1"/>
      </w:tcPr>
    </w:tblStylePr>
    <w:tblStylePr w:type="band1Horz">
      <w:tblPr/>
      <w:tcPr>
        <w:shd w:val="clear" w:color="auto" w:fill="FFC5D1"/>
      </w:tcPr>
    </w:tblStylePr>
  </w:style>
  <w:style w:type="table" w:styleId="GridTable4-Accent1">
    <w:name w:val="Grid Table 4 Accent 1"/>
    <w:basedOn w:val="TableNormal"/>
    <w:uiPriority w:val="49"/>
    <w:rsid w:val="00515617"/>
    <w:tblPr>
      <w:tblStyleRowBandSize w:val="1"/>
      <w:tblStyleColBandSize w:val="1"/>
      <w:tblBorders>
        <w:top w:val="single" w:sz="4" w:space="0" w:color="FF5177"/>
        <w:left w:val="single" w:sz="4" w:space="0" w:color="FF5177"/>
        <w:bottom w:val="single" w:sz="4" w:space="0" w:color="FF5177"/>
        <w:right w:val="single" w:sz="4" w:space="0" w:color="FF5177"/>
        <w:insideH w:val="single" w:sz="4" w:space="0" w:color="FF5177"/>
        <w:insideV w:val="single" w:sz="4" w:space="0" w:color="FF5177"/>
      </w:tblBorders>
    </w:tblPr>
    <w:tblStylePr w:type="firstRow">
      <w:rPr>
        <w:b/>
        <w:bCs/>
        <w:color w:val="C8C9C7"/>
      </w:rPr>
      <w:tblPr/>
      <w:tcPr>
        <w:tcBorders>
          <w:top w:val="single" w:sz="4" w:space="0" w:color="DD0031"/>
          <w:left w:val="single" w:sz="4" w:space="0" w:color="DD0031"/>
          <w:bottom w:val="single" w:sz="4" w:space="0" w:color="DD0031"/>
          <w:right w:val="single" w:sz="4" w:space="0" w:color="DD0031"/>
          <w:insideH w:val="nil"/>
          <w:insideV w:val="nil"/>
        </w:tcBorders>
        <w:shd w:val="clear" w:color="auto" w:fill="DD0031"/>
      </w:tcPr>
    </w:tblStylePr>
    <w:tblStylePr w:type="lastRow">
      <w:rPr>
        <w:b/>
        <w:bCs/>
      </w:rPr>
      <w:tblPr/>
      <w:tcPr>
        <w:tcBorders>
          <w:top w:val="double" w:sz="4" w:space="0" w:color="DD0031"/>
        </w:tcBorders>
      </w:tcPr>
    </w:tblStylePr>
    <w:tblStylePr w:type="firstCol">
      <w:rPr>
        <w:b/>
        <w:bCs/>
      </w:rPr>
    </w:tblStylePr>
    <w:tblStylePr w:type="lastCol">
      <w:rPr>
        <w:b/>
        <w:bCs/>
      </w:rPr>
    </w:tblStylePr>
    <w:tblStylePr w:type="band1Vert">
      <w:tblPr/>
      <w:tcPr>
        <w:shd w:val="clear" w:color="auto" w:fill="FFC5D1"/>
      </w:tcPr>
    </w:tblStylePr>
    <w:tblStylePr w:type="band1Horz">
      <w:tblPr/>
      <w:tcPr>
        <w:shd w:val="clear" w:color="auto" w:fill="FFC5D1"/>
      </w:tcPr>
    </w:tblStylePr>
  </w:style>
  <w:style w:type="paragraph" w:styleId="Caption">
    <w:name w:val="caption"/>
    <w:basedOn w:val="Normal"/>
    <w:next w:val="Normal"/>
    <w:uiPriority w:val="35"/>
    <w:unhideWhenUsed/>
    <w:qFormat/>
    <w:rsid w:val="00515617"/>
    <w:pPr>
      <w:spacing w:after="200"/>
      <w:jc w:val="right"/>
    </w:pPr>
    <w:rPr>
      <w:i/>
      <w:iCs/>
      <w:sz w:val="18"/>
      <w:szCs w:val="18"/>
    </w:rPr>
  </w:style>
  <w:style w:type="paragraph" w:customStyle="1" w:styleId="Table">
    <w:name w:val="Table"/>
    <w:basedOn w:val="Normal"/>
    <w:link w:val="TableChar"/>
    <w:qFormat/>
    <w:rsid w:val="000F08B7"/>
    <w:pPr>
      <w:framePr w:hSpace="180" w:wrap="around" w:vAnchor="page" w:hAnchor="margin" w:xAlign="center" w:y="3451"/>
      <w:spacing w:after="0"/>
    </w:pPr>
    <w:rPr>
      <w:sz w:val="18"/>
      <w:szCs w:val="18"/>
    </w:rPr>
  </w:style>
  <w:style w:type="paragraph" w:styleId="EndnoteText">
    <w:name w:val="endnote text"/>
    <w:basedOn w:val="Normal"/>
    <w:link w:val="EndnoteTextChar"/>
    <w:uiPriority w:val="99"/>
    <w:semiHidden/>
    <w:unhideWhenUsed/>
    <w:rsid w:val="005D42F6"/>
    <w:pPr>
      <w:spacing w:after="0"/>
    </w:pPr>
    <w:rPr>
      <w:sz w:val="20"/>
      <w:szCs w:val="20"/>
    </w:rPr>
  </w:style>
  <w:style w:type="character" w:customStyle="1" w:styleId="TableChar">
    <w:name w:val="Table Char"/>
    <w:link w:val="Table"/>
    <w:rsid w:val="000F08B7"/>
    <w:rPr>
      <w:sz w:val="18"/>
      <w:szCs w:val="18"/>
    </w:rPr>
  </w:style>
  <w:style w:type="character" w:customStyle="1" w:styleId="EndnoteTextChar">
    <w:name w:val="Endnote Text Char"/>
    <w:link w:val="EndnoteText"/>
    <w:uiPriority w:val="99"/>
    <w:semiHidden/>
    <w:rsid w:val="005D42F6"/>
    <w:rPr>
      <w:rFonts w:ascii="Arial" w:hAnsi="Arial" w:cs="Arial"/>
      <w:color w:val="3C3C3C"/>
      <w:sz w:val="20"/>
      <w:szCs w:val="20"/>
    </w:rPr>
  </w:style>
  <w:style w:type="character" w:styleId="EndnoteReference">
    <w:name w:val="endnote reference"/>
    <w:uiPriority w:val="99"/>
    <w:semiHidden/>
    <w:unhideWhenUsed/>
    <w:rsid w:val="005D42F6"/>
    <w:rPr>
      <w:vertAlign w:val="superscript"/>
    </w:rPr>
  </w:style>
  <w:style w:type="paragraph" w:customStyle="1" w:styleId="Code">
    <w:name w:val="Code"/>
    <w:basedOn w:val="Normal"/>
    <w:link w:val="CodeChar"/>
    <w:qFormat/>
    <w:rsid w:val="00ED6ECB"/>
    <w:pPr>
      <w:ind w:left="720"/>
    </w:pPr>
    <w:rPr>
      <w:rFonts w:ascii="Source Code Pro Light" w:hAnsi="Source Code Pro Light"/>
      <w:color w:val="DD0031"/>
      <w:sz w:val="20"/>
      <w:szCs w:val="20"/>
    </w:rPr>
  </w:style>
  <w:style w:type="paragraph" w:styleId="Bibliography">
    <w:name w:val="Bibliography"/>
    <w:basedOn w:val="Normal"/>
    <w:next w:val="Normal"/>
    <w:uiPriority w:val="37"/>
    <w:unhideWhenUsed/>
    <w:rsid w:val="00E74698"/>
    <w:pPr>
      <w:tabs>
        <w:tab w:val="left" w:pos="384"/>
      </w:tabs>
      <w:ind w:left="384" w:hanging="384"/>
    </w:pPr>
  </w:style>
  <w:style w:type="character" w:customStyle="1" w:styleId="CodeChar">
    <w:name w:val="Code Char"/>
    <w:link w:val="Code"/>
    <w:rsid w:val="00ED6ECB"/>
    <w:rPr>
      <w:rFonts w:ascii="Source Code Pro Light" w:hAnsi="Source Code Pro Light" w:cs="Arial"/>
      <w:color w:val="DD0031"/>
      <w:sz w:val="20"/>
      <w:szCs w:val="20"/>
    </w:rPr>
  </w:style>
  <w:style w:type="character" w:customStyle="1" w:styleId="apple-converted-space">
    <w:name w:val="apple-converted-space"/>
    <w:basedOn w:val="DefaultParagraphFont"/>
    <w:rsid w:val="00B4310D"/>
  </w:style>
  <w:style w:type="character" w:styleId="CommentReference">
    <w:name w:val="annotation reference"/>
    <w:uiPriority w:val="99"/>
    <w:unhideWhenUsed/>
    <w:rsid w:val="00A41864"/>
    <w:rPr>
      <w:sz w:val="16"/>
      <w:szCs w:val="16"/>
    </w:rPr>
  </w:style>
  <w:style w:type="paragraph" w:styleId="CommentText">
    <w:name w:val="annotation text"/>
    <w:basedOn w:val="Normal"/>
    <w:link w:val="CommentTextChar"/>
    <w:uiPriority w:val="99"/>
    <w:unhideWhenUsed/>
    <w:rsid w:val="00A41864"/>
    <w:rPr>
      <w:sz w:val="20"/>
      <w:szCs w:val="20"/>
    </w:rPr>
  </w:style>
  <w:style w:type="character" w:customStyle="1" w:styleId="CommentTextChar">
    <w:name w:val="Comment Text Char"/>
    <w:link w:val="CommentText"/>
    <w:uiPriority w:val="99"/>
    <w:rsid w:val="00A41864"/>
    <w:rPr>
      <w:sz w:val="20"/>
      <w:szCs w:val="20"/>
    </w:rPr>
  </w:style>
  <w:style w:type="paragraph" w:styleId="CommentSubject">
    <w:name w:val="annotation subject"/>
    <w:basedOn w:val="CommentText"/>
    <w:next w:val="CommentText"/>
    <w:link w:val="CommentSubjectChar"/>
    <w:uiPriority w:val="99"/>
    <w:semiHidden/>
    <w:unhideWhenUsed/>
    <w:rsid w:val="00A41864"/>
    <w:rPr>
      <w:b/>
      <w:bCs/>
    </w:rPr>
  </w:style>
  <w:style w:type="character" w:customStyle="1" w:styleId="CommentSubjectChar">
    <w:name w:val="Comment Subject Char"/>
    <w:link w:val="CommentSubject"/>
    <w:uiPriority w:val="99"/>
    <w:semiHidden/>
    <w:rsid w:val="00A41864"/>
    <w:rPr>
      <w:b/>
      <w:bCs/>
      <w:sz w:val="20"/>
      <w:szCs w:val="20"/>
    </w:rPr>
  </w:style>
  <w:style w:type="character" w:styleId="FollowedHyperlink">
    <w:name w:val="FollowedHyperlink"/>
    <w:uiPriority w:val="99"/>
    <w:semiHidden/>
    <w:unhideWhenUsed/>
    <w:rsid w:val="007368CA"/>
    <w:rPr>
      <w:color w:val="DD0031"/>
      <w:u w:val="single"/>
    </w:rPr>
  </w:style>
  <w:style w:type="table" w:styleId="PlainTable1">
    <w:name w:val="Plain Table 1"/>
    <w:basedOn w:val="TableNormal"/>
    <w:uiPriority w:val="41"/>
    <w:rsid w:val="00273FB7"/>
    <w:tblPr>
      <w:tblStyleRowBandSize w:val="1"/>
      <w:tblStyleColBandSize w:val="1"/>
      <w:tblBorders>
        <w:top w:val="single" w:sz="4" w:space="0" w:color="959793"/>
        <w:left w:val="single" w:sz="4" w:space="0" w:color="959793"/>
        <w:bottom w:val="single" w:sz="4" w:space="0" w:color="959793"/>
        <w:right w:val="single" w:sz="4" w:space="0" w:color="959793"/>
        <w:insideH w:val="single" w:sz="4" w:space="0" w:color="959793"/>
        <w:insideV w:val="single" w:sz="4" w:space="0" w:color="959793"/>
      </w:tblBorders>
    </w:tblPr>
    <w:tblStylePr w:type="firstRow">
      <w:rPr>
        <w:b/>
        <w:bCs/>
      </w:rPr>
    </w:tblStylePr>
    <w:tblStylePr w:type="lastRow">
      <w:rPr>
        <w:b/>
        <w:bCs/>
      </w:rPr>
      <w:tblPr/>
      <w:tcPr>
        <w:tcBorders>
          <w:top w:val="double" w:sz="4" w:space="0" w:color="959793"/>
        </w:tcBorders>
      </w:tcPr>
    </w:tblStylePr>
    <w:tblStylePr w:type="firstCol">
      <w:rPr>
        <w:b/>
        <w:bCs/>
      </w:rPr>
    </w:tblStylePr>
    <w:tblStylePr w:type="lastCol">
      <w:rPr>
        <w:b/>
        <w:bCs/>
      </w:rPr>
    </w:tblStylePr>
    <w:tblStylePr w:type="band1Vert">
      <w:tblPr/>
      <w:tcPr>
        <w:shd w:val="clear" w:color="auto" w:fill="BDBEBC"/>
      </w:tcPr>
    </w:tblStylePr>
    <w:tblStylePr w:type="band1Horz">
      <w:tblPr/>
      <w:tcPr>
        <w:shd w:val="clear" w:color="auto" w:fill="BDBEBC"/>
      </w:tcPr>
    </w:tblStylePr>
  </w:style>
  <w:style w:type="table" w:styleId="GridTable4-Accent5">
    <w:name w:val="Grid Table 4 Accent 5"/>
    <w:basedOn w:val="TableNormal"/>
    <w:uiPriority w:val="49"/>
    <w:rsid w:val="00273FB7"/>
    <w:tblPr>
      <w:tblStyleRowBandSize w:val="1"/>
      <w:tblStyleColBandSize w:val="1"/>
      <w:tblBorders>
        <w:top w:val="single" w:sz="4" w:space="0" w:color="F1C3CE"/>
        <w:left w:val="single" w:sz="4" w:space="0" w:color="F1C3CE"/>
        <w:bottom w:val="single" w:sz="4" w:space="0" w:color="F1C3CE"/>
        <w:right w:val="single" w:sz="4" w:space="0" w:color="F1C3CE"/>
        <w:insideH w:val="single" w:sz="4" w:space="0" w:color="F1C3CE"/>
        <w:insideV w:val="single" w:sz="4" w:space="0" w:color="F1C3CE"/>
      </w:tblBorders>
    </w:tblPr>
    <w:tblStylePr w:type="firstRow">
      <w:rPr>
        <w:b/>
        <w:bCs/>
        <w:color w:val="C8C9C7"/>
      </w:rPr>
      <w:tblPr/>
      <w:tcPr>
        <w:tcBorders>
          <w:top w:val="single" w:sz="4" w:space="0" w:color="E89CAE"/>
          <w:left w:val="single" w:sz="4" w:space="0" w:color="E89CAE"/>
          <w:bottom w:val="single" w:sz="4" w:space="0" w:color="E89CAE"/>
          <w:right w:val="single" w:sz="4" w:space="0" w:color="E89CAE"/>
          <w:insideH w:val="nil"/>
          <w:insideV w:val="nil"/>
        </w:tcBorders>
        <w:shd w:val="clear" w:color="auto" w:fill="E89CAE"/>
      </w:tcPr>
    </w:tblStylePr>
    <w:tblStylePr w:type="lastRow">
      <w:rPr>
        <w:b/>
        <w:bCs/>
      </w:rPr>
      <w:tblPr/>
      <w:tcPr>
        <w:tcBorders>
          <w:top w:val="double" w:sz="4" w:space="0" w:color="E89CAE"/>
        </w:tcBorders>
      </w:tcPr>
    </w:tblStylePr>
    <w:tblStylePr w:type="firstCol">
      <w:rPr>
        <w:b/>
        <w:bCs/>
      </w:rPr>
    </w:tblStylePr>
    <w:tblStylePr w:type="lastCol">
      <w:rPr>
        <w:b/>
        <w:bCs/>
      </w:rPr>
    </w:tblStylePr>
    <w:tblStylePr w:type="band1Vert">
      <w:tblPr/>
      <w:tcPr>
        <w:shd w:val="clear" w:color="auto" w:fill="FAEAEE"/>
      </w:tcPr>
    </w:tblStylePr>
    <w:tblStylePr w:type="band1Horz">
      <w:tblPr/>
      <w:tcPr>
        <w:shd w:val="clear" w:color="auto" w:fill="FAEAEE"/>
      </w:tcPr>
    </w:tblStylePr>
  </w:style>
  <w:style w:type="paragraph" w:styleId="NormalWeb">
    <w:name w:val="Normal (Web)"/>
    <w:basedOn w:val="Normal"/>
    <w:uiPriority w:val="99"/>
    <w:unhideWhenUsed/>
    <w:rsid w:val="00235188"/>
    <w:pPr>
      <w:autoSpaceDE/>
      <w:autoSpaceDN/>
      <w:adjustRightInd/>
      <w:spacing w:before="100" w:beforeAutospacing="1" w:after="100" w:afterAutospacing="1"/>
    </w:pPr>
    <w:rPr>
      <w:rFonts w:ascii="Times New Roman" w:eastAsia="Times New Roman" w:hAnsi="Times New Roman"/>
      <w:sz w:val="24"/>
      <w:lang w:eastAsia="en-GB"/>
    </w:rPr>
  </w:style>
  <w:style w:type="character" w:styleId="Strong">
    <w:name w:val="Strong"/>
    <w:uiPriority w:val="22"/>
    <w:qFormat/>
    <w:rsid w:val="00235188"/>
    <w:rPr>
      <w:b/>
      <w:bCs/>
    </w:rPr>
  </w:style>
  <w:style w:type="paragraph" w:styleId="Revision">
    <w:name w:val="Revision"/>
    <w:hidden/>
    <w:uiPriority w:val="99"/>
    <w:semiHidden/>
    <w:rsid w:val="001B68E8"/>
    <w:rPr>
      <w:sz w:val="22"/>
      <w:szCs w:val="24"/>
      <w:lang w:eastAsia="en-US"/>
    </w:rPr>
  </w:style>
  <w:style w:type="table" w:styleId="PlainTable2">
    <w:name w:val="Plain Table 2"/>
    <w:basedOn w:val="TableNormal"/>
    <w:uiPriority w:val="42"/>
    <w:rsid w:val="00233637"/>
    <w:tblPr>
      <w:tblStyleRowBandSize w:val="1"/>
      <w:tblStyleColBandSize w:val="1"/>
      <w:tblBorders>
        <w:top w:val="single" w:sz="4" w:space="0" w:color="9D9D9D"/>
        <w:bottom w:val="single" w:sz="4" w:space="0" w:color="9D9D9D"/>
      </w:tblBorders>
    </w:tblPr>
    <w:tblStylePr w:type="firstRow">
      <w:rPr>
        <w:b/>
        <w:bCs/>
      </w:rPr>
      <w:tblPr/>
      <w:tcPr>
        <w:tcBorders>
          <w:bottom w:val="single" w:sz="4" w:space="0" w:color="9D9D9D"/>
        </w:tcBorders>
      </w:tcPr>
    </w:tblStylePr>
    <w:tblStylePr w:type="lastRow">
      <w:rPr>
        <w:b/>
        <w:bCs/>
      </w:rPr>
      <w:tblPr/>
      <w:tcPr>
        <w:tcBorders>
          <w:top w:val="single" w:sz="4" w:space="0" w:color="9D9D9D"/>
        </w:tcBorders>
      </w:tcPr>
    </w:tblStylePr>
    <w:tblStylePr w:type="firstCol">
      <w:rPr>
        <w:b/>
        <w:bCs/>
      </w:rPr>
    </w:tblStylePr>
    <w:tblStylePr w:type="lastCol">
      <w:rPr>
        <w:b/>
        <w:bCs/>
      </w:rPr>
    </w:tblStylePr>
    <w:tblStylePr w:type="band1Vert">
      <w:tblPr/>
      <w:tcPr>
        <w:tcBorders>
          <w:left w:val="single" w:sz="4" w:space="0" w:color="9D9D9D"/>
          <w:right w:val="single" w:sz="4" w:space="0" w:color="9D9D9D"/>
        </w:tcBorders>
      </w:tcPr>
    </w:tblStylePr>
    <w:tblStylePr w:type="band2Vert">
      <w:tblPr/>
      <w:tcPr>
        <w:tcBorders>
          <w:left w:val="single" w:sz="4" w:space="0" w:color="9D9D9D"/>
          <w:right w:val="single" w:sz="4" w:space="0" w:color="9D9D9D"/>
        </w:tcBorders>
      </w:tcPr>
    </w:tblStylePr>
    <w:tblStylePr w:type="band1Horz">
      <w:tblPr/>
      <w:tcPr>
        <w:tcBorders>
          <w:top w:val="single" w:sz="4" w:space="0" w:color="9D9D9D"/>
          <w:bottom w:val="single" w:sz="4" w:space="0" w:color="9D9D9D"/>
        </w:tcBorders>
      </w:tcPr>
    </w:tblStylePr>
  </w:style>
  <w:style w:type="character" w:customStyle="1" w:styleId="EndNoteBibliographyChar">
    <w:name w:val="EndNote Bibliography Char"/>
    <w:link w:val="EndNoteBibliography"/>
    <w:locked/>
    <w:rsid w:val="0083197C"/>
    <w:rPr>
      <w:rFonts w:ascii="Times New Roman" w:hAnsi="Times New Roman" w:cs="Times New Roman"/>
      <w:noProof/>
      <w:lang w:val="en-US"/>
    </w:rPr>
  </w:style>
  <w:style w:type="paragraph" w:customStyle="1" w:styleId="EndNoteBibliography">
    <w:name w:val="EndNote Bibliography"/>
    <w:basedOn w:val="Normal"/>
    <w:link w:val="EndNoteBibliographyChar"/>
    <w:rsid w:val="0083197C"/>
    <w:pPr>
      <w:autoSpaceDE/>
      <w:autoSpaceDN/>
      <w:adjustRightInd/>
      <w:spacing w:after="200"/>
    </w:pPr>
    <w:rPr>
      <w:rFonts w:ascii="Times New Roman" w:hAnsi="Times New Roman"/>
      <w:noProof/>
      <w:szCs w:val="22"/>
      <w:lang w:val="en-US"/>
    </w:rPr>
  </w:style>
  <w:style w:type="character" w:customStyle="1" w:styleId="UnresolvedMention1">
    <w:name w:val="Unresolved Mention1"/>
    <w:basedOn w:val="DefaultParagraphFont"/>
    <w:uiPriority w:val="99"/>
    <w:semiHidden/>
    <w:unhideWhenUsed/>
    <w:rsid w:val="009320F3"/>
    <w:rPr>
      <w:color w:val="605E5C"/>
      <w:shd w:val="clear" w:color="auto" w:fill="E1DFDD"/>
    </w:rPr>
  </w:style>
  <w:style w:type="character" w:customStyle="1" w:styleId="normaltextrun">
    <w:name w:val="normaltextrun"/>
    <w:basedOn w:val="DefaultParagraphFont"/>
    <w:rsid w:val="00DF2757"/>
  </w:style>
  <w:style w:type="character" w:customStyle="1" w:styleId="eop">
    <w:name w:val="eop"/>
    <w:basedOn w:val="DefaultParagraphFont"/>
    <w:rsid w:val="00DF27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245852">
      <w:bodyDiv w:val="1"/>
      <w:marLeft w:val="0"/>
      <w:marRight w:val="0"/>
      <w:marTop w:val="0"/>
      <w:marBottom w:val="0"/>
      <w:divBdr>
        <w:top w:val="none" w:sz="0" w:space="0" w:color="auto"/>
        <w:left w:val="none" w:sz="0" w:space="0" w:color="auto"/>
        <w:bottom w:val="none" w:sz="0" w:space="0" w:color="auto"/>
        <w:right w:val="none" w:sz="0" w:space="0" w:color="auto"/>
      </w:divBdr>
    </w:div>
    <w:div w:id="256788053">
      <w:bodyDiv w:val="1"/>
      <w:marLeft w:val="0"/>
      <w:marRight w:val="0"/>
      <w:marTop w:val="0"/>
      <w:marBottom w:val="0"/>
      <w:divBdr>
        <w:top w:val="none" w:sz="0" w:space="0" w:color="auto"/>
        <w:left w:val="none" w:sz="0" w:space="0" w:color="auto"/>
        <w:bottom w:val="none" w:sz="0" w:space="0" w:color="auto"/>
        <w:right w:val="none" w:sz="0" w:space="0" w:color="auto"/>
      </w:divBdr>
    </w:div>
    <w:div w:id="268321827">
      <w:bodyDiv w:val="1"/>
      <w:marLeft w:val="0"/>
      <w:marRight w:val="0"/>
      <w:marTop w:val="0"/>
      <w:marBottom w:val="0"/>
      <w:divBdr>
        <w:top w:val="none" w:sz="0" w:space="0" w:color="auto"/>
        <w:left w:val="none" w:sz="0" w:space="0" w:color="auto"/>
        <w:bottom w:val="none" w:sz="0" w:space="0" w:color="auto"/>
        <w:right w:val="none" w:sz="0" w:space="0" w:color="auto"/>
      </w:divBdr>
    </w:div>
    <w:div w:id="356783268">
      <w:bodyDiv w:val="1"/>
      <w:marLeft w:val="0"/>
      <w:marRight w:val="0"/>
      <w:marTop w:val="0"/>
      <w:marBottom w:val="0"/>
      <w:divBdr>
        <w:top w:val="none" w:sz="0" w:space="0" w:color="auto"/>
        <w:left w:val="none" w:sz="0" w:space="0" w:color="auto"/>
        <w:bottom w:val="none" w:sz="0" w:space="0" w:color="auto"/>
        <w:right w:val="none" w:sz="0" w:space="0" w:color="auto"/>
      </w:divBdr>
    </w:div>
    <w:div w:id="603654124">
      <w:bodyDiv w:val="1"/>
      <w:marLeft w:val="0"/>
      <w:marRight w:val="0"/>
      <w:marTop w:val="0"/>
      <w:marBottom w:val="0"/>
      <w:divBdr>
        <w:top w:val="none" w:sz="0" w:space="0" w:color="auto"/>
        <w:left w:val="none" w:sz="0" w:space="0" w:color="auto"/>
        <w:bottom w:val="none" w:sz="0" w:space="0" w:color="auto"/>
        <w:right w:val="none" w:sz="0" w:space="0" w:color="auto"/>
      </w:divBdr>
    </w:div>
    <w:div w:id="747388055">
      <w:bodyDiv w:val="1"/>
      <w:marLeft w:val="0"/>
      <w:marRight w:val="0"/>
      <w:marTop w:val="0"/>
      <w:marBottom w:val="0"/>
      <w:divBdr>
        <w:top w:val="none" w:sz="0" w:space="0" w:color="auto"/>
        <w:left w:val="none" w:sz="0" w:space="0" w:color="auto"/>
        <w:bottom w:val="none" w:sz="0" w:space="0" w:color="auto"/>
        <w:right w:val="none" w:sz="0" w:space="0" w:color="auto"/>
      </w:divBdr>
    </w:div>
    <w:div w:id="1015964880">
      <w:bodyDiv w:val="1"/>
      <w:marLeft w:val="0"/>
      <w:marRight w:val="0"/>
      <w:marTop w:val="0"/>
      <w:marBottom w:val="0"/>
      <w:divBdr>
        <w:top w:val="none" w:sz="0" w:space="0" w:color="auto"/>
        <w:left w:val="none" w:sz="0" w:space="0" w:color="auto"/>
        <w:bottom w:val="none" w:sz="0" w:space="0" w:color="auto"/>
        <w:right w:val="none" w:sz="0" w:space="0" w:color="auto"/>
      </w:divBdr>
    </w:div>
    <w:div w:id="1109544719">
      <w:bodyDiv w:val="1"/>
      <w:marLeft w:val="0"/>
      <w:marRight w:val="0"/>
      <w:marTop w:val="0"/>
      <w:marBottom w:val="0"/>
      <w:divBdr>
        <w:top w:val="none" w:sz="0" w:space="0" w:color="auto"/>
        <w:left w:val="none" w:sz="0" w:space="0" w:color="auto"/>
        <w:bottom w:val="none" w:sz="0" w:space="0" w:color="auto"/>
        <w:right w:val="none" w:sz="0" w:space="0" w:color="auto"/>
      </w:divBdr>
    </w:div>
    <w:div w:id="1125079202">
      <w:bodyDiv w:val="1"/>
      <w:marLeft w:val="0"/>
      <w:marRight w:val="0"/>
      <w:marTop w:val="0"/>
      <w:marBottom w:val="0"/>
      <w:divBdr>
        <w:top w:val="none" w:sz="0" w:space="0" w:color="auto"/>
        <w:left w:val="none" w:sz="0" w:space="0" w:color="auto"/>
        <w:bottom w:val="none" w:sz="0" w:space="0" w:color="auto"/>
        <w:right w:val="none" w:sz="0" w:space="0" w:color="auto"/>
      </w:divBdr>
      <w:divsChild>
        <w:div w:id="991830871">
          <w:marLeft w:val="960"/>
          <w:marRight w:val="0"/>
          <w:marTop w:val="0"/>
          <w:marBottom w:val="0"/>
          <w:divBdr>
            <w:top w:val="none" w:sz="0" w:space="0" w:color="auto"/>
            <w:left w:val="none" w:sz="0" w:space="0" w:color="auto"/>
            <w:bottom w:val="none" w:sz="0" w:space="0" w:color="auto"/>
            <w:right w:val="none" w:sz="0" w:space="0" w:color="auto"/>
          </w:divBdr>
        </w:div>
      </w:divsChild>
    </w:div>
    <w:div w:id="1275289471">
      <w:bodyDiv w:val="1"/>
      <w:marLeft w:val="0"/>
      <w:marRight w:val="0"/>
      <w:marTop w:val="0"/>
      <w:marBottom w:val="0"/>
      <w:divBdr>
        <w:top w:val="none" w:sz="0" w:space="0" w:color="auto"/>
        <w:left w:val="none" w:sz="0" w:space="0" w:color="auto"/>
        <w:bottom w:val="none" w:sz="0" w:space="0" w:color="auto"/>
        <w:right w:val="none" w:sz="0" w:space="0" w:color="auto"/>
      </w:divBdr>
    </w:div>
    <w:div w:id="1290353425">
      <w:bodyDiv w:val="1"/>
      <w:marLeft w:val="0"/>
      <w:marRight w:val="0"/>
      <w:marTop w:val="0"/>
      <w:marBottom w:val="0"/>
      <w:divBdr>
        <w:top w:val="none" w:sz="0" w:space="0" w:color="auto"/>
        <w:left w:val="none" w:sz="0" w:space="0" w:color="auto"/>
        <w:bottom w:val="none" w:sz="0" w:space="0" w:color="auto"/>
        <w:right w:val="none" w:sz="0" w:space="0" w:color="auto"/>
      </w:divBdr>
    </w:div>
    <w:div w:id="1372992746">
      <w:bodyDiv w:val="1"/>
      <w:marLeft w:val="0"/>
      <w:marRight w:val="0"/>
      <w:marTop w:val="0"/>
      <w:marBottom w:val="0"/>
      <w:divBdr>
        <w:top w:val="none" w:sz="0" w:space="0" w:color="auto"/>
        <w:left w:val="none" w:sz="0" w:space="0" w:color="auto"/>
        <w:bottom w:val="none" w:sz="0" w:space="0" w:color="auto"/>
        <w:right w:val="none" w:sz="0" w:space="0" w:color="auto"/>
      </w:divBdr>
    </w:div>
    <w:div w:id="1401051334">
      <w:bodyDiv w:val="1"/>
      <w:marLeft w:val="0"/>
      <w:marRight w:val="0"/>
      <w:marTop w:val="0"/>
      <w:marBottom w:val="0"/>
      <w:divBdr>
        <w:top w:val="none" w:sz="0" w:space="0" w:color="auto"/>
        <w:left w:val="none" w:sz="0" w:space="0" w:color="auto"/>
        <w:bottom w:val="none" w:sz="0" w:space="0" w:color="auto"/>
        <w:right w:val="none" w:sz="0" w:space="0" w:color="auto"/>
      </w:divBdr>
    </w:div>
    <w:div w:id="1406223972">
      <w:bodyDiv w:val="1"/>
      <w:marLeft w:val="0"/>
      <w:marRight w:val="0"/>
      <w:marTop w:val="0"/>
      <w:marBottom w:val="0"/>
      <w:divBdr>
        <w:top w:val="none" w:sz="0" w:space="0" w:color="auto"/>
        <w:left w:val="none" w:sz="0" w:space="0" w:color="auto"/>
        <w:bottom w:val="none" w:sz="0" w:space="0" w:color="auto"/>
        <w:right w:val="none" w:sz="0" w:space="0" w:color="auto"/>
      </w:divBdr>
    </w:div>
    <w:div w:id="1458833751">
      <w:bodyDiv w:val="1"/>
      <w:marLeft w:val="0"/>
      <w:marRight w:val="0"/>
      <w:marTop w:val="0"/>
      <w:marBottom w:val="0"/>
      <w:divBdr>
        <w:top w:val="none" w:sz="0" w:space="0" w:color="auto"/>
        <w:left w:val="none" w:sz="0" w:space="0" w:color="auto"/>
        <w:bottom w:val="none" w:sz="0" w:space="0" w:color="auto"/>
        <w:right w:val="none" w:sz="0" w:space="0" w:color="auto"/>
      </w:divBdr>
    </w:div>
    <w:div w:id="1609774588">
      <w:bodyDiv w:val="1"/>
      <w:marLeft w:val="0"/>
      <w:marRight w:val="0"/>
      <w:marTop w:val="0"/>
      <w:marBottom w:val="0"/>
      <w:divBdr>
        <w:top w:val="none" w:sz="0" w:space="0" w:color="auto"/>
        <w:left w:val="none" w:sz="0" w:space="0" w:color="auto"/>
        <w:bottom w:val="none" w:sz="0" w:space="0" w:color="auto"/>
        <w:right w:val="none" w:sz="0" w:space="0" w:color="auto"/>
      </w:divBdr>
    </w:div>
    <w:div w:id="1663243223">
      <w:bodyDiv w:val="1"/>
      <w:marLeft w:val="0"/>
      <w:marRight w:val="0"/>
      <w:marTop w:val="0"/>
      <w:marBottom w:val="0"/>
      <w:divBdr>
        <w:top w:val="none" w:sz="0" w:space="0" w:color="auto"/>
        <w:left w:val="none" w:sz="0" w:space="0" w:color="auto"/>
        <w:bottom w:val="none" w:sz="0" w:space="0" w:color="auto"/>
        <w:right w:val="none" w:sz="0" w:space="0" w:color="auto"/>
      </w:divBdr>
    </w:div>
    <w:div w:id="1775593929">
      <w:bodyDiv w:val="1"/>
      <w:marLeft w:val="0"/>
      <w:marRight w:val="0"/>
      <w:marTop w:val="0"/>
      <w:marBottom w:val="0"/>
      <w:divBdr>
        <w:top w:val="none" w:sz="0" w:space="0" w:color="auto"/>
        <w:left w:val="none" w:sz="0" w:space="0" w:color="auto"/>
        <w:bottom w:val="none" w:sz="0" w:space="0" w:color="auto"/>
        <w:right w:val="none" w:sz="0" w:space="0" w:color="auto"/>
      </w:divBdr>
    </w:div>
    <w:div w:id="1845507851">
      <w:bodyDiv w:val="1"/>
      <w:marLeft w:val="0"/>
      <w:marRight w:val="0"/>
      <w:marTop w:val="0"/>
      <w:marBottom w:val="0"/>
      <w:divBdr>
        <w:top w:val="none" w:sz="0" w:space="0" w:color="auto"/>
        <w:left w:val="none" w:sz="0" w:space="0" w:color="auto"/>
        <w:bottom w:val="none" w:sz="0" w:space="0" w:color="auto"/>
        <w:right w:val="none" w:sz="0" w:space="0" w:color="auto"/>
      </w:divBdr>
    </w:div>
    <w:div w:id="1933313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nni.burt@thisinstitute.cam.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xmlns:b="http://schemas.openxmlformats.org/officeDocument/2006/bibliography" xmlns="http://schemas.openxmlformats.org/officeDocument/2006/bibliography">
    <b:Tag>dummy</b:Tag>
    <b:RefOrder>2</b:RefOrder>
  </b:Source>
  <b:Source>
    <b:Tag>Aut18</b:Tag>
    <b:SourceType>Book</b:SourceType>
    <b:Guid>{18C4CBC7-5955-4500-BE17-042C82C5DF26}</b:Guid>
    <b:Author>
      <b:Author>
        <b:NameList>
          <b:Person>
            <b:Last>Author</b:Last>
          </b:Person>
        </b:NameList>
      </b:Author>
    </b:Author>
    <b:Title>Title</b:Title>
    <b:Year>2018</b:Year>
    <b:City>City</b:City>
    <b:Publisher>Publisher</b:Publisher>
    <b:Edition>2</b:Edition>
    <b:RefOrder>1</b:RefOrder>
  </b:Source>
</b:Sources>
</file>

<file path=customXml/itemProps1.xml><?xml version="1.0" encoding="utf-8"?>
<ds:datastoreItem xmlns:ds="http://schemas.openxmlformats.org/officeDocument/2006/customXml" ds:itemID="{B4D82B44-C4B3-4440-BFB7-40DF9139B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20</Pages>
  <Words>6491</Words>
  <Characters>37003</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43408</CharactersWithSpaces>
  <SharedDoc>false</SharedDoc>
  <HLinks>
    <vt:vector size="24" baseType="variant">
      <vt:variant>
        <vt:i4>6750304</vt:i4>
      </vt:variant>
      <vt:variant>
        <vt:i4>9</vt:i4>
      </vt:variant>
      <vt:variant>
        <vt:i4>0</vt:i4>
      </vt:variant>
      <vt:variant>
        <vt:i4>5</vt:i4>
      </vt:variant>
      <vt:variant>
        <vt:lpwstr>https://lra.le.ac.uk/bitstream/2381/36582/2/169074 Authorship Principles booklet online.pdf</vt:lpwstr>
      </vt:variant>
      <vt:variant>
        <vt:lpwstr/>
      </vt:variant>
      <vt:variant>
        <vt:i4>2293792</vt:i4>
      </vt:variant>
      <vt:variant>
        <vt:i4>6</vt:i4>
      </vt:variant>
      <vt:variant>
        <vt:i4>0</vt:i4>
      </vt:variant>
      <vt:variant>
        <vt:i4>5</vt:i4>
      </vt:variant>
      <vt:variant>
        <vt:lpwstr>https://casrai.org/credit/</vt:lpwstr>
      </vt:variant>
      <vt:variant>
        <vt:lpwstr/>
      </vt:variant>
      <vt:variant>
        <vt:i4>655398</vt:i4>
      </vt:variant>
      <vt:variant>
        <vt:i4>3</vt:i4>
      </vt:variant>
      <vt:variant>
        <vt:i4>0</vt:i4>
      </vt:variant>
      <vt:variant>
        <vt:i4>5</vt:i4>
      </vt:variant>
      <vt:variant>
        <vt:lpwstr>\\me-filer1.medschl.cam.ac.uk\groups3$\Hi Group Drive\PUBLICATIONS\Tools for writing publications\Authorship grid for papers_v1_2018-11-23.docx</vt:lpwstr>
      </vt:variant>
      <vt:variant>
        <vt:lpwstr/>
      </vt:variant>
      <vt:variant>
        <vt:i4>7143459</vt:i4>
      </vt:variant>
      <vt:variant>
        <vt:i4>0</vt:i4>
      </vt:variant>
      <vt:variant>
        <vt:i4>0</vt:i4>
      </vt:variant>
      <vt:variant>
        <vt:i4>5</vt:i4>
      </vt:variant>
      <vt:variant>
        <vt:lpwstr>http://www.icmje.org/recommendations/browse/roles-and-responsibilities/author-responsibilities--conflicts-of-interest.html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Katrina Brown</dc:creator>
  <cp:keywords/>
  <dc:description/>
  <cp:lastModifiedBy>Karolina Kuberska</cp:lastModifiedBy>
  <cp:revision>7</cp:revision>
  <cp:lastPrinted>2020-06-16T07:38:00Z</cp:lastPrinted>
  <dcterms:created xsi:type="dcterms:W3CDTF">2020-10-02T06:51:00Z</dcterms:created>
  <dcterms:modified xsi:type="dcterms:W3CDTF">2020-10-02T10:44:00Z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http://www.zotero.org/styles/vancouver</vt:lpwstr>
  </property>
  <property fmtid="{D5CDD505-2E9C-101B-9397-08002B2CF9AE}" pid="17" name="Mendeley Recent Style Name 7_1">
    <vt:lpwstr>Vancouver</vt:lpwstr>
  </property>
  <property fmtid="{D5CDD505-2E9C-101B-9397-08002B2CF9AE}" pid="18" name="Mendeley Recent Style Id 8_1">
    <vt:lpwstr>http://csl.mendeley.com/styles/10508861/vancouver-longname</vt:lpwstr>
  </property>
  <property fmtid="{D5CDD505-2E9C-101B-9397-08002B2CF9AE}" pid="19" name="Mendeley Recent Style Name 8_1">
    <vt:lpwstr>Vancouver - Karolina Kuberska, PhD</vt:lpwstr>
  </property>
  <property fmtid="{D5CDD505-2E9C-101B-9397-08002B2CF9AE}" pid="20" name="Mendeley Recent Style Id 9_1">
    <vt:lpwstr>http://csl.mendeley.com/styles/10508861/vancouver-superscript</vt:lpwstr>
  </property>
  <property fmtid="{D5CDD505-2E9C-101B-9397-08002B2CF9AE}" pid="21" name="Mendeley Recent Style Name 9_1">
    <vt:lpwstr>Vancouver - superscript</vt:lpwstr>
  </property>
  <property fmtid="{D5CDD505-2E9C-101B-9397-08002B2CF9AE}" pid="22" name="ZOTERO_PREF_1">
    <vt:lpwstr>&lt;data data-version="3" zotero-version="5.0.89"&gt;&lt;session id="dAh4871X"/&gt;&lt;style id="http://www.zotero.org/styles/vancouver" locale="en-GB" hasBibliography="1" bibliographyStyleHasBeenSet="1"/&gt;&lt;prefs&gt;&lt;pref name="fieldType" value="Field"/&gt;&lt;pref name="automati</vt:lpwstr>
  </property>
  <property fmtid="{D5CDD505-2E9C-101B-9397-08002B2CF9AE}" pid="23" name="ZOTERO_PREF_2">
    <vt:lpwstr>cJournalAbbreviations" value="true"/&gt;&lt;/prefs&gt;&lt;/data&gt;</vt:lpwstr>
  </property>
</Properties>
</file>