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648927" w14:textId="58056757" w:rsidR="00A95F07" w:rsidRPr="0070559E" w:rsidRDefault="005D367A" w:rsidP="0070559E">
      <w:pPr>
        <w:spacing w:line="480" w:lineRule="auto"/>
        <w:jc w:val="center"/>
        <w:rPr>
          <w:i/>
        </w:rPr>
      </w:pPr>
      <w:r w:rsidRPr="0070559E">
        <w:rPr>
          <w:i/>
        </w:rPr>
        <w:t>The phenomenological given and the hermeneutic exchange: which holds priority?</w:t>
      </w:r>
    </w:p>
    <w:p w14:paraId="17EE8B64" w14:textId="77777777" w:rsidR="00A95F07" w:rsidRPr="0070559E" w:rsidRDefault="00A95F07" w:rsidP="0070559E">
      <w:pPr>
        <w:spacing w:line="480" w:lineRule="auto"/>
        <w:jc w:val="center"/>
      </w:pPr>
    </w:p>
    <w:p w14:paraId="625A5124" w14:textId="3DE7B86E" w:rsidR="005D367A" w:rsidRPr="0070559E" w:rsidRDefault="005D367A" w:rsidP="0070559E">
      <w:pPr>
        <w:spacing w:line="480" w:lineRule="auto"/>
        <w:jc w:val="center"/>
      </w:pPr>
      <w:r w:rsidRPr="0070559E">
        <w:t>Catherine Pickstock</w:t>
      </w:r>
    </w:p>
    <w:p w14:paraId="3ED7E595" w14:textId="77777777" w:rsidR="005D367A" w:rsidRPr="0070559E" w:rsidRDefault="005D367A" w:rsidP="0070559E">
      <w:pPr>
        <w:spacing w:line="480" w:lineRule="auto"/>
        <w:jc w:val="both"/>
      </w:pPr>
    </w:p>
    <w:p w14:paraId="733D4C28" w14:textId="3AF02828" w:rsidR="003F61A5" w:rsidRPr="003F61A5" w:rsidRDefault="003F61A5" w:rsidP="003F61A5">
      <w:pPr>
        <w:jc w:val="both"/>
        <w:rPr>
          <w:i/>
        </w:rPr>
      </w:pPr>
      <w:r w:rsidRPr="003F61A5">
        <w:rPr>
          <w:i/>
        </w:rPr>
        <w:t>Abstract</w:t>
      </w:r>
    </w:p>
    <w:p w14:paraId="385F12CA" w14:textId="17AFD97C" w:rsidR="003F61A5" w:rsidRPr="0070559E" w:rsidRDefault="003F61A5" w:rsidP="003F61A5">
      <w:pPr>
        <w:jc w:val="both"/>
      </w:pPr>
      <w:r w:rsidRPr="0070559E">
        <w:t>It has been argued that Jean-Luc Marion’s phenomenological mode, according to which phenomenology is the exhaustive content of a rigorous philosophy, is vulnerable to the criticism that no reality is given prior to signification and interpretation.</w:t>
      </w:r>
      <w:r w:rsidRPr="0070559E">
        <w:t xml:space="preserve"> </w:t>
      </w:r>
      <w:r w:rsidRPr="0070559E">
        <w:t xml:space="preserve">This </w:t>
      </w:r>
      <w:r>
        <w:t>is the</w:t>
      </w:r>
      <w:r w:rsidRPr="0070559E">
        <w:t xml:space="preserve"> </w:t>
      </w:r>
      <w:r>
        <w:t>hypo</w:t>
      </w:r>
      <w:r w:rsidRPr="0070559E">
        <w:t xml:space="preserve">thesis that phenomenology is a moment within a more fundamental hermeneutic process, rather than </w:t>
      </w:r>
      <w:r w:rsidRPr="0070559E">
        <w:rPr>
          <w:i/>
        </w:rPr>
        <w:t>vice versa</w:t>
      </w:r>
      <w:r w:rsidRPr="0070559E">
        <w:t>.</w:t>
      </w:r>
      <w:r>
        <w:t xml:space="preserve"> </w:t>
      </w:r>
      <w:r w:rsidRPr="0070559E">
        <w:t xml:space="preserve">However, this </w:t>
      </w:r>
      <w:r>
        <w:t>hypothesis</w:t>
      </w:r>
      <w:r w:rsidRPr="0070559E">
        <w:t xml:space="preserve">, together with the argument that phenomenology falls prey to ‘the myth of the given’, have been subjected to a critique by Marion himself, in </w:t>
      </w:r>
      <w:r>
        <w:t>his</w:t>
      </w:r>
      <w:r w:rsidRPr="0070559E">
        <w:t xml:space="preserve"> essay</w:t>
      </w:r>
      <w:r>
        <w:t xml:space="preserve">, </w:t>
      </w:r>
      <w:r w:rsidRPr="0070559E">
        <w:t>‘La Donation en son Herméneutique’</w:t>
      </w:r>
      <w:r>
        <w:t xml:space="preserve"> (2016),</w:t>
      </w:r>
      <w:r w:rsidRPr="0070559E">
        <w:t xml:space="preserve"> which throws light on his whole project. In this essay, I argue that </w:t>
      </w:r>
      <w:r>
        <w:t>Marion’s position is problematic</w:t>
      </w:r>
      <w:r w:rsidRPr="0070559E">
        <w:t>, though many of his points are persuasive. I will claim that, for this reason, he hovers on the brink of a position that would undo his own attempted critique of metaphysics.</w:t>
      </w:r>
    </w:p>
    <w:p w14:paraId="51A34216" w14:textId="77777777" w:rsidR="003F61A5" w:rsidRDefault="003F61A5" w:rsidP="0070559E">
      <w:pPr>
        <w:spacing w:line="480" w:lineRule="auto"/>
        <w:jc w:val="both"/>
      </w:pPr>
    </w:p>
    <w:p w14:paraId="119F7CC4" w14:textId="1CB13720" w:rsidR="003F61A5" w:rsidRPr="00163450" w:rsidRDefault="00163450" w:rsidP="00163450">
      <w:pPr>
        <w:jc w:val="both"/>
        <w:rPr>
          <w:i/>
        </w:rPr>
      </w:pPr>
      <w:r w:rsidRPr="00163450">
        <w:rPr>
          <w:i/>
        </w:rPr>
        <w:t>Keywords</w:t>
      </w:r>
    </w:p>
    <w:p w14:paraId="33AA8C20" w14:textId="28D38684" w:rsidR="00163450" w:rsidRDefault="00163450" w:rsidP="00163450">
      <w:pPr>
        <w:jc w:val="both"/>
      </w:pPr>
      <w:r>
        <w:t xml:space="preserve">Jean-Luc Marion. Phenomenology. Hermeneutics. The gift. The given. </w:t>
      </w:r>
    </w:p>
    <w:p w14:paraId="197B392A" w14:textId="77777777" w:rsidR="00163450" w:rsidRDefault="00163450" w:rsidP="00163450">
      <w:pPr>
        <w:jc w:val="both"/>
      </w:pPr>
    </w:p>
    <w:p w14:paraId="274CD05C" w14:textId="77777777" w:rsidR="00163450" w:rsidRDefault="00163450" w:rsidP="00163450">
      <w:pPr>
        <w:jc w:val="both"/>
      </w:pPr>
    </w:p>
    <w:p w14:paraId="2E8223C6" w14:textId="77777777" w:rsidR="003F61A5" w:rsidRDefault="003F61A5" w:rsidP="0070559E">
      <w:pPr>
        <w:spacing w:line="480" w:lineRule="auto"/>
        <w:jc w:val="both"/>
      </w:pPr>
    </w:p>
    <w:p w14:paraId="35663639" w14:textId="52B50259" w:rsidR="00A95F07" w:rsidRPr="0070559E" w:rsidRDefault="00A95F07" w:rsidP="0070559E">
      <w:pPr>
        <w:spacing w:line="480" w:lineRule="auto"/>
        <w:jc w:val="both"/>
      </w:pPr>
      <w:r w:rsidRPr="0070559E">
        <w:t>It has been argued that Jean-Luc Marion’s phenomenological mode, according to which phenomenology is the exhaustive content of a rigorous philosophy, is vulnerable to the criticism that no reality is given prior to signification and interpretation.</w:t>
      </w:r>
      <w:r w:rsidRPr="0070559E">
        <w:rPr>
          <w:vertAlign w:val="superscript"/>
        </w:rPr>
        <w:footnoteReference w:id="1"/>
      </w:r>
      <w:r w:rsidRPr="0070559E">
        <w:t xml:space="preserve"> This </w:t>
      </w:r>
      <w:r w:rsidR="00C8496B">
        <w:t>is the</w:t>
      </w:r>
      <w:r w:rsidRPr="0070559E">
        <w:t xml:space="preserve"> </w:t>
      </w:r>
      <w:r w:rsidR="00C8496B">
        <w:t>hypo</w:t>
      </w:r>
      <w:r w:rsidRPr="0070559E">
        <w:t xml:space="preserve">thesis that </w:t>
      </w:r>
      <w:r w:rsidRPr="0070559E">
        <w:lastRenderedPageBreak/>
        <w:t xml:space="preserve">phenomenology is a moment within a more fundamental hermeneutic process, rather than </w:t>
      </w:r>
      <w:r w:rsidRPr="0070559E">
        <w:rPr>
          <w:i/>
        </w:rPr>
        <w:t>vice versa</w:t>
      </w:r>
      <w:r w:rsidRPr="0070559E">
        <w:t>.</w:t>
      </w:r>
    </w:p>
    <w:p w14:paraId="2D3AF9B5" w14:textId="05D9B478" w:rsidR="00A95F07" w:rsidRPr="0070559E" w:rsidRDefault="00A95F07" w:rsidP="0070559E">
      <w:pPr>
        <w:spacing w:line="480" w:lineRule="auto"/>
        <w:jc w:val="both"/>
      </w:pPr>
      <w:r w:rsidRPr="0070559E">
        <w:tab/>
        <w:t xml:space="preserve">However, this </w:t>
      </w:r>
      <w:r w:rsidR="00C8496B">
        <w:t>hypothesis</w:t>
      </w:r>
      <w:r w:rsidRPr="0070559E">
        <w:t xml:space="preserve">, together with the argument that phenomenology falls prey to ‘the myth of the given’, have been subjected to a subtle and sophisticated critique by Marion himself, in </w:t>
      </w:r>
      <w:r w:rsidR="00E91151">
        <w:t>his</w:t>
      </w:r>
      <w:r w:rsidRPr="0070559E">
        <w:t xml:space="preserve"> essay</w:t>
      </w:r>
      <w:r w:rsidR="00E91151">
        <w:t xml:space="preserve">, </w:t>
      </w:r>
      <w:r w:rsidR="00E91151" w:rsidRPr="0070559E">
        <w:t>‘La Donation en son Herméneutique’</w:t>
      </w:r>
      <w:r w:rsidR="00E91151">
        <w:t xml:space="preserve"> (2016),</w:t>
      </w:r>
      <w:r w:rsidRPr="0070559E">
        <w:t xml:space="preserve"> which throws light on his whole project.</w:t>
      </w:r>
      <w:r w:rsidRPr="0070559E">
        <w:rPr>
          <w:vertAlign w:val="superscript"/>
        </w:rPr>
        <w:footnoteReference w:id="2"/>
      </w:r>
      <w:r w:rsidRPr="0070559E">
        <w:t xml:space="preserve"> In </w:t>
      </w:r>
      <w:r w:rsidR="005D367A" w:rsidRPr="0070559E">
        <w:t>this essay</w:t>
      </w:r>
      <w:r w:rsidRPr="0070559E">
        <w:t xml:space="preserve">, I will argue that </w:t>
      </w:r>
      <w:r w:rsidR="00E91151">
        <w:t>Marion’s position is problematic</w:t>
      </w:r>
      <w:r w:rsidRPr="0070559E">
        <w:t>, though many of his points are persuasive. I will claim that, for this reason, he hovers on the brink of a position that would undo his own attempted critique of metaphysics.</w:t>
      </w:r>
    </w:p>
    <w:p w14:paraId="4A8A55CB" w14:textId="38D710C4" w:rsidR="00A95F07" w:rsidRPr="0070559E" w:rsidRDefault="00A95F07" w:rsidP="0070559E">
      <w:pPr>
        <w:spacing w:line="480" w:lineRule="auto"/>
        <w:jc w:val="both"/>
      </w:pPr>
      <w:r w:rsidRPr="0070559E">
        <w:tab/>
      </w:r>
      <w:r w:rsidR="0001203C">
        <w:t xml:space="preserve">For </w:t>
      </w:r>
      <w:r w:rsidRPr="0070559E">
        <w:t>Marion</w:t>
      </w:r>
      <w:r w:rsidR="0001203C">
        <w:t>,</w:t>
      </w:r>
      <w:r w:rsidRPr="0070559E">
        <w:t xml:space="preserve"> the phenomenological </w:t>
      </w:r>
      <w:r w:rsidRPr="0070559E">
        <w:rPr>
          <w:i/>
        </w:rPr>
        <w:t xml:space="preserve">donnée, </w:t>
      </w:r>
      <w:r w:rsidRPr="0070559E">
        <w:t xml:space="preserve">or ‘given’, is not to be cast in the same position as the ‘given’ that is criticised by </w:t>
      </w:r>
      <w:r w:rsidR="005D367A" w:rsidRPr="0070559E">
        <w:t xml:space="preserve">W. V. O. </w:t>
      </w:r>
      <w:r w:rsidRPr="0070559E">
        <w:t xml:space="preserve">Quine. For the latter concerns a form of mute and of itself meaningless evidence, ineluctably presented to </w:t>
      </w:r>
      <w:r w:rsidR="00C8496B">
        <w:t>the onlooker</w:t>
      </w:r>
      <w:r w:rsidRPr="0070559E">
        <w:t>. As Marion suggests, the paradigmatic case in mind here is that of Jo</w:t>
      </w:r>
      <w:r w:rsidR="00C8496B">
        <w:t>hn Locke, rather than Descartes,</w:t>
      </w:r>
      <w:r w:rsidRPr="0070559E">
        <w:t xml:space="preserve"> </w:t>
      </w:r>
      <w:r w:rsidR="00C8496B">
        <w:t>who i</w:t>
      </w:r>
      <w:r w:rsidRPr="0070559E">
        <w:t>n contrast to the usual readings, did not have a simplistic notion of material things as impinging on the mind from without.</w:t>
      </w:r>
      <w:r w:rsidRPr="0070559E">
        <w:rPr>
          <w:vertAlign w:val="superscript"/>
        </w:rPr>
        <w:footnoteReference w:id="3"/>
      </w:r>
      <w:r w:rsidRPr="0070559E">
        <w:t xml:space="preserve"> For </w:t>
      </w:r>
      <w:r w:rsidR="005D367A" w:rsidRPr="0070559E">
        <w:t xml:space="preserve">John </w:t>
      </w:r>
      <w:r w:rsidRPr="0070559E">
        <w:t>Locke, a fundamental ‘idea’ refers ambivalently to sensations, seen as mediating evidence of the real world, or to the unmediated presence of a mental equivalent of such sensation, within an interior, purely mental space.</w:t>
      </w:r>
      <w:r w:rsidRPr="0070559E">
        <w:rPr>
          <w:vertAlign w:val="superscript"/>
        </w:rPr>
        <w:footnoteReference w:id="4"/>
      </w:r>
      <w:r w:rsidRPr="0070559E">
        <w:t xml:space="preserve"> In both cases – and somewhat in anticipation of </w:t>
      </w:r>
      <w:r w:rsidR="005D367A" w:rsidRPr="0070559E">
        <w:t xml:space="preserve">Immanuel </w:t>
      </w:r>
      <w:r w:rsidRPr="0070559E">
        <w:t xml:space="preserve">Kant – the meaningful and rational processing of things comes, as it were, from the side of the mind of the subject. However, in the case of phenomenological donation, which occurs within an interior mental space, with external reality not refused but in parenthesis, or ‘bracketed out’, the first things intuited and intended are neither ‘sense data’, nor their putative atomic mental traces. Rather, these are known through a subsequent reflection. A young child, for </w:t>
      </w:r>
      <w:r w:rsidR="005D367A" w:rsidRPr="0070559E">
        <w:t xml:space="preserve">example, may recognise ‘a </w:t>
      </w:r>
      <w:r w:rsidR="00C8496B">
        <w:t>rabbit’</w:t>
      </w:r>
      <w:r w:rsidRPr="0070559E">
        <w:t xml:space="preserve">, and not initially its separate components or parts. Indeed, one might add here that it is for this reason that, having seen one </w:t>
      </w:r>
      <w:r w:rsidR="00C8496B">
        <w:t>rabbit</w:t>
      </w:r>
      <w:r w:rsidRPr="0070559E">
        <w:t xml:space="preserve">, the child readily and spontaneously recognises other </w:t>
      </w:r>
      <w:r w:rsidR="00C8496B">
        <w:t>rabbits</w:t>
      </w:r>
      <w:r w:rsidRPr="0070559E">
        <w:t xml:space="preserve"> also: her first seeing of a kind of ‘concrete universal’ resists a metaphysical or epistemological nominalism which is naturally allied with the myth that one’s knowledge builds up from isolated particulars.</w:t>
      </w:r>
      <w:r w:rsidRPr="0070559E">
        <w:rPr>
          <w:vertAlign w:val="superscript"/>
        </w:rPr>
        <w:footnoteReference w:id="5"/>
      </w:r>
      <w:r w:rsidRPr="0070559E">
        <w:t xml:space="preserve"> </w:t>
      </w:r>
    </w:p>
    <w:p w14:paraId="019A7F47" w14:textId="58750274" w:rsidR="0001203C" w:rsidRDefault="00A95F07" w:rsidP="0070559E">
      <w:pPr>
        <w:spacing w:line="480" w:lineRule="auto"/>
        <w:jc w:val="both"/>
      </w:pPr>
      <w:r w:rsidRPr="0070559E">
        <w:tab/>
        <w:t xml:space="preserve">In this fashion, the ‘given’ of phenomenology is holistic in character; it possesses both intuited content and a meaning which can be grasped by an intentional process. This process knows that it has ‘reached a conclusion’ when it arrives at a deeper intuition. It is because of this that Marion does not think that the interpretative process escapes the original horizon projected by the given phenomenon. The phenomenon does not give itself all at once, in one blast, since it may contain various degrees of richness of implication which take </w:t>
      </w:r>
      <w:r w:rsidR="00C8496B">
        <w:t xml:space="preserve">their </w:t>
      </w:r>
      <w:r w:rsidRPr="0070559E">
        <w:t xml:space="preserve">time to </w:t>
      </w:r>
      <w:r w:rsidR="009D2CD8" w:rsidRPr="0070559E">
        <w:t>show themselves</w:t>
      </w:r>
      <w:r w:rsidRPr="0070559E">
        <w:t xml:space="preserve">. It is also because the phenonenon’s real intuited givenness can be brought within the intentional space of absolute ‘Cartesian’ certainty, as for </w:t>
      </w:r>
      <w:r w:rsidR="009D2CD8" w:rsidRPr="0070559E">
        <w:t xml:space="preserve">Edmund </w:t>
      </w:r>
      <w:r w:rsidRPr="0070559E">
        <w:t xml:space="preserve">Husserl, and not a penumbra of hazy uncertainty of the external, natural world, if it is subject to ‘reduction’ to the pure structural conditions of the mode in which it is given to one. This ‘immediacy’ nonetheless requires the ‘mediation’ of a potentially long and complex phenomenological analysis if it is to become apparent. </w:t>
      </w:r>
    </w:p>
    <w:p w14:paraId="7688B068" w14:textId="1F117A32" w:rsidR="00A95F07" w:rsidRPr="0070559E" w:rsidRDefault="00A95F07" w:rsidP="0070559E">
      <w:pPr>
        <w:spacing w:line="480" w:lineRule="auto"/>
        <w:jc w:val="both"/>
      </w:pPr>
      <w:r w:rsidRPr="0070559E">
        <w:tab/>
        <w:t>Because of the holistic nature of the phenomenon, according to which the meaning of an appearance is wholly given to one, but the meaningfulness of a complex appearance is not manifest in one go, but only eventually so, Marion declares that phenomenology grants an essential place to hermeneutics.</w:t>
      </w:r>
      <w:r w:rsidRPr="0070559E">
        <w:rPr>
          <w:vertAlign w:val="superscript"/>
        </w:rPr>
        <w:footnoteReference w:id="6"/>
      </w:r>
      <w:r w:rsidRPr="0070559E">
        <w:t xml:space="preserve"> By contrast, a sensation, or internal idea of a sensation, because it is unambiguous, does not call for interpretation. Rather, it can be unambiguously represented by a mysteriously ‘unmediated’ mental representation, or mirroring equivalent. Likewise, Marion argues that in the social realm, a contract or an exchange, which he views as necessarily a measurable transaction, does not demand interpretation, because it seeks to state, and to establish an univocal equivalence of </w:t>
      </w:r>
      <w:r w:rsidRPr="0070559E">
        <w:rPr>
          <w:i/>
        </w:rPr>
        <w:t>X</w:t>
      </w:r>
      <w:r w:rsidRPr="0070559E">
        <w:t xml:space="preserve"> for </w:t>
      </w:r>
      <w:r w:rsidRPr="0070559E">
        <w:rPr>
          <w:i/>
        </w:rPr>
        <w:t>Y</w:t>
      </w:r>
      <w:r w:rsidRPr="0070559E">
        <w:t>, about which there can be no argument.</w:t>
      </w:r>
      <w:r w:rsidRPr="0070559E">
        <w:rPr>
          <w:vertAlign w:val="superscript"/>
        </w:rPr>
        <w:footnoteReference w:id="7"/>
      </w:r>
      <w:r w:rsidRPr="0070559E">
        <w:t xml:space="preserve"> It is rather the issue of the gift which provokes interpretation, and the question that arises is whether such and such is a gift or not, and if so, a gift of </w:t>
      </w:r>
      <w:r w:rsidR="00AF3C65" w:rsidRPr="0070559E">
        <w:t>which</w:t>
      </w:r>
      <w:r w:rsidRPr="0070559E">
        <w:t xml:space="preserve"> kind? Yet Marion does not pursue the possibility that a transaction as between euros and </w:t>
      </w:r>
      <w:r w:rsidR="00AF3C65" w:rsidRPr="0070559E">
        <w:t xml:space="preserve">French </w:t>
      </w:r>
      <w:r w:rsidRPr="0070559E">
        <w:rPr>
          <w:i/>
        </w:rPr>
        <w:t>miel</w:t>
      </w:r>
      <w:r w:rsidRPr="0070559E">
        <w:t xml:space="preserve"> might involve a call and response hermeneutic, a bartering: what is the true value of the </w:t>
      </w:r>
      <w:r w:rsidRPr="0070559E">
        <w:rPr>
          <w:i/>
        </w:rPr>
        <w:t>miel</w:t>
      </w:r>
      <w:r w:rsidRPr="0070559E">
        <w:t>? What are the respective needs of buyer and seller which may inflect the transaction?</w:t>
      </w:r>
    </w:p>
    <w:p w14:paraId="74E47173" w14:textId="77777777" w:rsidR="00A95F07" w:rsidRPr="0070559E" w:rsidRDefault="00A95F07" w:rsidP="0070559E">
      <w:pPr>
        <w:spacing w:line="480" w:lineRule="auto"/>
        <w:jc w:val="both"/>
      </w:pPr>
      <w:r w:rsidRPr="0070559E">
        <w:tab/>
        <w:t xml:space="preserve">However, by insisting on the give-and-take of the interpretative process as unavoidable, Marion is forced, at several points in his essay on phenomenology and hermeneutics, explicitly to adopt the metaphor of ‘reciprocity’. The given thing poses a question to which one must give a response. Indeed, for Marion, unless one gives an interpretative response, nothing is apparent in the first place, no gift arrives. </w:t>
      </w:r>
    </w:p>
    <w:p w14:paraId="7AE149BA" w14:textId="1BEC0112" w:rsidR="00A95F07" w:rsidRPr="0070559E" w:rsidRDefault="00A95F07" w:rsidP="0070559E">
      <w:pPr>
        <w:spacing w:line="480" w:lineRule="auto"/>
        <w:jc w:val="both"/>
      </w:pPr>
      <w:r w:rsidRPr="0070559E">
        <w:tab/>
        <w:t>It is in this context that Marion endorses Hans-Georg Gadamer’s Platonically dialectical account of hermeneutics as an endless process of question and answer, which extends through time as the ‘fusion of horizons’.</w:t>
      </w:r>
      <w:r w:rsidRPr="0070559E">
        <w:rPr>
          <w:vertAlign w:val="superscript"/>
        </w:rPr>
        <w:footnoteReference w:id="8"/>
      </w:r>
      <w:r w:rsidRPr="0070559E">
        <w:t xml:space="preserve"> One does not, as a living historical person, confront the past as if it were a distant object which one </w:t>
      </w:r>
      <w:r w:rsidR="00AF3C65" w:rsidRPr="0070559E">
        <w:t>might</w:t>
      </w:r>
      <w:r w:rsidRPr="0070559E">
        <w:t xml:space="preserve"> survey afar off, or in the manner of a naïve antiquarian who neglects her own historicity as being the precondition for the historiographical task.  Rather, the past initially, and continuously, arrives as a gift to which one must respond, if one is to live a human existence at all. </w:t>
      </w:r>
    </w:p>
    <w:p w14:paraId="2FD655A3" w14:textId="784DEBA0" w:rsidR="00A95F07" w:rsidRPr="0070559E" w:rsidRDefault="00A95F07" w:rsidP="0070559E">
      <w:pPr>
        <w:spacing w:line="480" w:lineRule="auto"/>
        <w:jc w:val="both"/>
      </w:pPr>
      <w:r w:rsidRPr="0070559E">
        <w:tab/>
        <w:t xml:space="preserve">In this way, Marion accepts </w:t>
      </w:r>
      <w:r w:rsidR="00AF3C65" w:rsidRPr="0070559E">
        <w:t xml:space="preserve">Hans-Georg </w:t>
      </w:r>
      <w:r w:rsidRPr="0070559E">
        <w:t xml:space="preserve">Gadamer’s inversion of </w:t>
      </w:r>
      <w:r w:rsidR="00AF3C65" w:rsidRPr="0070559E">
        <w:t xml:space="preserve">Friedrich </w:t>
      </w:r>
      <w:r w:rsidRPr="0070559E">
        <w:t xml:space="preserve">Schleiermacher: hermeneutics is not primarily a matter of a technique for reading earlier sources, but rather of the way in which those sources constitute and question the reader and interpreter. At the same time, Marion accepts that a ‘reciprocity’ is involved here: one’s answers to the call of the past arise from one’s </w:t>
      </w:r>
      <w:r w:rsidR="00AF3C65" w:rsidRPr="0070559E">
        <w:t>always</w:t>
      </w:r>
      <w:r w:rsidRPr="0070559E">
        <w:t xml:space="preserve"> different present situation, and he cites Gadamer to the effect that to imagine a past existence is to imagine oneself as one is now, constituted by the intervening years, within that past existence. </w:t>
      </w:r>
    </w:p>
    <w:p w14:paraId="4CA02BCD" w14:textId="77777777" w:rsidR="00A95F07" w:rsidRPr="0070559E" w:rsidRDefault="00A95F07" w:rsidP="0070559E">
      <w:pPr>
        <w:spacing w:line="480" w:lineRule="auto"/>
        <w:jc w:val="both"/>
      </w:pPr>
      <w:r w:rsidRPr="0070559E">
        <w:tab/>
        <w:t xml:space="preserve">But given this metaphoric presentation, and this affirmation, how does Marion cleave to the over-determining primacy of donation at the outset and at the terminus? However holistic this given is declared by him to be, it nonetheless constitutes a foundation as something which the later cognitive construction cannot escape, and which seems – whatever it is – to arrive in a sort of isolation, within its own relatively self-sufficient totality. In consequence, the interpretative work of construction is for Marion a kind of ‘building’ in mental space, rather than a fluid kinship or connecting up within shared human time which might involve a speculative excess over the passively ‘granted’. </w:t>
      </w:r>
    </w:p>
    <w:p w14:paraId="37BD2C4B" w14:textId="47F1DCB7" w:rsidR="00A95F07" w:rsidRPr="0070559E" w:rsidRDefault="00A95F07" w:rsidP="0070559E">
      <w:pPr>
        <w:spacing w:line="480" w:lineRule="auto"/>
        <w:jc w:val="both"/>
      </w:pPr>
      <w:r w:rsidRPr="0070559E">
        <w:tab/>
        <w:t xml:space="preserve">If there is a ‘fusion of horizons’ and a primacy to the process of tradition, for Gadamer, does the dipolar character of a dialectic through history not prevent a monism of an ultimately decisive and constraining donation? If what is given is endlessly connected backwards in a </w:t>
      </w:r>
      <w:r w:rsidR="00C8496B">
        <w:t xml:space="preserve">particular </w:t>
      </w:r>
      <w:r w:rsidRPr="0070559E">
        <w:t xml:space="preserve">time, which also projects forwards a certain characterised and yet open future, then one’s thought speculatively construes an always somewhat missing origin and ultimate import of tradition, in order to receive something relatively discrete in the first place? </w:t>
      </w:r>
    </w:p>
    <w:p w14:paraId="6F590466" w14:textId="77777777" w:rsidR="00A95F07" w:rsidRPr="0070559E" w:rsidRDefault="00A95F07" w:rsidP="0070559E">
      <w:pPr>
        <w:spacing w:line="480" w:lineRule="auto"/>
        <w:jc w:val="both"/>
      </w:pPr>
      <w:r w:rsidRPr="0070559E">
        <w:tab/>
        <w:t xml:space="preserve">Interestingly, Marion insists upon the primacy of donation, and so of the containment of hermeneutics within phenomenology, in two apparently opposing ways, although he does not himself draw attention to this. He presents them as lying on the objective side of the thing given, </w:t>
      </w:r>
      <w:r w:rsidRPr="0070559E">
        <w:rPr>
          <w:i/>
        </w:rPr>
        <w:t>la</w:t>
      </w:r>
      <w:r w:rsidRPr="0070559E">
        <w:t xml:space="preserve"> </w:t>
      </w:r>
      <w:r w:rsidRPr="0070559E">
        <w:rPr>
          <w:i/>
        </w:rPr>
        <w:t xml:space="preserve">donnée, </w:t>
      </w:r>
      <w:r w:rsidRPr="0070559E">
        <w:t xml:space="preserve">and at the same time, on the subjective side of the interpreter, </w:t>
      </w:r>
      <w:r w:rsidRPr="0070559E">
        <w:rPr>
          <w:i/>
        </w:rPr>
        <w:t>l’adonné</w:t>
      </w:r>
      <w:r w:rsidRPr="0070559E">
        <w:t>.</w:t>
      </w:r>
      <w:r w:rsidRPr="0070559E">
        <w:rPr>
          <w:vertAlign w:val="superscript"/>
        </w:rPr>
        <w:footnoteReference w:id="9"/>
      </w:r>
      <w:r w:rsidRPr="0070559E">
        <w:t xml:space="preserve"> </w:t>
      </w:r>
    </w:p>
    <w:p w14:paraId="450A9E03" w14:textId="77777777" w:rsidR="00A95F07" w:rsidRPr="0070559E" w:rsidRDefault="00A95F07" w:rsidP="0070559E">
      <w:pPr>
        <w:spacing w:line="480" w:lineRule="auto"/>
        <w:jc w:val="both"/>
      </w:pPr>
      <w:r w:rsidRPr="0070559E">
        <w:tab/>
        <w:t xml:space="preserve">Marion’s initial gambit is to insist, apparently after Gadamer, that the interpreter is a passive figure, revealing and unfolding what has been originally presented to him, though with no immediate obviousness. Otherwise, Marion suggests, interpretation is willed imposition, which for him would characterise political ideology, regarded as an always reprehensible and superficial endeavour to change the way things are, rather than to comprehend them. The true interpreter is in no way an author, and the new things she reveals in the original given – text, picture, phenomenon in general – were in a deep sense present all the while. </w:t>
      </w:r>
    </w:p>
    <w:p w14:paraId="435CB4BA" w14:textId="75CCA039" w:rsidR="00A95F07" w:rsidRPr="0070559E" w:rsidRDefault="00A95F07" w:rsidP="0070559E">
      <w:pPr>
        <w:spacing w:line="480" w:lineRule="auto"/>
        <w:jc w:val="both"/>
      </w:pPr>
      <w:r w:rsidRPr="0070559E">
        <w:tab/>
        <w:t xml:space="preserve">One might question the fealty to Gadamer here: did </w:t>
      </w:r>
      <w:r w:rsidR="00C8496B">
        <w:t>Gadamer</w:t>
      </w:r>
      <w:r w:rsidRPr="0070559E">
        <w:t xml:space="preserve"> privilege the truth of the ‘original’ in such a way? Might such a privileging have seemed for him </w:t>
      </w:r>
      <w:r w:rsidR="00C8496B">
        <w:t xml:space="preserve">to be </w:t>
      </w:r>
      <w:r w:rsidRPr="0070559E">
        <w:t>too close to Schleiermacher’s more technical scholarly concerns?</w:t>
      </w:r>
      <w:r w:rsidRPr="0070559E">
        <w:rPr>
          <w:vertAlign w:val="superscript"/>
        </w:rPr>
        <w:footnoteReference w:id="10"/>
      </w:r>
      <w:r w:rsidRPr="0070559E">
        <w:t xml:space="preserve"> And does this privileging not appear to regard the horizons as fused through the collapse of the later horizon into the earlier one? For Gadamer, by contrast, what was primary was neither the given past, nor a future projection, but the to-and-fro between them which he took to constitute the process of tradition. His difficult ‘criterion’ for truth, his (anti-)method for finding this criterion in </w:t>
      </w:r>
      <w:r w:rsidRPr="0070559E">
        <w:rPr>
          <w:i/>
        </w:rPr>
        <w:t xml:space="preserve">Truth and Method, </w:t>
      </w:r>
      <w:r w:rsidRPr="0070559E">
        <w:t xml:space="preserve">is an ongoing fealty to an unfinished cultural legacy. It is the speculatively and interpretatively judged call of the teleological future, as much as the more constraining, if still open call of the past. </w:t>
      </w:r>
    </w:p>
    <w:p w14:paraId="568E2307" w14:textId="00C41563" w:rsidR="00A95F07" w:rsidRPr="0070559E" w:rsidRDefault="00A95F07" w:rsidP="0070559E">
      <w:pPr>
        <w:spacing w:line="480" w:lineRule="auto"/>
        <w:jc w:val="both"/>
      </w:pPr>
      <w:r w:rsidRPr="0070559E">
        <w:tab/>
        <w:t>Marion’s unease with reciprocity, to which he must adhere, given his view that it always reduces gift to contract, causes him to lean towards the uni</w:t>
      </w:r>
      <w:r w:rsidR="006D0BEF" w:rsidRPr="0070559E">
        <w:t>-</w:t>
      </w:r>
      <w:r w:rsidRPr="0070559E">
        <w:t xml:space="preserve">polarity of an original donation, however slowly emergent to view it may be. Yet this is tantamount to closing down the spiritual freedom of the interpretative act, which is allowed to ‘add’ nothing to the original. Such an addition need not be arbitrary if it is guided, in Pauline terms, both by the ‘spirit’ of the original, and by what is best in the ‘spirit’ of future times, which have sometimes followed on from it in anticipation of a </w:t>
      </w:r>
      <w:r w:rsidRPr="0070559E">
        <w:rPr>
          <w:i/>
        </w:rPr>
        <w:t xml:space="preserve">telos </w:t>
      </w:r>
      <w:r w:rsidRPr="0070559E">
        <w:t>which has not yet been arrived at. This becomes, beyond the purview of Gadamer, a Kierkegaardian ‘non-identical repetition’ of the original, a further writing of the text, and not merely an external commentary, just as the narratives of the New Testament are also a reading of the Old, for all their active innovation.</w:t>
      </w:r>
      <w:r w:rsidRPr="0070559E">
        <w:rPr>
          <w:vertAlign w:val="superscript"/>
        </w:rPr>
        <w:footnoteReference w:id="11"/>
      </w:r>
      <w:r w:rsidRPr="0070559E">
        <w:t xml:space="preserve"> </w:t>
      </w:r>
    </w:p>
    <w:p w14:paraId="25E2AD1E" w14:textId="2F1900E6" w:rsidR="00A95F07" w:rsidRPr="0070559E" w:rsidRDefault="00A95F07" w:rsidP="0070559E">
      <w:pPr>
        <w:spacing w:line="480" w:lineRule="auto"/>
        <w:jc w:val="both"/>
      </w:pPr>
      <w:r w:rsidRPr="0070559E">
        <w:tab/>
        <w:t xml:space="preserve">However, Marion’s main strategy, in his attempt to confine hermeneutics within phenomenology, seems to be the very opposite of his initial strategy. This is not surprising in view of his understanding of what constitutes the typical phenomenon. It is not for him, as for Husserl, </w:t>
      </w:r>
      <w:r w:rsidR="00A40324" w:rsidRPr="0070559E">
        <w:t xml:space="preserve">Maurice </w:t>
      </w:r>
      <w:r w:rsidRPr="0070559E">
        <w:t>Merleau-Ponty, Gaston Bachelard and other phenomenological practitioners, something concretely detailed, and at least specifically unique. It cannot for Marion be this, because such a phenomenon is reducible to an element which falls under one’s objective gaze, and so, given his hypertrophic suspicion of vision, shared by many late twentieth-century French thinkers,</w:t>
      </w:r>
      <w:r w:rsidRPr="0070559E">
        <w:rPr>
          <w:vertAlign w:val="superscript"/>
        </w:rPr>
        <w:footnoteReference w:id="12"/>
      </w:r>
      <w:r w:rsidRPr="0070559E">
        <w:t xml:space="preserve"> becomes reducible to a manipulable object which is merely, in Heideggeran terms, </w:t>
      </w:r>
      <w:r w:rsidRPr="0070559E">
        <w:rPr>
          <w:i/>
        </w:rPr>
        <w:t>vorhanden</w:t>
      </w:r>
      <w:r w:rsidRPr="0070559E">
        <w:t xml:space="preserve">, and not engagedly – as with a garden rake, or a stage costume – </w:t>
      </w:r>
      <w:r w:rsidRPr="0070559E">
        <w:rPr>
          <w:i/>
        </w:rPr>
        <w:t>zuhanden.</w:t>
      </w:r>
      <w:r w:rsidRPr="0070559E">
        <w:rPr>
          <w:i/>
          <w:vertAlign w:val="superscript"/>
        </w:rPr>
        <w:footnoteReference w:id="13"/>
      </w:r>
      <w:r w:rsidRPr="0070559E">
        <w:rPr>
          <w:i/>
        </w:rPr>
        <w:t xml:space="preserve"> </w:t>
      </w:r>
      <w:r w:rsidRPr="0070559E">
        <w:t xml:space="preserve">These things are, for Marion, only minimally donated, because their alterity has been suppressed by one’s appropriating vision. As such, these things are reflective and secondary objects, indeed, </w:t>
      </w:r>
      <w:r w:rsidRPr="0070559E">
        <w:rPr>
          <w:i/>
        </w:rPr>
        <w:t xml:space="preserve">insufficiently reduced, </w:t>
      </w:r>
      <w:r w:rsidRPr="0070559E">
        <w:t xml:space="preserve">because they are not taken back into their primary, and always overriding and governing human accessibility. But then, as insufficiently reduced, it follows, for a Husserlian logic, that they lapse into the condition of things perceived merely within the natural attitude, and even a restrictive, reflective scope of that attitude – this being, for Husserl, the space in which natural science exclusively operates. </w:t>
      </w:r>
    </w:p>
    <w:p w14:paraId="04182F1E" w14:textId="0F11BC48" w:rsidR="00A95F07" w:rsidRPr="0070559E" w:rsidRDefault="00A95F07" w:rsidP="0070559E">
      <w:pPr>
        <w:spacing w:line="480" w:lineRule="auto"/>
        <w:jc w:val="both"/>
      </w:pPr>
      <w:r w:rsidRPr="0070559E">
        <w:tab/>
      </w:r>
      <w:r w:rsidR="004F432A">
        <w:t>H</w:t>
      </w:r>
      <w:r w:rsidRPr="0070559E">
        <w:t xml:space="preserve">owever, </w:t>
      </w:r>
      <w:r w:rsidR="004F432A">
        <w:t xml:space="preserve">Marion </w:t>
      </w:r>
      <w:r w:rsidRPr="0070559E">
        <w:t xml:space="preserve">allows the details of everyday useful and aesthetic objects that are </w:t>
      </w:r>
      <w:r w:rsidRPr="0070559E">
        <w:rPr>
          <w:i/>
        </w:rPr>
        <w:t xml:space="preserve">zuhanden, </w:t>
      </w:r>
      <w:r w:rsidRPr="0070559E">
        <w:t xml:space="preserve">to lapse into objectivity and nature, because the reciprocity between the human being and the </w:t>
      </w:r>
      <w:r w:rsidR="004F432A">
        <w:t xml:space="preserve">tool, for him, </w:t>
      </w:r>
      <w:r w:rsidRPr="0070559E">
        <w:t xml:space="preserve">forbids their intimacy from being disclosive of ultimate donative arrival. Meanwhile, he does not regard those things which are </w:t>
      </w:r>
      <w:r w:rsidRPr="0070559E">
        <w:rPr>
          <w:i/>
        </w:rPr>
        <w:t>vorhanden</w:t>
      </w:r>
      <w:r w:rsidRPr="0070559E">
        <w:t xml:space="preserve"> to attain to such reciprocal interaction, because he cannot countenance that one’s gazing at things is equally their acti</w:t>
      </w:r>
      <w:r w:rsidR="004F432A">
        <w:t>ve return gaze. For Marion, these things</w:t>
      </w:r>
      <w:r w:rsidRPr="0070559E">
        <w:t xml:space="preserve"> are inertly situated within space, and are not as such reducible to the formally dynamic conditions of their self-donation. Those things which are </w:t>
      </w:r>
      <w:r w:rsidRPr="0070559E">
        <w:rPr>
          <w:i/>
        </w:rPr>
        <w:t xml:space="preserve">zuhanden </w:t>
      </w:r>
      <w:r w:rsidRPr="0070559E">
        <w:t xml:space="preserve">more actively announce and pre-enable their usability by one, but by virtue of restricting their nature to what one can make of it, and thereby ‘contractually’ occluding their own pure, unilateral self-arrival which is apparent, and really emergent only for a parenthetical or bracketed reduction. </w:t>
      </w:r>
    </w:p>
    <w:p w14:paraId="2ED455DC" w14:textId="3670C0F1" w:rsidR="00A95F07" w:rsidRPr="0070559E" w:rsidRDefault="00A95F07" w:rsidP="0070559E">
      <w:pPr>
        <w:spacing w:line="480" w:lineRule="auto"/>
        <w:jc w:val="both"/>
      </w:pPr>
      <w:r w:rsidRPr="0070559E">
        <w:tab/>
        <w:t>Marion presents a threefold typology of phenomena: there are (1) those things which are weak in intuition, such as an intended abstraction; (2) those of ‘common right’, such as most everyday encountered things; and (3) those phenomena which are ‘saturated’ in intuition, such as a sublime landscape or vertical cliff-edge, which overwhelm one’s senses, and exceed one’s concepts.</w:t>
      </w:r>
      <w:r w:rsidRPr="0070559E">
        <w:rPr>
          <w:vertAlign w:val="superscript"/>
        </w:rPr>
        <w:footnoteReference w:id="14"/>
      </w:r>
      <w:r w:rsidRPr="0070559E">
        <w:t xml:space="preserve"> However, the degree of strength and typicality of phenomenality runs from the last of these to the first, with many degrees of overlap in the middle. Yet in the case of his ‘first defence’ as to why hermeneutics is contained within phenomenology, Marion seems to be invoking cases in which it seems plausible to attribute any novelty of interpretation to the original phenomenon because of its concrete, detailed complexity. So, for example, in relation to a drama such as </w:t>
      </w:r>
      <w:r w:rsidRPr="0070559E">
        <w:rPr>
          <w:i/>
        </w:rPr>
        <w:t xml:space="preserve">Hamlet, </w:t>
      </w:r>
      <w:r w:rsidRPr="0070559E">
        <w:t xml:space="preserve">in response to a new insight or interpretation of the play, an individual might observe, ‘I had never noticed this aspect of the play before, but of course it was there all along’. On this model, it is the richness of the ‘intended’ – whether authorially or not – meanings in the original phenomenon which invites further acts of understanding. This can be true even of the most ‘finished’ meaning that is offered to one, for example, by John Locke or Jeremy Bentham: it turns out to have new but consistent possible applications. </w:t>
      </w:r>
    </w:p>
    <w:p w14:paraId="22EEA919" w14:textId="4DD9643E" w:rsidR="00A95F07" w:rsidRPr="0070559E" w:rsidRDefault="00A95F07" w:rsidP="0070559E">
      <w:pPr>
        <w:spacing w:line="480" w:lineRule="auto"/>
        <w:jc w:val="both"/>
      </w:pPr>
      <w:r w:rsidRPr="0070559E">
        <w:tab/>
        <w:t xml:space="preserve">But when Marion considers his ‘second defence’, which, it is soon apparent, is for him the primary one, he asserts the opposite view. The need for interpretation does not arise because what is given is so clearly intuited that it presents one with elaborated concepts, at least </w:t>
      </w:r>
      <w:r w:rsidRPr="0070559E">
        <w:rPr>
          <w:i/>
        </w:rPr>
        <w:t>in nuce</w:t>
      </w:r>
      <w:r w:rsidRPr="0070559E">
        <w:t xml:space="preserve">, as in the case of a painting by Nicolas Poussin or a tragedy by Pierre Corneille. But rather, it arises when what is presented to one is uncertain and ‘saturated’, in such a way that the intuited factor overwhelms the conceptual. According to this model, hermeneutics is seemingly needed in order to </w:t>
      </w:r>
      <w:r w:rsidR="004F432A">
        <w:t>compensate</w:t>
      </w:r>
      <w:r w:rsidRPr="0070559E">
        <w:t xml:space="preserve"> for a deficiency in the original, and </w:t>
      </w:r>
      <w:r w:rsidRPr="0070559E">
        <w:rPr>
          <w:i/>
        </w:rPr>
        <w:t>not</w:t>
      </w:r>
      <w:r w:rsidRPr="0070559E">
        <w:t xml:space="preserve">, as for the first model, an ever more adequately plenitudinous response to what is already characterised as plenteous. </w:t>
      </w:r>
    </w:p>
    <w:p w14:paraId="38D9E532" w14:textId="77777777" w:rsidR="00A95F07" w:rsidRPr="0070559E" w:rsidRDefault="00A95F07" w:rsidP="0070559E">
      <w:pPr>
        <w:spacing w:line="480" w:lineRule="auto"/>
        <w:jc w:val="both"/>
      </w:pPr>
      <w:r w:rsidRPr="0070559E">
        <w:tab/>
        <w:t xml:space="preserve">It seems that Marion faces a difficulty in distinguishing the second sort of response which ‘fills a gap’, from the mode of pure ‘ideological’ decisionism which he has already denounced. In asserting the primacy of the given, he seems to have swung from the objective to the subjective pole of defence. But he has done this because his paradigm for the reduced object is the emptiest one, the least possessable by the recipient, the most sustaining of its own alterity. This object is naturally none other than the ‘other subject’, the (trans)personal voice addressing one, and calling one into subjectivity as the condition of possibility for one’s awareness of phenomena in general. But even this other subject must be as vague, distant and non-appearing as possible, so as to prevent one from ‘objectifying’ it, and preventing its gift-character from being pure, or sullying it, as it will be contaminated by the recipient’s own processes of recognition. In consequence, the primary and typical phenomenon is, for Marion, something abstract and blinding, almost invisible and certainly anonymous. The necessary ‘identifying’ of what is given falls to the hermeneutic task after all. But how can this amount to more than guesswork, or indeed, arbitrary imposition, enticement, manipulation or control of the other? </w:t>
      </w:r>
    </w:p>
    <w:p w14:paraId="1A3A8316" w14:textId="77777777" w:rsidR="00A95F07" w:rsidRPr="0070559E" w:rsidRDefault="00A95F07" w:rsidP="0070559E">
      <w:pPr>
        <w:spacing w:line="480" w:lineRule="auto"/>
        <w:jc w:val="both"/>
      </w:pPr>
      <w:r w:rsidRPr="0070559E">
        <w:tab/>
        <w:t xml:space="preserve">Marion’s response to this problem concerns the primacy of the hermeneutic of </w:t>
      </w:r>
      <w:r w:rsidRPr="0070559E">
        <w:rPr>
          <w:i/>
        </w:rPr>
        <w:t xml:space="preserve">Dasein </w:t>
      </w:r>
      <w:r w:rsidRPr="0070559E">
        <w:t xml:space="preserve">for Heidegger. Interpretation is subordinate to understanding, and not </w:t>
      </w:r>
      <w:r w:rsidRPr="0070559E">
        <w:rPr>
          <w:i/>
        </w:rPr>
        <w:t>vice versa</w:t>
      </w:r>
      <w:r w:rsidRPr="0070559E">
        <w:t xml:space="preserve">, because it is instigated by one’s existential situation of perplexity within being. One must interpret this open situation which is one that gives priority to possibility. One’s acts of interpretation are not arbitrary within this transcendental horizon, which is the guarantee of one’s authenticity – of one’s grasping one’s need to take a primordial stance, and of relating all of one’s decisions ultimately to this stance. Everything must be situated within the </w:t>
      </w:r>
      <w:r w:rsidRPr="0070559E">
        <w:rPr>
          <w:i/>
        </w:rPr>
        <w:t xml:space="preserve">vue </w:t>
      </w:r>
      <w:r w:rsidRPr="0070559E">
        <w:t xml:space="preserve">that one takes, beyond things in a landscape, to the distant horizon into which one projects oneself, rather than the locating </w:t>
      </w:r>
      <w:r w:rsidRPr="0070559E">
        <w:rPr>
          <w:i/>
        </w:rPr>
        <w:t xml:space="preserve">vision </w:t>
      </w:r>
      <w:r w:rsidRPr="0070559E">
        <w:t>of these specific things, as Marion says, citing Stéphane Mallarmé, but essentially invoking Kant’s link of the aesthetic sublime with moral self-awareness.</w:t>
      </w:r>
      <w:r w:rsidRPr="0070559E">
        <w:rPr>
          <w:vertAlign w:val="superscript"/>
        </w:rPr>
        <w:footnoteReference w:id="15"/>
      </w:r>
      <w:r w:rsidRPr="0070559E">
        <w:t xml:space="preserve">  </w:t>
      </w:r>
    </w:p>
    <w:p w14:paraId="51C3A740" w14:textId="77777777" w:rsidR="00A95F07" w:rsidRPr="0070559E" w:rsidRDefault="00A95F07" w:rsidP="0070559E">
      <w:pPr>
        <w:spacing w:line="480" w:lineRule="auto"/>
        <w:jc w:val="both"/>
      </w:pPr>
      <w:r w:rsidRPr="0070559E">
        <w:tab/>
        <w:t>One might want to suggest that Marion has here passed to Gadamer’s other horizon, to that of the recipient of the gift in the future. But any further future projection would seem to be suppressed by the transcendental permanence of the human condition, whose significance is seen as always trumping any achieved human novelties in any age, or indeed, it would seem, any specific revelations that human beings may have been granted.</w:t>
      </w:r>
    </w:p>
    <w:p w14:paraId="59F42E4C" w14:textId="77777777" w:rsidR="00A95F07" w:rsidRPr="0070559E" w:rsidRDefault="00A95F07" w:rsidP="0070559E">
      <w:pPr>
        <w:spacing w:line="480" w:lineRule="auto"/>
        <w:jc w:val="both"/>
      </w:pPr>
      <w:r w:rsidRPr="0070559E">
        <w:tab/>
        <w:t xml:space="preserve">It follows that this mode of constraint on interpretation, according to Marion’s ‘second defence’, would seem to be somewhat thin. Heidegger’s allowance of hermeneutics within phenomenology is minimal, and is controlled in such a way that its subordination to understanding means subordination to phenomenological reduction, which operates for Heidegger at the transcendental margins of the phenomenological exercise. It is at these margins where, for Heidegger, in contrast to Husserl, the arch-phenomena of </w:t>
      </w:r>
      <w:r w:rsidRPr="0070559E">
        <w:rPr>
          <w:i/>
        </w:rPr>
        <w:t xml:space="preserve">being </w:t>
      </w:r>
      <w:r w:rsidRPr="0070559E">
        <w:t xml:space="preserve">and </w:t>
      </w:r>
      <w:r w:rsidRPr="0070559E">
        <w:rPr>
          <w:i/>
        </w:rPr>
        <w:t>Dasein</w:t>
      </w:r>
      <w:r w:rsidRPr="0070559E">
        <w:t xml:space="preserve"> are taken to be directly disclosive of reality. Heidegger regards the human situation as one of questionableness, hypostasising this by regarding such questionableness itself – which arises from the human confinement to being as temporal, and the expectation of death – as the only possible answer, and as the overriding transcendental framework for any other truth claims, which perforce cancels their specificity as confined by ontic contingency. His frame for hermeneutics is also his one dogmatic hermeneutic answer.</w:t>
      </w:r>
      <w:r w:rsidRPr="0070559E">
        <w:rPr>
          <w:vertAlign w:val="superscript"/>
        </w:rPr>
        <w:footnoteReference w:id="16"/>
      </w:r>
      <w:r w:rsidRPr="0070559E">
        <w:t xml:space="preserve"> </w:t>
      </w:r>
    </w:p>
    <w:p w14:paraId="07A0F09B" w14:textId="77777777" w:rsidR="00A95F07" w:rsidRPr="0070559E" w:rsidRDefault="00A95F07" w:rsidP="0070559E">
      <w:pPr>
        <w:spacing w:line="480" w:lineRule="auto"/>
        <w:jc w:val="both"/>
      </w:pPr>
      <w:r w:rsidRPr="0070559E">
        <w:tab/>
        <w:t xml:space="preserve">Heidegger hereby asserts the ‘thrownness’ of </w:t>
      </w:r>
      <w:r w:rsidRPr="0070559E">
        <w:rPr>
          <w:i/>
        </w:rPr>
        <w:t>Dasein</w:t>
      </w:r>
      <w:r w:rsidRPr="0070559E">
        <w:t>, not just as the ineluctable truth for one, but also as the starting point for truthful enquiries, even though this is itself an ‘interpretation’ of reality which assumes one’s cognitive confinement by this starting point, or the – still Kantian and transcendental – inescapability of one’s confinement to what appears to one. He also asserts what is an interpretation of one’s existential condition as though it were an objective phenomenology, by hypostasising the questionability of Being as the inherent ontological emptiness of Being, alongside its becoming ‘something’ and thereby occluding itself in the epochs of the temporal event.</w:t>
      </w:r>
      <w:r w:rsidRPr="0070559E">
        <w:rPr>
          <w:vertAlign w:val="superscript"/>
        </w:rPr>
        <w:footnoteReference w:id="17"/>
      </w:r>
      <w:r w:rsidRPr="0070559E">
        <w:t xml:space="preserve"> </w:t>
      </w:r>
    </w:p>
    <w:p w14:paraId="443B195D" w14:textId="77777777" w:rsidR="00A95F07" w:rsidRPr="0070559E" w:rsidRDefault="00A95F07" w:rsidP="0070559E">
      <w:pPr>
        <w:spacing w:line="480" w:lineRule="auto"/>
        <w:jc w:val="both"/>
      </w:pPr>
      <w:r w:rsidRPr="0070559E">
        <w:tab/>
        <w:t xml:space="preserve">When one has seen that this assertion itself remains at the hermeneutic level, it becomes apparent that there is no uncontroversial way to isolate the boundaries of phenomenological appearing, and no way of determining whether one is confined to the mere knowledge of appearances and so to phenomenology.  If the bounds of appearing, and so the preconditions of appearing, can only ever be interpreted, then one has always already speculated, one has willy-nilly entered the metaphysical, in defiance of phenomenological protocols. </w:t>
      </w:r>
    </w:p>
    <w:p w14:paraId="2A48E153" w14:textId="025702A2" w:rsidR="00A95F07" w:rsidRPr="0070559E" w:rsidRDefault="00A95F07" w:rsidP="0070559E">
      <w:pPr>
        <w:spacing w:line="480" w:lineRule="auto"/>
        <w:jc w:val="both"/>
      </w:pPr>
      <w:r w:rsidRPr="0070559E">
        <w:tab/>
        <w:t xml:space="preserve">It follows that the hermeneutic constraint of authenticity to the transcendental condition of </w:t>
      </w:r>
      <w:r w:rsidRPr="0070559E">
        <w:rPr>
          <w:i/>
        </w:rPr>
        <w:t>Dasein</w:t>
      </w:r>
      <w:r w:rsidRPr="0070559E">
        <w:t xml:space="preserve"> confines one to an arid revolution in which nothing can be said, inside an hollow sphere. Alternatively, it seems to allow one to say and to do absolutely everything. In this context, Marion, according to his own wording, distinguishes a painting of striped colours by Mark Rothko from a striped flag, merely according to different intentionalities; it is as if, in the context of an art gallery, a flag could become an artwork by Rothko, or </w:t>
      </w:r>
      <w:r w:rsidR="004F432A">
        <w:t xml:space="preserve">in an alternative context, </w:t>
      </w:r>
      <w:r w:rsidRPr="0070559E">
        <w:t>a Rothko artwork might become the adopted flag of a new, purified republic.</w:t>
      </w:r>
      <w:r w:rsidRPr="0070559E">
        <w:rPr>
          <w:vertAlign w:val="superscript"/>
        </w:rPr>
        <w:footnoteReference w:id="18"/>
      </w:r>
      <w:r w:rsidRPr="0070559E">
        <w:t xml:space="preserve"> But there is a subtle and </w:t>
      </w:r>
      <w:r w:rsidRPr="0070559E">
        <w:rPr>
          <w:i/>
        </w:rPr>
        <w:t>given</w:t>
      </w:r>
      <w:r w:rsidRPr="0070559E">
        <w:t xml:space="preserve"> difference from a flag within the character of a Rothko painting itself, despite its extreme abstraction. And at the point where an ordinary object becomes a work of art, just by </w:t>
      </w:r>
      <w:r w:rsidRPr="0070559E">
        <w:rPr>
          <w:i/>
        </w:rPr>
        <w:t>diktat</w:t>
      </w:r>
      <w:r w:rsidRPr="0070559E">
        <w:t xml:space="preserve">, of which there are many modernist examples, either the artistry lies in the purposive irony, or one needs to </w:t>
      </w:r>
      <w:r w:rsidR="004F432A">
        <w:t>conclude</w:t>
      </w:r>
      <w:r w:rsidRPr="0070559E">
        <w:t xml:space="preserve"> that this is not art whose communication of itself is inseparable from skill and practically applied judgement. In a similar manner, Marion seems to suggest that the difference between a sound or a scent in a quotidian context, on the one hand, and an aesthetic or erotic context, on the other, is a matter of subjective interpretation.</w:t>
      </w:r>
      <w:r w:rsidRPr="0070559E">
        <w:rPr>
          <w:vertAlign w:val="superscript"/>
        </w:rPr>
        <w:footnoteReference w:id="19"/>
      </w:r>
      <w:r w:rsidRPr="0070559E">
        <w:t xml:space="preserve"> Yet this is not the case, as otherwise, the arts of the composer, the perfume-distiller and the vintner, for example, would be redundant. </w:t>
      </w:r>
    </w:p>
    <w:p w14:paraId="48F8ED24" w14:textId="77777777" w:rsidR="00A95F07" w:rsidRPr="0070559E" w:rsidRDefault="00A95F07" w:rsidP="0070559E">
      <w:pPr>
        <w:spacing w:line="480" w:lineRule="auto"/>
        <w:jc w:val="both"/>
      </w:pPr>
      <w:r w:rsidRPr="0070559E">
        <w:tab/>
        <w:t>Marion appears at first to emphasise the objective, given side, but then to confine the most authentic given to the vaguest examples, so demanding that the conceptual labour be undertaken by the subject, whose apparent constraint is a reaffirmation of the very precondition of one’s subjectivity in existential puzzlement.</w:t>
      </w:r>
    </w:p>
    <w:p w14:paraId="10AE5C91" w14:textId="25831323" w:rsidR="00A95F07" w:rsidRPr="0070559E" w:rsidRDefault="00A95F07" w:rsidP="0070559E">
      <w:pPr>
        <w:spacing w:line="480" w:lineRule="auto"/>
        <w:jc w:val="both"/>
      </w:pPr>
      <w:r w:rsidRPr="0070559E">
        <w:tab/>
        <w:t xml:space="preserve">This circumstance casts doubt upon the coherence of </w:t>
      </w:r>
      <w:r w:rsidR="004F432A">
        <w:t>Marion’s</w:t>
      </w:r>
      <w:r w:rsidRPr="0070559E">
        <w:t xml:space="preserve"> notion of a saturated phenomenon.</w:t>
      </w:r>
      <w:r w:rsidRPr="0070559E">
        <w:rPr>
          <w:vertAlign w:val="superscript"/>
        </w:rPr>
        <w:footnoteReference w:id="20"/>
      </w:r>
      <w:r w:rsidRPr="0070559E">
        <w:t xml:space="preserve"> He affirms that it is infinitely rich in meanings to come, and yet, if these meanings are to be supplied by the subjective interpreter in lieu of sufficient clues from the side of the phenomenon, there is no sense in which this conceptuality is originally given. Were Marion true to the idea that the given is unlike the analytic ‘mythical’ given, because it is holistically as much conceptual as intuitive, he should not merely reverse the Kantian excess of concept over intuition, which is inherently bound to the dualist structure of the myth of the given, and so retains this dualism through and despite the reversal. Rather, he might in addition affirm that a saturation of intuition is equally and ‘to begin with’ a saturation of the conceptual.</w:t>
      </w:r>
      <w:r w:rsidRPr="0070559E">
        <w:rPr>
          <w:vertAlign w:val="superscript"/>
        </w:rPr>
        <w:footnoteReference w:id="21"/>
      </w:r>
      <w:r w:rsidRPr="0070559E">
        <w:t xml:space="preserve"> This would align the sublime with the Biblical glory of the excessively beautiful, in such a way that one is not primordially faced with a blank sky, or a blank canvas or a blank anything, but with an overwhelming luminosity which continually illuminates and shows itself, albeit partially, in visible objects. </w:t>
      </w:r>
    </w:p>
    <w:p w14:paraId="0C21DC07" w14:textId="77777777" w:rsidR="00A95F07" w:rsidRPr="0070559E" w:rsidRDefault="00A95F07" w:rsidP="0070559E">
      <w:pPr>
        <w:spacing w:line="480" w:lineRule="auto"/>
        <w:jc w:val="both"/>
      </w:pPr>
      <w:r w:rsidRPr="0070559E">
        <w:tab/>
        <w:t>It is this Catholic path of analogy to which Marion seems resistant.</w:t>
      </w:r>
      <w:r w:rsidRPr="0070559E">
        <w:rPr>
          <w:vertAlign w:val="superscript"/>
        </w:rPr>
        <w:footnoteReference w:id="22"/>
      </w:r>
      <w:r w:rsidRPr="0070559E">
        <w:t xml:space="preserve"> At times, he comes close to expressing an analogical framework, such as when he notes that the genius does not simply resist the onslaught of the saturated gift, but puts up a screen which more successfully captures it.</w:t>
      </w:r>
      <w:r w:rsidRPr="0070559E">
        <w:rPr>
          <w:vertAlign w:val="superscript"/>
        </w:rPr>
        <w:footnoteReference w:id="23"/>
      </w:r>
      <w:r w:rsidRPr="0070559E">
        <w:t xml:space="preserve"> A mediation of glory would seem to be invoked at this point. Yet the affirmation is undercut by Marion’s arguably gratuitous Kantian view that the interpreting subject ensures the finitude of reception, and the conversion of the distanced gift into appearance, whether into objectivity ‘to hand’, or eventfulness ‘at hand’, in apparent disavowal of the alternatively Augustinian, Thomist or Cartesian intrinsic opening of the subject upon infinitude, which Marion elsewhere seems to affirm.  </w:t>
      </w:r>
    </w:p>
    <w:p w14:paraId="0A02B89C" w14:textId="04B0CCFA" w:rsidR="00A95F07" w:rsidRPr="0070559E" w:rsidRDefault="00A95F07" w:rsidP="0070559E">
      <w:pPr>
        <w:spacing w:line="480" w:lineRule="auto"/>
        <w:jc w:val="both"/>
      </w:pPr>
      <w:r w:rsidRPr="0070559E">
        <w:tab/>
        <w:t>It is by dint of the subject’s supposed finitizing capacity, that it seems to be in the power of the subject to decide between the mere object- or the tool-character of each phenomenon, in such a way that Marion blandly suggests that intentional usage ultimately determines any tool-status.</w:t>
      </w:r>
      <w:r w:rsidRPr="0070559E">
        <w:rPr>
          <w:vertAlign w:val="superscript"/>
        </w:rPr>
        <w:footnoteReference w:id="24"/>
      </w:r>
      <w:r w:rsidRPr="0070559E">
        <w:t xml:space="preserve"> However, both André Leroi-Gourhan and Bernard Stiegler have demonstrated that human beings could not manufacture tools before they have them, since tool-usage is essential to human uniqueness. This suggests that intentionality arises from the objective side, in a way that Marion seems to toy with, yet eventually disallows.</w:t>
      </w:r>
      <w:r w:rsidRPr="0070559E">
        <w:rPr>
          <w:vertAlign w:val="superscript"/>
        </w:rPr>
        <w:footnoteReference w:id="25"/>
      </w:r>
      <w:r w:rsidRPr="0070559E">
        <w:t xml:space="preserve"> He notes that anything may be used as a tool, but this is in part because it ‘affords’ itself for use, because of itself, in part ‘suggesting’ this possibility to one: a loose rock with a pointed end lying about on the ground. It is not just because of one’s </w:t>
      </w:r>
      <w:r w:rsidR="004F432A">
        <w:t xml:space="preserve">arbitrary fiat or </w:t>
      </w:r>
      <w:r w:rsidRPr="0070559E">
        <w:t xml:space="preserve">decision. Any object can be usable as a tool, yet toolness is an objective aspect of objects, as much as it is granted </w:t>
      </w:r>
      <w:r w:rsidR="004F432A">
        <w:t xml:space="preserve">objects </w:t>
      </w:r>
      <w:r w:rsidRPr="0070559E">
        <w:t>by the intentionality of subjects.</w:t>
      </w:r>
      <w:r w:rsidRPr="0070559E">
        <w:rPr>
          <w:vertAlign w:val="superscript"/>
        </w:rPr>
        <w:footnoteReference w:id="26"/>
      </w:r>
      <w:r w:rsidRPr="0070559E">
        <w:t xml:space="preserve"> Yet he does not remain with this insight.  </w:t>
      </w:r>
    </w:p>
    <w:p w14:paraId="2570F7C3" w14:textId="77777777" w:rsidR="00A95F07" w:rsidRPr="0070559E" w:rsidRDefault="00A95F07" w:rsidP="0070559E">
      <w:pPr>
        <w:spacing w:line="480" w:lineRule="auto"/>
        <w:jc w:val="both"/>
      </w:pPr>
      <w:r w:rsidRPr="0070559E">
        <w:tab/>
        <w:t>If the ur-phenomenon is more saturated as intuitive than as conceptual, as it is for Marion, then, the myth of the given pertains, and not just in terms of a first holistic gift. It also pertains as a gift coming from a pre-conceptual pole whose lack must be provided-for from a separately ‘given’ conceptual pole of interpretation. Is there not then a subtle Lockean and Kantian residue here? In addition, the ‘second attempt’ to corral hermeneutics within phenomenology covertly accords to hermeneutics an augmented</w:t>
      </w:r>
      <w:r w:rsidRPr="0070559E">
        <w:rPr>
          <w:i/>
        </w:rPr>
        <w:t xml:space="preserve"> </w:t>
      </w:r>
      <w:r w:rsidRPr="0070559E">
        <w:t xml:space="preserve">role, which has a decisionistic aspect, despite the refusals of such wilfulness in terms of the ‘first attempt’ at proclaiming the supremacy of the phenomenological. </w:t>
      </w:r>
    </w:p>
    <w:p w14:paraId="031385CA" w14:textId="77777777" w:rsidR="004F432A" w:rsidRDefault="00A95F07" w:rsidP="0070559E">
      <w:pPr>
        <w:spacing w:line="480" w:lineRule="auto"/>
        <w:jc w:val="both"/>
      </w:pPr>
      <w:r w:rsidRPr="0070559E">
        <w:tab/>
        <w:t xml:space="preserve">Does Marion leave his two defences unmediated, and in apparent juxtaposition and contradiction? This cannot be the case, if one refers this essay to his other writings. In </w:t>
      </w:r>
      <w:r w:rsidR="0070559E" w:rsidRPr="0070559E">
        <w:t>his essay on</w:t>
      </w:r>
      <w:r w:rsidRPr="0070559E">
        <w:t xml:space="preserve"> hermeneutics, as in his book </w:t>
      </w:r>
      <w:r w:rsidRPr="0070559E">
        <w:rPr>
          <w:i/>
        </w:rPr>
        <w:t>Étant donnée,</w:t>
      </w:r>
      <w:r w:rsidRPr="0070559E">
        <w:t xml:space="preserve"> he speaks of the interpreting subject as the </w:t>
      </w:r>
      <w:r w:rsidRPr="0070559E">
        <w:rPr>
          <w:i/>
        </w:rPr>
        <w:t xml:space="preserve">adonné, </w:t>
      </w:r>
      <w:r w:rsidRPr="0070559E">
        <w:t xml:space="preserve">underlining that it is not the case that she belongs dualistically ‘on the other side’ of the given. Rather, she is co-given from the outset, along with the given, and is in no sense self-sprung. This suggests that the most saturated given is, for Marion, the Lévinasian other who first calls one into responsible ethical subjective existence. True interpretation lies at once </w:t>
      </w:r>
    </w:p>
    <w:p w14:paraId="79DDCB6E" w14:textId="1F0059D2" w:rsidR="00A95F07" w:rsidRPr="0070559E" w:rsidRDefault="00A95F07" w:rsidP="0070559E">
      <w:pPr>
        <w:spacing w:line="480" w:lineRule="auto"/>
        <w:jc w:val="both"/>
      </w:pPr>
      <w:r w:rsidRPr="0070559E">
        <w:t>with the pole of the given, and, at the same time, with the pole of the interpretative recipient, because the initial given is the subjective giver, sacrificially offering herself to oneself in order to inaugurate oneself. It is for this reason that Marion claims to speak of an hermeneutic circle, and of a non-vicious one.</w:t>
      </w:r>
    </w:p>
    <w:p w14:paraId="4CD221C3" w14:textId="0B502853" w:rsidR="00A95F07" w:rsidRPr="0070559E" w:rsidRDefault="00A95F07" w:rsidP="0070559E">
      <w:pPr>
        <w:spacing w:line="480" w:lineRule="auto"/>
        <w:jc w:val="both"/>
      </w:pPr>
      <w:r w:rsidRPr="0070559E">
        <w:tab/>
        <w:t xml:space="preserve">Yet to invoke a circle is to invoke exchange, relation and community, to all of which Marion is averse, as </w:t>
      </w:r>
      <w:r w:rsidR="004F432A">
        <w:t>these</w:t>
      </w:r>
      <w:r w:rsidRPr="0070559E">
        <w:t xml:space="preserve"> imply contract and measurable equivalence. In </w:t>
      </w:r>
      <w:r w:rsidRPr="0070559E">
        <w:rPr>
          <w:i/>
        </w:rPr>
        <w:t xml:space="preserve">Étant donnée, </w:t>
      </w:r>
      <w:r w:rsidRPr="0070559E">
        <w:t>Marion insists that for the pure gift to pertain, it must be given in such unilateral purity, without expectation of return, as to require the anonymity of the giver and of the receiver, as well as the contentlessness of the gift, except for the unattenuated gesture of generosity.</w:t>
      </w:r>
      <w:r w:rsidRPr="0070559E">
        <w:rPr>
          <w:vertAlign w:val="superscript"/>
        </w:rPr>
        <w:footnoteReference w:id="27"/>
      </w:r>
      <w:r w:rsidRPr="0070559E">
        <w:t xml:space="preserve"> It is by reason of the second stipulation of the anonymity of the recipient, that, in the mode of the ‘first defence’, the interpreter must obliterate herself before the phenomenon. Yet, by reason of the first stipulation of the anonymity of the giver, she becomes thoroughly ‘active’, and even wilful, in the mode of the ‘second defence’, because the giver of the given cannot be inscribed in the gift, in order that it be the most authentic phenomenon possible. In consequence, if there is any exchange here, it is an exchange of vanishings, turn by turn.</w:t>
      </w:r>
    </w:p>
    <w:p w14:paraId="346617C6" w14:textId="77777777" w:rsidR="00A95F07" w:rsidRPr="0070559E" w:rsidRDefault="00A95F07" w:rsidP="0070559E">
      <w:pPr>
        <w:spacing w:line="480" w:lineRule="auto"/>
        <w:jc w:val="both"/>
      </w:pPr>
      <w:r w:rsidRPr="0070559E">
        <w:tab/>
        <w:t xml:space="preserve">One can imagine a circular dance through two windows linked by a wall. Whenever one partner appears, the other is necessarily absent. They can never see one another, much less touch. For both partners, the dance must be solitary, the other partner being perpetually out of reach, as, otherwise, there would be no ‘pure’ partner at all. Every embrace, on this purview, would be a conniving calculation, whereas every distance would be the result of a chaste charity so absolute that its gift is a solitary free choice. At the same time,  the existence of the giving other appears to result from the mere decision of the </w:t>
      </w:r>
      <w:r w:rsidRPr="0070559E">
        <w:rPr>
          <w:i/>
        </w:rPr>
        <w:t xml:space="preserve">adonnée, </w:t>
      </w:r>
      <w:r w:rsidRPr="0070559E">
        <w:t>if the only true and pure gift is to leave the recipient in her pure autonomy, ideally unaware of her benefactor.</w:t>
      </w:r>
      <w:r w:rsidRPr="0070559E">
        <w:rPr>
          <w:vertAlign w:val="superscript"/>
        </w:rPr>
        <w:footnoteReference w:id="28"/>
      </w:r>
      <w:r w:rsidRPr="0070559E">
        <w:t xml:space="preserve"> A kind of  sterile or laundered ethicised nihilism ensues. </w:t>
      </w:r>
    </w:p>
    <w:p w14:paraId="4BAAC9EA" w14:textId="190F2D36" w:rsidR="00A95F07" w:rsidRPr="0070559E" w:rsidRDefault="00A95F07" w:rsidP="0070559E">
      <w:pPr>
        <w:spacing w:line="480" w:lineRule="auto"/>
        <w:jc w:val="both"/>
      </w:pPr>
      <w:r w:rsidRPr="0070559E">
        <w:tab/>
        <w:t xml:space="preserve">A reading of Charles Dickens’s </w:t>
      </w:r>
      <w:r w:rsidRPr="0070559E">
        <w:rPr>
          <w:i/>
        </w:rPr>
        <w:t xml:space="preserve">Great Expectations </w:t>
      </w:r>
      <w:r w:rsidRPr="0070559E">
        <w:t xml:space="preserve">might help to offset any sense of the innocence of this vision, for in that novel, speculation by the anti-hero, Pip, as to his unknown benefactor, tips his life into illusion and disappointment. And in lived reality, in contrast to a supposedly possible phenomenological bracketing, Pip’s willing of the other to be an ideally generous Miss Haversham, despite all the actual evidence of her miserly cruelty, is devastatingly denied by the discovery that it is, in reality, the convict Magwitch, desirous of self-perpetuation. In lived reality, only an appearing donor, offering an assessable gift </w:t>
      </w:r>
      <w:r w:rsidR="004F432A">
        <w:t>which</w:t>
      </w:r>
      <w:r w:rsidRPr="0070559E">
        <w:t xml:space="preserve"> holds content in order to hold signification, can either confirm or disconfirm the reality of genuine donation. </w:t>
      </w:r>
    </w:p>
    <w:p w14:paraId="7210FEAE" w14:textId="77777777" w:rsidR="00A95F07" w:rsidRPr="0070559E" w:rsidRDefault="00A95F07" w:rsidP="0070559E">
      <w:pPr>
        <w:spacing w:line="480" w:lineRule="auto"/>
        <w:jc w:val="both"/>
      </w:pPr>
      <w:r w:rsidRPr="0070559E">
        <w:tab/>
        <w:t xml:space="preserve">What might be the alternative? Phenomenology is to be located inside hermeneutics, and not the reverse. Even one’s most fundamental human circumstances have to be read, and there is no absolute constraint arising either from given things, from other subjects, or from one’s own subjective situation. In consequence, there is always a spiralling exchange at play. The interaction of call and response is primary, not as the pseudo-exchange of two unidimensional blanks, but as a visible and mutually-visible interpretative dance, on the floor of the ballroom, surrounded by curtained windows, mediated by gifts with actual content which must be hermeneutically judged for their appropriateness. This is because the gift that is only the gesture of generosity itself might be indiscernibly a destroying blow.  If exchange is primary, then so also is the real relationship in the actual, natural, unparenthetical world, a relationality through space and time which is not answerable to either pole of givenness, objective or subjective, but only to itself, to the continuous, historical and interpretative process. </w:t>
      </w:r>
    </w:p>
    <w:p w14:paraId="11074FE7" w14:textId="77777777" w:rsidR="00A95F07" w:rsidRPr="0070559E" w:rsidRDefault="00A95F07" w:rsidP="0070559E">
      <w:pPr>
        <w:spacing w:line="480" w:lineRule="auto"/>
        <w:jc w:val="both"/>
      </w:pPr>
      <w:r w:rsidRPr="0070559E">
        <w:tab/>
        <w:t>If one wishes to say that this process is received, is a grateful response to a gift, although through its paradoxical active reception, whose two coinciding aspects Marion cannot quite allow to coincide, then one must pass from phenomenology to metaphysics and theology. One cannot in such a case rest content with the self-referentiality of Gadamer’s ultimately transcendental, because merely immanent ‘tradition’, with its doubtful immanentising of Platonic dialectics.</w:t>
      </w:r>
    </w:p>
    <w:p w14:paraId="6090F99A" w14:textId="0D8FA368" w:rsidR="00A95F07" w:rsidRDefault="00A95F07" w:rsidP="0070559E">
      <w:pPr>
        <w:spacing w:line="480" w:lineRule="auto"/>
        <w:jc w:val="both"/>
      </w:pPr>
      <w:r w:rsidRPr="0070559E">
        <w:tab/>
      </w:r>
      <w:r w:rsidR="004F432A">
        <w:t>In this essay, I have attempted to test the hypothesis that, g</w:t>
      </w:r>
      <w:r w:rsidRPr="0070559E">
        <w:t>iven the primacy of hermeneutics, one’s phenomenological receiving is never uncontaminated by a transgressive speculation, and the Kantian critical limits are meta-critically breached. If one’s lived and thought</w:t>
      </w:r>
      <w:r w:rsidR="004F432A">
        <w:t>-through</w:t>
      </w:r>
      <w:r w:rsidRPr="0070559E">
        <w:t xml:space="preserve"> speculations are to be considered as responsive gratitude to a received gift, and </w:t>
      </w:r>
      <w:r w:rsidR="004F432A">
        <w:t xml:space="preserve">are </w:t>
      </w:r>
      <w:r w:rsidRPr="0070559E">
        <w:t>themselves to be considered as ‘adonated’, as Marion would say, with this gift, then from the philosophical outset</w:t>
      </w:r>
      <w:r w:rsidRPr="0070559E">
        <w:rPr>
          <w:i/>
        </w:rPr>
        <w:t xml:space="preserve">, </w:t>
      </w:r>
      <w:r w:rsidRPr="0070559E">
        <w:t xml:space="preserve">one must understand one’s grateful receiving as a liturgical acknowledgement of one’s ultimate dependency, especially in terms of one’s most active roles and achievements, in a participated transcendence, an eternal and eternally giving ultimacy. </w:t>
      </w:r>
    </w:p>
    <w:p w14:paraId="4079EEA1" w14:textId="77777777" w:rsidR="003F61A5" w:rsidRDefault="003F61A5" w:rsidP="0070559E">
      <w:pPr>
        <w:spacing w:line="480" w:lineRule="auto"/>
        <w:jc w:val="both"/>
      </w:pPr>
    </w:p>
    <w:p w14:paraId="20C47AAB" w14:textId="7B9FD7BC" w:rsidR="003F61A5" w:rsidRPr="003F61A5" w:rsidRDefault="003F61A5" w:rsidP="0070559E">
      <w:pPr>
        <w:spacing w:line="480" w:lineRule="auto"/>
        <w:jc w:val="both"/>
        <w:rPr>
          <w:i/>
        </w:rPr>
      </w:pPr>
      <w:r w:rsidRPr="003F61A5">
        <w:rPr>
          <w:i/>
        </w:rPr>
        <w:t>Bibliography</w:t>
      </w:r>
    </w:p>
    <w:p w14:paraId="7DBD0352" w14:textId="77777777" w:rsidR="003F61A5" w:rsidRPr="0070559E" w:rsidRDefault="003F61A5" w:rsidP="003F61A5">
      <w:pPr>
        <w:pStyle w:val="FootnoteText"/>
        <w:spacing w:line="480" w:lineRule="auto"/>
        <w:ind w:right="144"/>
        <w:jc w:val="both"/>
      </w:pPr>
      <w:r w:rsidRPr="0070559E">
        <w:t>Auerbach, Erich</w:t>
      </w:r>
      <w:r>
        <w:t>.</w:t>
      </w:r>
      <w:r w:rsidRPr="0070559E">
        <w:t xml:space="preserve"> </w:t>
      </w:r>
      <w:r w:rsidRPr="0070559E">
        <w:rPr>
          <w:i/>
          <w:iCs/>
        </w:rPr>
        <w:t>Scenes from the Drama of European Literature</w:t>
      </w:r>
      <w:r w:rsidRPr="0070559E">
        <w:t xml:space="preserve"> (New York: Meridian, 1959).</w:t>
      </w:r>
    </w:p>
    <w:p w14:paraId="296E0B87" w14:textId="77777777" w:rsidR="003F61A5" w:rsidRDefault="003F61A5" w:rsidP="003F61A5">
      <w:pPr>
        <w:pStyle w:val="FootnoteText"/>
        <w:spacing w:line="480" w:lineRule="auto"/>
        <w:ind w:right="144"/>
        <w:jc w:val="both"/>
      </w:pPr>
    </w:p>
    <w:p w14:paraId="2B15FCDF" w14:textId="18341BC7" w:rsidR="003F61A5" w:rsidRPr="0070559E" w:rsidRDefault="003F61A5" w:rsidP="003F61A5">
      <w:pPr>
        <w:pStyle w:val="FootnoteText"/>
        <w:spacing w:line="480" w:lineRule="auto"/>
        <w:ind w:right="144"/>
        <w:jc w:val="both"/>
      </w:pPr>
      <w:r w:rsidRPr="0070559E">
        <w:t>Gadamer, Hans-Georg</w:t>
      </w:r>
      <w:r>
        <w:t>.</w:t>
      </w:r>
      <w:r w:rsidRPr="0070559E">
        <w:t xml:space="preserve"> </w:t>
      </w:r>
      <w:r w:rsidR="00F67773">
        <w:t xml:space="preserve">2013. </w:t>
      </w:r>
      <w:r w:rsidRPr="0070559E">
        <w:rPr>
          <w:i/>
        </w:rPr>
        <w:t xml:space="preserve">Truth and Method </w:t>
      </w:r>
      <w:r w:rsidRPr="0070559E">
        <w:t xml:space="preserve">Joel Weinsheimer and Donald G. Marshall </w:t>
      </w:r>
      <w:r w:rsidR="00F67773">
        <w:t>trans (London: Bloomsbury Academic</w:t>
      </w:r>
      <w:r w:rsidRPr="0070559E">
        <w:t xml:space="preserve">). </w:t>
      </w:r>
    </w:p>
    <w:p w14:paraId="4CA9D9D1" w14:textId="77777777" w:rsidR="003F61A5" w:rsidRDefault="003F61A5" w:rsidP="003F61A5">
      <w:pPr>
        <w:pStyle w:val="FootnoteText"/>
        <w:spacing w:line="480" w:lineRule="auto"/>
        <w:ind w:right="144"/>
        <w:jc w:val="both"/>
      </w:pPr>
    </w:p>
    <w:p w14:paraId="3E244939" w14:textId="3EA3316D" w:rsidR="003F61A5" w:rsidRDefault="003F61A5" w:rsidP="003F61A5">
      <w:pPr>
        <w:pStyle w:val="FootnoteText"/>
        <w:spacing w:line="480" w:lineRule="auto"/>
        <w:ind w:right="144"/>
        <w:jc w:val="both"/>
      </w:pPr>
      <w:r w:rsidRPr="0070559E">
        <w:t>Greisch, Jean</w:t>
      </w:r>
      <w:r>
        <w:t>. 1991.</w:t>
      </w:r>
      <w:r w:rsidRPr="0070559E">
        <w:t xml:space="preserve"> ‘“L’herméneutique dans la phénomenologie comme telle”; Trois questions apropos de </w:t>
      </w:r>
      <w:r w:rsidRPr="0070559E">
        <w:rPr>
          <w:i/>
        </w:rPr>
        <w:t>Réduction et Donation’, Revue de métaphysique et de morale</w:t>
      </w:r>
      <w:r>
        <w:t>.</w:t>
      </w:r>
    </w:p>
    <w:p w14:paraId="0592B79B" w14:textId="77777777" w:rsidR="003F61A5" w:rsidRPr="0070559E" w:rsidRDefault="003F61A5" w:rsidP="003F61A5">
      <w:pPr>
        <w:pStyle w:val="FootnoteText"/>
        <w:spacing w:line="480" w:lineRule="auto"/>
        <w:ind w:right="144"/>
        <w:jc w:val="both"/>
      </w:pPr>
    </w:p>
    <w:p w14:paraId="24CED213" w14:textId="6D5F67C7" w:rsidR="003F61A5" w:rsidRDefault="003F61A5" w:rsidP="003F61A5">
      <w:pPr>
        <w:pStyle w:val="FootnoteText"/>
        <w:spacing w:line="480" w:lineRule="auto"/>
        <w:ind w:right="144"/>
        <w:jc w:val="both"/>
      </w:pPr>
      <w:r w:rsidRPr="0070559E">
        <w:t>Harman, Graham</w:t>
      </w:r>
      <w:r>
        <w:t>.</w:t>
      </w:r>
      <w:r w:rsidRPr="0070559E">
        <w:t xml:space="preserve"> </w:t>
      </w:r>
      <w:r w:rsidR="00F67773">
        <w:t xml:space="preserve">2002. </w:t>
      </w:r>
      <w:r w:rsidRPr="0070559E">
        <w:rPr>
          <w:i/>
        </w:rPr>
        <w:t xml:space="preserve">Tool-Being; Heidegger and the Metaphysics of Objects </w:t>
      </w:r>
      <w:r w:rsidR="00F67773">
        <w:t>(Chicago: Open Court</w:t>
      </w:r>
      <w:r w:rsidRPr="0070559E">
        <w:t>)</w:t>
      </w:r>
    </w:p>
    <w:p w14:paraId="33CB998F" w14:textId="77777777" w:rsidR="003F61A5" w:rsidRDefault="003F61A5" w:rsidP="003F61A5">
      <w:pPr>
        <w:pStyle w:val="FootnoteText"/>
        <w:spacing w:line="480" w:lineRule="auto"/>
      </w:pPr>
    </w:p>
    <w:p w14:paraId="227387D9" w14:textId="4293EA66" w:rsidR="003F61A5" w:rsidRDefault="003F61A5" w:rsidP="003F61A5">
      <w:pPr>
        <w:pStyle w:val="FootnoteText"/>
        <w:spacing w:line="480" w:lineRule="auto"/>
        <w:ind w:right="144"/>
        <w:jc w:val="both"/>
      </w:pPr>
      <w:r w:rsidRPr="0070559E">
        <w:t>Heidegger, Martin</w:t>
      </w:r>
      <w:r w:rsidR="00F67773">
        <w:t xml:space="preserve">. </w:t>
      </w:r>
      <w:r w:rsidR="00F67773" w:rsidRPr="0070559E">
        <w:t>1972</w:t>
      </w:r>
      <w:r>
        <w:t>.</w:t>
      </w:r>
      <w:r w:rsidRPr="0070559E">
        <w:t xml:space="preserve"> </w:t>
      </w:r>
      <w:r w:rsidRPr="0070559E">
        <w:rPr>
          <w:i/>
        </w:rPr>
        <w:t xml:space="preserve">On Time and Being </w:t>
      </w:r>
      <w:r w:rsidRPr="0070559E">
        <w:t>Joan Stambau</w:t>
      </w:r>
      <w:r w:rsidR="00F67773">
        <w:t>gh tr (New York: Harper and Row</w:t>
      </w:r>
      <w:r w:rsidRPr="0070559E">
        <w:t xml:space="preserve">). </w:t>
      </w:r>
    </w:p>
    <w:p w14:paraId="3F9422CC" w14:textId="77777777" w:rsidR="00F67773" w:rsidRDefault="00F67773" w:rsidP="003F61A5">
      <w:pPr>
        <w:pStyle w:val="FootnoteText"/>
        <w:spacing w:line="480" w:lineRule="auto"/>
        <w:ind w:right="144"/>
        <w:jc w:val="both"/>
      </w:pPr>
    </w:p>
    <w:p w14:paraId="452F5464" w14:textId="44B01F38" w:rsidR="003F61A5" w:rsidRPr="00163450" w:rsidRDefault="00163450" w:rsidP="003F61A5">
      <w:pPr>
        <w:pStyle w:val="FootnoteText"/>
        <w:spacing w:line="480" w:lineRule="auto"/>
        <w:ind w:right="144"/>
        <w:jc w:val="both"/>
      </w:pPr>
      <w:r>
        <w:t>___</w:t>
      </w:r>
      <w:r w:rsidR="003F61A5" w:rsidRPr="0070559E">
        <w:t xml:space="preserve"> </w:t>
      </w:r>
      <w:r>
        <w:t xml:space="preserve">2010. </w:t>
      </w:r>
      <w:r w:rsidR="003F61A5" w:rsidRPr="0070559E">
        <w:rPr>
          <w:i/>
        </w:rPr>
        <w:t>Being and Time</w:t>
      </w:r>
      <w:r>
        <w:rPr>
          <w:i/>
        </w:rPr>
        <w:t xml:space="preserve"> </w:t>
      </w:r>
      <w:r>
        <w:t xml:space="preserve">Joan </w:t>
      </w:r>
      <w:r w:rsidRPr="00163450">
        <w:t>Stambaugh trans. (NY: SUNY Press)</w:t>
      </w:r>
    </w:p>
    <w:p w14:paraId="45928E8D" w14:textId="77777777" w:rsidR="003F61A5" w:rsidRDefault="003F61A5" w:rsidP="003F61A5">
      <w:pPr>
        <w:pStyle w:val="FootnoteText"/>
        <w:spacing w:line="480" w:lineRule="auto"/>
      </w:pPr>
    </w:p>
    <w:p w14:paraId="009EDB54" w14:textId="70A70252" w:rsidR="003F61A5" w:rsidRPr="0070559E" w:rsidRDefault="003F61A5" w:rsidP="003F61A5">
      <w:pPr>
        <w:pStyle w:val="FootnoteText"/>
        <w:spacing w:line="480" w:lineRule="auto"/>
        <w:ind w:right="144"/>
        <w:jc w:val="both"/>
      </w:pPr>
      <w:r w:rsidRPr="0070559E">
        <w:t>Jay, Martin</w:t>
      </w:r>
      <w:r>
        <w:t>.</w:t>
      </w:r>
      <w:r w:rsidRPr="0070559E">
        <w:t xml:space="preserve"> </w:t>
      </w:r>
      <w:r w:rsidR="00F67773">
        <w:t xml:space="preserve">1993. </w:t>
      </w:r>
      <w:r w:rsidRPr="0070559E">
        <w:rPr>
          <w:i/>
        </w:rPr>
        <w:t xml:space="preserve">Downcast Eyes: The Denigration of Vision in Modern French Thought </w:t>
      </w:r>
      <w:r w:rsidRPr="0070559E">
        <w:t xml:space="preserve">(Oakland, </w:t>
      </w:r>
      <w:r w:rsidR="00F67773">
        <w:t>CA: California University Press</w:t>
      </w:r>
      <w:r w:rsidRPr="0070559E">
        <w:t>)</w:t>
      </w:r>
    </w:p>
    <w:p w14:paraId="3AC3B260" w14:textId="77777777" w:rsidR="003F61A5" w:rsidRDefault="003F61A5" w:rsidP="003F61A5">
      <w:pPr>
        <w:pStyle w:val="FootnoteText"/>
        <w:spacing w:line="480" w:lineRule="auto"/>
      </w:pPr>
    </w:p>
    <w:p w14:paraId="48EE2741" w14:textId="77777777" w:rsidR="00163450" w:rsidRDefault="00163450" w:rsidP="00163450">
      <w:pPr>
        <w:pStyle w:val="FootnoteText"/>
        <w:spacing w:line="480" w:lineRule="auto"/>
        <w:ind w:right="144"/>
        <w:jc w:val="both"/>
      </w:pPr>
      <w:r w:rsidRPr="0070559E">
        <w:t>Marion, Jea</w:t>
      </w:r>
      <w:r>
        <w:t xml:space="preserve">n-Luc. 1981. </w:t>
      </w:r>
      <w:r w:rsidRPr="0070559E">
        <w:rPr>
          <w:i/>
        </w:rPr>
        <w:t xml:space="preserve">Sur la théologie blanche de Descartes </w:t>
      </w:r>
      <w:r w:rsidRPr="0070559E">
        <w:t>(Paris: Presses U</w:t>
      </w:r>
      <w:r>
        <w:t>niversitaires de France, 1981).</w:t>
      </w:r>
    </w:p>
    <w:p w14:paraId="1FBE012B" w14:textId="77777777" w:rsidR="00897194" w:rsidRDefault="00897194" w:rsidP="00163450">
      <w:pPr>
        <w:pStyle w:val="FootnoteText"/>
        <w:spacing w:line="480" w:lineRule="auto"/>
        <w:ind w:right="144"/>
        <w:jc w:val="both"/>
      </w:pPr>
    </w:p>
    <w:p w14:paraId="0B5EA50A" w14:textId="121B81BF" w:rsidR="00163450" w:rsidRPr="00897194" w:rsidRDefault="00897194" w:rsidP="00897194">
      <w:pPr>
        <w:spacing w:line="480" w:lineRule="auto"/>
        <w:ind w:right="144"/>
        <w:jc w:val="both"/>
        <w:rPr>
          <w:b/>
          <w:bCs/>
        </w:rPr>
      </w:pPr>
      <w:r>
        <w:t>___. 2002</w:t>
      </w:r>
      <w:r w:rsidRPr="00897194">
        <w:rPr>
          <w:i/>
        </w:rPr>
        <w:t xml:space="preserve">, </w:t>
      </w:r>
      <w:r w:rsidRPr="00897194">
        <w:rPr>
          <w:bCs/>
          <w:i/>
        </w:rPr>
        <w:t>Being Given: Toward a Phenomenology of Givenness</w:t>
      </w:r>
      <w:r>
        <w:rPr>
          <w:bCs/>
          <w:i/>
        </w:rPr>
        <w:t xml:space="preserve"> </w:t>
      </w:r>
      <w:r>
        <w:rPr>
          <w:bCs/>
        </w:rPr>
        <w:t>Jeffrey K. Kossky trans (Stanford CA: Stanford University Press)</w:t>
      </w:r>
    </w:p>
    <w:p w14:paraId="261365CD" w14:textId="77777777" w:rsidR="00897194" w:rsidRPr="0070559E" w:rsidRDefault="00897194" w:rsidP="00897194">
      <w:pPr>
        <w:pStyle w:val="FootnoteText"/>
        <w:spacing w:line="480" w:lineRule="auto"/>
      </w:pPr>
    </w:p>
    <w:p w14:paraId="51353719" w14:textId="77777777" w:rsidR="00897194" w:rsidRDefault="00897194" w:rsidP="00897194">
      <w:pPr>
        <w:spacing w:line="480" w:lineRule="auto"/>
        <w:ind w:right="144"/>
        <w:jc w:val="both"/>
      </w:pPr>
      <w:r>
        <w:t xml:space="preserve">___. 2008. </w:t>
      </w:r>
      <w:r w:rsidRPr="0070559E">
        <w:rPr>
          <w:i/>
        </w:rPr>
        <w:t>The Erotic Phenomenon</w:t>
      </w:r>
      <w:r>
        <w:rPr>
          <w:i/>
        </w:rPr>
        <w:t xml:space="preserve"> </w:t>
      </w:r>
      <w:r>
        <w:t>Stephen E. Lewis trans. (Chicago IL: Chicago University Press).</w:t>
      </w:r>
      <w:r w:rsidRPr="0070559E">
        <w:t xml:space="preserve"> </w:t>
      </w:r>
    </w:p>
    <w:p w14:paraId="018F9AD2" w14:textId="77777777" w:rsidR="00897194" w:rsidRDefault="00897194" w:rsidP="003F61A5">
      <w:pPr>
        <w:pStyle w:val="FootnoteText"/>
        <w:spacing w:line="480" w:lineRule="auto"/>
      </w:pPr>
    </w:p>
    <w:p w14:paraId="69EE544F" w14:textId="77777777" w:rsidR="00897194" w:rsidRDefault="00897194" w:rsidP="00897194">
      <w:pPr>
        <w:spacing w:line="480" w:lineRule="auto"/>
        <w:ind w:right="144"/>
        <w:jc w:val="both"/>
      </w:pPr>
      <w:r>
        <w:t>___.</w:t>
      </w:r>
      <w:r w:rsidRPr="00897194">
        <w:t xml:space="preserve"> </w:t>
      </w:r>
      <w:r>
        <w:t xml:space="preserve">2011. </w:t>
      </w:r>
      <w:r w:rsidRPr="00897194">
        <w:rPr>
          <w:i/>
        </w:rPr>
        <w:t>The Reason of the Gift</w:t>
      </w:r>
      <w:r w:rsidRPr="0070559E">
        <w:t xml:space="preserve">, </w:t>
      </w:r>
      <w:r>
        <w:t>Stephen E. Lewis trans (Virginia: University of Virginia Press, 2011).</w:t>
      </w:r>
    </w:p>
    <w:p w14:paraId="772557D4" w14:textId="77777777" w:rsidR="00897194" w:rsidRDefault="00897194" w:rsidP="00897194">
      <w:pPr>
        <w:spacing w:line="480" w:lineRule="auto"/>
        <w:ind w:right="144"/>
        <w:jc w:val="both"/>
      </w:pPr>
    </w:p>
    <w:p w14:paraId="7BA6A98B" w14:textId="225781CE" w:rsidR="003F61A5" w:rsidRDefault="00897194" w:rsidP="003F61A5">
      <w:pPr>
        <w:pStyle w:val="FootnoteText"/>
        <w:spacing w:line="480" w:lineRule="auto"/>
      </w:pPr>
      <w:r>
        <w:t>___</w:t>
      </w:r>
      <w:r w:rsidR="003F61A5">
        <w:t>.</w:t>
      </w:r>
      <w:r w:rsidR="003F61A5" w:rsidRPr="0070559E">
        <w:t xml:space="preserve"> </w:t>
      </w:r>
      <w:r w:rsidR="00F67773">
        <w:t xml:space="preserve">2013. </w:t>
      </w:r>
      <w:r w:rsidR="003F61A5" w:rsidRPr="0070559E">
        <w:rPr>
          <w:i/>
        </w:rPr>
        <w:t xml:space="preserve">Sur la pensée passive de Descartes </w:t>
      </w:r>
      <w:r w:rsidR="003F61A5" w:rsidRPr="0070559E">
        <w:t>(Paris: Presses U</w:t>
      </w:r>
      <w:r w:rsidR="00F67773">
        <w:t>niversitaires de France</w:t>
      </w:r>
      <w:r w:rsidR="003F61A5">
        <w:t>).</w:t>
      </w:r>
    </w:p>
    <w:p w14:paraId="10C7D19F" w14:textId="77777777" w:rsidR="00163450" w:rsidRDefault="00163450" w:rsidP="003F61A5">
      <w:pPr>
        <w:pStyle w:val="FootnoteText"/>
        <w:spacing w:line="480" w:lineRule="auto"/>
        <w:ind w:right="144"/>
        <w:jc w:val="both"/>
      </w:pPr>
    </w:p>
    <w:p w14:paraId="6015D29A" w14:textId="07E233D0" w:rsidR="003F61A5" w:rsidRDefault="00163450" w:rsidP="003F61A5">
      <w:pPr>
        <w:pStyle w:val="FootnoteText"/>
        <w:spacing w:line="480" w:lineRule="auto"/>
        <w:ind w:right="144"/>
        <w:jc w:val="both"/>
      </w:pPr>
      <w:r>
        <w:t>___</w:t>
      </w:r>
      <w:r w:rsidR="003F61A5">
        <w:t>.</w:t>
      </w:r>
      <w:r w:rsidR="003F61A5" w:rsidRPr="0070559E">
        <w:t xml:space="preserve"> </w:t>
      </w:r>
      <w:r w:rsidR="00F67773">
        <w:t xml:space="preserve">2016. </w:t>
      </w:r>
      <w:r w:rsidR="003F61A5" w:rsidRPr="0070559E">
        <w:t xml:space="preserve">‘La Donation en son Herméneutique’, </w:t>
      </w:r>
      <w:r w:rsidR="003F61A5" w:rsidRPr="0070559E">
        <w:rPr>
          <w:i/>
        </w:rPr>
        <w:t xml:space="preserve">Reprise du donné </w:t>
      </w:r>
      <w:r w:rsidR="003F61A5" w:rsidRPr="0070559E">
        <w:t>(Paris: P</w:t>
      </w:r>
      <w:r w:rsidR="00F67773">
        <w:t>resses Universitaires de France</w:t>
      </w:r>
      <w:r w:rsidR="003F61A5" w:rsidRPr="0070559E">
        <w:t xml:space="preserve">), 59-97. </w:t>
      </w:r>
    </w:p>
    <w:p w14:paraId="2DA96CF2" w14:textId="77777777" w:rsidR="00F67773" w:rsidRDefault="00F67773" w:rsidP="00F67773">
      <w:pPr>
        <w:spacing w:line="480" w:lineRule="auto"/>
        <w:ind w:right="144"/>
        <w:jc w:val="both"/>
      </w:pPr>
    </w:p>
    <w:p w14:paraId="564A0214" w14:textId="36BF46F3" w:rsidR="00F67773" w:rsidRDefault="00F67773" w:rsidP="00F67773">
      <w:pPr>
        <w:spacing w:line="480" w:lineRule="auto"/>
        <w:ind w:right="144"/>
        <w:jc w:val="both"/>
      </w:pPr>
      <w:r>
        <w:t xml:space="preserve">Milbank, John. </w:t>
      </w:r>
      <w:r>
        <w:t xml:space="preserve">2001a. </w:t>
      </w:r>
      <w:r w:rsidRPr="0070559E">
        <w:t xml:space="preserve">‘The Soul of Reciprocity’, </w:t>
      </w:r>
      <w:r w:rsidRPr="0070559E">
        <w:rPr>
          <w:i/>
        </w:rPr>
        <w:t>Intersubjectiveté et Théologie Philosophique</w:t>
      </w:r>
      <w:r w:rsidRPr="0070559E">
        <w:t xml:space="preserve"> M. Olivetti ed (Milan: Cedam, 2001) 349-397; </w:t>
      </w:r>
    </w:p>
    <w:p w14:paraId="64146B48" w14:textId="77777777" w:rsidR="00F67773" w:rsidRDefault="00F67773" w:rsidP="00F67773">
      <w:pPr>
        <w:spacing w:line="480" w:lineRule="auto"/>
        <w:ind w:right="144"/>
        <w:jc w:val="both"/>
      </w:pPr>
    </w:p>
    <w:p w14:paraId="703EA0BD" w14:textId="7F95F404" w:rsidR="00F67773" w:rsidRPr="0070559E" w:rsidRDefault="00F67773" w:rsidP="00F67773">
      <w:pPr>
        <w:spacing w:line="480" w:lineRule="auto"/>
        <w:ind w:right="144"/>
        <w:jc w:val="both"/>
      </w:pPr>
      <w:r>
        <w:t xml:space="preserve">___ </w:t>
      </w:r>
      <w:r>
        <w:t xml:space="preserve">. 2001b. </w:t>
      </w:r>
      <w:r w:rsidRPr="0070559E">
        <w:t xml:space="preserve">Part One </w:t>
      </w:r>
      <w:r w:rsidRPr="0070559E">
        <w:rPr>
          <w:i/>
        </w:rPr>
        <w:t>Modern Theology</w:t>
      </w:r>
      <w:r w:rsidRPr="0070559E">
        <w:t xml:space="preserve"> (July), 335-391 and Part Two </w:t>
      </w:r>
      <w:r w:rsidRPr="0070559E">
        <w:rPr>
          <w:i/>
        </w:rPr>
        <w:t>Modern Theology</w:t>
      </w:r>
      <w:r w:rsidRPr="0070559E">
        <w:t xml:space="preserve"> (October), 485-509.</w:t>
      </w:r>
    </w:p>
    <w:p w14:paraId="770C9C3A" w14:textId="77777777" w:rsidR="00F67773" w:rsidRDefault="00F67773" w:rsidP="00F67773">
      <w:pPr>
        <w:spacing w:line="480" w:lineRule="auto"/>
        <w:ind w:right="144"/>
        <w:jc w:val="both"/>
      </w:pPr>
    </w:p>
    <w:p w14:paraId="23ADF005" w14:textId="1D277BD9" w:rsidR="00F67773" w:rsidRPr="0070559E" w:rsidRDefault="00163450" w:rsidP="00F67773">
      <w:pPr>
        <w:spacing w:line="480" w:lineRule="auto"/>
        <w:ind w:right="144"/>
        <w:jc w:val="both"/>
      </w:pPr>
      <w:r>
        <w:t>___</w:t>
      </w:r>
      <w:r w:rsidR="00F67773">
        <w:t>.</w:t>
      </w:r>
      <w:r w:rsidR="00F67773" w:rsidRPr="0070559E">
        <w:t xml:space="preserve"> </w:t>
      </w:r>
      <w:r w:rsidR="00F67773">
        <w:t xml:space="preserve">2007. </w:t>
      </w:r>
      <w:r w:rsidR="00F67773" w:rsidRPr="0070559E">
        <w:t xml:space="preserve">‘The Mirror and the Gift: on the Philosophy of Love’, </w:t>
      </w:r>
      <w:r w:rsidR="00F67773" w:rsidRPr="0070559E">
        <w:rPr>
          <w:i/>
        </w:rPr>
        <w:t xml:space="preserve">Counter-Experiences: Reading Jean-Luc Marion </w:t>
      </w:r>
      <w:r w:rsidR="00F67773" w:rsidRPr="0070559E">
        <w:t xml:space="preserve">Kevin Hart ed (Notre Dame </w:t>
      </w:r>
      <w:r w:rsidR="00F67773">
        <w:t>IN: Notre Dame University Press</w:t>
      </w:r>
      <w:r w:rsidR="00F67773" w:rsidRPr="0070559E">
        <w:t xml:space="preserve">), 253-317. </w:t>
      </w:r>
    </w:p>
    <w:p w14:paraId="573523A5" w14:textId="77777777" w:rsidR="00F67773" w:rsidRDefault="00F67773" w:rsidP="00F67773">
      <w:pPr>
        <w:spacing w:line="480" w:lineRule="auto"/>
        <w:ind w:right="144"/>
        <w:jc w:val="both"/>
      </w:pPr>
    </w:p>
    <w:p w14:paraId="62DDC4C9" w14:textId="1A3D6943" w:rsidR="00F67773" w:rsidRDefault="00163450" w:rsidP="00F67773">
      <w:pPr>
        <w:spacing w:line="480" w:lineRule="auto"/>
        <w:ind w:right="144"/>
        <w:jc w:val="both"/>
      </w:pPr>
      <w:r>
        <w:t>___</w:t>
      </w:r>
      <w:r w:rsidR="00F67773">
        <w:t>.</w:t>
      </w:r>
      <w:r w:rsidR="00F67773">
        <w:t xml:space="preserve"> 2014. </w:t>
      </w:r>
      <w:r w:rsidR="00F67773" w:rsidRPr="0070559E">
        <w:t xml:space="preserve"> </w:t>
      </w:r>
      <w:r w:rsidR="00F67773">
        <w:rPr>
          <w:i/>
        </w:rPr>
        <w:t>Beyond Secular Order</w:t>
      </w:r>
      <w:r w:rsidR="00F67773" w:rsidRPr="0070559E">
        <w:t xml:space="preserve"> </w:t>
      </w:r>
      <w:r w:rsidR="00F67773">
        <w:t>(Oxford: Blackwell)</w:t>
      </w:r>
    </w:p>
    <w:p w14:paraId="21654652" w14:textId="77777777" w:rsidR="003F61A5" w:rsidRDefault="003F61A5" w:rsidP="003F61A5">
      <w:pPr>
        <w:pStyle w:val="FootnoteText"/>
        <w:spacing w:line="480" w:lineRule="auto"/>
        <w:ind w:right="144"/>
        <w:jc w:val="both"/>
      </w:pPr>
    </w:p>
    <w:p w14:paraId="30E5D818" w14:textId="0B5F89FA" w:rsidR="003F61A5" w:rsidRDefault="003F61A5" w:rsidP="003F61A5">
      <w:pPr>
        <w:pStyle w:val="FootnoteText"/>
        <w:spacing w:line="480" w:lineRule="auto"/>
        <w:ind w:right="144"/>
        <w:jc w:val="both"/>
      </w:pPr>
      <w:r w:rsidRPr="0070559E">
        <w:t>Mulhall, Stephen</w:t>
      </w:r>
      <w:r>
        <w:t>.</w:t>
      </w:r>
      <w:r w:rsidRPr="0070559E">
        <w:t xml:space="preserve"> </w:t>
      </w:r>
      <w:r w:rsidR="00F67773">
        <w:t xml:space="preserve">2015. </w:t>
      </w:r>
      <w:r w:rsidRPr="0070559E">
        <w:rPr>
          <w:i/>
        </w:rPr>
        <w:t xml:space="preserve">On Being in the World: Wittgenstein and Heidegger on Seeing Aspects </w:t>
      </w:r>
      <w:r w:rsidR="00F67773">
        <w:t>(London: Routledge</w:t>
      </w:r>
      <w:r w:rsidRPr="0070559E">
        <w:t xml:space="preserve">). </w:t>
      </w:r>
    </w:p>
    <w:p w14:paraId="4547747B" w14:textId="77777777" w:rsidR="003F61A5" w:rsidRPr="0070559E" w:rsidRDefault="003F61A5" w:rsidP="003F61A5">
      <w:pPr>
        <w:pStyle w:val="FootnoteText"/>
        <w:spacing w:line="480" w:lineRule="auto"/>
        <w:ind w:right="144"/>
        <w:jc w:val="both"/>
      </w:pPr>
    </w:p>
    <w:p w14:paraId="43A588D7" w14:textId="4BB64F20" w:rsidR="003F61A5" w:rsidRDefault="003F61A5" w:rsidP="003F61A5">
      <w:pPr>
        <w:pStyle w:val="FootnoteText"/>
        <w:spacing w:line="480" w:lineRule="auto"/>
        <w:ind w:right="144"/>
        <w:jc w:val="both"/>
      </w:pPr>
      <w:r w:rsidRPr="0070559E">
        <w:t>Pickstock, Catherine</w:t>
      </w:r>
      <w:r>
        <w:t>.</w:t>
      </w:r>
      <w:r w:rsidRPr="0070559E">
        <w:t xml:space="preserve"> </w:t>
      </w:r>
      <w:r w:rsidR="00F67773">
        <w:t xml:space="preserve">2014. </w:t>
      </w:r>
      <w:r w:rsidRPr="0070559E">
        <w:rPr>
          <w:i/>
        </w:rPr>
        <w:t xml:space="preserve">Repetition and Identity </w:t>
      </w:r>
      <w:r w:rsidRPr="0070559E">
        <w:t>(</w:t>
      </w:r>
      <w:r w:rsidR="00F67773">
        <w:t>Oxford: Oxford University Press</w:t>
      </w:r>
      <w:r w:rsidRPr="0070559E">
        <w:t xml:space="preserve">). </w:t>
      </w:r>
    </w:p>
    <w:p w14:paraId="49250EB4" w14:textId="77777777" w:rsidR="00F67773" w:rsidRDefault="00F67773" w:rsidP="003F61A5">
      <w:pPr>
        <w:pStyle w:val="FootnoteText"/>
        <w:spacing w:line="480" w:lineRule="auto"/>
        <w:ind w:right="144"/>
        <w:jc w:val="both"/>
      </w:pPr>
    </w:p>
    <w:p w14:paraId="4450F810" w14:textId="64C919AF" w:rsidR="003F61A5" w:rsidRDefault="003F61A5" w:rsidP="003F61A5">
      <w:pPr>
        <w:pStyle w:val="FootnoteText"/>
        <w:spacing w:line="480" w:lineRule="auto"/>
        <w:ind w:right="144"/>
        <w:jc w:val="both"/>
      </w:pPr>
      <w:r w:rsidRPr="0070559E">
        <w:t>Stiegler, Bernard</w:t>
      </w:r>
      <w:r>
        <w:t>.</w:t>
      </w:r>
      <w:r w:rsidRPr="0070559E">
        <w:t xml:space="preserve"> </w:t>
      </w:r>
      <w:r w:rsidR="00F67773">
        <w:t xml:space="preserve">1998. </w:t>
      </w:r>
      <w:r w:rsidRPr="0070559E">
        <w:rPr>
          <w:i/>
        </w:rPr>
        <w:t xml:space="preserve">Technics and Time 1; The Fault of Epimetheus </w:t>
      </w:r>
      <w:r w:rsidRPr="0070559E">
        <w:t>Richard Beardsworth and George Collins trs (Stanfor</w:t>
      </w:r>
      <w:r w:rsidR="00F67773">
        <w:t>d CA: Stanford University Press</w:t>
      </w:r>
      <w:r w:rsidRPr="0070559E">
        <w:t xml:space="preserve">). </w:t>
      </w:r>
    </w:p>
    <w:p w14:paraId="2DB1D9F2" w14:textId="77777777" w:rsidR="00F67773" w:rsidRDefault="00F67773" w:rsidP="003F61A5">
      <w:pPr>
        <w:pStyle w:val="FootnoteText"/>
        <w:spacing w:line="480" w:lineRule="auto"/>
        <w:ind w:right="144"/>
        <w:jc w:val="both"/>
      </w:pPr>
    </w:p>
    <w:p w14:paraId="5FFD00EF" w14:textId="37CF55B5" w:rsidR="003F61A5" w:rsidRPr="0070559E" w:rsidRDefault="003F61A5" w:rsidP="003F61A5">
      <w:pPr>
        <w:pStyle w:val="FootnoteText"/>
        <w:spacing w:line="480" w:lineRule="auto"/>
        <w:ind w:right="144"/>
        <w:jc w:val="both"/>
      </w:pPr>
      <w:r w:rsidRPr="0070559E">
        <w:t>Taylor, Charles</w:t>
      </w:r>
      <w:r>
        <w:t>.</w:t>
      </w:r>
      <w:r w:rsidRPr="0070559E">
        <w:t xml:space="preserve"> </w:t>
      </w:r>
      <w:r w:rsidR="00F67773">
        <w:t xml:space="preserve">1992. </w:t>
      </w:r>
      <w:r w:rsidRPr="0070559E">
        <w:rPr>
          <w:i/>
        </w:rPr>
        <w:t xml:space="preserve">Sources of the Self: The Making of the Modern Identity </w:t>
      </w:r>
      <w:r w:rsidRPr="0070559E">
        <w:t>(Cambri</w:t>
      </w:r>
      <w:r w:rsidR="00F67773">
        <w:t>dge: Cambridge University Press</w:t>
      </w:r>
      <w:r>
        <w:t>).</w:t>
      </w:r>
    </w:p>
    <w:p w14:paraId="0B3DE168" w14:textId="77777777" w:rsidR="003F61A5" w:rsidRPr="0070559E" w:rsidRDefault="003F61A5" w:rsidP="003F61A5">
      <w:pPr>
        <w:pStyle w:val="FootnoteText"/>
        <w:spacing w:line="480" w:lineRule="auto"/>
        <w:ind w:right="144"/>
        <w:jc w:val="both"/>
      </w:pPr>
    </w:p>
    <w:p w14:paraId="2CDF6FC4" w14:textId="599DD980" w:rsidR="00A95F07" w:rsidRPr="0070559E" w:rsidRDefault="00A95F07" w:rsidP="0070559E">
      <w:pPr>
        <w:spacing w:line="480" w:lineRule="auto"/>
        <w:jc w:val="both"/>
      </w:pPr>
    </w:p>
    <w:p w14:paraId="12CF7D0F" w14:textId="77777777" w:rsidR="00A95F07" w:rsidRPr="0070559E" w:rsidRDefault="00A95F07" w:rsidP="0070559E">
      <w:pPr>
        <w:spacing w:line="480" w:lineRule="auto"/>
        <w:jc w:val="both"/>
      </w:pPr>
      <w:r w:rsidRPr="0070559E">
        <w:tab/>
      </w:r>
    </w:p>
    <w:p w14:paraId="3CFD6D89" w14:textId="5A7C814E" w:rsidR="006676D5" w:rsidRPr="0070559E" w:rsidRDefault="006676D5" w:rsidP="0070559E">
      <w:pPr>
        <w:spacing w:line="480" w:lineRule="auto"/>
      </w:pPr>
    </w:p>
    <w:sectPr w:rsidR="006676D5" w:rsidRPr="0070559E" w:rsidSect="003F61A5">
      <w:footerReference w:type="even" r:id="rId7"/>
      <w:footerReference w:type="default" r:id="rId8"/>
      <w:pgSz w:w="11900" w:h="16840"/>
      <w:pgMar w:top="1440" w:right="2592" w:bottom="1440" w:left="2304"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C33CD2" w14:textId="77777777" w:rsidR="00500CBB" w:rsidRDefault="00500CBB" w:rsidP="00A95F07">
      <w:r>
        <w:separator/>
      </w:r>
    </w:p>
  </w:endnote>
  <w:endnote w:type="continuationSeparator" w:id="0">
    <w:p w14:paraId="1A534A32" w14:textId="77777777" w:rsidR="00500CBB" w:rsidRDefault="00500CBB" w:rsidP="00A95F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8013B7" w14:textId="77777777" w:rsidR="004F432A" w:rsidRDefault="004F432A" w:rsidP="00D3208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4FBF203" w14:textId="77777777" w:rsidR="004F432A" w:rsidRDefault="004F432A" w:rsidP="004F432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A6FF07" w14:textId="77777777" w:rsidR="004F432A" w:rsidRDefault="004F432A" w:rsidP="00D3208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00CBB">
      <w:rPr>
        <w:rStyle w:val="PageNumber"/>
        <w:noProof/>
      </w:rPr>
      <w:t>1</w:t>
    </w:r>
    <w:r>
      <w:rPr>
        <w:rStyle w:val="PageNumber"/>
      </w:rPr>
      <w:fldChar w:fldCharType="end"/>
    </w:r>
  </w:p>
  <w:p w14:paraId="2F58FB21" w14:textId="77777777" w:rsidR="004F432A" w:rsidRDefault="004F432A" w:rsidP="004F432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515A24" w14:textId="77777777" w:rsidR="00500CBB" w:rsidRDefault="00500CBB" w:rsidP="00A95F07">
      <w:r>
        <w:separator/>
      </w:r>
    </w:p>
  </w:footnote>
  <w:footnote w:type="continuationSeparator" w:id="0">
    <w:p w14:paraId="4CD22A80" w14:textId="77777777" w:rsidR="00500CBB" w:rsidRDefault="00500CBB" w:rsidP="00A95F07">
      <w:r>
        <w:continuationSeparator/>
      </w:r>
    </w:p>
  </w:footnote>
  <w:footnote w:id="1">
    <w:p w14:paraId="183FBCEA"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Jean Greisch, ‘“L’herméneutique dans la phénomenologie comme telle”; Trois questions apropos de </w:t>
      </w:r>
      <w:r w:rsidRPr="0070559E">
        <w:rPr>
          <w:i/>
        </w:rPr>
        <w:t>Réduction et Donation’, Revue de métaphysique et de morale</w:t>
      </w:r>
      <w:r w:rsidRPr="0070559E">
        <w:t xml:space="preserve">, 1991/1.  </w:t>
      </w:r>
    </w:p>
  </w:footnote>
  <w:footnote w:id="2">
    <w:p w14:paraId="603F0E16"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Jean-Luc Marion, ‘La Donation en son Herméneutique’, </w:t>
      </w:r>
      <w:r w:rsidRPr="0070559E">
        <w:rPr>
          <w:i/>
        </w:rPr>
        <w:t xml:space="preserve">Reprise du donné </w:t>
      </w:r>
      <w:r w:rsidRPr="0070559E">
        <w:t xml:space="preserve">(Paris: Presses Universitaires de France, 2016), 59-97.  See pp. 61-2 for a list of the authors who pose critical assessments of his work, to which Marion is here replying. </w:t>
      </w:r>
    </w:p>
  </w:footnote>
  <w:footnote w:id="3">
    <w:p w14:paraId="6E0C3ADB"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Jean-Luc Marion, </w:t>
      </w:r>
      <w:r w:rsidRPr="0070559E">
        <w:rPr>
          <w:i/>
        </w:rPr>
        <w:t xml:space="preserve">Sur la pensée passive de Descartes </w:t>
      </w:r>
      <w:r w:rsidRPr="0070559E">
        <w:t xml:space="preserve">(Paris: Presses Universitaires de France, 2013), 261-269. </w:t>
      </w:r>
    </w:p>
  </w:footnote>
  <w:footnote w:id="4">
    <w:p w14:paraId="663ACDBB"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Charles Taylor, </w:t>
      </w:r>
      <w:r w:rsidRPr="0070559E">
        <w:rPr>
          <w:i/>
        </w:rPr>
        <w:t xml:space="preserve">Sources of the Self: The Making of the Modern Identity </w:t>
      </w:r>
      <w:r w:rsidRPr="0070559E">
        <w:t xml:space="preserve">(Cambridge: Cambridge University Press, 1992), 159-176. </w:t>
      </w:r>
    </w:p>
  </w:footnote>
  <w:footnote w:id="5">
    <w:p w14:paraId="78F3679B"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Stephen Mulhall, </w:t>
      </w:r>
      <w:r w:rsidRPr="0070559E">
        <w:rPr>
          <w:i/>
        </w:rPr>
        <w:t xml:space="preserve">On Being in the World: Wittgenstein and Heidegger on Seeing Aspects </w:t>
      </w:r>
      <w:r w:rsidRPr="0070559E">
        <w:t xml:space="preserve">(London: Routledge, 2015). </w:t>
      </w:r>
    </w:p>
  </w:footnote>
  <w:footnote w:id="6">
    <w:p w14:paraId="2CDA9BFF"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One might note that, in maintaining this position, Marion is following Heidegger and not Husserl, who, as mentioned in the foregoing, rejected ‘profundity’ and ambiguity. </w:t>
      </w:r>
    </w:p>
  </w:footnote>
  <w:footnote w:id="7">
    <w:p w14:paraId="599F54AF" w14:textId="7E68F82D"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w:t>
      </w:r>
      <w:r w:rsidR="00897194">
        <w:t xml:space="preserve">Marion, </w:t>
      </w:r>
      <w:r w:rsidR="00897194" w:rsidRPr="00897194">
        <w:rPr>
          <w:i/>
        </w:rPr>
        <w:t>The Reason of the Gift</w:t>
      </w:r>
      <w:r w:rsidRPr="0070559E">
        <w:t xml:space="preserve">, </w:t>
      </w:r>
      <w:r w:rsidR="00897194">
        <w:t xml:space="preserve">Stephen E. Lewis trans (Virginia: University of Virginia Press, 2011), </w:t>
      </w:r>
      <w:r w:rsidRPr="0070559E">
        <w:t xml:space="preserve">105-112. </w:t>
      </w:r>
    </w:p>
  </w:footnote>
  <w:footnote w:id="8">
    <w:p w14:paraId="5080AF9D"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‘La Donation en son Herméneutique’, 77-78. </w:t>
      </w:r>
    </w:p>
  </w:footnote>
  <w:footnote w:id="9">
    <w:p w14:paraId="73DE0568" w14:textId="401A6F9F" w:rsidR="00A95F07" w:rsidRPr="00897194" w:rsidRDefault="00A95F07" w:rsidP="00897194">
      <w:pPr>
        <w:spacing w:line="480" w:lineRule="auto"/>
        <w:ind w:right="144"/>
        <w:jc w:val="both"/>
        <w:rPr>
          <w:b/>
          <w:bCs/>
        </w:rPr>
      </w:pPr>
      <w:r w:rsidRPr="0070559E">
        <w:rPr>
          <w:rStyle w:val="FootnoteReference"/>
        </w:rPr>
        <w:footnoteRef/>
      </w:r>
      <w:r w:rsidRPr="0070559E">
        <w:t xml:space="preserve"> </w:t>
      </w:r>
      <w:r w:rsidR="00897194">
        <w:t xml:space="preserve">Marion, </w:t>
      </w:r>
      <w:bookmarkStart w:id="0" w:name="_GoBack"/>
      <w:bookmarkEnd w:id="0"/>
      <w:r w:rsidR="00897194" w:rsidRPr="00897194">
        <w:rPr>
          <w:bCs/>
          <w:i/>
        </w:rPr>
        <w:t>Being Given: Toward a Phenomenology of Givenness</w:t>
      </w:r>
      <w:r w:rsidR="00897194">
        <w:rPr>
          <w:bCs/>
          <w:i/>
        </w:rPr>
        <w:t xml:space="preserve"> </w:t>
      </w:r>
      <w:r w:rsidR="00897194">
        <w:rPr>
          <w:bCs/>
        </w:rPr>
        <w:t xml:space="preserve">Jeffrey </w:t>
      </w:r>
      <w:r w:rsidR="00897194">
        <w:rPr>
          <w:bCs/>
        </w:rPr>
        <w:t>K. Kossky trans (Stanford CA: Stanford University Press)</w:t>
      </w:r>
      <w:r w:rsidRPr="0070559E">
        <w:rPr>
          <w:i/>
        </w:rPr>
        <w:t xml:space="preserve">, </w:t>
      </w:r>
      <w:r w:rsidRPr="0070559E">
        <w:t xml:space="preserve">94-102. </w:t>
      </w:r>
      <w:r w:rsidRPr="0070559E">
        <w:rPr>
          <w:i/>
        </w:rPr>
        <w:t xml:space="preserve"> </w:t>
      </w:r>
    </w:p>
  </w:footnote>
  <w:footnote w:id="10">
    <w:p w14:paraId="27824BC9" w14:textId="251EE6E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Hans-Georg Gadamer, </w:t>
      </w:r>
      <w:r w:rsidRPr="0070559E">
        <w:rPr>
          <w:i/>
        </w:rPr>
        <w:t xml:space="preserve">Truth and Method </w:t>
      </w:r>
      <w:r w:rsidRPr="0070559E">
        <w:t>Joel Weinsheimer and Donald G. Marshall tr</w:t>
      </w:r>
      <w:r w:rsidR="00897194">
        <w:t>an</w:t>
      </w:r>
      <w:r w:rsidRPr="0070559E">
        <w:t xml:space="preserve">s (London: Bloomsbury Academic, 2013). </w:t>
      </w:r>
    </w:p>
  </w:footnote>
  <w:footnote w:id="11">
    <w:p w14:paraId="4CA2322A"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Catherine Pickstock, </w:t>
      </w:r>
      <w:r w:rsidRPr="0070559E">
        <w:rPr>
          <w:i/>
        </w:rPr>
        <w:t xml:space="preserve">Repetition and Identity </w:t>
      </w:r>
      <w:r w:rsidRPr="0070559E">
        <w:t xml:space="preserve">(Oxford: Oxford University Press, 2014). Erich Auerbach, </w:t>
      </w:r>
      <w:r w:rsidRPr="0070559E">
        <w:rPr>
          <w:i/>
          <w:iCs/>
        </w:rPr>
        <w:t>Scenes from the Drama of European Literature</w:t>
      </w:r>
      <w:r w:rsidRPr="0070559E">
        <w:t xml:space="preserve"> (New York: Meridian, 1959).</w:t>
      </w:r>
    </w:p>
  </w:footnote>
  <w:footnote w:id="12">
    <w:p w14:paraId="056B4E6D" w14:textId="6F4A0B81"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Martin Jay, </w:t>
      </w:r>
      <w:r w:rsidR="00A40324" w:rsidRPr="0070559E">
        <w:rPr>
          <w:i/>
        </w:rPr>
        <w:t>Downcast Eyes: T</w:t>
      </w:r>
      <w:r w:rsidRPr="0070559E">
        <w:rPr>
          <w:i/>
        </w:rPr>
        <w:t xml:space="preserve">he Denigration of Vision in Modern French Thought </w:t>
      </w:r>
      <w:r w:rsidRPr="0070559E">
        <w:t>(Oakland, CA: California University Press, 1993)</w:t>
      </w:r>
    </w:p>
  </w:footnote>
  <w:footnote w:id="13">
    <w:p w14:paraId="00AC64EC"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Heidegger, </w:t>
      </w:r>
      <w:r w:rsidRPr="0070559E">
        <w:rPr>
          <w:i/>
        </w:rPr>
        <w:t xml:space="preserve">Being and Time, </w:t>
      </w:r>
      <w:r w:rsidRPr="0070559E">
        <w:t xml:space="preserve">95-107. </w:t>
      </w:r>
    </w:p>
  </w:footnote>
  <w:footnote w:id="14">
    <w:p w14:paraId="70A8637C"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w:t>
      </w:r>
      <w:r w:rsidRPr="0070559E">
        <w:rPr>
          <w:i/>
        </w:rPr>
        <w:t xml:space="preserve">Being Given, </w:t>
      </w:r>
      <w:r w:rsidRPr="0070559E">
        <w:t xml:space="preserve">179-247.  </w:t>
      </w:r>
    </w:p>
  </w:footnote>
  <w:footnote w:id="15">
    <w:p w14:paraId="06FD7D45"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‘La Donation en son Herméneutique’, 86, 92. </w:t>
      </w:r>
    </w:p>
  </w:footnote>
  <w:footnote w:id="16">
    <w:p w14:paraId="45BB6A67"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Heideggger, </w:t>
      </w:r>
      <w:r w:rsidRPr="0070559E">
        <w:rPr>
          <w:i/>
        </w:rPr>
        <w:t xml:space="preserve">Being and Time, </w:t>
      </w:r>
      <w:r w:rsidRPr="0070559E">
        <w:t xml:space="preserve">67-77, 424-488. </w:t>
      </w:r>
    </w:p>
  </w:footnote>
  <w:footnote w:id="17">
    <w:p w14:paraId="41EDBCF2"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Martin Heidegger, </w:t>
      </w:r>
      <w:r w:rsidRPr="0070559E">
        <w:rPr>
          <w:i/>
        </w:rPr>
        <w:t xml:space="preserve">On Time and Being </w:t>
      </w:r>
      <w:r w:rsidRPr="0070559E">
        <w:t xml:space="preserve">Joan Stambaugh tr (New York: Harper and Row, 1972). </w:t>
      </w:r>
    </w:p>
  </w:footnote>
  <w:footnote w:id="18">
    <w:p w14:paraId="58766D59"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‘La Donation en son Herméneutique’, 94. </w:t>
      </w:r>
    </w:p>
  </w:footnote>
  <w:footnote w:id="19">
    <w:p w14:paraId="524DDC94" w14:textId="77777777" w:rsidR="00A95F07" w:rsidRPr="0070559E" w:rsidRDefault="00A95F07" w:rsidP="0070559E">
      <w:pPr>
        <w:spacing w:line="480" w:lineRule="auto"/>
        <w:ind w:left="288" w:right="144"/>
        <w:jc w:val="both"/>
      </w:pPr>
      <w:r w:rsidRPr="0070559E">
        <w:rPr>
          <w:rStyle w:val="FootnoteReference"/>
        </w:rPr>
        <w:footnoteRef/>
      </w:r>
      <w:r w:rsidRPr="0070559E">
        <w:t xml:space="preserve"> </w:t>
      </w:r>
      <w:r w:rsidRPr="0070559E">
        <w:rPr>
          <w:i/>
        </w:rPr>
        <w:t>The Erotic Phenomenon, passim.</w:t>
      </w:r>
      <w:r w:rsidRPr="0070559E">
        <w:t xml:space="preserve"> See John Milbank, ‘The Mirror and the Gift: on the Philosophy of Love’, </w:t>
      </w:r>
      <w:r w:rsidRPr="0070559E">
        <w:rPr>
          <w:i/>
        </w:rPr>
        <w:t xml:space="preserve">Counter-Experiences: Reading Jean-Luc Marion </w:t>
      </w:r>
      <w:r w:rsidRPr="0070559E">
        <w:t xml:space="preserve">Kevin Hart ed (Notre Dame IN: Notre Dame University Press, 2007), 253-317. </w:t>
      </w:r>
    </w:p>
  </w:footnote>
  <w:footnote w:id="20">
    <w:p w14:paraId="1013ED2A"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w:t>
      </w:r>
      <w:r w:rsidRPr="0070559E">
        <w:rPr>
          <w:i/>
        </w:rPr>
        <w:t xml:space="preserve">Being Given, </w:t>
      </w:r>
      <w:r w:rsidRPr="0070559E">
        <w:t xml:space="preserve">179-233. </w:t>
      </w:r>
    </w:p>
  </w:footnote>
  <w:footnote w:id="21">
    <w:p w14:paraId="677E1E1A" w14:textId="77777777" w:rsidR="00A95F07" w:rsidRPr="0070559E" w:rsidRDefault="00A95F07" w:rsidP="0070559E">
      <w:pPr>
        <w:spacing w:line="480" w:lineRule="auto"/>
        <w:ind w:left="288" w:right="144"/>
        <w:jc w:val="both"/>
      </w:pPr>
      <w:r w:rsidRPr="0070559E">
        <w:rPr>
          <w:rStyle w:val="FootnoteReference"/>
        </w:rPr>
        <w:footnoteRef/>
      </w:r>
      <w:r w:rsidRPr="0070559E">
        <w:t xml:space="preserve"> John Milbank, </w:t>
      </w:r>
      <w:r w:rsidRPr="0070559E">
        <w:rPr>
          <w:i/>
        </w:rPr>
        <w:t xml:space="preserve">Beyond Secular Order, </w:t>
      </w:r>
      <w:r w:rsidRPr="0070559E">
        <w:t xml:space="preserve">77, n. 136; ‘The Soul of Reciprocity’, </w:t>
      </w:r>
      <w:r w:rsidRPr="0070559E">
        <w:rPr>
          <w:i/>
        </w:rPr>
        <w:t>Intersubjectiveté et Théologie Philosophique</w:t>
      </w:r>
      <w:r w:rsidRPr="0070559E">
        <w:t xml:space="preserve"> M. Olivetti ed (Milan: Cedam, 2001) 349-397; in a longer version, Part One </w:t>
      </w:r>
      <w:r w:rsidRPr="0070559E">
        <w:rPr>
          <w:i/>
        </w:rPr>
        <w:t>Modern Theology</w:t>
      </w:r>
      <w:r w:rsidRPr="0070559E">
        <w:t xml:space="preserve"> (July 2001), 335-391 and Part Two </w:t>
      </w:r>
      <w:r w:rsidRPr="0070559E">
        <w:rPr>
          <w:i/>
        </w:rPr>
        <w:t>Modern Theology</w:t>
      </w:r>
      <w:r w:rsidRPr="0070559E">
        <w:t xml:space="preserve"> (October 2001), 485-509.</w:t>
      </w:r>
    </w:p>
  </w:footnote>
  <w:footnote w:id="22">
    <w:p w14:paraId="6C55ADF9"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Jean-Luc Marion, </w:t>
      </w:r>
      <w:r w:rsidRPr="0070559E">
        <w:rPr>
          <w:i/>
        </w:rPr>
        <w:t xml:space="preserve">Sur la théologie blanche de Descartes </w:t>
      </w:r>
      <w:r w:rsidRPr="0070559E">
        <w:t xml:space="preserve">(Paris: Presses Universitaires de France, 1981), 426-456. </w:t>
      </w:r>
    </w:p>
  </w:footnote>
  <w:footnote w:id="23">
    <w:p w14:paraId="2E002431"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‘La Donation en Son Herméneutique’, 89. </w:t>
      </w:r>
    </w:p>
  </w:footnote>
  <w:footnote w:id="24">
    <w:p w14:paraId="567933A8"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‘La Donation en Son Herméneutique’, 73.</w:t>
      </w:r>
    </w:p>
  </w:footnote>
  <w:footnote w:id="25">
    <w:p w14:paraId="02BF954B" w14:textId="2D8CF2CD"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Bernard Stiegler, </w:t>
      </w:r>
      <w:r w:rsidRPr="0070559E">
        <w:rPr>
          <w:i/>
        </w:rPr>
        <w:t xml:space="preserve">Technics and Time 1; The Fault of Epimetheus </w:t>
      </w:r>
      <w:r w:rsidRPr="0070559E">
        <w:t>Richard Beardsworth and George Collins tr</w:t>
      </w:r>
      <w:r w:rsidR="00897194">
        <w:t>an</w:t>
      </w:r>
      <w:r w:rsidRPr="0070559E">
        <w:t xml:space="preserve">s (Stanford CA: Stanford University Press, 1998). </w:t>
      </w:r>
    </w:p>
  </w:footnote>
  <w:footnote w:id="26">
    <w:p w14:paraId="0ACF08E2"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Graham Harman, </w:t>
      </w:r>
      <w:r w:rsidRPr="0070559E">
        <w:rPr>
          <w:i/>
        </w:rPr>
        <w:t xml:space="preserve">Tool-Being; Heidegger and the Metaphysics of Objects </w:t>
      </w:r>
      <w:r w:rsidRPr="0070559E">
        <w:t>(Chicago: Open Court, 2002)</w:t>
      </w:r>
    </w:p>
  </w:footnote>
  <w:footnote w:id="27">
    <w:p w14:paraId="43948724"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w:t>
      </w:r>
      <w:r w:rsidRPr="0070559E">
        <w:rPr>
          <w:i/>
        </w:rPr>
        <w:t xml:space="preserve">Being Given, </w:t>
      </w:r>
      <w:r w:rsidRPr="0070559E">
        <w:t xml:space="preserve">79-113. </w:t>
      </w:r>
    </w:p>
  </w:footnote>
  <w:footnote w:id="28">
    <w:p w14:paraId="34115406" w14:textId="77777777" w:rsidR="00A95F07" w:rsidRPr="0070559E" w:rsidRDefault="00A95F07" w:rsidP="0070559E">
      <w:pPr>
        <w:pStyle w:val="FootnoteText"/>
        <w:spacing w:line="480" w:lineRule="auto"/>
        <w:ind w:left="288" w:right="144"/>
        <w:jc w:val="both"/>
      </w:pPr>
      <w:r w:rsidRPr="0070559E">
        <w:rPr>
          <w:rStyle w:val="FootnoteReference"/>
        </w:rPr>
        <w:footnoteRef/>
      </w:r>
      <w:r w:rsidRPr="0070559E">
        <w:t xml:space="preserve"> </w:t>
      </w:r>
      <w:r w:rsidRPr="0070559E">
        <w:rPr>
          <w:i/>
        </w:rPr>
        <w:t xml:space="preserve">Being Given, </w:t>
      </w:r>
      <w:r w:rsidRPr="0070559E">
        <w:t xml:space="preserve">248-319.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B707ECA"/>
    <w:multiLevelType w:val="hybridMultilevel"/>
    <w:tmpl w:val="EB8E46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789A71C5"/>
    <w:multiLevelType w:val="hybridMultilevel"/>
    <w:tmpl w:val="C6FA08F2"/>
    <w:lvl w:ilvl="0" w:tplc="1590A8C2">
      <w:start w:val="1"/>
      <w:numFmt w:val="decimal"/>
      <w:lvlText w:val="%1."/>
      <w:lvlJc w:val="left"/>
      <w:pPr>
        <w:ind w:left="720" w:hanging="360"/>
      </w:pPr>
      <w:rPr>
        <w:rFonts w:hint="default"/>
        <w: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6"/>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5F07"/>
    <w:rsid w:val="0001203C"/>
    <w:rsid w:val="000D23AB"/>
    <w:rsid w:val="00163450"/>
    <w:rsid w:val="00173F45"/>
    <w:rsid w:val="003F61A5"/>
    <w:rsid w:val="004F432A"/>
    <w:rsid w:val="00500CBB"/>
    <w:rsid w:val="00570423"/>
    <w:rsid w:val="005D367A"/>
    <w:rsid w:val="006676D5"/>
    <w:rsid w:val="006D0BEF"/>
    <w:rsid w:val="0070559E"/>
    <w:rsid w:val="00897194"/>
    <w:rsid w:val="009C5F9B"/>
    <w:rsid w:val="009D2CD8"/>
    <w:rsid w:val="00A40324"/>
    <w:rsid w:val="00A95F07"/>
    <w:rsid w:val="00AF3C65"/>
    <w:rsid w:val="00C0128F"/>
    <w:rsid w:val="00C8496B"/>
    <w:rsid w:val="00E91151"/>
    <w:rsid w:val="00F25C3D"/>
    <w:rsid w:val="00F677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021722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5F07"/>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897194"/>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A95F07"/>
  </w:style>
  <w:style w:type="character" w:customStyle="1" w:styleId="FootnoteTextChar">
    <w:name w:val="Footnote Text Char"/>
    <w:basedOn w:val="DefaultParagraphFont"/>
    <w:link w:val="FootnoteText"/>
    <w:rsid w:val="00A95F07"/>
    <w:rPr>
      <w:rFonts w:ascii="Times New Roman" w:eastAsia="Times New Roman" w:hAnsi="Times New Roman" w:cs="Times New Roman"/>
      <w:lang w:eastAsia="en-GB"/>
    </w:rPr>
  </w:style>
  <w:style w:type="character" w:styleId="FootnoteReference">
    <w:name w:val="footnote reference"/>
    <w:uiPriority w:val="99"/>
    <w:rsid w:val="00A95F07"/>
    <w:rPr>
      <w:vertAlign w:val="superscript"/>
    </w:rPr>
  </w:style>
  <w:style w:type="paragraph" w:styleId="ListParagraph">
    <w:name w:val="List Paragraph"/>
    <w:basedOn w:val="Normal"/>
    <w:uiPriority w:val="34"/>
    <w:qFormat/>
    <w:rsid w:val="00A95F07"/>
    <w:pPr>
      <w:ind w:left="720"/>
      <w:contextualSpacing/>
    </w:pPr>
  </w:style>
  <w:style w:type="paragraph" w:styleId="Footer">
    <w:name w:val="footer"/>
    <w:basedOn w:val="Normal"/>
    <w:link w:val="FooterChar"/>
    <w:uiPriority w:val="99"/>
    <w:unhideWhenUsed/>
    <w:rsid w:val="004F432A"/>
    <w:pPr>
      <w:tabs>
        <w:tab w:val="center" w:pos="4513"/>
        <w:tab w:val="right" w:pos="9026"/>
      </w:tabs>
    </w:pPr>
  </w:style>
  <w:style w:type="character" w:customStyle="1" w:styleId="FooterChar">
    <w:name w:val="Footer Char"/>
    <w:basedOn w:val="DefaultParagraphFont"/>
    <w:link w:val="Footer"/>
    <w:uiPriority w:val="99"/>
    <w:rsid w:val="004F432A"/>
    <w:rPr>
      <w:rFonts w:ascii="Times New Roman" w:eastAsia="Times New Roman" w:hAnsi="Times New Roman" w:cs="Times New Roman"/>
      <w:lang w:eastAsia="en-GB"/>
    </w:rPr>
  </w:style>
  <w:style w:type="character" w:styleId="PageNumber">
    <w:name w:val="page number"/>
    <w:basedOn w:val="DefaultParagraphFont"/>
    <w:uiPriority w:val="99"/>
    <w:semiHidden/>
    <w:unhideWhenUsed/>
    <w:rsid w:val="004F432A"/>
  </w:style>
  <w:style w:type="character" w:customStyle="1" w:styleId="Heading1Char">
    <w:name w:val="Heading 1 Char"/>
    <w:basedOn w:val="DefaultParagraphFont"/>
    <w:link w:val="Heading1"/>
    <w:uiPriority w:val="9"/>
    <w:rsid w:val="00897194"/>
    <w:rPr>
      <w:rFonts w:asciiTheme="majorHAnsi" w:eastAsiaTheme="majorEastAsia" w:hAnsiTheme="majorHAnsi" w:cstheme="majorBidi"/>
      <w:color w:val="2E74B5" w:themeColor="accent1" w:themeShade="BF"/>
      <w:sz w:val="32"/>
      <w:szCs w:val="3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2645312">
      <w:bodyDiv w:val="1"/>
      <w:marLeft w:val="0"/>
      <w:marRight w:val="0"/>
      <w:marTop w:val="0"/>
      <w:marBottom w:val="0"/>
      <w:divBdr>
        <w:top w:val="none" w:sz="0" w:space="0" w:color="auto"/>
        <w:left w:val="none" w:sz="0" w:space="0" w:color="auto"/>
        <w:bottom w:val="none" w:sz="0" w:space="0" w:color="auto"/>
        <w:right w:val="none" w:sz="0" w:space="0" w:color="auto"/>
      </w:divBdr>
    </w:div>
    <w:div w:id="194106317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25</Pages>
  <Words>5591</Words>
  <Characters>29413</Characters>
  <Application>Microsoft Macintosh Word</Application>
  <DocSecurity>0</DocSecurity>
  <Lines>414</Lines>
  <Paragraphs>52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34952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Pickstock</dc:creator>
  <cp:keywords/>
  <dc:description/>
  <cp:lastModifiedBy>Catherine Pickstock</cp:lastModifiedBy>
  <cp:revision>2</cp:revision>
  <dcterms:created xsi:type="dcterms:W3CDTF">2020-03-03T13:36:00Z</dcterms:created>
  <dcterms:modified xsi:type="dcterms:W3CDTF">2020-03-03T13:36:00Z</dcterms:modified>
</cp:coreProperties>
</file>