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790E5B" w14:textId="77777777" w:rsidR="005D52C6" w:rsidRDefault="005D52C6" w:rsidP="00E77F9F">
      <w:pPr>
        <w:pStyle w:val="Titel"/>
        <w:rPr>
          <w:lang w:val="en-US"/>
        </w:rPr>
      </w:pPr>
      <w:r>
        <w:rPr>
          <w:lang w:val="en-US"/>
        </w:rPr>
        <w:t>ESGE Position Statement on Barrett’s Esophagus</w:t>
      </w:r>
    </w:p>
    <w:p w14:paraId="5358176A" w14:textId="235DA5EA" w:rsidR="00E50465" w:rsidRPr="00E50465" w:rsidRDefault="00E50465" w:rsidP="00E50465">
      <w:pPr>
        <w:rPr>
          <w:lang w:val="en-US"/>
        </w:rPr>
      </w:pPr>
      <w:r>
        <w:rPr>
          <w:lang w:val="en-US"/>
        </w:rPr>
        <w:t xml:space="preserve">Bas Weusten, Raf Bisschops, Emanuel Coron, </w:t>
      </w:r>
      <w:r w:rsidR="0028182E">
        <w:rPr>
          <w:lang w:val="en-US"/>
        </w:rPr>
        <w:t>Mário Denis-</w:t>
      </w:r>
      <w:r w:rsidR="000C0A75">
        <w:rPr>
          <w:lang w:val="en-US"/>
        </w:rPr>
        <w:t xml:space="preserve">Rebeiro, </w:t>
      </w:r>
      <w:r>
        <w:rPr>
          <w:lang w:val="en-US"/>
        </w:rPr>
        <w:t xml:space="preserve">Jean-Marc Dumonceau, </w:t>
      </w:r>
      <w:r w:rsidR="000C0A75">
        <w:rPr>
          <w:lang w:val="en-US"/>
        </w:rPr>
        <w:t xml:space="preserve">José-Miguel Estebán, Cesare Hassan, Oliver Pech, </w:t>
      </w:r>
      <w:r w:rsidR="00E44B9D">
        <w:rPr>
          <w:lang w:val="en-US"/>
        </w:rPr>
        <w:t>Jacques Bergman, Massimiliano Di Piedro</w:t>
      </w:r>
    </w:p>
    <w:p w14:paraId="72288868" w14:textId="77777777" w:rsidR="005D52C6" w:rsidRDefault="005D52C6">
      <w:pPr>
        <w:rPr>
          <w:lang w:val="en-US"/>
        </w:rPr>
      </w:pPr>
    </w:p>
    <w:p w14:paraId="1805E556" w14:textId="77777777" w:rsidR="005D52C6" w:rsidRPr="00E77F9F" w:rsidRDefault="00E77F9F">
      <w:pPr>
        <w:rPr>
          <w:b/>
          <w:lang w:val="en-US"/>
        </w:rPr>
      </w:pPr>
      <w:r w:rsidRPr="00E77F9F">
        <w:rPr>
          <w:b/>
          <w:lang w:val="en-US"/>
        </w:rPr>
        <w:t>Introduction</w:t>
      </w:r>
    </w:p>
    <w:p w14:paraId="353BC8EB" w14:textId="20CBF16C" w:rsidR="009579D6" w:rsidRPr="00E77F9F" w:rsidRDefault="008204ED" w:rsidP="00E77F9F">
      <w:pPr>
        <w:rPr>
          <w:lang w:val="en-US"/>
        </w:rPr>
      </w:pPr>
      <w:r>
        <w:rPr>
          <w:lang w:val="en-US"/>
        </w:rPr>
        <w:t>Barrett’s esophagus (</w:t>
      </w:r>
      <w:r w:rsidR="006718C5" w:rsidRPr="00E77F9F">
        <w:rPr>
          <w:lang w:val="en-US"/>
        </w:rPr>
        <w:t>BE</w:t>
      </w:r>
      <w:r>
        <w:rPr>
          <w:lang w:val="en-US"/>
        </w:rPr>
        <w:t>)</w:t>
      </w:r>
      <w:r w:rsidR="006718C5" w:rsidRPr="00E77F9F">
        <w:rPr>
          <w:lang w:val="en-US"/>
        </w:rPr>
        <w:t xml:space="preserve"> is a </w:t>
      </w:r>
      <w:r w:rsidR="009579D6" w:rsidRPr="00E77F9F">
        <w:rPr>
          <w:lang w:val="en-US"/>
        </w:rPr>
        <w:t xml:space="preserve">premalignant </w:t>
      </w:r>
      <w:r w:rsidR="00EB1973">
        <w:rPr>
          <w:lang w:val="en-US"/>
        </w:rPr>
        <w:t>condition</w:t>
      </w:r>
      <w:r w:rsidR="00EB1973" w:rsidRPr="00E77F9F">
        <w:rPr>
          <w:lang w:val="en-US"/>
        </w:rPr>
        <w:t xml:space="preserve"> </w:t>
      </w:r>
      <w:r w:rsidR="009579D6" w:rsidRPr="00E77F9F">
        <w:rPr>
          <w:lang w:val="en-US"/>
        </w:rPr>
        <w:t xml:space="preserve">predisposing to </w:t>
      </w:r>
      <w:r>
        <w:rPr>
          <w:lang w:val="en-US"/>
        </w:rPr>
        <w:t>esophageal adenocarcinoma</w:t>
      </w:r>
      <w:r w:rsidR="00E048F9">
        <w:rPr>
          <w:lang w:val="en-US"/>
        </w:rPr>
        <w:t xml:space="preserve"> (EAC)</w:t>
      </w:r>
      <w:r w:rsidR="009579D6" w:rsidRPr="00E77F9F">
        <w:rPr>
          <w:lang w:val="en-US"/>
        </w:rPr>
        <w:t xml:space="preserve">. </w:t>
      </w:r>
      <w:r w:rsidR="00EB1973">
        <w:rPr>
          <w:lang w:val="en-US"/>
        </w:rPr>
        <w:t xml:space="preserve">Despite the risk of cancer progression is small and estimated at around 0.3% per year </w:t>
      </w:r>
      <w:r w:rsidR="00E048F9">
        <w:rPr>
          <w:lang w:val="en-US"/>
        </w:rPr>
        <w:fldChar w:fldCharType="begin" w:fldLock="1"/>
      </w:r>
      <w:r w:rsidR="004F4AB6">
        <w:rPr>
          <w:lang w:val="en-US"/>
        </w:rPr>
        <w:instrText>ADDIN CSL_CITATION { "citationItems" : [ { "id" : "ITEM-1", "itemData" : { "DOI" : "10.1136/gutjnl-2011-300730", "ISSN" : "1468-3288", "PMID" : "21997553", "abstract" : "INTRODUCTION: The risk of oesophageal adenocarcinoma (OAC) in non-dysplastic Barrett's oesophagus (BO) may have been overestimated. The objective was to estimate the incidence of OAC in patients with BO without dysplasia.\n\nMETHODS: The authors searched MEDLINE and EMBASE from 1966 to 2011 and performed a bibliographic review of previous publications, excluding abstracts, non-peer-reviewed publications and those not published in English, for prospective or retrospective studies of the incidence of OAC in patients with BO. They excluded patients with any degree of dysplasia at baseline and those without documented intestinal metaplasia. Studies were independently reviewed by two individuals. 57 of 3450 studies were included. The authors extracted information on number of patients with BO, length of follow-up, incident cases of OAC, mean age of patients, country of origin, whether prospective or retrospective, mean length of BO segments and mortality from causes other than OAC. Study quality was assessed by the Ottawa Newcastle criteria.\n\nRESULTS: The 57 included studies comprised 11,434 patients and 58,547 patient-years of follow-up. The pooled annual incidence of OAC was 0.33% (95% CI 0.28% to 0.38%). Among 16 studies that provided appropriate information on mortality, there were 56 incident cases of OAC but 684 deaths from apparently unrelated causes. Among 16 studies that provided information on patients with short-segment BO, the annual incidence of OAC was only 0.19%.\n\nCONCLUSIONS: The incidence of OAC in non-dysplastic BO is around 1 per 300 patients per year. The incidence of OAC in short-segment BO is under 1 per 500 patients per year.", "author" : [ { "dropping-particle" : "", "family" : "Desai", "given" : "Tusar K", "non-dropping-particle" : "", "parse-names" : false, "suffix" : "" }, { "dropping-particle" : "", "family" : "Krishnan", "given" : "Kumar", "non-dropping-particle" : "", "parse-names" : false, "suffix" : "" }, { "dropping-particle" : "", "family" : "Samala", "given" : "Niharika", "non-dropping-particle" : "", "parse-names" : false, "suffix" : "" }, { "dropping-particle" : "", "family" : "Singh", "given" : "Jashanpreet", "non-dropping-particle" : "", "parse-names" : false, "suffix" : "" }, { "dropping-particle" : "", "family" : "Cluley", "given" : "John", "non-dropping-particle" : "", "parse-names" : false, "suffix" : "" }, { "dropping-particle" : "", "family" : "Perla", "given" : "Subaiah", "non-dropping-particle" : "", "parse-names" : false, "suffix" : "" }, { "dropping-particle" : "", "family" : "Howden", "given" : "Colin W", "non-dropping-particle" : "", "parse-names" : false, "suffix" : "" } ], "container-title" : "Gut", "id" : "ITEM-1", "issue" : "7", "issued" : { "date-parts" : [ [ "2012", "7" ] ] }, "page" : "970-6", "title" : "The incidence of oesophageal adenocarcinoma in non-dysplastic Barrett's oesophagus: a meta-analysis.", "type" : "article-journal", "volume" : "61" }, "uris" : [ "http://www.mendeley.com/documents/?uuid=22ffc867-4375-4741-a389-0cd6e2d9feb3" ] } ], "mendeley" : { "formattedCitation" : "(1)", "plainTextFormattedCitation" : "(1)", "previouslyFormattedCitation" : "(1)" }, "properties" : { "noteIndex" : 0 }, "schema" : "https://github.com/citation-style-language/schema/raw/master/csl-citation.json" }</w:instrText>
      </w:r>
      <w:r w:rsidR="00E048F9">
        <w:rPr>
          <w:lang w:val="en-US"/>
        </w:rPr>
        <w:fldChar w:fldCharType="separate"/>
      </w:r>
      <w:r w:rsidR="00E048F9" w:rsidRPr="00E048F9">
        <w:rPr>
          <w:noProof/>
          <w:lang w:val="en-US"/>
        </w:rPr>
        <w:t>(1)</w:t>
      </w:r>
      <w:r w:rsidR="00E048F9">
        <w:rPr>
          <w:lang w:val="en-US"/>
        </w:rPr>
        <w:fldChar w:fldCharType="end"/>
      </w:r>
      <w:r w:rsidR="00EB1973">
        <w:rPr>
          <w:lang w:val="en-US"/>
        </w:rPr>
        <w:t xml:space="preserve">, in </w:t>
      </w:r>
      <w:r w:rsidR="00EB1973" w:rsidRPr="00E77F9F">
        <w:rPr>
          <w:lang w:val="en-US"/>
        </w:rPr>
        <w:t>most countries</w:t>
      </w:r>
      <w:r w:rsidR="009579D6" w:rsidRPr="00E77F9F">
        <w:rPr>
          <w:lang w:val="en-US"/>
        </w:rPr>
        <w:t xml:space="preserve"> patients with BE are </w:t>
      </w:r>
      <w:r w:rsidR="00EB1973">
        <w:rPr>
          <w:lang w:val="en-US"/>
        </w:rPr>
        <w:t>managed with</w:t>
      </w:r>
      <w:r w:rsidR="00EB1973" w:rsidRPr="00E77F9F">
        <w:rPr>
          <w:lang w:val="en-US"/>
        </w:rPr>
        <w:t xml:space="preserve"> </w:t>
      </w:r>
      <w:r w:rsidR="009579D6" w:rsidRPr="00E77F9F">
        <w:rPr>
          <w:lang w:val="en-US"/>
        </w:rPr>
        <w:t>endoscopic surveillance at regular intervals</w:t>
      </w:r>
      <w:r w:rsidR="00EB1973">
        <w:rPr>
          <w:lang w:val="en-US"/>
        </w:rPr>
        <w:t>. This practice is supported by several recent reports that indicate that a previous surveillance for B</w:t>
      </w:r>
      <w:r w:rsidR="00E048F9">
        <w:rPr>
          <w:lang w:val="en-US"/>
        </w:rPr>
        <w:t>E</w:t>
      </w:r>
      <w:r w:rsidR="00EB1973">
        <w:rPr>
          <w:lang w:val="en-US"/>
        </w:rPr>
        <w:t xml:space="preserve"> in patients with </w:t>
      </w:r>
      <w:r w:rsidR="00E048F9">
        <w:rPr>
          <w:lang w:val="en-US"/>
        </w:rPr>
        <w:t>E</w:t>
      </w:r>
      <w:r w:rsidR="00EB1973">
        <w:rPr>
          <w:lang w:val="en-US"/>
        </w:rPr>
        <w:t>AC associates to improved outcome</w:t>
      </w:r>
      <w:r w:rsidR="004F4AB6">
        <w:rPr>
          <w:lang w:val="en-US"/>
        </w:rPr>
        <w:t xml:space="preserve"> </w:t>
      </w:r>
      <w:r w:rsidR="004F4AB6">
        <w:rPr>
          <w:lang w:val="en-US"/>
        </w:rPr>
        <w:fldChar w:fldCharType="begin" w:fldLock="1"/>
      </w:r>
      <w:r w:rsidR="00932989">
        <w:rPr>
          <w:lang w:val="en-US"/>
        </w:rPr>
        <w:instrText>ADDIN CSL_CITATION { "citationItems" : [ { "id" : "ITEM-1", "itemData" : { "DOI" : "10.1038/ajg.2014.156", "ISSN" : "1572-0241", "PMID" : "24980881", "abstract" : "OBJECTIVES: Barrett's esophagus (BE) is associated with an increased risk of developing esophageal adenocarcinoma (EAC). Patients with a known diagnosis of BE are usually advised to participate in an endoscopic surveillance program, but its clinical value is unproven. Our objective was to compare patients participating in a surveillance program for BE before EAC diagnosis with those not participating in such a program, and to determine predictive factors for mortality from EAC.\n\nMETHODS: All patients diagnosed with EAC between 1999 and 2009 were identified in the nationwide Netherlands Cancer Registry. These data were linked to Pathologisch-Anatomisch Landelijk Geautomatiseerd Archief, the Dutch Pathology Registry. Prior surveillance was evaluated, and multivariable Cox proportional hazards regression analysis was performed to identify predictors for all-cause mortality at 2-year and 5-year follow-up.\n\nRESULTS: In total, 9,780 EAC patients were included. Of these, 791 (8%) patients were known with a prior diagnosis of BE, of which 452 (57%) patients participated in an adequate endoscopic surveillance program, 120 (15%) patients in an inadequate program, and 219 (28%) patients had a prior BE diagnosis without participating. Two-year (and five-year) mortality rates were lower in patients undergoing adequate surveillance (adjusted hazard ratio (HR)=0.79, 95% confidence interval (CI)=0.64-0.92) when compared with patients with a prior BE diagnosis who were not participating. Other factors associated with lower mortality from EAC were lower tumor stage (stage I vs. IV, HR=0.19, 95% CI=0.16-0.23) and combining surgery with neoadjuvant chemo/radiotherapy (HR=0.66, 95% CI=0.58-0.76).\n\nCONCLUSIONS: Participation in a surveillance program for BE, but only if adequately performed, reduces mortality from EAC. Nevertheless, it remains to be determined whether such a program is cost-effective, as more than 90% of all EAC patients were not known to have BE before diagnosis.", "author" : [ { "dropping-particle" : "", "family" : "Verbeek", "given" : "Romy E", "non-dropping-particle" : "", "parse-names" : false, "suffix" : "" }, { "dropping-particle" : "", "family" : "Leenders", "given" : "Max", "non-dropping-particle" : "", "parse-names" : false, "suffix" : "" }, { "dropping-particle" : "", "family" : "Kate", "given" : "Fiebo J W", "non-dropping-particle" : "Ten", "parse-names" : false, "suffix" : "" }, { "dropping-particle" : "", "family" : "Hillegersberg", "given" : "Richard", "non-dropping-particle" : "van", "parse-names" : false, "suffix" : "" }, { "dropping-particle" : "", "family" : "Vleggaar", "given" : "Frank P", "non-dropping-particle" : "", "parse-names" : false, "suffix" : "" }, { "dropping-particle" : "", "family" : "Baal", "given" : "Jantine W P M", "non-dropping-particle" : "van", "parse-names" : false, "suffix" : "" }, { "dropping-particle" : "", "family" : "Oijen", "given" : "Martijn G H", "non-dropping-particle" : "van", "parse-names" : false, "suffix" : "" }, { "dropping-particle" : "", "family" : "Siersema", "given" : "Peter D", "non-dropping-particle" : "", "parse-names" : false, "suffix" : "" } ], "container-title" : "The American journal of gastroenterology", "id" : "ITEM-1", "issue" : "8", "issued" : { "date-parts" : [ [ "2014", "8" ] ] }, "page" : "1215-22", "title" : "Surveillance of Barrett's esophagus and mortality from esophageal adenocarcinoma: a population-based cohort study.", "type" : "article-journal", "volume" : "109" }, "uris" : [ "http://www.mendeley.com/documents/?uuid=1402d9d2-5359-4baa-a48a-2d7ed352fe2c" ] }, { "id" : "ITEM-2", "itemData" : { "DOI" : "10.1136/gutjnl-2014-308802", "ISSN" : "1468-3288", "PMID" : "25903690", "abstract" : "OBJECTIVE: Endoscopic surveillance for Barrett's oesophagus (BO) is under discussion given the overall low incidence of neoplastic progression and lack of evidence that it prevents advanced oesophageal adenocarcinoma (OAC). The aim of this study was to evaluate the impact of endoscopic BO surveillance on tumour stage and survival of patients with neoplastic progression.\n\nDESIGN: 783 patients with BO of at least 2\u2005cm were included in a multicentre prospective cohort and followed during surveillance according to the American College of Gastroenterology guidelines. Cases of high-grade dysplasia and OAC were identified during follow-up. OAC staging was performed according to the 7th UICC-AJCC classification. Survival data were collected and crosschecked using death and municipal registries. Data from patients with OAC in the general population were obtained from the Dutch cancer registry. We compared survival of patients with BO with neoplastic progression during surveillance with those of patients without neoplastic progression and patients with OAC in the general population.\n\nRESULTS: 53 patients with BO developed high-grade dysplasia or OAC during surveillance. Thirty-five (66%) were classified as stage 0, 14 (26%) as stage 1 and 4 (8%) as stage 2. OAC was diagnosed at an earlier stage during BO surveillance than in the general population (p&lt;0.001). Survival of patients with BO with neoplastic progression was not significantly worse than those of patients without neoplastic progression and similar to survival of patients with stage 0 or stage 1 OAC in the general population.\n\nCONCLUSIONS: OAC is detected at an earlier stage during BO surveillance than in the general population with good survival rates.", "author" : [ { "dropping-particle" : "", "family" : "Kastelein", "given" : "F", "non-dropping-particle" : "", "parse-names" : false, "suffix" : "" }, { "dropping-particle" : "", "family" : "Olphen", "given" : "S H", "non-dropping-particle" : "van", "parse-names" : false, "suffix" : "" }, { "dropping-particle" : "", "family" : "Steyerberg", "given" : "E W", "non-dropping-particle" : "", "parse-names" : false, "suffix" : "" }, { "dropping-particle" : "", "family" : "Spaander", "given" : "M C W", "non-dropping-particle" : "", "parse-names" : false, "suffix" : "" }, { "dropping-particle" : "", "family" : "Bruno", "given" : "M J", "non-dropping-particle" : "", "parse-names" : false, "suffix" : "" } ], "container-title" : "Gut", "id" : "ITEM-2", "issue" : "4", "issued" : { "date-parts" : [ [ "2016", "4" ] ] }, "page" : "548-54", "title" : "Impact of surveillance for Barrett's oesophagus on tumour stage and survival of patients with neoplastic progression.", "type" : "article-journal", "volume" : "65" }, "uris" : [ "http://www.mendeley.com/documents/?uuid=a6e5b554-ffbf-4be5-8ee7-7a658378b89d" ] } ], "mendeley" : { "formattedCitation" : "(2,3)", "plainTextFormattedCitation" : "(2,3)", "previouslyFormattedCitation" : "(2,3)" }, "properties" : { "noteIndex" : 0 }, "schema" : "https://github.com/citation-style-language/schema/raw/master/csl-citation.json" }</w:instrText>
      </w:r>
      <w:r w:rsidR="004F4AB6">
        <w:rPr>
          <w:lang w:val="en-US"/>
        </w:rPr>
        <w:fldChar w:fldCharType="separate"/>
      </w:r>
      <w:r w:rsidR="004F4AB6" w:rsidRPr="004F4AB6">
        <w:rPr>
          <w:noProof/>
          <w:lang w:val="en-US"/>
        </w:rPr>
        <w:t>(2,3)</w:t>
      </w:r>
      <w:r w:rsidR="004F4AB6">
        <w:rPr>
          <w:lang w:val="en-US"/>
        </w:rPr>
        <w:fldChar w:fldCharType="end"/>
      </w:r>
      <w:r w:rsidR="00EB1973">
        <w:rPr>
          <w:lang w:val="en-US"/>
        </w:rPr>
        <w:t xml:space="preserve">. However, </w:t>
      </w:r>
      <w:r w:rsidR="009579D6" w:rsidRPr="00E77F9F">
        <w:rPr>
          <w:lang w:val="en-US"/>
        </w:rPr>
        <w:t>th</w:t>
      </w:r>
      <w:r w:rsidR="00EB1973">
        <w:rPr>
          <w:lang w:val="en-US"/>
        </w:rPr>
        <w:t>is practice</w:t>
      </w:r>
      <w:r w:rsidR="009579D6" w:rsidRPr="00E77F9F">
        <w:rPr>
          <w:lang w:val="en-US"/>
        </w:rPr>
        <w:t xml:space="preserve"> </w:t>
      </w:r>
      <w:r w:rsidR="006718C5" w:rsidRPr="00E77F9F">
        <w:rPr>
          <w:lang w:val="en-US"/>
        </w:rPr>
        <w:t>impos</w:t>
      </w:r>
      <w:r w:rsidR="009579D6" w:rsidRPr="00E77F9F">
        <w:rPr>
          <w:lang w:val="en-US"/>
        </w:rPr>
        <w:t>es</w:t>
      </w:r>
      <w:r w:rsidR="006718C5" w:rsidRPr="00E77F9F">
        <w:rPr>
          <w:lang w:val="en-US"/>
        </w:rPr>
        <w:t xml:space="preserve"> a </w:t>
      </w:r>
      <w:r w:rsidR="009579D6" w:rsidRPr="00E77F9F">
        <w:rPr>
          <w:lang w:val="en-US"/>
        </w:rPr>
        <w:t xml:space="preserve">significant </w:t>
      </w:r>
      <w:r w:rsidR="00CF1EED" w:rsidRPr="00E77F9F">
        <w:rPr>
          <w:lang w:val="en-US"/>
        </w:rPr>
        <w:t xml:space="preserve">demand </w:t>
      </w:r>
      <w:r w:rsidR="009579D6" w:rsidRPr="00E77F9F">
        <w:rPr>
          <w:lang w:val="en-US"/>
        </w:rPr>
        <w:t xml:space="preserve">on GI endoscopy facilities </w:t>
      </w:r>
      <w:r w:rsidR="00CF1EED" w:rsidRPr="00E77F9F">
        <w:rPr>
          <w:lang w:val="en-US"/>
        </w:rPr>
        <w:t xml:space="preserve">and </w:t>
      </w:r>
      <w:r w:rsidR="006718C5" w:rsidRPr="00E77F9F">
        <w:rPr>
          <w:lang w:val="en-US"/>
        </w:rPr>
        <w:t>health care resources</w:t>
      </w:r>
      <w:r w:rsidR="009579D6" w:rsidRPr="00E77F9F">
        <w:rPr>
          <w:lang w:val="en-US"/>
        </w:rPr>
        <w:t xml:space="preserve">. </w:t>
      </w:r>
    </w:p>
    <w:p w14:paraId="5197AD72" w14:textId="3B6C37A6" w:rsidR="005D52C6" w:rsidRPr="00E77F9F" w:rsidRDefault="00EF251B" w:rsidP="00E77F9F">
      <w:pPr>
        <w:rPr>
          <w:lang w:val="en-US"/>
        </w:rPr>
      </w:pPr>
      <w:r w:rsidRPr="00E77F9F">
        <w:rPr>
          <w:lang w:val="en-US"/>
        </w:rPr>
        <w:t xml:space="preserve">This ESGE </w:t>
      </w:r>
      <w:r w:rsidR="00111B85">
        <w:rPr>
          <w:lang w:val="en-US"/>
        </w:rPr>
        <w:t>P</w:t>
      </w:r>
      <w:r w:rsidRPr="00E77F9F">
        <w:rPr>
          <w:lang w:val="en-US"/>
        </w:rPr>
        <w:t xml:space="preserve">osition </w:t>
      </w:r>
      <w:r w:rsidR="00111B85">
        <w:rPr>
          <w:lang w:val="en-US"/>
        </w:rPr>
        <w:t>S</w:t>
      </w:r>
      <w:r w:rsidRPr="00E77F9F">
        <w:rPr>
          <w:lang w:val="en-US"/>
        </w:rPr>
        <w:t xml:space="preserve">tatement is intended to assist endoscopists </w:t>
      </w:r>
      <w:r w:rsidR="006718C5" w:rsidRPr="00E77F9F">
        <w:rPr>
          <w:lang w:val="en-US"/>
        </w:rPr>
        <w:t xml:space="preserve">in </w:t>
      </w:r>
      <w:r w:rsidRPr="00E77F9F">
        <w:rPr>
          <w:lang w:val="en-US"/>
        </w:rPr>
        <w:t>provid</w:t>
      </w:r>
      <w:r w:rsidR="006718C5" w:rsidRPr="00E77F9F">
        <w:rPr>
          <w:lang w:val="en-US"/>
        </w:rPr>
        <w:t xml:space="preserve">ing the most optimal </w:t>
      </w:r>
      <w:r w:rsidRPr="00E77F9F">
        <w:rPr>
          <w:lang w:val="en-US"/>
        </w:rPr>
        <w:t xml:space="preserve">care to patients with BE and BE related </w:t>
      </w:r>
      <w:r w:rsidR="000F0CED">
        <w:rPr>
          <w:lang w:val="en-US"/>
        </w:rPr>
        <w:t>early neoplasia</w:t>
      </w:r>
      <w:r w:rsidRPr="00E77F9F">
        <w:rPr>
          <w:lang w:val="en-US"/>
        </w:rPr>
        <w:t xml:space="preserve">. </w:t>
      </w:r>
      <w:r w:rsidR="002F4428" w:rsidRPr="00E77F9F">
        <w:rPr>
          <w:lang w:val="en-US"/>
        </w:rPr>
        <w:t xml:space="preserve">In this, we wished to deliver a practical guide more than a scientific document. </w:t>
      </w:r>
      <w:r w:rsidR="000F0CED">
        <w:rPr>
          <w:lang w:val="en-US"/>
        </w:rPr>
        <w:t>T</w:t>
      </w:r>
      <w:r w:rsidR="000F0CED" w:rsidRPr="00E77F9F">
        <w:rPr>
          <w:lang w:val="en-US"/>
        </w:rPr>
        <w:t xml:space="preserve">his Position Statement </w:t>
      </w:r>
      <w:r w:rsidR="000F0CED">
        <w:rPr>
          <w:lang w:val="en-US"/>
        </w:rPr>
        <w:t xml:space="preserve">also </w:t>
      </w:r>
      <w:r w:rsidR="000F0CED" w:rsidRPr="00E77F9F">
        <w:rPr>
          <w:lang w:val="en-US"/>
        </w:rPr>
        <w:t xml:space="preserve">aims to </w:t>
      </w:r>
      <w:r w:rsidR="000F0CED">
        <w:rPr>
          <w:lang w:val="en-US"/>
        </w:rPr>
        <w:t xml:space="preserve">contribute to a more </w:t>
      </w:r>
      <w:r w:rsidR="000F0CED" w:rsidRPr="00E77F9F">
        <w:rPr>
          <w:lang w:val="en-US"/>
        </w:rPr>
        <w:t xml:space="preserve">cost-effective </w:t>
      </w:r>
      <w:r w:rsidR="000F0CED">
        <w:rPr>
          <w:lang w:val="en-US"/>
        </w:rPr>
        <w:t>approach to the care of</w:t>
      </w:r>
      <w:r w:rsidR="000F0CED" w:rsidRPr="00E77F9F">
        <w:rPr>
          <w:lang w:val="en-US"/>
        </w:rPr>
        <w:t xml:space="preserve"> patients with BE</w:t>
      </w:r>
      <w:r w:rsidR="000F0CED">
        <w:rPr>
          <w:lang w:val="en-US"/>
        </w:rPr>
        <w:t>, through</w:t>
      </w:r>
      <w:r w:rsidR="009579D6" w:rsidRPr="00E77F9F">
        <w:rPr>
          <w:lang w:val="en-US"/>
        </w:rPr>
        <w:t xml:space="preserve"> </w:t>
      </w:r>
      <w:r w:rsidR="000F0CED">
        <w:rPr>
          <w:lang w:val="en-US"/>
        </w:rPr>
        <w:t>reduction of</w:t>
      </w:r>
      <w:r w:rsidR="000F0CED" w:rsidRPr="00E77F9F">
        <w:rPr>
          <w:lang w:val="en-US"/>
        </w:rPr>
        <w:t xml:space="preserve"> </w:t>
      </w:r>
      <w:r w:rsidR="009579D6" w:rsidRPr="00E77F9F">
        <w:rPr>
          <w:lang w:val="en-US"/>
        </w:rPr>
        <w:t>the number of surveillance endoscopies for patients with a low risk o</w:t>
      </w:r>
      <w:r w:rsidR="00E77F9F">
        <w:rPr>
          <w:lang w:val="en-US"/>
        </w:rPr>
        <w:t>f</w:t>
      </w:r>
      <w:r w:rsidR="009579D6" w:rsidRPr="00E77F9F">
        <w:rPr>
          <w:lang w:val="en-US"/>
        </w:rPr>
        <w:t xml:space="preserve"> malignant transformation</w:t>
      </w:r>
      <w:r w:rsidR="00E26106">
        <w:rPr>
          <w:lang w:val="en-US"/>
        </w:rPr>
        <w:t>,</w:t>
      </w:r>
      <w:r w:rsidR="000F0CED">
        <w:rPr>
          <w:lang w:val="en-US"/>
        </w:rPr>
        <w:t xml:space="preserve"> and </w:t>
      </w:r>
      <w:r w:rsidR="00CF1EED" w:rsidRPr="00E77F9F">
        <w:rPr>
          <w:lang w:val="en-US"/>
        </w:rPr>
        <w:t xml:space="preserve"> centralization of </w:t>
      </w:r>
      <w:r w:rsidR="009579D6" w:rsidRPr="00E77F9F">
        <w:rPr>
          <w:lang w:val="en-US"/>
        </w:rPr>
        <w:t>the care for those with higher progression rates</w:t>
      </w:r>
      <w:r w:rsidR="00E26106">
        <w:rPr>
          <w:lang w:val="en-US"/>
        </w:rPr>
        <w:t>.</w:t>
      </w:r>
      <w:r w:rsidR="009579D6" w:rsidRPr="00E77F9F">
        <w:rPr>
          <w:lang w:val="en-US"/>
        </w:rPr>
        <w:t xml:space="preserve"> </w:t>
      </w:r>
      <w:r w:rsidR="000F0CED">
        <w:rPr>
          <w:lang w:val="en-US"/>
        </w:rPr>
        <w:t xml:space="preserve">Finally, we focused on </w:t>
      </w:r>
      <w:r w:rsidR="006718C5" w:rsidRPr="00E77F9F">
        <w:rPr>
          <w:lang w:val="en-US"/>
        </w:rPr>
        <w:t>issues</w:t>
      </w:r>
      <w:r w:rsidR="000F0CED">
        <w:rPr>
          <w:lang w:val="en-US"/>
        </w:rPr>
        <w:t xml:space="preserve"> directly</w:t>
      </w:r>
      <w:r w:rsidR="006718C5" w:rsidRPr="00E77F9F">
        <w:rPr>
          <w:lang w:val="en-US"/>
        </w:rPr>
        <w:t xml:space="preserve"> </w:t>
      </w:r>
      <w:r w:rsidR="000F0CED" w:rsidRPr="00E77F9F">
        <w:rPr>
          <w:lang w:val="en-US"/>
        </w:rPr>
        <w:t>relevant for the endoscop</w:t>
      </w:r>
      <w:r w:rsidR="000F0CED">
        <w:rPr>
          <w:lang w:val="en-US"/>
        </w:rPr>
        <w:t>y practice</w:t>
      </w:r>
      <w:r w:rsidR="006718C5" w:rsidRPr="00E77F9F">
        <w:rPr>
          <w:lang w:val="en-US"/>
        </w:rPr>
        <w:t xml:space="preserve">. </w:t>
      </w:r>
      <w:r w:rsidR="000F0CED">
        <w:rPr>
          <w:lang w:val="en-US"/>
        </w:rPr>
        <w:t>Hence, o</w:t>
      </w:r>
      <w:r w:rsidR="00E77F9F">
        <w:rPr>
          <w:lang w:val="en-US"/>
        </w:rPr>
        <w:t>ther i</w:t>
      </w:r>
      <w:r w:rsidR="006718C5" w:rsidRPr="00E77F9F">
        <w:rPr>
          <w:lang w:val="en-US"/>
        </w:rPr>
        <w:t>ssues</w:t>
      </w:r>
      <w:r w:rsidR="00E77F9F">
        <w:rPr>
          <w:lang w:val="en-US"/>
        </w:rPr>
        <w:t>,</w:t>
      </w:r>
      <w:r w:rsidR="006718C5" w:rsidRPr="00E77F9F">
        <w:rPr>
          <w:lang w:val="en-US"/>
        </w:rPr>
        <w:t xml:space="preserve"> such as chemoprevention for progression of BE or the use of biomarkers </w:t>
      </w:r>
      <w:r w:rsidR="00E77F9F">
        <w:rPr>
          <w:lang w:val="en-US"/>
        </w:rPr>
        <w:t xml:space="preserve">for prediction of </w:t>
      </w:r>
      <w:r w:rsidR="006718C5" w:rsidRPr="00E77F9F">
        <w:rPr>
          <w:lang w:val="en-US"/>
        </w:rPr>
        <w:t>progression in BE</w:t>
      </w:r>
      <w:r w:rsidR="000F0CED">
        <w:rPr>
          <w:lang w:val="en-US"/>
        </w:rPr>
        <w:t>,</w:t>
      </w:r>
      <w:r w:rsidR="006718C5" w:rsidRPr="00E77F9F">
        <w:rPr>
          <w:lang w:val="en-US"/>
        </w:rPr>
        <w:t xml:space="preserve"> are therefore </w:t>
      </w:r>
      <w:r w:rsidR="00E77F9F">
        <w:rPr>
          <w:lang w:val="en-US"/>
        </w:rPr>
        <w:t>not part of this Position Statement</w:t>
      </w:r>
      <w:r w:rsidR="006718C5" w:rsidRPr="00E77F9F">
        <w:rPr>
          <w:lang w:val="en-US"/>
        </w:rPr>
        <w:t xml:space="preserve">. </w:t>
      </w:r>
    </w:p>
    <w:p w14:paraId="42E5D298" w14:textId="77777777" w:rsidR="006718C5" w:rsidRDefault="006718C5">
      <w:pPr>
        <w:rPr>
          <w:lang w:val="en-US"/>
        </w:rPr>
      </w:pPr>
    </w:p>
    <w:p w14:paraId="05CCE571" w14:textId="77777777" w:rsidR="00EF251B" w:rsidRPr="00E77F9F" w:rsidRDefault="005D52C6">
      <w:pPr>
        <w:rPr>
          <w:b/>
          <w:lang w:val="en-US"/>
        </w:rPr>
      </w:pPr>
      <w:r w:rsidRPr="00E77F9F">
        <w:rPr>
          <w:b/>
          <w:lang w:val="en-US"/>
        </w:rPr>
        <w:t>Methodology</w:t>
      </w:r>
    </w:p>
    <w:p w14:paraId="208AD9D3" w14:textId="600836FB" w:rsidR="00181EAB" w:rsidRPr="00E77F9F" w:rsidRDefault="002F4428" w:rsidP="00E77F9F">
      <w:pPr>
        <w:spacing w:after="160" w:line="259" w:lineRule="auto"/>
        <w:rPr>
          <w:lang w:val="en-GB"/>
        </w:rPr>
      </w:pPr>
      <w:r w:rsidRPr="00E77F9F">
        <w:rPr>
          <w:lang w:val="en-GB"/>
        </w:rPr>
        <w:t>In the l</w:t>
      </w:r>
      <w:r w:rsidR="00776D6C">
        <w:rPr>
          <w:lang w:val="en-GB"/>
        </w:rPr>
        <w:t>ast years, several countries</w:t>
      </w:r>
      <w:r w:rsidRPr="00E77F9F">
        <w:rPr>
          <w:lang w:val="en-GB"/>
        </w:rPr>
        <w:t xml:space="preserve"> developed their own national guidelines </w:t>
      </w:r>
      <w:r w:rsidR="000F0CED">
        <w:rPr>
          <w:lang w:val="en-GB"/>
        </w:rPr>
        <w:t>for the management of</w:t>
      </w:r>
      <w:r w:rsidR="000F0CED" w:rsidRPr="00E77F9F">
        <w:rPr>
          <w:lang w:val="en-GB"/>
        </w:rPr>
        <w:t xml:space="preserve"> </w:t>
      </w:r>
      <w:r w:rsidRPr="00E77F9F">
        <w:rPr>
          <w:lang w:val="en-GB"/>
        </w:rPr>
        <w:t>BE</w:t>
      </w:r>
      <w:r w:rsidR="000F0CED">
        <w:rPr>
          <w:lang w:val="en-GB"/>
        </w:rPr>
        <w:t>, some of these have been published in international journals and some others led to consensus statements distribute</w:t>
      </w:r>
      <w:r w:rsidR="00465AA0">
        <w:rPr>
          <w:lang w:val="en-GB"/>
        </w:rPr>
        <w:t>d</w:t>
      </w:r>
      <w:r w:rsidR="000F0CED">
        <w:rPr>
          <w:lang w:val="en-GB"/>
        </w:rPr>
        <w:t xml:space="preserve"> locally by national Societies</w:t>
      </w:r>
      <w:r w:rsidRPr="00E77F9F">
        <w:rPr>
          <w:lang w:val="en-GB"/>
        </w:rPr>
        <w:t xml:space="preserve">. Starting point for this Position Statement on BE was the merging of these existing guidelines, thereby taking profit of the in-depth literature searches performed by the national BE guideline committees. </w:t>
      </w:r>
    </w:p>
    <w:p w14:paraId="09D328DB" w14:textId="766C7378" w:rsidR="004268AB" w:rsidRDefault="002F4428" w:rsidP="00E77F9F">
      <w:pPr>
        <w:spacing w:after="160" w:line="259" w:lineRule="auto"/>
        <w:rPr>
          <w:lang w:val="en-GB"/>
        </w:rPr>
      </w:pPr>
      <w:r w:rsidRPr="00E77F9F">
        <w:rPr>
          <w:lang w:val="en-GB"/>
        </w:rPr>
        <w:t xml:space="preserve">In order to </w:t>
      </w:r>
      <w:r w:rsidR="000F0CED">
        <w:rPr>
          <w:lang w:val="en-GB"/>
        </w:rPr>
        <w:t>retrieve</w:t>
      </w:r>
      <w:r w:rsidR="000F0CED" w:rsidRPr="00E77F9F">
        <w:rPr>
          <w:lang w:val="en-GB"/>
        </w:rPr>
        <w:t xml:space="preserve"> </w:t>
      </w:r>
      <w:r w:rsidRPr="00E77F9F">
        <w:rPr>
          <w:lang w:val="en-GB"/>
        </w:rPr>
        <w:t xml:space="preserve">all recent national guidelines </w:t>
      </w:r>
      <w:r w:rsidR="005305D3" w:rsidRPr="00E77F9F">
        <w:rPr>
          <w:lang w:val="en-GB"/>
        </w:rPr>
        <w:t xml:space="preserve">available in the </w:t>
      </w:r>
      <w:r w:rsidR="000F0CED">
        <w:rPr>
          <w:lang w:val="en-GB"/>
        </w:rPr>
        <w:t xml:space="preserve">Countries </w:t>
      </w:r>
      <w:r w:rsidR="005305D3" w:rsidRPr="00E77F9F">
        <w:rPr>
          <w:lang w:val="en-GB"/>
        </w:rPr>
        <w:t xml:space="preserve">members </w:t>
      </w:r>
      <w:r w:rsidR="000F0CED">
        <w:rPr>
          <w:lang w:val="en-GB"/>
        </w:rPr>
        <w:t>of</w:t>
      </w:r>
      <w:r w:rsidR="00141762" w:rsidRPr="00E77F9F">
        <w:rPr>
          <w:lang w:val="en-GB"/>
        </w:rPr>
        <w:t xml:space="preserve"> </w:t>
      </w:r>
      <w:r w:rsidR="005305D3" w:rsidRPr="00E77F9F">
        <w:rPr>
          <w:lang w:val="en-GB"/>
        </w:rPr>
        <w:t xml:space="preserve">the ESGE, an inquiry was </w:t>
      </w:r>
      <w:r w:rsidR="005727F5">
        <w:rPr>
          <w:lang w:val="en-GB"/>
        </w:rPr>
        <w:t>sent</w:t>
      </w:r>
      <w:r w:rsidR="005727F5" w:rsidRPr="00E77F9F">
        <w:rPr>
          <w:lang w:val="en-GB"/>
        </w:rPr>
        <w:t xml:space="preserve"> </w:t>
      </w:r>
      <w:r w:rsidR="00141762" w:rsidRPr="00E77F9F">
        <w:rPr>
          <w:lang w:val="en-GB"/>
        </w:rPr>
        <w:t xml:space="preserve">at all national societies on GI endoscopy. </w:t>
      </w:r>
      <w:r w:rsidR="005727F5">
        <w:rPr>
          <w:lang w:val="en-GB"/>
        </w:rPr>
        <w:t>We asked</w:t>
      </w:r>
      <w:r w:rsidR="00141762" w:rsidRPr="00E77F9F">
        <w:rPr>
          <w:lang w:val="en-GB"/>
        </w:rPr>
        <w:t xml:space="preserve"> four questions: </w:t>
      </w:r>
      <w:r w:rsidR="00E77F9F">
        <w:rPr>
          <w:lang w:val="en-GB"/>
        </w:rPr>
        <w:t xml:space="preserve">1. </w:t>
      </w:r>
      <w:r w:rsidR="00141762" w:rsidRPr="00E77F9F">
        <w:rPr>
          <w:lang w:val="en-GB"/>
        </w:rPr>
        <w:t xml:space="preserve">Has your national society ever produced their own, national guideline on BE? If so, when was it written or published? 2. Is there a particular guideline on BE your society recommends </w:t>
      </w:r>
      <w:r w:rsidR="005727F5">
        <w:rPr>
          <w:lang w:val="en-GB"/>
        </w:rPr>
        <w:t>the</w:t>
      </w:r>
      <w:r w:rsidR="00141762" w:rsidRPr="00E77F9F">
        <w:rPr>
          <w:lang w:val="en-GB"/>
        </w:rPr>
        <w:t xml:space="preserve"> endoscopists to adhere to? 3. Which currently available guideline on BE do you think is mostly used by the endoscopist of your country?  4. Are you currently considering writing a national guideline on BE, or are you planning to revise your current guideline? The results of </w:t>
      </w:r>
      <w:r w:rsidR="00C27BCD">
        <w:rPr>
          <w:lang w:val="en-GB"/>
        </w:rPr>
        <w:t>this inquiry are summarized in A</w:t>
      </w:r>
      <w:r w:rsidR="00141762" w:rsidRPr="00E77F9F">
        <w:rPr>
          <w:lang w:val="en-GB"/>
        </w:rPr>
        <w:t xml:space="preserve">ppendix 1. </w:t>
      </w:r>
    </w:p>
    <w:p w14:paraId="04D30BB1" w14:textId="77777777" w:rsidR="00141762" w:rsidRPr="00E77F9F" w:rsidRDefault="00141762" w:rsidP="00E77F9F">
      <w:pPr>
        <w:spacing w:after="160" w:line="259" w:lineRule="auto"/>
        <w:rPr>
          <w:lang w:val="en-GB"/>
        </w:rPr>
      </w:pPr>
      <w:r w:rsidRPr="00E77F9F">
        <w:rPr>
          <w:lang w:val="en-GB"/>
        </w:rPr>
        <w:t xml:space="preserve">Based on these results, 4 recent </w:t>
      </w:r>
      <w:r w:rsidR="004268AB">
        <w:rPr>
          <w:lang w:val="en-GB"/>
        </w:rPr>
        <w:t xml:space="preserve">national </w:t>
      </w:r>
      <w:r w:rsidRPr="00E77F9F">
        <w:rPr>
          <w:lang w:val="en-GB"/>
        </w:rPr>
        <w:t xml:space="preserve">guidelines were selected for the merging process: </w:t>
      </w:r>
      <w:r w:rsidR="000515B5" w:rsidRPr="00E77F9F">
        <w:rPr>
          <w:lang w:val="en-GB"/>
        </w:rPr>
        <w:t xml:space="preserve">The BSG-guideline (Appendix 2), the German guideline (Appendix 3), the Italian consensus meeting (Appendix </w:t>
      </w:r>
      <w:r w:rsidR="000515B5" w:rsidRPr="00E77F9F">
        <w:rPr>
          <w:lang w:val="en-GB"/>
        </w:rPr>
        <w:lastRenderedPageBreak/>
        <w:t xml:space="preserve">4), and the Dutch guideline on BE (Appendix 5). </w:t>
      </w:r>
      <w:r w:rsidR="00AD46B5" w:rsidRPr="00E77F9F">
        <w:rPr>
          <w:lang w:val="en-GB"/>
        </w:rPr>
        <w:t xml:space="preserve"> These used national guidelines will serve as “table of evidence”. Therefore, no full list of all references will be provided in this Position Statement.</w:t>
      </w:r>
    </w:p>
    <w:p w14:paraId="2F742645" w14:textId="115DEDA8" w:rsidR="00181EAB" w:rsidRPr="004268AB" w:rsidRDefault="000515B5" w:rsidP="004268AB">
      <w:pPr>
        <w:spacing w:after="160" w:line="259" w:lineRule="auto"/>
        <w:rPr>
          <w:lang w:val="en-GB"/>
        </w:rPr>
      </w:pPr>
      <w:r w:rsidRPr="004268AB">
        <w:rPr>
          <w:lang w:val="en-GB"/>
        </w:rPr>
        <w:t xml:space="preserve">Members of the Working Group on the </w:t>
      </w:r>
      <w:r w:rsidR="005727F5" w:rsidRPr="004268AB">
        <w:rPr>
          <w:lang w:val="en-GB"/>
        </w:rPr>
        <w:t>ES</w:t>
      </w:r>
      <w:r w:rsidR="005727F5">
        <w:rPr>
          <w:lang w:val="en-GB"/>
        </w:rPr>
        <w:t>G</w:t>
      </w:r>
      <w:r w:rsidR="005727F5" w:rsidRPr="004268AB">
        <w:rPr>
          <w:lang w:val="en-GB"/>
        </w:rPr>
        <w:t xml:space="preserve">E </w:t>
      </w:r>
      <w:r w:rsidRPr="004268AB">
        <w:rPr>
          <w:lang w:val="en-GB"/>
        </w:rPr>
        <w:t xml:space="preserve">Position Statement on BE were selected based on their contribution to the included national guidelines, </w:t>
      </w:r>
      <w:r w:rsidR="00E874C4" w:rsidRPr="004268AB">
        <w:rPr>
          <w:lang w:val="en-GB"/>
        </w:rPr>
        <w:t xml:space="preserve">complemented by recognized experts on BE </w:t>
      </w:r>
      <w:r w:rsidR="005727F5">
        <w:rPr>
          <w:lang w:val="en-GB"/>
        </w:rPr>
        <w:t>from</w:t>
      </w:r>
      <w:r w:rsidR="005727F5" w:rsidRPr="004268AB">
        <w:rPr>
          <w:lang w:val="en-GB"/>
        </w:rPr>
        <w:t xml:space="preserve"> </w:t>
      </w:r>
      <w:r w:rsidR="00E874C4" w:rsidRPr="004268AB">
        <w:rPr>
          <w:lang w:val="en-GB"/>
        </w:rPr>
        <w:t xml:space="preserve">other </w:t>
      </w:r>
      <w:r w:rsidR="005727F5">
        <w:rPr>
          <w:lang w:val="en-GB"/>
        </w:rPr>
        <w:t xml:space="preserve">European </w:t>
      </w:r>
      <w:r w:rsidR="00E874C4" w:rsidRPr="004268AB">
        <w:rPr>
          <w:lang w:val="en-GB"/>
        </w:rPr>
        <w:t>countries. For the list of Working Group members, please refer to Appendix 6.</w:t>
      </w:r>
    </w:p>
    <w:p w14:paraId="15ECFBE9" w14:textId="7A9F47E9" w:rsidR="00181EAB" w:rsidRPr="004268AB" w:rsidRDefault="00B17AE8" w:rsidP="004268AB">
      <w:pPr>
        <w:spacing w:after="160" w:line="259" w:lineRule="auto"/>
        <w:rPr>
          <w:lang w:val="en-GB"/>
        </w:rPr>
      </w:pPr>
      <w:r>
        <w:rPr>
          <w:lang w:val="en-GB"/>
        </w:rPr>
        <w:t xml:space="preserve">A list of </w:t>
      </w:r>
      <w:r w:rsidR="00AD46B5" w:rsidRPr="004268AB">
        <w:rPr>
          <w:lang w:val="en-GB"/>
        </w:rPr>
        <w:t xml:space="preserve">topics to be covered by the </w:t>
      </w:r>
      <w:r>
        <w:rPr>
          <w:lang w:val="en-GB"/>
        </w:rPr>
        <w:t xml:space="preserve">ESGE </w:t>
      </w:r>
      <w:r w:rsidR="00AD46B5" w:rsidRPr="004268AB">
        <w:rPr>
          <w:lang w:val="en-GB"/>
        </w:rPr>
        <w:t xml:space="preserve">Position Statement </w:t>
      </w:r>
      <w:r>
        <w:rPr>
          <w:lang w:val="en-GB"/>
        </w:rPr>
        <w:t xml:space="preserve">was </w:t>
      </w:r>
      <w:r w:rsidR="00AD46B5" w:rsidRPr="004268AB">
        <w:rPr>
          <w:lang w:val="en-GB"/>
        </w:rPr>
        <w:t xml:space="preserve">derived from the existing guidelines, and agreed on by a teleconference of the </w:t>
      </w:r>
      <w:r w:rsidR="00F85831">
        <w:rPr>
          <w:lang w:val="en-GB"/>
        </w:rPr>
        <w:t>W</w:t>
      </w:r>
      <w:r w:rsidR="00AD46B5" w:rsidRPr="004268AB">
        <w:rPr>
          <w:lang w:val="en-GB"/>
        </w:rPr>
        <w:t xml:space="preserve">orking </w:t>
      </w:r>
      <w:r w:rsidR="00F85831">
        <w:rPr>
          <w:lang w:val="en-GB"/>
        </w:rPr>
        <w:t>G</w:t>
      </w:r>
      <w:r w:rsidR="00AD46B5" w:rsidRPr="004268AB">
        <w:rPr>
          <w:lang w:val="en-GB"/>
        </w:rPr>
        <w:t xml:space="preserve">roup members (Appendix 7). Subsequently, </w:t>
      </w:r>
      <w:r>
        <w:rPr>
          <w:lang w:val="en-GB"/>
        </w:rPr>
        <w:t xml:space="preserve">all statements of the four selected national guidelines were assorted according to this list of topics. </w:t>
      </w:r>
      <w:r w:rsidR="00F85831">
        <w:rPr>
          <w:lang w:val="en-GB"/>
        </w:rPr>
        <w:t xml:space="preserve">All Working Group members where then asked to fill out three additional columns containing the following questions: 1. Are all recommendations from the </w:t>
      </w:r>
      <w:r>
        <w:rPr>
          <w:lang w:val="en-GB"/>
        </w:rPr>
        <w:t xml:space="preserve">four </w:t>
      </w:r>
      <w:r w:rsidR="00F85831">
        <w:rPr>
          <w:lang w:val="en-GB"/>
        </w:rPr>
        <w:t>merging guidelines in line (Yes/No, explain)? 2. If Yes, do you personally agree (Yes/No, explain)? 3. Are you aware of any new studies relevant for this issue (Yes/No, explain)?.</w:t>
      </w:r>
    </w:p>
    <w:p w14:paraId="3F88E120" w14:textId="77777777" w:rsidR="004268AB" w:rsidRDefault="00191B7E" w:rsidP="004268AB">
      <w:pPr>
        <w:spacing w:after="160" w:line="259" w:lineRule="auto"/>
        <w:rPr>
          <w:lang w:val="en-GB"/>
        </w:rPr>
      </w:pPr>
      <w:r w:rsidRPr="004268AB">
        <w:rPr>
          <w:lang w:val="en-GB"/>
        </w:rPr>
        <w:t xml:space="preserve">In order to cover the gap between the </w:t>
      </w:r>
      <w:r w:rsidR="00132F1E" w:rsidRPr="004268AB">
        <w:rPr>
          <w:lang w:val="en-GB"/>
        </w:rPr>
        <w:t xml:space="preserve">time period covered by the </w:t>
      </w:r>
      <w:r w:rsidRPr="004268AB">
        <w:rPr>
          <w:lang w:val="en-GB"/>
        </w:rPr>
        <w:t xml:space="preserve">literature searches of the existing national guidelines and the </w:t>
      </w:r>
      <w:r w:rsidR="00132F1E" w:rsidRPr="004268AB">
        <w:rPr>
          <w:lang w:val="en-GB"/>
        </w:rPr>
        <w:t xml:space="preserve">publication date of the </w:t>
      </w:r>
      <w:r w:rsidRPr="004268AB">
        <w:rPr>
          <w:lang w:val="en-GB"/>
        </w:rPr>
        <w:t>ESGE Position Statement, a thorough PubMed search was performed for the year</w:t>
      </w:r>
      <w:r w:rsidR="00132F1E" w:rsidRPr="004268AB">
        <w:rPr>
          <w:lang w:val="en-GB"/>
        </w:rPr>
        <w:t>s</w:t>
      </w:r>
      <w:r w:rsidRPr="004268AB">
        <w:rPr>
          <w:lang w:val="en-GB"/>
        </w:rPr>
        <w:t xml:space="preserve"> 2013 to 2015</w:t>
      </w:r>
      <w:r w:rsidR="00132F1E" w:rsidRPr="004268AB">
        <w:rPr>
          <w:lang w:val="en-GB"/>
        </w:rPr>
        <w:t>. Additional relevant literature was thus assorted according to the E</w:t>
      </w:r>
      <w:r w:rsidR="004268AB">
        <w:rPr>
          <w:lang w:val="en-GB"/>
        </w:rPr>
        <w:t xml:space="preserve">SGE Position Statement format. </w:t>
      </w:r>
    </w:p>
    <w:p w14:paraId="201AA340" w14:textId="5C1B185E" w:rsidR="00932989" w:rsidRDefault="005727F5" w:rsidP="004268AB">
      <w:pPr>
        <w:spacing w:after="160" w:line="259" w:lineRule="auto"/>
        <w:rPr>
          <w:lang w:val="en-GB"/>
        </w:rPr>
      </w:pPr>
      <w:r>
        <w:rPr>
          <w:lang w:val="en-GB"/>
        </w:rPr>
        <w:t>During</w:t>
      </w:r>
      <w:r w:rsidRPr="004268AB">
        <w:rPr>
          <w:lang w:val="en-GB"/>
        </w:rPr>
        <w:t xml:space="preserve"> </w:t>
      </w:r>
      <w:r w:rsidR="00132F1E" w:rsidRPr="004268AB">
        <w:rPr>
          <w:lang w:val="en-GB"/>
        </w:rPr>
        <w:t xml:space="preserve">a consensus meeting, the statements of the existing national guidelines were merged. In case of discrepancy </w:t>
      </w:r>
      <w:r>
        <w:rPr>
          <w:lang w:val="en-GB"/>
        </w:rPr>
        <w:t>among</w:t>
      </w:r>
      <w:r w:rsidRPr="004268AB">
        <w:rPr>
          <w:lang w:val="en-GB"/>
        </w:rPr>
        <w:t xml:space="preserve"> </w:t>
      </w:r>
      <w:r w:rsidR="00132F1E" w:rsidRPr="004268AB">
        <w:rPr>
          <w:lang w:val="en-GB"/>
        </w:rPr>
        <w:t xml:space="preserve">recommendations of the national guidelines, </w:t>
      </w:r>
      <w:r w:rsidR="00170EBB">
        <w:rPr>
          <w:lang w:val="en-GB"/>
        </w:rPr>
        <w:t xml:space="preserve">new </w:t>
      </w:r>
      <w:r w:rsidR="00132F1E" w:rsidRPr="004268AB">
        <w:rPr>
          <w:lang w:val="en-GB"/>
        </w:rPr>
        <w:t xml:space="preserve">statements were </w:t>
      </w:r>
      <w:r>
        <w:rPr>
          <w:lang w:val="en-GB"/>
        </w:rPr>
        <w:t>generated</w:t>
      </w:r>
      <w:r w:rsidRPr="004268AB">
        <w:rPr>
          <w:lang w:val="en-GB"/>
        </w:rPr>
        <w:t xml:space="preserve"> </w:t>
      </w:r>
      <w:r w:rsidR="004268AB">
        <w:rPr>
          <w:lang w:val="en-GB"/>
        </w:rPr>
        <w:t>bas</w:t>
      </w:r>
      <w:r>
        <w:rPr>
          <w:lang w:val="en-GB"/>
        </w:rPr>
        <w:t xml:space="preserve">ed on a </w:t>
      </w:r>
      <w:r w:rsidR="004268AB">
        <w:rPr>
          <w:lang w:val="en-GB"/>
        </w:rPr>
        <w:t xml:space="preserve"> </w:t>
      </w:r>
      <w:r w:rsidR="00132F1E" w:rsidRPr="004268AB">
        <w:rPr>
          <w:lang w:val="en-GB"/>
        </w:rPr>
        <w:t xml:space="preserve">consensus </w:t>
      </w:r>
      <w:r>
        <w:rPr>
          <w:lang w:val="en-GB"/>
        </w:rPr>
        <w:t>agreement among</w:t>
      </w:r>
      <w:r w:rsidR="00132F1E" w:rsidRPr="004268AB">
        <w:rPr>
          <w:lang w:val="en-GB"/>
        </w:rPr>
        <w:t xml:space="preserve"> the working group members, supported by new literature if available. New</w:t>
      </w:r>
      <w:r w:rsidR="004268AB">
        <w:rPr>
          <w:lang w:val="en-GB"/>
        </w:rPr>
        <w:t xml:space="preserve">ly published </w:t>
      </w:r>
      <w:r w:rsidR="00132F1E" w:rsidRPr="004268AB">
        <w:rPr>
          <w:lang w:val="en-GB"/>
        </w:rPr>
        <w:t>studies were taken into account whenever relevant</w:t>
      </w:r>
      <w:r w:rsidR="004268AB">
        <w:rPr>
          <w:lang w:val="en-GB"/>
        </w:rPr>
        <w:t>.</w:t>
      </w:r>
      <w:r w:rsidR="00BC1586">
        <w:rPr>
          <w:lang w:val="en-GB"/>
        </w:rPr>
        <w:t xml:space="preserve"> </w:t>
      </w:r>
      <w:r w:rsidR="00D453F4">
        <w:rPr>
          <w:lang w:val="en-GB"/>
        </w:rPr>
        <w:t xml:space="preserve"> Comments </w:t>
      </w:r>
      <w:r w:rsidR="00D453F4">
        <w:rPr>
          <w:lang w:val="en-GB"/>
        </w:rPr>
        <w:t xml:space="preserve">were added </w:t>
      </w:r>
      <w:r w:rsidR="00D453F4">
        <w:rPr>
          <w:lang w:val="en-GB"/>
        </w:rPr>
        <w:t xml:space="preserve">to the statements if necessary, in order to mention or discuss additional evidence coming from new literature, to clarify the statement in case of partial agreement or disagreement among the four national guidelines, to highlight additional important insights of the working group members, or a combination thereof. Finally, </w:t>
      </w:r>
      <w:r w:rsidR="00D453F4" w:rsidRPr="00D453F4">
        <w:rPr>
          <w:lang w:val="en-GB"/>
        </w:rPr>
        <w:t xml:space="preserve">the manuscript </w:t>
      </w:r>
      <w:r w:rsidR="00D453F4">
        <w:rPr>
          <w:lang w:val="en-GB"/>
        </w:rPr>
        <w:t xml:space="preserve">was </w:t>
      </w:r>
      <w:r w:rsidR="00D453F4" w:rsidRPr="00D453F4">
        <w:rPr>
          <w:lang w:val="en-GB"/>
        </w:rPr>
        <w:t xml:space="preserve">sent to the ESGE member societies </w:t>
      </w:r>
      <w:r w:rsidR="00D453F4">
        <w:rPr>
          <w:lang w:val="en-GB"/>
        </w:rPr>
        <w:t xml:space="preserve">for commenting. </w:t>
      </w:r>
      <w:bookmarkStart w:id="0" w:name="_GoBack"/>
      <w:bookmarkEnd w:id="0"/>
    </w:p>
    <w:p w14:paraId="1B2813F7" w14:textId="77777777" w:rsidR="00D453F4" w:rsidRDefault="00D453F4" w:rsidP="004268AB">
      <w:pPr>
        <w:spacing w:after="160" w:line="259" w:lineRule="auto"/>
        <w:rPr>
          <w:lang w:val="en-GB"/>
        </w:rPr>
      </w:pPr>
    </w:p>
    <w:p w14:paraId="38F59E20" w14:textId="77777777" w:rsidR="00932989" w:rsidRPr="004268AB" w:rsidRDefault="00932989" w:rsidP="004268AB">
      <w:pPr>
        <w:spacing w:after="160" w:line="259" w:lineRule="auto"/>
        <w:rPr>
          <w:lang w:val="en-GB"/>
        </w:rPr>
      </w:pPr>
    </w:p>
    <w:p w14:paraId="2A7EDD2F" w14:textId="016BD017" w:rsidR="00932989" w:rsidRPr="00932989" w:rsidRDefault="00932989" w:rsidP="00932989">
      <w:pPr>
        <w:widowControl w:val="0"/>
        <w:autoSpaceDE w:val="0"/>
        <w:autoSpaceDN w:val="0"/>
        <w:adjustRightInd w:val="0"/>
        <w:spacing w:line="240" w:lineRule="auto"/>
        <w:ind w:left="640" w:hanging="640"/>
        <w:rPr>
          <w:rFonts w:ascii="Calibri" w:hAnsi="Calibri" w:cs="Times New Roman"/>
          <w:noProof/>
          <w:szCs w:val="24"/>
        </w:rPr>
      </w:pPr>
      <w:r>
        <w:rPr>
          <w:lang w:val="en-US"/>
        </w:rPr>
        <w:fldChar w:fldCharType="begin" w:fldLock="1"/>
      </w:r>
      <w:r>
        <w:rPr>
          <w:lang w:val="en-US"/>
        </w:rPr>
        <w:instrText xml:space="preserve">ADDIN Mendeley Bibliography CSL_BIBLIOGRAPHY </w:instrText>
      </w:r>
      <w:r>
        <w:rPr>
          <w:lang w:val="en-US"/>
        </w:rPr>
        <w:fldChar w:fldCharType="separate"/>
      </w:r>
      <w:r w:rsidRPr="00932989">
        <w:rPr>
          <w:rFonts w:ascii="Calibri" w:hAnsi="Calibri" w:cs="Times New Roman"/>
          <w:noProof/>
          <w:szCs w:val="24"/>
        </w:rPr>
        <w:t xml:space="preserve">1. </w:t>
      </w:r>
      <w:r w:rsidRPr="00932989">
        <w:rPr>
          <w:rFonts w:ascii="Calibri" w:hAnsi="Calibri" w:cs="Times New Roman"/>
          <w:noProof/>
          <w:szCs w:val="24"/>
        </w:rPr>
        <w:tab/>
        <w:t>Desai TK, Krishnan K, Samala N, Singh J, Cluley J, Perla S, et al. The incidence of oesophageal adenocarcinoma in non-dysplastic Barrett’s oesophagus: a meta-analysis. Gut [Internet]. 2012 Jul [cited 2016 Jun 3];61(7):970–6. Available from: http://www.ncbi.nlm.nih.gov/pubmed/21997553</w:t>
      </w:r>
    </w:p>
    <w:p w14:paraId="5FF82B24" w14:textId="77777777" w:rsidR="00932989" w:rsidRPr="00932989" w:rsidRDefault="00932989" w:rsidP="00932989">
      <w:pPr>
        <w:widowControl w:val="0"/>
        <w:autoSpaceDE w:val="0"/>
        <w:autoSpaceDN w:val="0"/>
        <w:adjustRightInd w:val="0"/>
        <w:spacing w:line="240" w:lineRule="auto"/>
        <w:ind w:left="640" w:hanging="640"/>
        <w:rPr>
          <w:rFonts w:ascii="Calibri" w:hAnsi="Calibri" w:cs="Times New Roman"/>
          <w:noProof/>
          <w:szCs w:val="24"/>
        </w:rPr>
      </w:pPr>
      <w:r w:rsidRPr="00932989">
        <w:rPr>
          <w:rFonts w:ascii="Calibri" w:hAnsi="Calibri" w:cs="Times New Roman"/>
          <w:noProof/>
          <w:szCs w:val="24"/>
        </w:rPr>
        <w:t xml:space="preserve">2. </w:t>
      </w:r>
      <w:r w:rsidRPr="00932989">
        <w:rPr>
          <w:rFonts w:ascii="Calibri" w:hAnsi="Calibri" w:cs="Times New Roman"/>
          <w:noProof/>
          <w:szCs w:val="24"/>
        </w:rPr>
        <w:tab/>
        <w:t>Verbeek RE, Leenders M, Ten Kate FJW, van Hillegersberg R, Vleggaar FP, van Baal JWPM, et al. Surveillance of Barrett’s esophagus and mortality from esophageal adenocarcinoma: a population-based cohort study. Am J Gastroenterol [Internet]. 2014 Aug [cited 2016 Jun 3];109(8):1215–22. Available from: http://www.ncbi.nlm.nih.gov/pubmed/24980881</w:t>
      </w:r>
    </w:p>
    <w:p w14:paraId="4E9BE077" w14:textId="77777777" w:rsidR="00932989" w:rsidRPr="00932989" w:rsidRDefault="00932989" w:rsidP="00932989">
      <w:pPr>
        <w:widowControl w:val="0"/>
        <w:autoSpaceDE w:val="0"/>
        <w:autoSpaceDN w:val="0"/>
        <w:adjustRightInd w:val="0"/>
        <w:spacing w:line="240" w:lineRule="auto"/>
        <w:ind w:left="640" w:hanging="640"/>
        <w:rPr>
          <w:rFonts w:ascii="Calibri" w:hAnsi="Calibri"/>
          <w:noProof/>
        </w:rPr>
      </w:pPr>
      <w:r w:rsidRPr="00932989">
        <w:rPr>
          <w:rFonts w:ascii="Calibri" w:hAnsi="Calibri" w:cs="Times New Roman"/>
          <w:noProof/>
          <w:szCs w:val="24"/>
        </w:rPr>
        <w:t xml:space="preserve">3. </w:t>
      </w:r>
      <w:r w:rsidRPr="00932989">
        <w:rPr>
          <w:rFonts w:ascii="Calibri" w:hAnsi="Calibri" w:cs="Times New Roman"/>
          <w:noProof/>
          <w:szCs w:val="24"/>
        </w:rPr>
        <w:tab/>
        <w:t>Kastelein F, van Olphen SH, Steyerberg EW, Spaander MCW, Bruno MJ. Impact of surveillance for Barrett’s oesophagus on tumour stage and survival of patients with neoplastic progression. Gut [Internet]. 2016 Apr [cited 2016 Jun 3];65(4):548–54. Available from: http://www.ncbi.nlm.nih.gov/pubmed/25903690</w:t>
      </w:r>
    </w:p>
    <w:p w14:paraId="693E1B58" w14:textId="6FBB59AA" w:rsidR="00EF251B" w:rsidRDefault="00932989">
      <w:pPr>
        <w:rPr>
          <w:lang w:val="en-US"/>
        </w:rPr>
      </w:pPr>
      <w:r>
        <w:rPr>
          <w:lang w:val="en-US"/>
        </w:rPr>
        <w:fldChar w:fldCharType="end"/>
      </w:r>
      <w:r w:rsidR="005D52C6">
        <w:rPr>
          <w:lang w:val="en-US"/>
        </w:rPr>
        <w:br w:type="page"/>
      </w:r>
    </w:p>
    <w:p w14:paraId="30E287FB" w14:textId="77777777" w:rsidR="00D32DB8" w:rsidRDefault="00D32DB8" w:rsidP="00D32DB8">
      <w:pPr>
        <w:rPr>
          <w:b/>
          <w:bCs/>
          <w:lang w:val="en-US"/>
        </w:rPr>
      </w:pPr>
      <w:r>
        <w:rPr>
          <w:b/>
          <w:bCs/>
          <w:lang w:val="en-US"/>
        </w:rPr>
        <w:lastRenderedPageBreak/>
        <w:t>STATEMENTS</w:t>
      </w:r>
    </w:p>
    <w:p w14:paraId="7D8764DF" w14:textId="77777777" w:rsidR="00D32DB8" w:rsidRDefault="00D32DB8" w:rsidP="00D32DB8">
      <w:pPr>
        <w:rPr>
          <w:lang w:val="en-US"/>
        </w:rPr>
      </w:pPr>
    </w:p>
    <w:p w14:paraId="4E35C429" w14:textId="77777777" w:rsidR="00D32DB8" w:rsidRDefault="00D32DB8" w:rsidP="00D32DB8">
      <w:pPr>
        <w:rPr>
          <w:lang w:val="en-US"/>
        </w:rPr>
      </w:pPr>
      <w:r>
        <w:rPr>
          <w:lang w:val="en-US"/>
        </w:rPr>
        <w:t>Statement 1</w:t>
      </w:r>
    </w:p>
    <w:p w14:paraId="7FB32A30" w14:textId="77777777" w:rsidR="00D32DB8" w:rsidRDefault="00D32DB8" w:rsidP="00D32DB8">
      <w:pPr>
        <w:rPr>
          <w:b/>
          <w:bCs/>
          <w:lang w:val="en-US"/>
        </w:rPr>
      </w:pPr>
      <w:r>
        <w:rPr>
          <w:b/>
          <w:bCs/>
          <w:lang w:val="en-US"/>
        </w:rPr>
        <w:t>The diagnosis of BE is made if the distal esophagus is lined with columnar epithelium with a minimum length of 1cm (tongues or circular) containing specialized intestinal metaplasia at histopathological examination.</w:t>
      </w:r>
      <w:r>
        <w:rPr>
          <w:b/>
          <w:bCs/>
          <w:lang w:val="en-US"/>
        </w:rPr>
        <w:br/>
      </w:r>
    </w:p>
    <w:p w14:paraId="176676B7" w14:textId="61EB2BAC" w:rsidR="00D32DB8" w:rsidRDefault="00D32DB8" w:rsidP="00D32DB8">
      <w:pPr>
        <w:jc w:val="center"/>
        <w:rPr>
          <w:i/>
          <w:iCs/>
          <w:lang w:val="en-US"/>
        </w:rPr>
      </w:pPr>
      <w:r>
        <w:rPr>
          <w:i/>
          <w:iCs/>
          <w:lang w:val="en-US"/>
        </w:rPr>
        <w:t>partial agreement between merged guidelines</w:t>
      </w:r>
      <w:r>
        <w:rPr>
          <w:i/>
          <w:iCs/>
          <w:lang w:val="en-US"/>
        </w:rPr>
        <w:br/>
        <w:t>no new evidence available on this statement</w:t>
      </w:r>
      <w:r>
        <w:rPr>
          <w:i/>
          <w:iCs/>
          <w:lang w:val="en-US"/>
        </w:rPr>
        <w:br/>
        <w:t>consensus on statement between working group members</w:t>
      </w:r>
    </w:p>
    <w:p w14:paraId="50E506F2" w14:textId="77777777" w:rsidR="00D32DB8" w:rsidRDefault="00D32DB8" w:rsidP="00D32DB8">
      <w:pPr>
        <w:rPr>
          <w:lang w:val="en-US"/>
        </w:rPr>
      </w:pPr>
    </w:p>
    <w:p w14:paraId="7D486227" w14:textId="77777777" w:rsidR="00D32DB8" w:rsidRDefault="00D32DB8" w:rsidP="00D32DB8">
      <w:pPr>
        <w:rPr>
          <w:color w:val="FF0000"/>
          <w:u w:color="FF0000"/>
          <w:lang w:val="en-US"/>
        </w:rPr>
      </w:pPr>
      <w:r>
        <w:rPr>
          <w:lang w:val="en-US"/>
        </w:rPr>
        <w:t>Comments: In patients with columnar epithelium extending less than 1cm above the upper end of the gastric folds (tongues or circular), obtaining random biopsies is not recommended. Targeted biopsies from this region should only be obtained in case a visible abnormality is detected. Endoscopic surveillance of patients with these short Barrett’s segments (tongues or circular columnar epithelium extending less than 1cm above the gastric folds) is not recommended, irrespective of presence of intestinal metaplasia (IM).</w:t>
      </w:r>
      <w:r>
        <w:rPr>
          <w:lang w:val="en-US"/>
        </w:rPr>
        <w:br/>
        <w:t>For BE &gt; 1 cm, intestinal metaplasia is a prerequisite to justify surveillance. In case random biopsies are obtained according to guidelines (see below), absence of IM more likely reflects a mis-interpretation of a hiatal hernia (see example) than actual sampling error. For larger segments of BE, absence of IM (provided that random biopsies are obtained according to guidelines) is rare and management of these cases does not justify detailed instructions by guidelines.</w:t>
      </w:r>
      <w:r>
        <w:rPr>
          <w:lang w:val="en-US"/>
        </w:rPr>
        <w:br/>
      </w:r>
      <w:r>
        <w:rPr>
          <w:i/>
          <w:iCs/>
          <w:lang w:val="en-US"/>
        </w:rPr>
        <w:t xml:space="preserve"> - video and/or photo’s illustrating patient with HD after (over)inflation and deflation</w:t>
      </w:r>
      <w:r>
        <w:rPr>
          <w:i/>
          <w:iCs/>
          <w:color w:val="FF0000"/>
          <w:u w:color="FF0000"/>
          <w:lang w:val="en-US"/>
        </w:rPr>
        <w:t>: pictures from Raf (also shown at QiE symposium in Berlin(April 2014)</w:t>
      </w:r>
    </w:p>
    <w:p w14:paraId="5CEA761E" w14:textId="77777777" w:rsidR="00D32DB8" w:rsidRDefault="00D32DB8" w:rsidP="00D32DB8">
      <w:pPr>
        <w:rPr>
          <w:lang w:val="en-US"/>
        </w:rPr>
      </w:pPr>
    </w:p>
    <w:p w14:paraId="29C231CB" w14:textId="77777777" w:rsidR="00D32DB8" w:rsidRDefault="00D32DB8" w:rsidP="00D32DB8">
      <w:pPr>
        <w:rPr>
          <w:lang w:val="en-US"/>
        </w:rPr>
      </w:pPr>
    </w:p>
    <w:p w14:paraId="19FD0ADF" w14:textId="77777777" w:rsidR="00D32DB8" w:rsidRDefault="00D32DB8" w:rsidP="00D32DB8">
      <w:pPr>
        <w:rPr>
          <w:lang w:val="en-US"/>
        </w:rPr>
      </w:pPr>
      <w:r>
        <w:rPr>
          <w:lang w:val="en-US"/>
        </w:rPr>
        <w:t xml:space="preserve">Statement 2: </w:t>
      </w:r>
    </w:p>
    <w:p w14:paraId="1B96C37D" w14:textId="77777777" w:rsidR="00D32DB8" w:rsidRDefault="00D32DB8" w:rsidP="00D32DB8">
      <w:pPr>
        <w:rPr>
          <w:b/>
          <w:bCs/>
          <w:lang w:val="en-US"/>
        </w:rPr>
      </w:pPr>
      <w:r>
        <w:rPr>
          <w:b/>
          <w:bCs/>
          <w:lang w:val="en-US"/>
        </w:rPr>
        <w:t xml:space="preserve">Endoscopic screening for BE is not recommended. However, screening can be considered in patients with long-standing GERD symptoms (i.e. &gt; 5 years) and multiple risk factors (age 50 years or older, white race, male sex, obesity, first-degree relative with BE or EAC). </w:t>
      </w:r>
      <w:r>
        <w:rPr>
          <w:b/>
          <w:bCs/>
          <w:lang w:val="en-US"/>
        </w:rPr>
        <w:br/>
      </w:r>
    </w:p>
    <w:p w14:paraId="01D647EA" w14:textId="15F7610C" w:rsidR="00D32DB8" w:rsidRDefault="00D32DB8" w:rsidP="00D32DB8">
      <w:pPr>
        <w:jc w:val="center"/>
        <w:rPr>
          <w:i/>
          <w:iCs/>
          <w:lang w:val="en-US"/>
        </w:rPr>
      </w:pPr>
      <w:r>
        <w:rPr>
          <w:i/>
          <w:iCs/>
          <w:lang w:val="en-US"/>
        </w:rPr>
        <w:t>agreement between merged guidelines</w:t>
      </w:r>
      <w:r>
        <w:rPr>
          <w:i/>
          <w:iCs/>
          <w:lang w:val="en-US"/>
        </w:rPr>
        <w:br/>
        <w:t>no new evidence available on this statement</w:t>
      </w:r>
      <w:r>
        <w:rPr>
          <w:i/>
          <w:iCs/>
          <w:lang w:val="en-US"/>
        </w:rPr>
        <w:br/>
        <w:t>consensus on statement between working group members</w:t>
      </w:r>
    </w:p>
    <w:p w14:paraId="149183A6" w14:textId="77777777" w:rsidR="00D32DB8" w:rsidRDefault="00D32DB8" w:rsidP="00D32DB8">
      <w:pPr>
        <w:rPr>
          <w:b/>
          <w:bCs/>
          <w:lang w:val="en-US"/>
        </w:rPr>
      </w:pPr>
    </w:p>
    <w:p w14:paraId="2D742E28" w14:textId="77777777" w:rsidR="00D32DB8" w:rsidRDefault="00D32DB8" w:rsidP="00D32DB8">
      <w:pPr>
        <w:rPr>
          <w:b/>
          <w:bCs/>
          <w:lang w:val="en-US"/>
        </w:rPr>
      </w:pPr>
    </w:p>
    <w:p w14:paraId="5D1B7D83" w14:textId="77777777" w:rsidR="00D32DB8" w:rsidRDefault="00D32DB8" w:rsidP="00D32DB8">
      <w:pPr>
        <w:rPr>
          <w:lang w:val="en-US"/>
        </w:rPr>
      </w:pPr>
      <w:r>
        <w:rPr>
          <w:lang w:val="en-US"/>
        </w:rPr>
        <w:lastRenderedPageBreak/>
        <w:t>Statement 3:</w:t>
      </w:r>
    </w:p>
    <w:p w14:paraId="02AAE149" w14:textId="77777777" w:rsidR="00D32DB8" w:rsidRDefault="00D32DB8" w:rsidP="00D32DB8">
      <w:pPr>
        <w:rPr>
          <w:b/>
          <w:bCs/>
          <w:lang w:val="en-US"/>
        </w:rPr>
      </w:pPr>
      <w:r>
        <w:rPr>
          <w:b/>
          <w:bCs/>
          <w:lang w:val="en-US"/>
        </w:rPr>
        <w:t>Endoscopic surveillance of BE is recommended.</w:t>
      </w:r>
      <w:r>
        <w:rPr>
          <w:b/>
          <w:bCs/>
          <w:lang w:val="en-US"/>
        </w:rPr>
        <w:br/>
      </w:r>
    </w:p>
    <w:p w14:paraId="70916710" w14:textId="4E52C1A1" w:rsidR="00D32DB8" w:rsidRDefault="00D32DB8" w:rsidP="00D32DB8">
      <w:pPr>
        <w:jc w:val="center"/>
        <w:rPr>
          <w:i/>
          <w:iCs/>
          <w:lang w:val="en-US"/>
        </w:rPr>
      </w:pPr>
      <w:r>
        <w:rPr>
          <w:i/>
          <w:iCs/>
          <w:lang w:val="en-US"/>
        </w:rPr>
        <w:t>agreement between merged guidelines</w:t>
      </w:r>
      <w:r>
        <w:rPr>
          <w:i/>
          <w:iCs/>
          <w:lang w:val="en-US"/>
        </w:rPr>
        <w:br/>
        <w:t xml:space="preserve">new evidence available </w:t>
      </w:r>
      <w:r w:rsidR="004E2309">
        <w:rPr>
          <w:i/>
          <w:iCs/>
          <w:lang w:val="en-US"/>
        </w:rPr>
        <w:t xml:space="preserve">on this </w:t>
      </w:r>
      <w:r>
        <w:rPr>
          <w:i/>
          <w:iCs/>
          <w:lang w:val="en-US"/>
        </w:rPr>
        <w:t>statement</w:t>
      </w:r>
      <w:r>
        <w:rPr>
          <w:i/>
          <w:iCs/>
          <w:lang w:val="en-US"/>
        </w:rPr>
        <w:br/>
        <w:t>consensus on current statement between working group members</w:t>
      </w:r>
    </w:p>
    <w:p w14:paraId="152BBDD7" w14:textId="77777777" w:rsidR="00D32DB8" w:rsidRDefault="00D32DB8" w:rsidP="00D32DB8">
      <w:pPr>
        <w:rPr>
          <w:b/>
          <w:bCs/>
          <w:lang w:val="en-US"/>
        </w:rPr>
      </w:pPr>
    </w:p>
    <w:p w14:paraId="4A1E903C" w14:textId="77777777" w:rsidR="00D32DB8" w:rsidRDefault="00D32DB8" w:rsidP="00D32DB8">
      <w:pPr>
        <w:rPr>
          <w:lang w:val="en-US"/>
        </w:rPr>
      </w:pPr>
      <w:r>
        <w:rPr>
          <w:lang w:val="en-US"/>
        </w:rPr>
        <w:t>Comments: Currently, RCTs on surveillance in patients with BE are lacking. However, studies in patients with BE suggest that surveillance correlates with detection of cancer at an earlier stage, and with improved survival from EAC.</w:t>
      </w:r>
    </w:p>
    <w:p w14:paraId="1190314E" w14:textId="77777777" w:rsidR="00D32DB8" w:rsidRDefault="00D32DB8" w:rsidP="00D32DB8">
      <w:pPr>
        <w:rPr>
          <w:lang w:val="en-US"/>
        </w:rPr>
      </w:pPr>
    </w:p>
    <w:p w14:paraId="63C03934" w14:textId="77777777" w:rsidR="00D32DB8" w:rsidRPr="00D32DB8" w:rsidRDefault="00D32DB8" w:rsidP="00D32DB8">
      <w:pPr>
        <w:rPr>
          <w:i/>
        </w:rPr>
      </w:pPr>
      <w:r w:rsidRPr="00873309">
        <w:rPr>
          <w:i/>
        </w:rPr>
        <w:t xml:space="preserve">[Verbeek RE, Leenders M, Ten Kate FJW, van Hillegersberg R, Vleggaar FP, van Baal JWPM, et al. </w:t>
      </w:r>
      <w:r w:rsidRPr="00873309">
        <w:rPr>
          <w:i/>
          <w:lang w:val="en-GB"/>
        </w:rPr>
        <w:t xml:space="preserve">Surveillance of Barrett’s esophagus and mortality from esophageal adenocarcinoma: a population-based cohort study. </w:t>
      </w:r>
      <w:r w:rsidRPr="00D32DB8">
        <w:rPr>
          <w:i/>
        </w:rPr>
        <w:t xml:space="preserve">Am J Gastroenterol. 2014 Aug;109(8):1215–22.] </w:t>
      </w:r>
    </w:p>
    <w:p w14:paraId="605F5EC0" w14:textId="77777777" w:rsidR="00D32DB8" w:rsidRPr="00873309" w:rsidRDefault="00D32DB8" w:rsidP="00D32DB8">
      <w:pPr>
        <w:rPr>
          <w:i/>
          <w:lang w:val="en-GB"/>
        </w:rPr>
      </w:pPr>
      <w:r w:rsidRPr="00873309">
        <w:rPr>
          <w:i/>
        </w:rPr>
        <w:t xml:space="preserve">[Kastelein F, van Olphen SH, Steyerberg EW, Spaander MCW, Bruno MJ. </w:t>
      </w:r>
      <w:r w:rsidRPr="00873309">
        <w:rPr>
          <w:i/>
          <w:lang w:val="en-GB"/>
        </w:rPr>
        <w:t>Impact of surveillance for Barrett’s oesophagus on tumour stage and survival of patients with neoplastic progression. Gut. 2016;65(4):548–54.]</w:t>
      </w:r>
    </w:p>
    <w:p w14:paraId="45C2C3F1" w14:textId="77777777" w:rsidR="00D32DB8" w:rsidRDefault="00D32DB8" w:rsidP="00D32DB8">
      <w:pPr>
        <w:rPr>
          <w:i/>
          <w:iCs/>
          <w:lang w:val="en-US"/>
        </w:rPr>
      </w:pPr>
    </w:p>
    <w:p w14:paraId="5BE3C65F" w14:textId="77777777" w:rsidR="00D32DB8" w:rsidRDefault="00D32DB8" w:rsidP="00D32DB8">
      <w:pPr>
        <w:rPr>
          <w:lang w:val="en-US"/>
        </w:rPr>
      </w:pPr>
    </w:p>
    <w:p w14:paraId="4C3E11D6" w14:textId="77777777" w:rsidR="00D32DB8" w:rsidRDefault="00D32DB8" w:rsidP="00D32DB8">
      <w:pPr>
        <w:rPr>
          <w:rStyle w:val="Aucun"/>
          <w:lang w:val="en-US"/>
        </w:rPr>
      </w:pPr>
      <w:r>
        <w:rPr>
          <w:rStyle w:val="Aucun"/>
          <w:lang w:val="en-US"/>
        </w:rPr>
        <w:t>Statement 4:</w:t>
      </w:r>
    </w:p>
    <w:p w14:paraId="043F2B18" w14:textId="77777777" w:rsidR="00D32DB8" w:rsidRDefault="00D32DB8" w:rsidP="00D32DB8">
      <w:pPr>
        <w:rPr>
          <w:rStyle w:val="Aucun"/>
          <w:b/>
          <w:bCs/>
          <w:lang w:val="en-US"/>
        </w:rPr>
      </w:pPr>
      <w:r>
        <w:rPr>
          <w:rStyle w:val="Aucun"/>
          <w:b/>
          <w:bCs/>
          <w:lang w:val="en-US"/>
        </w:rPr>
        <w:t xml:space="preserve">High-definition endoscopy (endoscope, processor and screen) is recommended for endoscopic surveillance of BE. Routine use of chromo-endoscopy, optical chromo-endoscopy, auto fluorescence endoscopy or confocal laser endomicroscopy is not advised. </w:t>
      </w:r>
      <w:r>
        <w:rPr>
          <w:rStyle w:val="Aucun"/>
          <w:b/>
          <w:bCs/>
          <w:lang w:val="en-US"/>
        </w:rPr>
        <w:br/>
      </w:r>
    </w:p>
    <w:p w14:paraId="0664DDDC" w14:textId="57DB2723" w:rsidR="00D32DB8" w:rsidRDefault="00D32DB8" w:rsidP="00D32DB8">
      <w:pPr>
        <w:jc w:val="center"/>
        <w:rPr>
          <w:rStyle w:val="Aucun"/>
          <w:i/>
          <w:iCs/>
          <w:lang w:val="en-US"/>
        </w:rPr>
      </w:pPr>
      <w:r>
        <w:rPr>
          <w:rStyle w:val="Aucun"/>
          <w:i/>
          <w:iCs/>
          <w:lang w:val="en-US"/>
        </w:rPr>
        <w:t>agreement between merged guidelines</w:t>
      </w:r>
      <w:r>
        <w:rPr>
          <w:rStyle w:val="Aucun"/>
          <w:i/>
          <w:iCs/>
          <w:lang w:val="en-US"/>
        </w:rPr>
        <w:br/>
        <w:t>no new evidence available on this statement</w:t>
      </w:r>
      <w:r>
        <w:rPr>
          <w:rStyle w:val="Aucun"/>
          <w:i/>
          <w:iCs/>
          <w:lang w:val="en-US"/>
        </w:rPr>
        <w:br/>
        <w:t>consensus on current statement between working group members</w:t>
      </w:r>
    </w:p>
    <w:p w14:paraId="66A005DB" w14:textId="77777777" w:rsidR="00D32DB8" w:rsidRDefault="00D32DB8" w:rsidP="00D32DB8">
      <w:pPr>
        <w:rPr>
          <w:b/>
          <w:bCs/>
          <w:lang w:val="en-US"/>
        </w:rPr>
      </w:pPr>
    </w:p>
    <w:p w14:paraId="240D8098" w14:textId="77777777" w:rsidR="00D32DB8" w:rsidRDefault="00D32DB8" w:rsidP="00D32DB8">
      <w:pPr>
        <w:rPr>
          <w:rStyle w:val="Aucun"/>
          <w:i/>
          <w:iCs/>
          <w:lang w:val="en-US"/>
        </w:rPr>
      </w:pPr>
      <w:r>
        <w:rPr>
          <w:rStyle w:val="Aucun"/>
          <w:lang w:val="en-US"/>
        </w:rPr>
        <w:t>Comments: For the detection of dysplasia in BE, currently available data do not provide sufficient proof for an additional value of the above-mentioned advanced imaging techniques over high-definition white-light endoscopy.  Despite the lack of solid proof, optical chromo-endoscopy techniques (NBI, FICE, I-scan) are nowadays widely available and do not impose additional costs, and are used by many experts for detection and characterization of lesions in BE.</w:t>
      </w:r>
      <w:r>
        <w:rPr>
          <w:rStyle w:val="Aucun"/>
          <w:i/>
          <w:iCs/>
          <w:lang w:val="en-US"/>
        </w:rPr>
        <w:t xml:space="preserve"> </w:t>
      </w:r>
    </w:p>
    <w:p w14:paraId="350B1F7C" w14:textId="77777777" w:rsidR="00D32DB8" w:rsidRDefault="00D32DB8" w:rsidP="00D32DB8">
      <w:pPr>
        <w:rPr>
          <w:b/>
          <w:bCs/>
          <w:lang w:val="en-US"/>
        </w:rPr>
      </w:pPr>
    </w:p>
    <w:p w14:paraId="06C3B0D7" w14:textId="77777777" w:rsidR="00D32DB8" w:rsidRPr="00024092" w:rsidRDefault="00D32DB8" w:rsidP="00D32DB8">
      <w:pPr>
        <w:rPr>
          <w:lang w:val="en-GB"/>
        </w:rPr>
      </w:pPr>
      <w:r>
        <w:rPr>
          <w:rStyle w:val="Aucun"/>
          <w:lang w:val="en-US"/>
        </w:rPr>
        <w:br w:type="page"/>
      </w:r>
    </w:p>
    <w:p w14:paraId="1C63E4F3" w14:textId="77777777" w:rsidR="00D32DB8" w:rsidRDefault="00D32DB8" w:rsidP="00D32DB8">
      <w:pPr>
        <w:rPr>
          <w:rStyle w:val="Aucun"/>
          <w:lang w:val="en-US"/>
        </w:rPr>
      </w:pPr>
      <w:r>
        <w:rPr>
          <w:rStyle w:val="Aucun"/>
          <w:lang w:val="en-US"/>
        </w:rPr>
        <w:lastRenderedPageBreak/>
        <w:t>Statement 5:</w:t>
      </w:r>
    </w:p>
    <w:p w14:paraId="3F5304A3" w14:textId="77777777" w:rsidR="00D32DB8" w:rsidRDefault="00D32DB8" w:rsidP="00D32DB8">
      <w:pPr>
        <w:rPr>
          <w:rStyle w:val="Aucun"/>
          <w:b/>
          <w:bCs/>
          <w:lang w:val="en-US"/>
        </w:rPr>
      </w:pPr>
      <w:r>
        <w:rPr>
          <w:rStyle w:val="Aucun"/>
          <w:b/>
          <w:bCs/>
          <w:lang w:val="en-US"/>
        </w:rPr>
        <w:t xml:space="preserve">Endoscopy reports of patients with BE should include </w:t>
      </w:r>
      <w:r>
        <w:rPr>
          <w:rStyle w:val="Aucun"/>
          <w:b/>
          <w:bCs/>
          <w:lang w:val="en-US"/>
        </w:rPr>
        <w:br/>
        <w:t>1. the extent of BE using the Prague criteria (circumferential extent (C), maximum extent (M)), and any separate islands proximal to the maximal extent</w:t>
      </w:r>
      <w:r>
        <w:rPr>
          <w:rStyle w:val="Aucun"/>
          <w:b/>
          <w:bCs/>
          <w:lang w:val="en-US"/>
        </w:rPr>
        <w:br/>
        <w:t>2. a description of location (in cm from the incisors and clockwise orientation)  of any visible abnormality within the Barrett’s epithelium, in addition to lesion size (mm) and macroscopic appearance using the Paris classification</w:t>
      </w:r>
      <w:r>
        <w:rPr>
          <w:rStyle w:val="Aucun"/>
          <w:b/>
          <w:bCs/>
          <w:lang w:val="en-US"/>
        </w:rPr>
        <w:br/>
        <w:t>3. the presence or absence of erosive esophagitis using the LA classification</w:t>
      </w:r>
      <w:r>
        <w:rPr>
          <w:rStyle w:val="Aucun"/>
          <w:b/>
          <w:bCs/>
          <w:lang w:val="en-US"/>
        </w:rPr>
        <w:br/>
        <w:t>4. the location of biopsies taken from the Barrett’s segment (number of biopsies and location in cm from the incisors)</w:t>
      </w:r>
      <w:r>
        <w:rPr>
          <w:rStyle w:val="Aucun"/>
          <w:b/>
          <w:bCs/>
          <w:lang w:val="en-US"/>
        </w:rPr>
        <w:br/>
        <w:t>5. appropriate photo documentation of the landmarks and of all visible Barrett’s epithelium, as well as any visible lesions</w:t>
      </w:r>
      <w:r>
        <w:rPr>
          <w:rStyle w:val="Aucun"/>
          <w:b/>
          <w:bCs/>
          <w:lang w:val="en-US"/>
        </w:rPr>
        <w:br/>
      </w:r>
    </w:p>
    <w:p w14:paraId="6EE5AA31" w14:textId="0D7947E7" w:rsidR="00D32DB8" w:rsidRDefault="00D32DB8" w:rsidP="00D32DB8">
      <w:pPr>
        <w:jc w:val="center"/>
        <w:rPr>
          <w:rStyle w:val="Aucun"/>
          <w:i/>
          <w:iCs/>
          <w:lang w:val="en-US"/>
        </w:rPr>
      </w:pPr>
      <w:r>
        <w:rPr>
          <w:rStyle w:val="Aucun"/>
          <w:i/>
          <w:iCs/>
          <w:lang w:val="en-US"/>
        </w:rPr>
        <w:t>agreement between merged guidelines</w:t>
      </w:r>
      <w:r>
        <w:rPr>
          <w:rStyle w:val="Aucun"/>
          <w:i/>
          <w:iCs/>
          <w:lang w:val="en-US"/>
        </w:rPr>
        <w:br/>
        <w:t>no new evidence available on this statement</w:t>
      </w:r>
      <w:r>
        <w:rPr>
          <w:rStyle w:val="Aucun"/>
          <w:i/>
          <w:iCs/>
          <w:lang w:val="en-US"/>
        </w:rPr>
        <w:br/>
        <w:t>consensus on current statement between working group members</w:t>
      </w:r>
    </w:p>
    <w:p w14:paraId="7BBF16DA" w14:textId="77777777" w:rsidR="00D32DB8" w:rsidRDefault="00D32DB8" w:rsidP="00D32DB8">
      <w:pPr>
        <w:rPr>
          <w:b/>
          <w:bCs/>
          <w:lang w:val="en-US"/>
        </w:rPr>
      </w:pPr>
    </w:p>
    <w:p w14:paraId="6CDCAF8A" w14:textId="77777777" w:rsidR="00D32DB8" w:rsidRDefault="00D32DB8" w:rsidP="00D32DB8">
      <w:pPr>
        <w:rPr>
          <w:rStyle w:val="Aucun"/>
          <w:i/>
          <w:iCs/>
          <w:color w:val="FF0000"/>
          <w:u w:color="FF0000"/>
          <w:lang w:val="en-US"/>
        </w:rPr>
      </w:pPr>
      <w:r>
        <w:rPr>
          <w:rStyle w:val="Aucun"/>
          <w:lang w:val="en-US"/>
        </w:rPr>
        <w:t>Comments: BE surveillance endoscopy should ideally be performed within specifically allocated time slots, preferably in sedated patients, using high-definition endoscopes combined with HD-TV. Before inspection of the BE for any visible lesions, the esophagus should be properly cleaned from mucus by rinsing. Careful attention should be paid on inspection to the cardia in a retroflexed position.</w:t>
      </w:r>
      <w:r>
        <w:rPr>
          <w:rStyle w:val="Aucun"/>
          <w:lang w:val="en-US"/>
        </w:rPr>
        <w:br/>
      </w:r>
      <w:r>
        <w:rPr>
          <w:rStyle w:val="Aucun"/>
          <w:i/>
          <w:iCs/>
          <w:lang w:val="en-US"/>
        </w:rPr>
        <w:t>- photo’s or video illustrating cleaning, retroflex, and lesion location</w:t>
      </w:r>
      <w:r>
        <w:rPr>
          <w:rStyle w:val="Aucun"/>
          <w:i/>
          <w:iCs/>
          <w:color w:val="FF0000"/>
          <w:u w:color="FF0000"/>
          <w:lang w:val="en-US"/>
        </w:rPr>
        <w:t>: pictures from Raf?</w:t>
      </w:r>
    </w:p>
    <w:p w14:paraId="69473532" w14:textId="77777777" w:rsidR="00D32DB8" w:rsidRDefault="00D32DB8" w:rsidP="00D32DB8">
      <w:pPr>
        <w:rPr>
          <w:lang w:val="en-US"/>
        </w:rPr>
      </w:pPr>
    </w:p>
    <w:p w14:paraId="6BD0A6F0" w14:textId="77777777" w:rsidR="00D32DB8" w:rsidRDefault="00D32DB8" w:rsidP="00D32DB8">
      <w:pPr>
        <w:rPr>
          <w:lang w:val="en-US"/>
        </w:rPr>
      </w:pPr>
    </w:p>
    <w:p w14:paraId="3EA134FB" w14:textId="77777777" w:rsidR="00D32DB8" w:rsidRDefault="00D32DB8" w:rsidP="00D32DB8">
      <w:pPr>
        <w:rPr>
          <w:rStyle w:val="Aucun"/>
          <w:lang w:val="en-US"/>
        </w:rPr>
      </w:pPr>
      <w:r>
        <w:rPr>
          <w:rStyle w:val="Aucun"/>
          <w:lang w:val="en-US"/>
        </w:rPr>
        <w:t>Statement 6:</w:t>
      </w:r>
    </w:p>
    <w:p w14:paraId="497A5B52" w14:textId="77777777" w:rsidR="00D32DB8" w:rsidRDefault="00D32DB8" w:rsidP="00D32DB8">
      <w:pPr>
        <w:rPr>
          <w:rStyle w:val="Aucun"/>
          <w:b/>
          <w:bCs/>
          <w:lang w:val="en-US"/>
        </w:rPr>
      </w:pPr>
      <w:r>
        <w:rPr>
          <w:rStyle w:val="Aucun"/>
          <w:b/>
          <w:bCs/>
          <w:lang w:val="en-US"/>
        </w:rPr>
        <w:t>Biopsy samples should be taken from all visible mucosal abnormalities. In addition, random 4-quadrant biopsies should be collected every 2 cm within the Barrett’s segment, starting from the upper end of the gastric folds. Each biopsy level should be collected in and presented to the pathologist in a separate container.</w:t>
      </w:r>
      <w:r>
        <w:rPr>
          <w:rStyle w:val="Aucun"/>
          <w:b/>
          <w:bCs/>
          <w:lang w:val="en-US"/>
        </w:rPr>
        <w:br/>
      </w:r>
    </w:p>
    <w:p w14:paraId="760E4655" w14:textId="00C828C3" w:rsidR="00D32DB8" w:rsidRDefault="00D32DB8" w:rsidP="00D32DB8">
      <w:pPr>
        <w:jc w:val="center"/>
        <w:rPr>
          <w:rStyle w:val="Aucun"/>
          <w:i/>
          <w:iCs/>
          <w:lang w:val="en-US"/>
        </w:rPr>
      </w:pPr>
      <w:r>
        <w:rPr>
          <w:rStyle w:val="Aucun"/>
          <w:i/>
          <w:iCs/>
          <w:lang w:val="en-US"/>
        </w:rPr>
        <w:t>agreement between merged guidelines</w:t>
      </w:r>
      <w:r>
        <w:rPr>
          <w:rStyle w:val="Aucun"/>
          <w:i/>
          <w:iCs/>
          <w:lang w:val="en-US"/>
        </w:rPr>
        <w:br/>
        <w:t>no new evidence available on this statement</w:t>
      </w:r>
      <w:r>
        <w:rPr>
          <w:rStyle w:val="Aucun"/>
          <w:i/>
          <w:iCs/>
          <w:lang w:val="en-US"/>
        </w:rPr>
        <w:br/>
        <w:t>consensus on current statement between working group members</w:t>
      </w:r>
    </w:p>
    <w:p w14:paraId="1CAD1A26" w14:textId="77777777" w:rsidR="00D32DB8" w:rsidRDefault="00D32DB8" w:rsidP="00D32DB8">
      <w:pPr>
        <w:rPr>
          <w:b/>
          <w:bCs/>
          <w:lang w:val="en-US"/>
        </w:rPr>
      </w:pPr>
    </w:p>
    <w:p w14:paraId="37D0F39B" w14:textId="77777777" w:rsidR="00D32DB8" w:rsidRDefault="00D32DB8" w:rsidP="00D32DB8">
      <w:pPr>
        <w:rPr>
          <w:b/>
          <w:bCs/>
          <w:lang w:val="en-US"/>
        </w:rPr>
      </w:pPr>
    </w:p>
    <w:p w14:paraId="661E45F1" w14:textId="77777777" w:rsidR="00D32DB8" w:rsidRDefault="00D32DB8" w:rsidP="00D32DB8">
      <w:pPr>
        <w:rPr>
          <w:b/>
          <w:bCs/>
          <w:lang w:val="en-US"/>
        </w:rPr>
      </w:pPr>
    </w:p>
    <w:p w14:paraId="326E1714" w14:textId="77777777" w:rsidR="00D32DB8" w:rsidRDefault="00D32DB8" w:rsidP="00D32DB8">
      <w:pPr>
        <w:rPr>
          <w:b/>
          <w:bCs/>
          <w:lang w:val="en-US"/>
        </w:rPr>
      </w:pPr>
    </w:p>
    <w:p w14:paraId="44781CA7" w14:textId="77777777" w:rsidR="00D32DB8" w:rsidRDefault="00D32DB8" w:rsidP="00D32DB8">
      <w:pPr>
        <w:rPr>
          <w:rStyle w:val="Aucun"/>
          <w:lang w:val="en-US"/>
        </w:rPr>
      </w:pPr>
      <w:r>
        <w:rPr>
          <w:rStyle w:val="Aucun"/>
          <w:lang w:val="en-US"/>
        </w:rPr>
        <w:lastRenderedPageBreak/>
        <w:t>Statement 7:</w:t>
      </w:r>
    </w:p>
    <w:p w14:paraId="4EF009F5" w14:textId="77777777" w:rsidR="00D32DB8" w:rsidRDefault="00D32DB8" w:rsidP="00D32DB8">
      <w:pPr>
        <w:rPr>
          <w:rStyle w:val="Aucun"/>
          <w:b/>
          <w:bCs/>
          <w:lang w:val="en-US"/>
        </w:rPr>
      </w:pPr>
      <w:r>
        <w:rPr>
          <w:rStyle w:val="Aucun"/>
          <w:b/>
          <w:bCs/>
          <w:lang w:val="en-US"/>
        </w:rPr>
        <w:t xml:space="preserve">Surveillance intervals for non-dysplastic BE should be stratified according to the length of the Barrett’s segment: </w:t>
      </w:r>
      <w:r>
        <w:rPr>
          <w:rStyle w:val="Aucun"/>
          <w:b/>
          <w:bCs/>
          <w:lang w:val="en-US"/>
        </w:rPr>
        <w:br/>
        <w:t>1. Maximum extent of BE &lt; 1cm: no endoscopic surveillance</w:t>
      </w:r>
      <w:r>
        <w:rPr>
          <w:rStyle w:val="Aucun"/>
          <w:b/>
          <w:bCs/>
          <w:lang w:val="en-US"/>
        </w:rPr>
        <w:br/>
        <w:t xml:space="preserve">2. Maximum extent of BE ≥ 1cm, </w:t>
      </w:r>
      <w:r>
        <w:rPr>
          <w:rStyle w:val="Aucun"/>
          <w:b/>
          <w:bCs/>
          <w:i/>
          <w:iCs/>
          <w:lang w:val="en-US"/>
        </w:rPr>
        <w:t xml:space="preserve">and </w:t>
      </w:r>
      <w:r>
        <w:rPr>
          <w:rStyle w:val="Aucun"/>
          <w:b/>
          <w:bCs/>
          <w:lang w:val="en-US"/>
        </w:rPr>
        <w:t>&lt; 3cm: 5 years</w:t>
      </w:r>
      <w:r>
        <w:rPr>
          <w:rStyle w:val="Aucun"/>
          <w:b/>
          <w:bCs/>
          <w:lang w:val="en-US"/>
        </w:rPr>
        <w:br/>
        <w:t xml:space="preserve">3. Maximum extent of BE ≥3cm </w:t>
      </w:r>
      <w:r>
        <w:rPr>
          <w:rStyle w:val="Aucun"/>
          <w:b/>
          <w:bCs/>
          <w:i/>
          <w:iCs/>
          <w:lang w:val="en-US"/>
        </w:rPr>
        <w:t xml:space="preserve">and </w:t>
      </w:r>
      <w:r>
        <w:rPr>
          <w:rStyle w:val="Aucun"/>
          <w:b/>
          <w:bCs/>
          <w:lang w:val="en-US"/>
        </w:rPr>
        <w:t>&lt; 10cm: 3 years</w:t>
      </w:r>
      <w:r>
        <w:rPr>
          <w:rStyle w:val="Aucun"/>
          <w:b/>
          <w:bCs/>
          <w:lang w:val="en-US"/>
        </w:rPr>
        <w:br/>
        <w:t xml:space="preserve">Patients with BE with a maximum extent ≥ 10cm should be referred for surveillance endoscopies to a BE expert center.  </w:t>
      </w:r>
    </w:p>
    <w:p w14:paraId="69BAED4B" w14:textId="77777777" w:rsidR="00D32DB8" w:rsidRDefault="00D32DB8" w:rsidP="00D32DB8">
      <w:pPr>
        <w:rPr>
          <w:rStyle w:val="Aucun"/>
          <w:b/>
          <w:bCs/>
          <w:lang w:val="en-US"/>
        </w:rPr>
      </w:pPr>
      <w:r>
        <w:rPr>
          <w:rStyle w:val="Aucun"/>
          <w:b/>
          <w:bCs/>
          <w:lang w:val="en-US"/>
        </w:rPr>
        <w:t xml:space="preserve">If a patient has reached 75 years of age at the time of his/her last surveillance endoscopy and has no previous evidence of dysplasia, subsequent surveillance endoscopies should no longer be performed. </w:t>
      </w:r>
      <w:r>
        <w:rPr>
          <w:rStyle w:val="Aucun"/>
          <w:b/>
          <w:bCs/>
          <w:lang w:val="en-US"/>
        </w:rPr>
        <w:br/>
      </w:r>
    </w:p>
    <w:p w14:paraId="432E48A9" w14:textId="19D06B07" w:rsidR="00D32DB8" w:rsidRDefault="00D32DB8" w:rsidP="00D32DB8">
      <w:pPr>
        <w:jc w:val="center"/>
        <w:rPr>
          <w:rStyle w:val="Aucun"/>
          <w:i/>
          <w:iCs/>
          <w:lang w:val="en-US"/>
        </w:rPr>
      </w:pPr>
      <w:r>
        <w:rPr>
          <w:rStyle w:val="Aucun"/>
          <w:i/>
          <w:iCs/>
          <w:lang w:val="en-US"/>
        </w:rPr>
        <w:t>disagreement between merged guidelines</w:t>
      </w:r>
      <w:r>
        <w:rPr>
          <w:rStyle w:val="Aucun"/>
          <w:i/>
          <w:iCs/>
          <w:lang w:val="en-US"/>
        </w:rPr>
        <w:br/>
        <w:t xml:space="preserve">new evidence available </w:t>
      </w:r>
      <w:r w:rsidR="004E2309">
        <w:rPr>
          <w:rStyle w:val="Aucun"/>
          <w:i/>
          <w:iCs/>
          <w:lang w:val="en-US"/>
        </w:rPr>
        <w:t xml:space="preserve">on this </w:t>
      </w:r>
      <w:r>
        <w:rPr>
          <w:rStyle w:val="Aucun"/>
          <w:i/>
          <w:iCs/>
          <w:lang w:val="en-US"/>
        </w:rPr>
        <w:t>statement</w:t>
      </w:r>
      <w:r>
        <w:rPr>
          <w:rStyle w:val="Aucun"/>
          <w:i/>
          <w:iCs/>
          <w:lang w:val="en-US"/>
        </w:rPr>
        <w:br/>
        <w:t>consensus on current statement between working group members</w:t>
      </w:r>
    </w:p>
    <w:p w14:paraId="61A6633E" w14:textId="77777777" w:rsidR="00D32DB8" w:rsidRDefault="00D32DB8" w:rsidP="00D32DB8">
      <w:pPr>
        <w:rPr>
          <w:b/>
          <w:bCs/>
          <w:lang w:val="en-US"/>
        </w:rPr>
      </w:pPr>
    </w:p>
    <w:p w14:paraId="473A3849" w14:textId="77777777" w:rsidR="00D32DB8" w:rsidRDefault="00D32DB8" w:rsidP="00D32DB8">
      <w:pPr>
        <w:rPr>
          <w:rStyle w:val="Aucun"/>
          <w:lang w:val="en-US"/>
        </w:rPr>
      </w:pPr>
      <w:r>
        <w:rPr>
          <w:rStyle w:val="Aucun"/>
          <w:lang w:val="en-US"/>
        </w:rPr>
        <w:t xml:space="preserve">Comments: the extent of BE is an accepted risk factor for malignant progression. The suggested cut-off levels are arbitrary. </w:t>
      </w:r>
    </w:p>
    <w:p w14:paraId="1F8E1E8A" w14:textId="77777777" w:rsidR="00D32DB8" w:rsidRDefault="00D32DB8" w:rsidP="00D32DB8">
      <w:pPr>
        <w:rPr>
          <w:rStyle w:val="Aucun"/>
          <w:lang w:val="en-US"/>
        </w:rPr>
      </w:pPr>
      <w:r>
        <w:rPr>
          <w:rStyle w:val="Aucun"/>
          <w:lang w:val="en-US"/>
        </w:rPr>
        <w:t xml:space="preserve">The cut-off of 10 cm for referral to a BE expert center is based on the fact that the risk for progression in these patients is comparable to that of patients with a confirmed diagnosis of low-grade dysplasia (see below) for which referral to an expert center is also advised (see below). </w:t>
      </w:r>
    </w:p>
    <w:p w14:paraId="2A365BB1" w14:textId="77777777" w:rsidR="00D32DB8" w:rsidRDefault="00D32DB8" w:rsidP="00D32DB8">
      <w:pPr>
        <w:rPr>
          <w:rStyle w:val="Aucun"/>
          <w:lang w:val="en-US"/>
        </w:rPr>
      </w:pPr>
      <w:r>
        <w:rPr>
          <w:rStyle w:val="Aucun"/>
          <w:lang w:val="en-US"/>
        </w:rPr>
        <w:t>The age cut off is also arbitrary, and is based on average life expectancy, hence surveillance extension up to 80 years can be considered in individual cases.</w:t>
      </w:r>
    </w:p>
    <w:p w14:paraId="02685AB0" w14:textId="77777777" w:rsidR="00D32DB8" w:rsidRDefault="00D32DB8" w:rsidP="00D32DB8">
      <w:pPr>
        <w:rPr>
          <w:rStyle w:val="Aucun"/>
          <w:lang w:val="en-US"/>
        </w:rPr>
      </w:pPr>
      <w:r>
        <w:rPr>
          <w:rStyle w:val="Aucun"/>
          <w:lang w:val="en-US"/>
        </w:rPr>
        <w:t xml:space="preserve">In contrary to earlier guidelines, the working group does not recommend a standard follow-up endoscopy at one year after the first diagnosis of BE, provided that the initial (diagnostic) endoscopy is performed according to the standards as described in this statement paper (e.g. high-definition endoscopy, adequate setting, sufficient number of random biopsies etc.) </w:t>
      </w:r>
    </w:p>
    <w:p w14:paraId="786BCD0E" w14:textId="77777777" w:rsidR="00D32DB8" w:rsidRDefault="00D32DB8" w:rsidP="00D32DB8">
      <w:pPr>
        <w:rPr>
          <w:rStyle w:val="Aucun"/>
          <w:lang w:val="en-US"/>
        </w:rPr>
      </w:pPr>
    </w:p>
    <w:p w14:paraId="5AA677FD" w14:textId="77777777" w:rsidR="00D32DB8" w:rsidRPr="00873309" w:rsidRDefault="00D32DB8" w:rsidP="00D32DB8">
      <w:pPr>
        <w:rPr>
          <w:rStyle w:val="Aucun"/>
          <w:i/>
          <w:lang w:val="en-US"/>
        </w:rPr>
      </w:pPr>
      <w:r w:rsidRPr="00873309">
        <w:rPr>
          <w:i/>
          <w:lang w:val="en-GB"/>
        </w:rPr>
        <w:t xml:space="preserve">[Pohl H, Pech O, Arash H, Stolte M, Manner H, May A, et al. Length of Barrett’s oesophagus and cancer risk: implications from a large sample of patients with early oesophageal adenocarcinoma. Gut. 2016;65(2):196–201.] </w:t>
      </w:r>
    </w:p>
    <w:p w14:paraId="3F561707" w14:textId="77777777" w:rsidR="00D32DB8" w:rsidRDefault="00D32DB8" w:rsidP="00D32DB8">
      <w:pPr>
        <w:rPr>
          <w:lang w:val="en-US"/>
        </w:rPr>
      </w:pPr>
    </w:p>
    <w:p w14:paraId="64BE3385" w14:textId="77777777" w:rsidR="00D32DB8" w:rsidRDefault="00D32DB8" w:rsidP="00D32DB8">
      <w:pPr>
        <w:rPr>
          <w:lang w:val="en-US"/>
        </w:rPr>
      </w:pPr>
    </w:p>
    <w:p w14:paraId="6FCB5632" w14:textId="77777777" w:rsidR="00D32DB8" w:rsidRDefault="00D32DB8" w:rsidP="00D32DB8">
      <w:pPr>
        <w:rPr>
          <w:lang w:val="en-US"/>
        </w:rPr>
      </w:pPr>
    </w:p>
    <w:p w14:paraId="66B6B70B" w14:textId="77777777" w:rsidR="00D32DB8" w:rsidRDefault="00D32DB8" w:rsidP="00D32DB8">
      <w:pPr>
        <w:rPr>
          <w:lang w:val="en-US"/>
        </w:rPr>
      </w:pPr>
    </w:p>
    <w:p w14:paraId="0A991D02" w14:textId="77777777" w:rsidR="00D32DB8" w:rsidRDefault="00D32DB8" w:rsidP="00D32DB8">
      <w:pPr>
        <w:rPr>
          <w:rStyle w:val="Aucun"/>
          <w:lang w:val="en-US"/>
        </w:rPr>
      </w:pPr>
      <w:r>
        <w:rPr>
          <w:rStyle w:val="Aucun"/>
          <w:lang w:val="en-US"/>
        </w:rPr>
        <w:lastRenderedPageBreak/>
        <w:t>Statement 8:</w:t>
      </w:r>
    </w:p>
    <w:p w14:paraId="2EFA7A71" w14:textId="77777777" w:rsidR="00D32DB8" w:rsidRDefault="00D32DB8" w:rsidP="00D32DB8">
      <w:pPr>
        <w:rPr>
          <w:rStyle w:val="Aucun"/>
          <w:b/>
          <w:bCs/>
          <w:lang w:val="en-US"/>
        </w:rPr>
      </w:pPr>
      <w:r>
        <w:rPr>
          <w:rStyle w:val="Aucun"/>
          <w:b/>
          <w:bCs/>
          <w:lang w:val="en-US"/>
        </w:rPr>
        <w:t>Prophylactic endoscopic therapy (such as ablation therapy) for non-neoplastic BE should not be performed.</w:t>
      </w:r>
      <w:r>
        <w:rPr>
          <w:rStyle w:val="Aucun"/>
          <w:b/>
          <w:bCs/>
          <w:lang w:val="en-US"/>
        </w:rPr>
        <w:br/>
      </w:r>
    </w:p>
    <w:p w14:paraId="5A381B0A" w14:textId="6BA6A922" w:rsidR="00D32DB8" w:rsidRDefault="00D32DB8" w:rsidP="00D32DB8">
      <w:pPr>
        <w:jc w:val="center"/>
        <w:rPr>
          <w:rStyle w:val="Aucun"/>
          <w:i/>
          <w:iCs/>
          <w:lang w:val="en-US"/>
        </w:rPr>
      </w:pPr>
      <w:r>
        <w:rPr>
          <w:rStyle w:val="Aucun"/>
          <w:i/>
          <w:iCs/>
          <w:lang w:val="en-US"/>
        </w:rPr>
        <w:t>disagreement between merged guidelines</w:t>
      </w:r>
      <w:r>
        <w:rPr>
          <w:rStyle w:val="Aucun"/>
          <w:i/>
          <w:iCs/>
          <w:lang w:val="en-US"/>
        </w:rPr>
        <w:br/>
        <w:t>no new evidence available on this statement</w:t>
      </w:r>
      <w:r>
        <w:rPr>
          <w:rStyle w:val="Aucun"/>
          <w:i/>
          <w:iCs/>
          <w:lang w:val="en-US"/>
        </w:rPr>
        <w:br/>
        <w:t>consensus on current statement between working group members</w:t>
      </w:r>
    </w:p>
    <w:p w14:paraId="35722E3E" w14:textId="77777777" w:rsidR="00D32DB8" w:rsidRDefault="00D32DB8" w:rsidP="00D32DB8">
      <w:pPr>
        <w:rPr>
          <w:b/>
          <w:bCs/>
          <w:lang w:val="en-US"/>
        </w:rPr>
      </w:pPr>
    </w:p>
    <w:p w14:paraId="7864D1AB" w14:textId="77777777" w:rsidR="00D32DB8" w:rsidRDefault="00D32DB8" w:rsidP="00D32DB8">
      <w:pPr>
        <w:rPr>
          <w:b/>
          <w:bCs/>
          <w:lang w:val="en-US"/>
        </w:rPr>
      </w:pPr>
    </w:p>
    <w:p w14:paraId="4ECC8275" w14:textId="77777777" w:rsidR="00D32DB8" w:rsidRDefault="00D32DB8" w:rsidP="00D32DB8">
      <w:pPr>
        <w:rPr>
          <w:rStyle w:val="Aucun"/>
          <w:lang w:val="en-US"/>
        </w:rPr>
      </w:pPr>
      <w:r>
        <w:rPr>
          <w:rStyle w:val="Aucun"/>
          <w:lang w:val="en-US"/>
        </w:rPr>
        <w:t>Statement 9:</w:t>
      </w:r>
    </w:p>
    <w:p w14:paraId="16B5ADBB" w14:textId="77777777" w:rsidR="00D32DB8" w:rsidRDefault="00D32DB8" w:rsidP="00D32DB8">
      <w:pPr>
        <w:rPr>
          <w:rStyle w:val="Aucun"/>
          <w:b/>
          <w:bCs/>
          <w:lang w:val="en-US"/>
        </w:rPr>
      </w:pPr>
      <w:r>
        <w:rPr>
          <w:rStyle w:val="Aucun"/>
          <w:b/>
          <w:bCs/>
          <w:lang w:val="en-US"/>
        </w:rPr>
        <w:t xml:space="preserve">The diagnosis of any degree of dysplasia (including ‘indefinite for dysplasia’) in BE requires confirmation by an expert gastrointestinal pathologist. </w:t>
      </w:r>
      <w:r>
        <w:rPr>
          <w:rStyle w:val="Aucun"/>
          <w:b/>
          <w:bCs/>
          <w:lang w:val="en-US"/>
        </w:rPr>
        <w:br/>
      </w:r>
    </w:p>
    <w:p w14:paraId="52D68FA3" w14:textId="73B36E87" w:rsidR="00D32DB8" w:rsidRDefault="00D32DB8" w:rsidP="00D32DB8">
      <w:pPr>
        <w:jc w:val="center"/>
        <w:rPr>
          <w:rStyle w:val="Aucun"/>
          <w:i/>
          <w:iCs/>
          <w:lang w:val="en-US"/>
        </w:rPr>
      </w:pPr>
      <w:r>
        <w:rPr>
          <w:rStyle w:val="Aucun"/>
          <w:i/>
          <w:iCs/>
          <w:lang w:val="en-US"/>
        </w:rPr>
        <w:t xml:space="preserve"> agreement between merged guidelines</w:t>
      </w:r>
      <w:r>
        <w:rPr>
          <w:rStyle w:val="Aucun"/>
          <w:i/>
          <w:iCs/>
          <w:lang w:val="en-US"/>
        </w:rPr>
        <w:br/>
        <w:t xml:space="preserve">new evidence available </w:t>
      </w:r>
      <w:r w:rsidR="004E2309">
        <w:rPr>
          <w:rStyle w:val="Aucun"/>
          <w:i/>
          <w:iCs/>
          <w:lang w:val="en-US"/>
        </w:rPr>
        <w:t xml:space="preserve">on </w:t>
      </w:r>
      <w:r>
        <w:rPr>
          <w:rStyle w:val="Aucun"/>
          <w:i/>
          <w:iCs/>
          <w:lang w:val="en-US"/>
        </w:rPr>
        <w:t>this statement</w:t>
      </w:r>
      <w:r>
        <w:rPr>
          <w:rStyle w:val="Aucun"/>
          <w:i/>
          <w:iCs/>
          <w:lang w:val="en-US"/>
        </w:rPr>
        <w:br/>
        <w:t>consensus on current statement between working group members</w:t>
      </w:r>
    </w:p>
    <w:p w14:paraId="0C513C9B" w14:textId="77777777" w:rsidR="00D32DB8" w:rsidRDefault="00D32DB8" w:rsidP="00D32DB8">
      <w:pPr>
        <w:rPr>
          <w:b/>
          <w:bCs/>
          <w:lang w:val="en-US"/>
        </w:rPr>
      </w:pPr>
    </w:p>
    <w:p w14:paraId="238EB85D" w14:textId="77777777" w:rsidR="00D32DB8" w:rsidRDefault="00D32DB8" w:rsidP="00D32DB8">
      <w:pPr>
        <w:rPr>
          <w:rStyle w:val="Aucun"/>
          <w:lang w:val="en-US"/>
        </w:rPr>
      </w:pPr>
      <w:r>
        <w:rPr>
          <w:rStyle w:val="Aucun"/>
          <w:lang w:val="en-US"/>
        </w:rPr>
        <w:t xml:space="preserve">Comments: An accepted definition of the term “expert gastrointestinal  (GI) pathologist” is lacking. The working group suggests the following description: “an expert GI pathologist is a pathologist with special interest in GI pathology recognized as such by his/her peers”. When considering endoscopic treatment, confirmation by an independent pathologist from an independent institution is preferable to increase robustness of diagnosis. </w:t>
      </w:r>
      <w:r>
        <w:rPr>
          <w:rStyle w:val="Aucun"/>
          <w:lang w:val="en-US"/>
        </w:rPr>
        <w:br/>
        <w:t>The addition of a p53 immuno-staining to the histopathological assessment may improve the diagnostic reproducibility of a diagnosis of dysplasia in BE and should be considered as an adjunct to routine clinical diagnosis.</w:t>
      </w:r>
      <w:r>
        <w:rPr>
          <w:rStyle w:val="Aucun"/>
          <w:lang w:val="en-US"/>
        </w:rPr>
        <w:br/>
        <w:t>The importance of expert histopathology review is underscored by studies showing that the majority of patients with a community diagnosis of low grade dysplasia (LGD) are downstaged to non-dysplastic BE by expert GI pathologists. In patients with confirmed LGD, however, progression rates to high</w:t>
      </w:r>
      <w:r>
        <w:rPr>
          <w:lang w:val="en-US"/>
        </w:rPr>
        <w:t xml:space="preserve"> grade dysplasia</w:t>
      </w:r>
      <w:r>
        <w:rPr>
          <w:rStyle w:val="Aucun"/>
          <w:lang w:val="en-US"/>
        </w:rPr>
        <w:t xml:space="preserve"> (HGD) and cancer are considerable. </w:t>
      </w:r>
    </w:p>
    <w:p w14:paraId="35438826" w14:textId="77777777" w:rsidR="00D32DB8" w:rsidRDefault="00D32DB8" w:rsidP="00D32DB8">
      <w:pPr>
        <w:rPr>
          <w:rStyle w:val="Aucun"/>
          <w:lang w:val="en-US"/>
        </w:rPr>
      </w:pPr>
    </w:p>
    <w:p w14:paraId="7ACAF4C4" w14:textId="77777777" w:rsidR="00D32DB8" w:rsidRPr="00D32DB8" w:rsidRDefault="00D32DB8" w:rsidP="00D32DB8">
      <w:pPr>
        <w:rPr>
          <w:i/>
        </w:rPr>
      </w:pPr>
      <w:r w:rsidRPr="00873309">
        <w:rPr>
          <w:i/>
        </w:rPr>
        <w:t xml:space="preserve">[Phoa KN, van Vilsteren FGI, Weusten BL a. M, Bisschops R, Schoon EJ, Ragunath K, et al. </w:t>
      </w:r>
      <w:r w:rsidRPr="00873309">
        <w:rPr>
          <w:i/>
          <w:lang w:val="en-GB"/>
        </w:rPr>
        <w:t xml:space="preserve">Radiofrequency Ablation vs Endoscopic Surveillance for Patients With Barrett Esophagus and Low-Grade Dysplasia. </w:t>
      </w:r>
      <w:r w:rsidRPr="00D32DB8">
        <w:rPr>
          <w:i/>
        </w:rPr>
        <w:t xml:space="preserve">JAMA. 2014;311(12):1209–17. </w:t>
      </w:r>
    </w:p>
    <w:p w14:paraId="571CF0AC" w14:textId="77777777" w:rsidR="00D32DB8" w:rsidRPr="00873309" w:rsidRDefault="00D32DB8" w:rsidP="00D32DB8">
      <w:pPr>
        <w:rPr>
          <w:i/>
          <w:lang w:val="en-GB"/>
        </w:rPr>
      </w:pPr>
      <w:r w:rsidRPr="00873309">
        <w:rPr>
          <w:i/>
        </w:rPr>
        <w:t xml:space="preserve">[Duits LC, Phoa KN, Curvers WL, Ten Kate FJW, Meijer GA, Seldenrijk CA, et al. </w:t>
      </w:r>
      <w:r w:rsidRPr="00873309">
        <w:rPr>
          <w:i/>
          <w:lang w:val="en-GB"/>
        </w:rPr>
        <w:t>Barrett’s oesophagus patients with low-grade dysplasia can be accurately risk-stratified after histological review by an expert pathology panel. Gut. 2015;64(5):700–6.]</w:t>
      </w:r>
    </w:p>
    <w:p w14:paraId="0C49DEDD" w14:textId="77777777" w:rsidR="00D32DB8" w:rsidRDefault="00D32DB8" w:rsidP="00D32DB8">
      <w:pPr>
        <w:rPr>
          <w:rStyle w:val="Aucun"/>
          <w:i/>
          <w:iCs/>
          <w:lang w:val="en-US"/>
        </w:rPr>
      </w:pPr>
    </w:p>
    <w:p w14:paraId="08F778BD" w14:textId="77777777" w:rsidR="00D32DB8" w:rsidRDefault="00D32DB8" w:rsidP="00D32DB8">
      <w:pPr>
        <w:rPr>
          <w:rStyle w:val="Aucun"/>
          <w:lang w:val="en-US"/>
        </w:rPr>
      </w:pPr>
      <w:r>
        <w:rPr>
          <w:rStyle w:val="Aucun"/>
          <w:lang w:val="en-US"/>
        </w:rPr>
        <w:lastRenderedPageBreak/>
        <w:t>Statement 10:</w:t>
      </w:r>
    </w:p>
    <w:p w14:paraId="18DFA3D5" w14:textId="77777777" w:rsidR="00D32DB8" w:rsidRDefault="00D32DB8" w:rsidP="00D32DB8">
      <w:pPr>
        <w:rPr>
          <w:rStyle w:val="Aucun"/>
          <w:b/>
          <w:bCs/>
          <w:lang w:val="en-US"/>
        </w:rPr>
      </w:pPr>
      <w:r>
        <w:rPr>
          <w:rStyle w:val="Aucun"/>
          <w:b/>
          <w:bCs/>
          <w:lang w:val="en-US"/>
        </w:rPr>
        <w:t>Patients with a diagnosis of indefinite for dysplasia confirmed by a second expert GI pathologist should be managed with optimization of antireflux medication and repeat endoscopy at 6 months. If no definite dysplasia is found in subsequent biopsy samples (including if the biopsies are again classified as indefinite for dysplasia), then the surveillance strategy should follow the recommendation for non-dysplastic BE.</w:t>
      </w:r>
      <w:r>
        <w:rPr>
          <w:rStyle w:val="Aucun"/>
          <w:b/>
          <w:bCs/>
          <w:lang w:val="en-US"/>
        </w:rPr>
        <w:br/>
      </w:r>
    </w:p>
    <w:p w14:paraId="569CEC8F" w14:textId="45A42C4D" w:rsidR="00D32DB8" w:rsidRDefault="00D32DB8" w:rsidP="00D32DB8">
      <w:pPr>
        <w:jc w:val="center"/>
        <w:rPr>
          <w:rStyle w:val="Aucun"/>
          <w:i/>
          <w:iCs/>
          <w:lang w:val="en-US"/>
        </w:rPr>
      </w:pPr>
      <w:r>
        <w:rPr>
          <w:rStyle w:val="Aucun"/>
          <w:i/>
          <w:iCs/>
          <w:lang w:val="en-US"/>
        </w:rPr>
        <w:t xml:space="preserve">recommendation only present in one guideline </w:t>
      </w:r>
      <w:r>
        <w:rPr>
          <w:rStyle w:val="Aucun"/>
          <w:i/>
          <w:iCs/>
          <w:lang w:val="en-US"/>
        </w:rPr>
        <w:br/>
        <w:t>no new evidence available on this statement</w:t>
      </w:r>
      <w:r>
        <w:rPr>
          <w:rStyle w:val="Aucun"/>
          <w:i/>
          <w:iCs/>
          <w:lang w:val="en-US"/>
        </w:rPr>
        <w:br/>
        <w:t>consensus on current statement between working group members</w:t>
      </w:r>
    </w:p>
    <w:p w14:paraId="5D2BFD0B" w14:textId="77777777" w:rsidR="00D32DB8" w:rsidRDefault="00D32DB8" w:rsidP="00D32DB8">
      <w:pPr>
        <w:rPr>
          <w:b/>
          <w:bCs/>
          <w:lang w:val="en-US"/>
        </w:rPr>
      </w:pPr>
    </w:p>
    <w:p w14:paraId="7B9779B1" w14:textId="77777777" w:rsidR="00D32DB8" w:rsidRDefault="00D32DB8" w:rsidP="00D32DB8">
      <w:pPr>
        <w:rPr>
          <w:lang w:val="en-US"/>
        </w:rPr>
      </w:pPr>
    </w:p>
    <w:p w14:paraId="7D246E50" w14:textId="77777777" w:rsidR="00D32DB8" w:rsidRDefault="00D32DB8" w:rsidP="00D32DB8">
      <w:pPr>
        <w:rPr>
          <w:rStyle w:val="Aucun"/>
          <w:lang w:val="en-US"/>
        </w:rPr>
      </w:pPr>
      <w:r>
        <w:rPr>
          <w:rStyle w:val="Aucun"/>
          <w:lang w:val="en-US"/>
        </w:rPr>
        <w:t>Statement 11:</w:t>
      </w:r>
    </w:p>
    <w:p w14:paraId="79A8EC5E" w14:textId="77777777" w:rsidR="00D32DB8" w:rsidRDefault="00D32DB8" w:rsidP="00D32DB8">
      <w:pPr>
        <w:rPr>
          <w:rStyle w:val="Aucun"/>
          <w:b/>
          <w:bCs/>
          <w:lang w:val="en-US"/>
        </w:rPr>
      </w:pPr>
      <w:r>
        <w:rPr>
          <w:rStyle w:val="Aucun"/>
          <w:b/>
          <w:bCs/>
          <w:lang w:val="en-US"/>
        </w:rPr>
        <w:t xml:space="preserve">Patients with visible lesions in BE diagnosed as dysplasia or early cancer should be referred to a BE expert center. All visible abnormalities, regardless of the degree of dysplasia, should be removed by means of endoscopic resection techniques in order to obtain optimal histopathological staging. </w:t>
      </w:r>
      <w:r>
        <w:rPr>
          <w:rStyle w:val="Aucun"/>
          <w:b/>
          <w:bCs/>
          <w:lang w:val="en-US"/>
        </w:rPr>
        <w:br/>
      </w:r>
      <w:r>
        <w:rPr>
          <w:rStyle w:val="Aucun"/>
          <w:b/>
          <w:bCs/>
          <w:lang w:val="en-US"/>
        </w:rPr>
        <w:br/>
      </w:r>
    </w:p>
    <w:p w14:paraId="6080D559" w14:textId="4644582B" w:rsidR="00D32DB8" w:rsidRDefault="00D32DB8" w:rsidP="00D32DB8">
      <w:pPr>
        <w:jc w:val="center"/>
        <w:rPr>
          <w:rStyle w:val="Aucun"/>
          <w:i/>
          <w:iCs/>
          <w:lang w:val="en-US"/>
        </w:rPr>
      </w:pPr>
      <w:r>
        <w:rPr>
          <w:rStyle w:val="Aucun"/>
          <w:i/>
          <w:iCs/>
          <w:lang w:val="en-US"/>
        </w:rPr>
        <w:t>agreement between merged guidelines</w:t>
      </w:r>
      <w:r>
        <w:rPr>
          <w:rStyle w:val="Aucun"/>
          <w:i/>
          <w:iCs/>
          <w:lang w:val="en-US"/>
        </w:rPr>
        <w:br/>
        <w:t xml:space="preserve">new evidence available on </w:t>
      </w:r>
      <w:r w:rsidR="004E2309">
        <w:rPr>
          <w:rStyle w:val="Aucun"/>
          <w:i/>
          <w:iCs/>
          <w:lang w:val="en-US"/>
        </w:rPr>
        <w:t xml:space="preserve">this </w:t>
      </w:r>
      <w:r>
        <w:rPr>
          <w:rStyle w:val="Aucun"/>
          <w:i/>
          <w:iCs/>
          <w:lang w:val="en-US"/>
        </w:rPr>
        <w:t>statement</w:t>
      </w:r>
      <w:r>
        <w:rPr>
          <w:rStyle w:val="Aucun"/>
          <w:i/>
          <w:iCs/>
          <w:lang w:val="en-US"/>
        </w:rPr>
        <w:br/>
        <w:t>consensus on current statement between working group members</w:t>
      </w:r>
    </w:p>
    <w:p w14:paraId="49859345" w14:textId="77777777" w:rsidR="00D32DB8" w:rsidRDefault="00D32DB8" w:rsidP="00D32DB8">
      <w:pPr>
        <w:rPr>
          <w:b/>
          <w:bCs/>
          <w:lang w:val="en-US"/>
        </w:rPr>
      </w:pPr>
    </w:p>
    <w:p w14:paraId="246F9309" w14:textId="77777777" w:rsidR="00D32DB8" w:rsidRDefault="00D32DB8" w:rsidP="00D32DB8">
      <w:pPr>
        <w:rPr>
          <w:rStyle w:val="Aucun"/>
          <w:lang w:val="en-US"/>
        </w:rPr>
      </w:pPr>
      <w:r>
        <w:rPr>
          <w:rStyle w:val="Aucun"/>
          <w:lang w:val="en-US"/>
        </w:rPr>
        <w:t xml:space="preserve">Comments: for Barrett’s lesions containing dysplasia or early cancer, endoscopic submucosal dissection (ESD) and endoscopic mucosal resection (EMR) are both highly effective. ESD has not been shown to be superior to EMR, yet it is considered to be technically more difficult and is associated with a higher rate of complications. Therefore, EMR is the preferred resection technique for early BE neoplasia. ESD may be indicated for removal of lesions with a significant luminal component (“bulky lesions”) that cannot be removed by cap-based techniques, and lesions where submucosal invasion is suspected. </w:t>
      </w:r>
    </w:p>
    <w:p w14:paraId="6768995B" w14:textId="77777777" w:rsidR="00D32DB8" w:rsidRDefault="00D32DB8" w:rsidP="00D32DB8">
      <w:pPr>
        <w:rPr>
          <w:rStyle w:val="Aucun"/>
          <w:lang w:val="en-US"/>
        </w:rPr>
      </w:pPr>
    </w:p>
    <w:p w14:paraId="32D03723" w14:textId="77777777" w:rsidR="00D32DB8" w:rsidRPr="00D32DB8" w:rsidRDefault="00D32DB8" w:rsidP="00D32DB8">
      <w:pPr>
        <w:rPr>
          <w:i/>
        </w:rPr>
      </w:pPr>
      <w:r w:rsidRPr="00873309">
        <w:rPr>
          <w:i/>
          <w:lang w:val="en-GB"/>
        </w:rPr>
        <w:t xml:space="preserve">[Pimentel-Nunes P, Dinis-Ribeiro M, Ponchon T, Repici A, Vieth M, De Ceglie A, et al. Endoscopic submucosal dissection: European Society of Gastrointestinal Endoscopy (ESGE) Guideline. </w:t>
      </w:r>
      <w:r w:rsidRPr="00D32DB8">
        <w:rPr>
          <w:i/>
        </w:rPr>
        <w:t xml:space="preserve">Endoscopy. 2015;47(9):829–54.] </w:t>
      </w:r>
    </w:p>
    <w:p w14:paraId="78E015F3" w14:textId="77777777" w:rsidR="00D32DB8" w:rsidRPr="00873309" w:rsidRDefault="00D32DB8" w:rsidP="00D32DB8">
      <w:pPr>
        <w:rPr>
          <w:i/>
          <w:lang w:val="en-GB"/>
        </w:rPr>
      </w:pPr>
      <w:r w:rsidRPr="00D32DB8">
        <w:rPr>
          <w:i/>
        </w:rPr>
        <w:t xml:space="preserve">[Terheggen G, Horn EM, Vieth M, Gabbert H, Enderle M, Neugebauer A, et al. </w:t>
      </w:r>
      <w:r w:rsidRPr="00873309">
        <w:rPr>
          <w:i/>
          <w:lang w:val="en-GB"/>
        </w:rPr>
        <w:t>A randomised trial of endoscopic submucosal dissection versus endoscopic mucosal resection for early Barrett’s neoplasia. Gut. 2016;gutjnl – 2015–310126. Available from: http://gut.bmj.com/lookup/doi/10.1136/gutjnl-2015-310126]</w:t>
      </w:r>
    </w:p>
    <w:p w14:paraId="47B6FC1F" w14:textId="77777777" w:rsidR="00D32DB8" w:rsidRDefault="00D32DB8" w:rsidP="00D32DB8">
      <w:pPr>
        <w:rPr>
          <w:rStyle w:val="Aucun"/>
          <w:lang w:val="en-US"/>
        </w:rPr>
      </w:pPr>
      <w:r>
        <w:rPr>
          <w:rStyle w:val="Aucun"/>
          <w:lang w:val="en-US"/>
        </w:rPr>
        <w:lastRenderedPageBreak/>
        <w:t>Statement 12:</w:t>
      </w:r>
    </w:p>
    <w:p w14:paraId="51F2FA04" w14:textId="77777777" w:rsidR="00D32DB8" w:rsidRDefault="00D32DB8" w:rsidP="00D32DB8">
      <w:pPr>
        <w:rPr>
          <w:rStyle w:val="Aucun"/>
          <w:b/>
          <w:bCs/>
          <w:lang w:val="en-US"/>
        </w:rPr>
      </w:pPr>
      <w:r>
        <w:rPr>
          <w:rStyle w:val="Aucun"/>
          <w:b/>
          <w:bCs/>
          <w:lang w:val="en-US"/>
        </w:rPr>
        <w:t xml:space="preserve">Patients with LGD on random biopsies confirmed by a second expert GI pathologist should be referred to a BE expert center. A surveillance interval of 6 months after confirmed LGD diagnosis is recommended. </w:t>
      </w:r>
      <w:r>
        <w:rPr>
          <w:rStyle w:val="Aucun"/>
          <w:lang w:val="en-US"/>
        </w:rPr>
        <w:br/>
      </w:r>
      <w:r>
        <w:rPr>
          <w:rStyle w:val="Aucun"/>
          <w:b/>
          <w:bCs/>
          <w:lang w:val="en-US"/>
        </w:rPr>
        <w:t>1. If no dysplasia is found at the 6-month endoscopy, the interval can be broadened to 1 year. After two subsequent endoscopies negative for dysplasia, standard surveillance for non-dysplastic BE patients can be initiated.</w:t>
      </w:r>
      <w:r>
        <w:rPr>
          <w:rStyle w:val="Aucun"/>
          <w:b/>
          <w:bCs/>
          <w:lang w:val="en-US"/>
        </w:rPr>
        <w:br/>
        <w:t xml:space="preserve">2. If a confirmed diagnosis of LGD is found in any of the subsequent EGDs, endoscopic ablation should be offered. </w:t>
      </w:r>
      <w:r>
        <w:rPr>
          <w:rStyle w:val="Aucun"/>
          <w:b/>
          <w:bCs/>
          <w:lang w:val="en-US"/>
        </w:rPr>
        <w:br/>
      </w:r>
    </w:p>
    <w:p w14:paraId="716E539A" w14:textId="46F74D6D" w:rsidR="00D32DB8" w:rsidRDefault="00D32DB8" w:rsidP="00D32DB8">
      <w:pPr>
        <w:jc w:val="center"/>
        <w:rPr>
          <w:rStyle w:val="Aucun"/>
          <w:i/>
          <w:iCs/>
          <w:lang w:val="en-US"/>
        </w:rPr>
      </w:pPr>
      <w:r>
        <w:rPr>
          <w:rStyle w:val="Aucun"/>
          <w:i/>
          <w:iCs/>
          <w:lang w:val="en-US"/>
        </w:rPr>
        <w:t>partial agreement between merged guidelines</w:t>
      </w:r>
      <w:r>
        <w:rPr>
          <w:rStyle w:val="Aucun"/>
          <w:i/>
          <w:iCs/>
          <w:lang w:val="en-US"/>
        </w:rPr>
        <w:br/>
        <w:t xml:space="preserve">new evidence available </w:t>
      </w:r>
      <w:r w:rsidR="004E2309">
        <w:rPr>
          <w:rStyle w:val="Aucun"/>
          <w:i/>
          <w:iCs/>
          <w:lang w:val="en-US"/>
        </w:rPr>
        <w:t xml:space="preserve">on this </w:t>
      </w:r>
      <w:r>
        <w:rPr>
          <w:rStyle w:val="Aucun"/>
          <w:i/>
          <w:iCs/>
          <w:lang w:val="en-US"/>
        </w:rPr>
        <w:t>statement</w:t>
      </w:r>
      <w:r>
        <w:rPr>
          <w:rStyle w:val="Aucun"/>
          <w:i/>
          <w:iCs/>
          <w:lang w:val="en-US"/>
        </w:rPr>
        <w:br/>
        <w:t>consensus on current statement between working group members</w:t>
      </w:r>
    </w:p>
    <w:p w14:paraId="308A2738" w14:textId="77777777" w:rsidR="00D32DB8" w:rsidRDefault="00D32DB8" w:rsidP="00D32DB8">
      <w:pPr>
        <w:rPr>
          <w:lang w:val="en-US"/>
        </w:rPr>
      </w:pPr>
    </w:p>
    <w:p w14:paraId="3F0F54F4" w14:textId="77777777" w:rsidR="00D32DB8" w:rsidRDefault="00D32DB8" w:rsidP="00D32DB8">
      <w:pPr>
        <w:rPr>
          <w:rStyle w:val="Aucun"/>
          <w:lang w:val="en-US"/>
        </w:rPr>
      </w:pPr>
      <w:r>
        <w:rPr>
          <w:rStyle w:val="Aucun"/>
          <w:lang w:val="en-US"/>
        </w:rPr>
        <w:t xml:space="preserve">Comments: In 30% of patients with a single endoscopy diagnosis of confirmed LGD, the diagnosis will not be reproduced on subsequent endoscopies. A single diagnosis of confirmed LGD therefore does not justify endoscopic ablation therapy. </w:t>
      </w:r>
    </w:p>
    <w:p w14:paraId="4A3AE4AA" w14:textId="77777777" w:rsidR="00D32DB8" w:rsidRDefault="00D32DB8" w:rsidP="00D32DB8">
      <w:pPr>
        <w:rPr>
          <w:rStyle w:val="Aucun"/>
          <w:lang w:val="en-US"/>
        </w:rPr>
      </w:pPr>
    </w:p>
    <w:p w14:paraId="5063274C" w14:textId="77777777" w:rsidR="00D32DB8" w:rsidRPr="00D32DB8" w:rsidRDefault="00D32DB8" w:rsidP="00D32DB8">
      <w:pPr>
        <w:rPr>
          <w:i/>
          <w:lang w:val="en-GB"/>
        </w:rPr>
      </w:pPr>
      <w:r w:rsidRPr="00873309">
        <w:rPr>
          <w:i/>
        </w:rPr>
        <w:t xml:space="preserve">[Phoa KN, van Vilsteren FGI, Weusten BL a. M, Bisschops R, Schoon EJ, Ragunath K, et al. </w:t>
      </w:r>
      <w:r w:rsidRPr="00873309">
        <w:rPr>
          <w:i/>
          <w:lang w:val="en-GB"/>
        </w:rPr>
        <w:t xml:space="preserve">Radiofrequency Ablation vs Endoscopic Surveillance for Patients With Barrett Esophagus and Low-Grade Dysplasia. </w:t>
      </w:r>
      <w:r w:rsidRPr="00D32DB8">
        <w:rPr>
          <w:i/>
          <w:lang w:val="en-GB"/>
        </w:rPr>
        <w:t xml:space="preserve">JAMA. 2014;311(12):1209–17. </w:t>
      </w:r>
    </w:p>
    <w:p w14:paraId="06E76AC6" w14:textId="77777777" w:rsidR="00D32DB8" w:rsidRDefault="00D32DB8" w:rsidP="00D32DB8">
      <w:pPr>
        <w:rPr>
          <w:rStyle w:val="Aucun"/>
          <w:lang w:val="en-US"/>
        </w:rPr>
      </w:pPr>
    </w:p>
    <w:p w14:paraId="76F7F170" w14:textId="77777777" w:rsidR="00D32DB8" w:rsidRDefault="00D32DB8" w:rsidP="00D32DB8">
      <w:pPr>
        <w:rPr>
          <w:rStyle w:val="Aucun"/>
          <w:lang w:val="en-US"/>
        </w:rPr>
      </w:pPr>
      <w:r>
        <w:rPr>
          <w:rStyle w:val="Aucun"/>
          <w:lang w:val="en-US"/>
        </w:rPr>
        <w:t xml:space="preserve">Confirmed LGD, especially if it is repeated over time, and/or if it is documented at multiple esophageal levels, is a strong risk factor for progression tot HGD and OAC </w:t>
      </w:r>
    </w:p>
    <w:p w14:paraId="20F648C8" w14:textId="77777777" w:rsidR="00D32DB8" w:rsidRDefault="00D32DB8" w:rsidP="00D32DB8">
      <w:pPr>
        <w:rPr>
          <w:rStyle w:val="Aucun"/>
          <w:lang w:val="en-US"/>
        </w:rPr>
      </w:pPr>
    </w:p>
    <w:p w14:paraId="2352D422" w14:textId="77777777" w:rsidR="00D32DB8" w:rsidRPr="00873309" w:rsidRDefault="00D32DB8" w:rsidP="00D32DB8">
      <w:pPr>
        <w:rPr>
          <w:i/>
          <w:lang w:val="en-GB"/>
        </w:rPr>
      </w:pPr>
      <w:r w:rsidRPr="00873309">
        <w:rPr>
          <w:i/>
        </w:rPr>
        <w:t xml:space="preserve">[Duits LC, Phoa KN, Curvers WL, Ten Kate FJW, Meijer GA, Seldenrijk CA, et al. </w:t>
      </w:r>
      <w:r w:rsidRPr="00873309">
        <w:rPr>
          <w:i/>
          <w:lang w:val="en-GB"/>
        </w:rPr>
        <w:t>Barrett’s oesophagus patients with low-grade dysplasia can be accurately risk-stratified after histological review by an expert pathology panel. Gut. 2015;64(5):700–6.]</w:t>
      </w:r>
    </w:p>
    <w:p w14:paraId="3BA0EE06" w14:textId="77777777" w:rsidR="00D32DB8" w:rsidRPr="009A6333" w:rsidRDefault="00D32DB8" w:rsidP="00D32DB8">
      <w:pPr>
        <w:rPr>
          <w:i/>
          <w:lang w:val="en-GB"/>
        </w:rPr>
      </w:pPr>
      <w:r w:rsidRPr="009A6333">
        <w:rPr>
          <w:i/>
          <w:lang w:val="en-GB"/>
        </w:rPr>
        <w:t>[Small AJ, Araujo JL, Leggett CL, Mendelson AH, Agarwalla A, Abrams JA, et al. Radiofrequency Ablation Is Associated With Decreased Neoplastic Progression in Patients With Barrett’s Esophagus and Confirmed Low-Grade Dysplasia. Gastroenterology. 2015;149(3):567–76.]</w:t>
      </w:r>
    </w:p>
    <w:p w14:paraId="27D83592" w14:textId="77777777" w:rsidR="00D32DB8" w:rsidRPr="00D32DB8" w:rsidRDefault="00D32DB8" w:rsidP="00D32DB8">
      <w:pPr>
        <w:rPr>
          <w:rStyle w:val="Aucun"/>
          <w:i/>
          <w:iCs/>
          <w:lang w:val="en-GB"/>
        </w:rPr>
      </w:pPr>
    </w:p>
    <w:p w14:paraId="2C8BF044" w14:textId="77777777" w:rsidR="00D32DB8" w:rsidRDefault="00D32DB8" w:rsidP="00D32DB8">
      <w:pPr>
        <w:rPr>
          <w:rStyle w:val="Aucun"/>
          <w:lang w:val="en-US"/>
        </w:rPr>
      </w:pPr>
      <w:r>
        <w:rPr>
          <w:rStyle w:val="Aucun"/>
          <w:lang w:val="en-US"/>
        </w:rPr>
        <w:t>Based on the currently available literature, RFA has the best efficacy and safety profile, hence it is recommended as the technique of choice for ablation of BE.</w:t>
      </w:r>
    </w:p>
    <w:p w14:paraId="0F8D2C75" w14:textId="77777777" w:rsidR="00D32DB8" w:rsidRDefault="00D32DB8" w:rsidP="00D32DB8">
      <w:pPr>
        <w:rPr>
          <w:rStyle w:val="Aucun"/>
          <w:lang w:val="en-US"/>
        </w:rPr>
      </w:pPr>
    </w:p>
    <w:p w14:paraId="35EF507B" w14:textId="77777777" w:rsidR="00D32DB8" w:rsidRDefault="00D32DB8" w:rsidP="00D32DB8">
      <w:pPr>
        <w:rPr>
          <w:rStyle w:val="Aucun"/>
          <w:lang w:val="en-US"/>
        </w:rPr>
      </w:pPr>
      <w:r>
        <w:rPr>
          <w:rStyle w:val="Aucun"/>
          <w:lang w:val="en-US"/>
        </w:rPr>
        <w:lastRenderedPageBreak/>
        <w:t>Statement 13:</w:t>
      </w:r>
    </w:p>
    <w:p w14:paraId="38EF5F91" w14:textId="77777777" w:rsidR="00D32DB8" w:rsidRDefault="00D32DB8" w:rsidP="00D32DB8">
      <w:pPr>
        <w:rPr>
          <w:rStyle w:val="Aucun"/>
          <w:b/>
          <w:bCs/>
          <w:lang w:val="en-US"/>
        </w:rPr>
      </w:pPr>
      <w:r>
        <w:rPr>
          <w:rStyle w:val="Aucun"/>
          <w:b/>
          <w:bCs/>
          <w:lang w:val="en-US"/>
        </w:rPr>
        <w:t>Patients with HGD confirmed by a second expert GI pathologist should be referred to a BE expert center. In the expert center, a high-definition endoscopy should be repeated according to the following guidelines:</w:t>
      </w:r>
      <w:r>
        <w:rPr>
          <w:rStyle w:val="Aucun"/>
          <w:b/>
          <w:bCs/>
          <w:lang w:val="en-US"/>
        </w:rPr>
        <w:br/>
        <w:t>1. All visible abnormalities should be removed by endoscopic resection techniques for adequate histopathological staging</w:t>
      </w:r>
      <w:r>
        <w:rPr>
          <w:rStyle w:val="Aucun"/>
          <w:b/>
          <w:bCs/>
          <w:lang w:val="en-US"/>
        </w:rPr>
        <w:br/>
        <w:t>2. If no lesions suspicious for dysplasia are seen, random 4Q biopsies should be taken; If these biopsies are negative for dysplasia, endoscopy should be repeated at 3 months. If these biopsies confirm the presence of HGD, endoscopic ablation is recommended, preferably with r</w:t>
      </w:r>
      <w:r w:rsidRPr="00D355C7">
        <w:rPr>
          <w:rStyle w:val="Aucun"/>
          <w:b/>
          <w:bCs/>
          <w:lang w:val="en-US"/>
        </w:rPr>
        <w:t>adiofrequency ablation</w:t>
      </w:r>
      <w:r>
        <w:rPr>
          <w:rStyle w:val="Aucun"/>
          <w:b/>
          <w:bCs/>
          <w:lang w:val="en-US"/>
        </w:rPr>
        <w:t xml:space="preserve"> (RFA).</w:t>
      </w:r>
      <w:r>
        <w:rPr>
          <w:rStyle w:val="Aucun"/>
          <w:b/>
          <w:bCs/>
          <w:lang w:val="en-US"/>
        </w:rPr>
        <w:br/>
      </w:r>
    </w:p>
    <w:p w14:paraId="52321232" w14:textId="69126ED8" w:rsidR="00D32DB8" w:rsidRDefault="00D32DB8" w:rsidP="00D32DB8">
      <w:pPr>
        <w:jc w:val="center"/>
        <w:rPr>
          <w:rStyle w:val="Aucun"/>
          <w:i/>
          <w:iCs/>
          <w:lang w:val="en-US"/>
        </w:rPr>
      </w:pPr>
      <w:r>
        <w:rPr>
          <w:rStyle w:val="Aucun"/>
          <w:i/>
          <w:iCs/>
          <w:lang w:val="en-US"/>
        </w:rPr>
        <w:t>partial agreement between merged guidelines</w:t>
      </w:r>
      <w:r>
        <w:rPr>
          <w:rStyle w:val="Aucun"/>
          <w:i/>
          <w:iCs/>
          <w:lang w:val="en-US"/>
        </w:rPr>
        <w:br/>
        <w:t xml:space="preserve">no new evidence available on </w:t>
      </w:r>
      <w:r w:rsidR="004E2309">
        <w:rPr>
          <w:rStyle w:val="Aucun"/>
          <w:i/>
          <w:iCs/>
          <w:lang w:val="en-US"/>
        </w:rPr>
        <w:t xml:space="preserve">this </w:t>
      </w:r>
      <w:r>
        <w:rPr>
          <w:rStyle w:val="Aucun"/>
          <w:i/>
          <w:iCs/>
          <w:lang w:val="en-US"/>
        </w:rPr>
        <w:t>statement</w:t>
      </w:r>
      <w:r>
        <w:rPr>
          <w:rStyle w:val="Aucun"/>
          <w:i/>
          <w:iCs/>
          <w:lang w:val="en-US"/>
        </w:rPr>
        <w:br/>
        <w:t>consensus on current statement between working group members</w:t>
      </w:r>
    </w:p>
    <w:p w14:paraId="65F0DDCE" w14:textId="77777777" w:rsidR="00D32DB8" w:rsidRDefault="00D32DB8" w:rsidP="00D32DB8">
      <w:pPr>
        <w:rPr>
          <w:b/>
          <w:bCs/>
          <w:lang w:val="en-US"/>
        </w:rPr>
      </w:pPr>
    </w:p>
    <w:p w14:paraId="647A1947" w14:textId="77777777" w:rsidR="00D32DB8" w:rsidRDefault="00D32DB8" w:rsidP="00D32DB8">
      <w:pPr>
        <w:rPr>
          <w:rStyle w:val="Aucun"/>
          <w:lang w:val="en-US"/>
        </w:rPr>
      </w:pPr>
      <w:r>
        <w:rPr>
          <w:rStyle w:val="Aucun"/>
          <w:lang w:val="en-US"/>
        </w:rPr>
        <w:t>Comments: True flat HGD without endoscopically visible lesions is rare and accounts for less than 20% of patients with HGD. The absence of visible abnormalities in a patient with HGD is most often the result of an overlooked lesion, or over-staging of the histopathology. Flat HGD (just as flat LGD) therefore requires a confirmed diagnosis on 2 separate time points before treatment is initiated.</w:t>
      </w:r>
    </w:p>
    <w:p w14:paraId="3B2892C8" w14:textId="77777777" w:rsidR="00D32DB8" w:rsidRDefault="00D32DB8" w:rsidP="00D32DB8">
      <w:pPr>
        <w:rPr>
          <w:lang w:val="en-US"/>
        </w:rPr>
      </w:pPr>
    </w:p>
    <w:p w14:paraId="1E93E244" w14:textId="77777777" w:rsidR="00D32DB8" w:rsidRDefault="00D32DB8" w:rsidP="00D32DB8">
      <w:pPr>
        <w:rPr>
          <w:lang w:val="en-US"/>
        </w:rPr>
      </w:pPr>
    </w:p>
    <w:p w14:paraId="2A5C1BDA" w14:textId="77777777" w:rsidR="00D32DB8" w:rsidRDefault="00D32DB8" w:rsidP="00D32DB8">
      <w:pPr>
        <w:rPr>
          <w:rStyle w:val="Aucun"/>
          <w:lang w:val="en-US"/>
        </w:rPr>
      </w:pPr>
      <w:r>
        <w:rPr>
          <w:rStyle w:val="Aucun"/>
          <w:lang w:val="en-US"/>
        </w:rPr>
        <w:t>Statement 14:</w:t>
      </w:r>
    </w:p>
    <w:p w14:paraId="2AA5492C" w14:textId="77777777" w:rsidR="00D32DB8" w:rsidRDefault="00D32DB8" w:rsidP="00D32DB8">
      <w:pPr>
        <w:rPr>
          <w:rStyle w:val="Aucun"/>
          <w:b/>
          <w:bCs/>
          <w:lang w:val="en-US"/>
        </w:rPr>
      </w:pPr>
      <w:r>
        <w:rPr>
          <w:rStyle w:val="Aucun"/>
          <w:b/>
          <w:bCs/>
          <w:lang w:val="en-US"/>
        </w:rPr>
        <w:t xml:space="preserve">Endoscopic resection is the first choice therapy for T1a esophageal adenocarcinoma. </w:t>
      </w:r>
      <w:r>
        <w:rPr>
          <w:rStyle w:val="Aucun"/>
          <w:b/>
          <w:bCs/>
          <w:lang w:val="en-US"/>
        </w:rPr>
        <w:br/>
      </w:r>
    </w:p>
    <w:p w14:paraId="21F4E1B2" w14:textId="03334BAF" w:rsidR="00D32DB8" w:rsidRDefault="00D32DB8" w:rsidP="00D32DB8">
      <w:pPr>
        <w:jc w:val="center"/>
        <w:rPr>
          <w:rStyle w:val="Aucun"/>
          <w:i/>
          <w:iCs/>
          <w:lang w:val="en-US"/>
        </w:rPr>
      </w:pPr>
      <w:r>
        <w:rPr>
          <w:rStyle w:val="Aucun"/>
          <w:i/>
          <w:iCs/>
          <w:lang w:val="en-US"/>
        </w:rPr>
        <w:t>agreement between merged guidelines</w:t>
      </w:r>
      <w:r>
        <w:rPr>
          <w:rStyle w:val="Aucun"/>
          <w:i/>
          <w:iCs/>
          <w:lang w:val="en-US"/>
        </w:rPr>
        <w:br/>
        <w:t xml:space="preserve">no new evidence available on </w:t>
      </w:r>
      <w:r w:rsidR="004E2309">
        <w:rPr>
          <w:rStyle w:val="Aucun"/>
          <w:i/>
          <w:iCs/>
          <w:lang w:val="en-US"/>
        </w:rPr>
        <w:t xml:space="preserve">this </w:t>
      </w:r>
      <w:r>
        <w:rPr>
          <w:rStyle w:val="Aucun"/>
          <w:i/>
          <w:iCs/>
          <w:lang w:val="en-US"/>
        </w:rPr>
        <w:t>statement</w:t>
      </w:r>
      <w:r>
        <w:rPr>
          <w:rStyle w:val="Aucun"/>
          <w:i/>
          <w:iCs/>
          <w:lang w:val="en-US"/>
        </w:rPr>
        <w:br/>
        <w:t>consensus on current statement between working group members</w:t>
      </w:r>
    </w:p>
    <w:p w14:paraId="4A8332CB" w14:textId="77777777" w:rsidR="00D32DB8" w:rsidRDefault="00D32DB8" w:rsidP="00D32DB8">
      <w:pPr>
        <w:rPr>
          <w:lang w:val="en-US"/>
        </w:rPr>
      </w:pPr>
    </w:p>
    <w:p w14:paraId="26407A60" w14:textId="77777777" w:rsidR="00D32DB8" w:rsidRDefault="00D32DB8" w:rsidP="00D32DB8">
      <w:pPr>
        <w:rPr>
          <w:rStyle w:val="Aucun"/>
          <w:lang w:val="en-US"/>
        </w:rPr>
      </w:pPr>
      <w:r>
        <w:rPr>
          <w:rStyle w:val="Aucun"/>
          <w:lang w:val="en-US"/>
        </w:rPr>
        <w:t>Comment: A diagnosis of esophageal adenocarcinoma is virtually always associated with an endoscopically visible abnormality, which requires endoscopic resection for staging and treatment.</w:t>
      </w:r>
    </w:p>
    <w:p w14:paraId="12A38C8B" w14:textId="77777777" w:rsidR="00D32DB8" w:rsidRDefault="00D32DB8" w:rsidP="00D32DB8">
      <w:pPr>
        <w:rPr>
          <w:rStyle w:val="Aucun"/>
          <w:lang w:val="en-US"/>
        </w:rPr>
      </w:pPr>
      <w:r>
        <w:rPr>
          <w:rStyle w:val="Aucun"/>
          <w:lang w:val="en-US"/>
        </w:rPr>
        <w:t>In the absence of a visible lesion, a diagnosis of esophageal adenocarcinoma should be followed by a second imaging endoscopy to find the area of interest instead of performing ablation therapy for flat “invisible” cancer.</w:t>
      </w:r>
    </w:p>
    <w:p w14:paraId="275377E8" w14:textId="77777777" w:rsidR="00D32DB8" w:rsidRDefault="00D32DB8" w:rsidP="00D32DB8">
      <w:pPr>
        <w:rPr>
          <w:lang w:val="en-US"/>
        </w:rPr>
      </w:pPr>
    </w:p>
    <w:p w14:paraId="482BB6BA" w14:textId="77777777" w:rsidR="00D32DB8" w:rsidRDefault="00D32DB8" w:rsidP="00D32DB8">
      <w:pPr>
        <w:rPr>
          <w:lang w:val="en-US"/>
        </w:rPr>
      </w:pPr>
    </w:p>
    <w:p w14:paraId="500DE74B" w14:textId="77777777" w:rsidR="00D32DB8" w:rsidRDefault="00D32DB8" w:rsidP="00D32DB8">
      <w:pPr>
        <w:rPr>
          <w:rStyle w:val="Aucun"/>
          <w:lang w:val="en-US"/>
        </w:rPr>
      </w:pPr>
      <w:r>
        <w:rPr>
          <w:rStyle w:val="Aucun"/>
          <w:lang w:val="en-US"/>
        </w:rPr>
        <w:lastRenderedPageBreak/>
        <w:t>Statement 15:</w:t>
      </w:r>
    </w:p>
    <w:p w14:paraId="406F0D66" w14:textId="77777777" w:rsidR="00D32DB8" w:rsidRPr="00D32DB8" w:rsidRDefault="00D32DB8" w:rsidP="00D32DB8">
      <w:pPr>
        <w:rPr>
          <w:rStyle w:val="Aucun"/>
          <w:b/>
          <w:bCs/>
          <w:lang w:val="en-GB"/>
        </w:rPr>
      </w:pPr>
      <w:r>
        <w:rPr>
          <w:rStyle w:val="Aucun"/>
          <w:b/>
          <w:bCs/>
          <w:lang w:val="en-US"/>
        </w:rPr>
        <w:t>In patients with T1b esophageal adenocarcinoma, the optimal treatment strategy depends on histopathological characteristics of the endoscopic resection specimen. Endoscopic resection is a valid alternative to surgery if the endoscopic resection specimen meets all of the following criteria:</w:t>
      </w:r>
      <w:r>
        <w:rPr>
          <w:rStyle w:val="Aucun"/>
          <w:b/>
          <w:bCs/>
          <w:lang w:val="en-US"/>
        </w:rPr>
        <w:br/>
        <w:t>1. Submucosal invasion limited to &lt;500 µm</w:t>
      </w:r>
      <w:r>
        <w:rPr>
          <w:rStyle w:val="Aucun"/>
          <w:b/>
          <w:bCs/>
          <w:lang w:val="en-US"/>
        </w:rPr>
        <w:br/>
        <w:t xml:space="preserve">2. Tumor differentiation grade: </w:t>
      </w:r>
      <w:r>
        <w:rPr>
          <w:rStyle w:val="Aucun"/>
          <w:b/>
          <w:bCs/>
          <w:i/>
          <w:iCs/>
          <w:lang w:val="en-US"/>
        </w:rPr>
        <w:t xml:space="preserve">well </w:t>
      </w:r>
      <w:r>
        <w:rPr>
          <w:rStyle w:val="Aucun"/>
          <w:b/>
          <w:bCs/>
          <w:lang w:val="en-US"/>
        </w:rPr>
        <w:t xml:space="preserve">or </w:t>
      </w:r>
      <w:r>
        <w:rPr>
          <w:rStyle w:val="Aucun"/>
          <w:b/>
          <w:bCs/>
          <w:i/>
          <w:iCs/>
          <w:lang w:val="en-US"/>
        </w:rPr>
        <w:t>moderate</w:t>
      </w:r>
      <w:r>
        <w:rPr>
          <w:rStyle w:val="Aucun"/>
          <w:b/>
          <w:bCs/>
          <w:lang w:val="en-US"/>
        </w:rPr>
        <w:br/>
        <w:t>3. Absence of tumor invasion in lymph vessels or blood vessels</w:t>
      </w:r>
      <w:r>
        <w:rPr>
          <w:rStyle w:val="Aucun"/>
          <w:b/>
          <w:bCs/>
          <w:lang w:val="en-US"/>
        </w:rPr>
        <w:br/>
        <w:t>4. Absence of tumor infiltration in the deep resection margin</w:t>
      </w:r>
      <w:r>
        <w:rPr>
          <w:rStyle w:val="Aucun"/>
          <w:b/>
          <w:bCs/>
          <w:lang w:val="en-US"/>
        </w:rPr>
        <w:br/>
      </w:r>
    </w:p>
    <w:p w14:paraId="7F61E422" w14:textId="18622657" w:rsidR="00D32DB8" w:rsidRDefault="00D32DB8" w:rsidP="00D32DB8">
      <w:pPr>
        <w:jc w:val="center"/>
        <w:rPr>
          <w:rStyle w:val="Aucun"/>
          <w:i/>
          <w:iCs/>
          <w:lang w:val="en-US"/>
        </w:rPr>
      </w:pPr>
      <w:r>
        <w:rPr>
          <w:rStyle w:val="Aucun"/>
          <w:i/>
          <w:iCs/>
          <w:lang w:val="en-US"/>
        </w:rPr>
        <w:t>partial agreement between merged guidelines</w:t>
      </w:r>
      <w:r>
        <w:rPr>
          <w:rStyle w:val="Aucun"/>
          <w:i/>
          <w:iCs/>
          <w:lang w:val="en-US"/>
        </w:rPr>
        <w:br/>
        <w:t xml:space="preserve">new evidence available </w:t>
      </w:r>
      <w:r w:rsidR="004E2309">
        <w:rPr>
          <w:rStyle w:val="Aucun"/>
          <w:i/>
          <w:iCs/>
          <w:lang w:val="en-US"/>
        </w:rPr>
        <w:t xml:space="preserve">on this </w:t>
      </w:r>
      <w:r>
        <w:rPr>
          <w:rStyle w:val="Aucun"/>
          <w:i/>
          <w:iCs/>
          <w:lang w:val="en-US"/>
        </w:rPr>
        <w:t>statement</w:t>
      </w:r>
      <w:r>
        <w:rPr>
          <w:rStyle w:val="Aucun"/>
          <w:i/>
          <w:iCs/>
          <w:lang w:val="en-US"/>
        </w:rPr>
        <w:br/>
        <w:t>consensus on current statement between working group members</w:t>
      </w:r>
    </w:p>
    <w:p w14:paraId="6979E3A3" w14:textId="77777777" w:rsidR="00D32DB8" w:rsidRDefault="00D32DB8" w:rsidP="00D32DB8">
      <w:pPr>
        <w:rPr>
          <w:b/>
          <w:bCs/>
          <w:lang w:val="en-US"/>
        </w:rPr>
      </w:pPr>
    </w:p>
    <w:p w14:paraId="041EC4A7" w14:textId="77777777" w:rsidR="00D32DB8" w:rsidRDefault="00D32DB8" w:rsidP="00D32DB8">
      <w:pPr>
        <w:rPr>
          <w:rStyle w:val="Aucun"/>
          <w:lang w:val="en-US"/>
        </w:rPr>
      </w:pPr>
      <w:r>
        <w:rPr>
          <w:rStyle w:val="Aucun"/>
          <w:lang w:val="en-US"/>
        </w:rPr>
        <w:t>Comments: The choice for endoscopic therapy or surgical resection should be based on a careful assessment of the risk of lymph node metastasis, surgical mortality and morbidity, and patient preferences. Tumors fulfilling all of the abovementioned criteria are considered as low-risk T1b cancers; the risk of lymph node metastasis appears to be low (&lt;2%).</w:t>
      </w:r>
    </w:p>
    <w:p w14:paraId="2B6AE561" w14:textId="77777777" w:rsidR="00D32DB8" w:rsidRDefault="00D32DB8" w:rsidP="00D32DB8">
      <w:pPr>
        <w:rPr>
          <w:rStyle w:val="Aucun"/>
          <w:lang w:val="en-US"/>
        </w:rPr>
      </w:pPr>
    </w:p>
    <w:p w14:paraId="3EEE823F" w14:textId="77777777" w:rsidR="00D32DB8" w:rsidRPr="009A6333" w:rsidRDefault="00D32DB8" w:rsidP="00D32DB8">
      <w:pPr>
        <w:rPr>
          <w:i/>
          <w:lang w:val="en-GB"/>
        </w:rPr>
      </w:pPr>
      <w:r w:rsidRPr="009A6333">
        <w:rPr>
          <w:i/>
          <w:lang w:val="en-GB"/>
        </w:rPr>
        <w:t>[Manner H, Pech O, Heldmann Y, May A, Pauthner M, Lorenz D, et al. The frequency of lymph node metastasis in early-stage adenocarcinoma of the esophagus with incipient submucosal invasion (pT1b sm1) depending on histological risk patterns. Surg Endosc. 2015;29(7):1888–96.]</w:t>
      </w:r>
    </w:p>
    <w:p w14:paraId="5F0773B7" w14:textId="77777777" w:rsidR="00D32DB8" w:rsidRDefault="00D32DB8" w:rsidP="00D32DB8">
      <w:pPr>
        <w:rPr>
          <w:b/>
          <w:bCs/>
          <w:lang w:val="en-US"/>
        </w:rPr>
      </w:pPr>
    </w:p>
    <w:p w14:paraId="3BEF229A" w14:textId="77777777" w:rsidR="00D32DB8" w:rsidRDefault="00D32DB8" w:rsidP="00D32DB8">
      <w:pPr>
        <w:rPr>
          <w:b/>
          <w:bCs/>
          <w:lang w:val="en-US"/>
        </w:rPr>
      </w:pPr>
    </w:p>
    <w:p w14:paraId="600F2FBB" w14:textId="77777777" w:rsidR="00D32DB8" w:rsidRDefault="00D32DB8" w:rsidP="00D32DB8">
      <w:pPr>
        <w:rPr>
          <w:rStyle w:val="Aucun"/>
          <w:lang w:val="en-US"/>
        </w:rPr>
      </w:pPr>
      <w:r>
        <w:rPr>
          <w:rStyle w:val="Aucun"/>
          <w:lang w:val="en-US"/>
        </w:rPr>
        <w:t>Statement 16:</w:t>
      </w:r>
    </w:p>
    <w:p w14:paraId="41A70535" w14:textId="77777777" w:rsidR="00D32DB8" w:rsidRDefault="00D32DB8" w:rsidP="00D32DB8">
      <w:pPr>
        <w:rPr>
          <w:rStyle w:val="Aucun"/>
          <w:b/>
          <w:bCs/>
          <w:lang w:val="en-US"/>
        </w:rPr>
      </w:pPr>
      <w:r>
        <w:rPr>
          <w:rStyle w:val="Aucun"/>
          <w:b/>
          <w:bCs/>
          <w:lang w:val="en-US"/>
        </w:rPr>
        <w:t>After endoscopic resection of visible abnormalities containing any degree of dysplasia or neoplasia, complete eradication of all remaining Barrett’s epithelium should be strived for, preferably with RFA.</w:t>
      </w:r>
      <w:r>
        <w:rPr>
          <w:rStyle w:val="Aucun"/>
          <w:b/>
          <w:bCs/>
          <w:lang w:val="en-US"/>
        </w:rPr>
        <w:br/>
      </w:r>
    </w:p>
    <w:p w14:paraId="3F7F87CA" w14:textId="0865A5FC" w:rsidR="00D32DB8" w:rsidRDefault="00D32DB8" w:rsidP="00D32DB8">
      <w:pPr>
        <w:jc w:val="center"/>
        <w:rPr>
          <w:rStyle w:val="Aucun"/>
          <w:i/>
          <w:iCs/>
          <w:lang w:val="en-US"/>
        </w:rPr>
      </w:pPr>
      <w:r>
        <w:rPr>
          <w:rStyle w:val="Aucun"/>
          <w:i/>
          <w:iCs/>
          <w:lang w:val="en-US"/>
        </w:rPr>
        <w:t>partial agreement between merged guidelines</w:t>
      </w:r>
      <w:r>
        <w:rPr>
          <w:rStyle w:val="Aucun"/>
          <w:i/>
          <w:iCs/>
          <w:lang w:val="en-US"/>
        </w:rPr>
        <w:br/>
        <w:t>no new evidence available on this statement</w:t>
      </w:r>
      <w:r>
        <w:rPr>
          <w:rStyle w:val="Aucun"/>
          <w:i/>
          <w:iCs/>
          <w:lang w:val="en-US"/>
        </w:rPr>
        <w:br/>
        <w:t>consensus on current statement between working group members</w:t>
      </w:r>
    </w:p>
    <w:p w14:paraId="1A891971" w14:textId="77777777" w:rsidR="00D32DB8" w:rsidRDefault="00D32DB8" w:rsidP="00D32DB8">
      <w:pPr>
        <w:rPr>
          <w:b/>
          <w:bCs/>
          <w:lang w:val="en-US"/>
        </w:rPr>
      </w:pPr>
    </w:p>
    <w:p w14:paraId="18A1BB5A" w14:textId="77777777" w:rsidR="00D32DB8" w:rsidRDefault="00D32DB8" w:rsidP="00D32DB8">
      <w:pPr>
        <w:rPr>
          <w:rStyle w:val="Aucun"/>
          <w:lang w:val="en-US"/>
        </w:rPr>
      </w:pPr>
      <w:r>
        <w:rPr>
          <w:rStyle w:val="Aucun"/>
          <w:lang w:val="en-US"/>
        </w:rPr>
        <w:t xml:space="preserve">Comment: </w:t>
      </w:r>
      <w:r>
        <w:rPr>
          <w:rStyle w:val="Aucun"/>
          <w:b/>
          <w:bCs/>
          <w:lang w:val="en-US"/>
        </w:rPr>
        <w:br/>
      </w:r>
      <w:r>
        <w:rPr>
          <w:rStyle w:val="Aucun"/>
          <w:lang w:val="en-US"/>
        </w:rPr>
        <w:t xml:space="preserve">After endoscopic resection of visible abnormalities, recurrence rates of up to 30% in 3 years have been reported for patients in whom the remaining BE is left untreated. </w:t>
      </w:r>
    </w:p>
    <w:p w14:paraId="0F9D211F" w14:textId="77777777" w:rsidR="00D32DB8" w:rsidRDefault="00D32DB8" w:rsidP="00D32DB8">
      <w:pPr>
        <w:rPr>
          <w:rStyle w:val="Aucun"/>
          <w:lang w:val="en-US"/>
        </w:rPr>
      </w:pPr>
    </w:p>
    <w:p w14:paraId="1A0C694C" w14:textId="77777777" w:rsidR="00D32DB8" w:rsidRDefault="00D32DB8" w:rsidP="00D32DB8">
      <w:pPr>
        <w:rPr>
          <w:rStyle w:val="Aucun"/>
          <w:lang w:val="en-US"/>
        </w:rPr>
      </w:pPr>
      <w:r>
        <w:rPr>
          <w:rStyle w:val="Aucun"/>
          <w:lang w:val="en-US"/>
        </w:rPr>
        <w:lastRenderedPageBreak/>
        <w:t xml:space="preserve">Statement 17: </w:t>
      </w:r>
    </w:p>
    <w:p w14:paraId="69304393" w14:textId="77777777" w:rsidR="00D32DB8" w:rsidRDefault="00D32DB8" w:rsidP="00D32DB8">
      <w:pPr>
        <w:rPr>
          <w:rStyle w:val="Aucun"/>
          <w:b/>
          <w:bCs/>
          <w:lang w:val="en-US"/>
        </w:rPr>
      </w:pPr>
      <w:r>
        <w:rPr>
          <w:rStyle w:val="Aucun"/>
          <w:b/>
          <w:bCs/>
          <w:lang w:val="en-US"/>
        </w:rPr>
        <w:t>All patients with a BE &gt; 10cm, a confirmed diagnosis of LGD, HGD, or early cancer should be referred to a BE expert center for surveillance and/or treatment.</w:t>
      </w:r>
    </w:p>
    <w:p w14:paraId="7B9D5CBA" w14:textId="77777777" w:rsidR="00D32DB8" w:rsidRDefault="00D32DB8" w:rsidP="00D32DB8">
      <w:pPr>
        <w:rPr>
          <w:rStyle w:val="Aucun"/>
          <w:b/>
          <w:bCs/>
          <w:lang w:val="en-US"/>
        </w:rPr>
      </w:pPr>
      <w:r>
        <w:rPr>
          <w:rStyle w:val="Aucun"/>
          <w:b/>
          <w:bCs/>
          <w:lang w:val="en-US"/>
        </w:rPr>
        <w:t xml:space="preserve">A BE expert center should meet the following requirements: </w:t>
      </w:r>
    </w:p>
    <w:p w14:paraId="5EFB5536" w14:textId="77777777" w:rsidR="00D32DB8" w:rsidRDefault="00D32DB8" w:rsidP="00D32DB8">
      <w:pPr>
        <w:pStyle w:val="Lijstalinea"/>
        <w:numPr>
          <w:ilvl w:val="0"/>
          <w:numId w:val="9"/>
        </w:numPr>
        <w:pBdr>
          <w:top w:val="nil"/>
          <w:left w:val="nil"/>
          <w:bottom w:val="nil"/>
          <w:right w:val="nil"/>
          <w:between w:val="nil"/>
          <w:bar w:val="nil"/>
        </w:pBdr>
        <w:contextualSpacing w:val="0"/>
        <w:rPr>
          <w:rStyle w:val="Aucun"/>
          <w:b/>
          <w:bCs/>
          <w:lang w:val="en-US"/>
        </w:rPr>
      </w:pPr>
      <w:r>
        <w:rPr>
          <w:rStyle w:val="Aucun"/>
          <w:b/>
          <w:bCs/>
          <w:lang w:val="en-US"/>
        </w:rPr>
        <w:t xml:space="preserve">Annual case load of  ≥ 10 NEW patients with endoscopic treatment for HGD or early carcinoma per BE expert endoscopist </w:t>
      </w:r>
    </w:p>
    <w:p w14:paraId="6B00EC61" w14:textId="77777777" w:rsidR="00D32DB8" w:rsidRDefault="00D32DB8" w:rsidP="00D32DB8">
      <w:pPr>
        <w:pStyle w:val="Lijstalinea"/>
        <w:numPr>
          <w:ilvl w:val="0"/>
          <w:numId w:val="9"/>
        </w:numPr>
        <w:pBdr>
          <w:top w:val="nil"/>
          <w:left w:val="nil"/>
          <w:bottom w:val="nil"/>
          <w:right w:val="nil"/>
          <w:between w:val="nil"/>
          <w:bar w:val="nil"/>
        </w:pBdr>
        <w:contextualSpacing w:val="0"/>
        <w:rPr>
          <w:rStyle w:val="Aucun"/>
          <w:b/>
          <w:bCs/>
          <w:lang w:val="en-US"/>
        </w:rPr>
      </w:pPr>
      <w:r>
        <w:rPr>
          <w:rStyle w:val="Aucun"/>
          <w:b/>
          <w:bCs/>
          <w:lang w:val="en-US"/>
        </w:rPr>
        <w:t xml:space="preserve">Endoscopic and histology care is provided by endoscopists and pathologists who have followed additional training in this field (either by courses or guest visits). </w:t>
      </w:r>
      <w:r>
        <w:rPr>
          <w:rStyle w:val="Aucun"/>
          <w:b/>
          <w:bCs/>
          <w:lang w:val="en-US"/>
        </w:rPr>
        <w:br/>
        <w:t>A minimum of 30 supervised cases of ER and 30 cases of endoscopic ablation should be performed to acquire competence in technical skills, management pathways and complications</w:t>
      </w:r>
    </w:p>
    <w:p w14:paraId="1D79376E" w14:textId="77777777" w:rsidR="00D32DB8" w:rsidRDefault="00D32DB8" w:rsidP="00D32DB8">
      <w:pPr>
        <w:pStyle w:val="Lijstalinea"/>
        <w:numPr>
          <w:ilvl w:val="0"/>
          <w:numId w:val="9"/>
        </w:numPr>
        <w:pBdr>
          <w:top w:val="nil"/>
          <w:left w:val="nil"/>
          <w:bottom w:val="nil"/>
          <w:right w:val="nil"/>
          <w:between w:val="nil"/>
          <w:bar w:val="nil"/>
        </w:pBdr>
        <w:contextualSpacing w:val="0"/>
        <w:rPr>
          <w:rStyle w:val="Aucun"/>
          <w:b/>
          <w:bCs/>
          <w:lang w:val="en-US"/>
        </w:rPr>
      </w:pPr>
      <w:r>
        <w:rPr>
          <w:rStyle w:val="Aucun"/>
          <w:b/>
          <w:bCs/>
          <w:lang w:val="en-US"/>
        </w:rPr>
        <w:t xml:space="preserve">Patients with Barrett’s neoplasia are discussed in multidisciplinary meetings with gastroenterologists, surgeons, oncologists and pathologists. </w:t>
      </w:r>
    </w:p>
    <w:p w14:paraId="4E5049E8" w14:textId="77777777" w:rsidR="00D32DB8" w:rsidRDefault="00D32DB8" w:rsidP="00D32DB8">
      <w:pPr>
        <w:pStyle w:val="Lijstalinea"/>
        <w:numPr>
          <w:ilvl w:val="0"/>
          <w:numId w:val="9"/>
        </w:numPr>
        <w:pBdr>
          <w:top w:val="nil"/>
          <w:left w:val="nil"/>
          <w:bottom w:val="nil"/>
          <w:right w:val="nil"/>
          <w:between w:val="nil"/>
          <w:bar w:val="nil"/>
        </w:pBdr>
        <w:contextualSpacing w:val="0"/>
        <w:rPr>
          <w:rStyle w:val="Aucun"/>
          <w:b/>
          <w:bCs/>
          <w:lang w:val="en-US"/>
        </w:rPr>
      </w:pPr>
      <w:r>
        <w:rPr>
          <w:rStyle w:val="Aucun"/>
          <w:b/>
          <w:bCs/>
          <w:lang w:val="en-US"/>
        </w:rPr>
        <w:t>Access to experienced esophageal surgery</w:t>
      </w:r>
    </w:p>
    <w:p w14:paraId="7930260A" w14:textId="77777777" w:rsidR="00D32DB8" w:rsidRDefault="00D32DB8" w:rsidP="00D32DB8">
      <w:pPr>
        <w:pStyle w:val="Lijstalinea"/>
        <w:numPr>
          <w:ilvl w:val="0"/>
          <w:numId w:val="10"/>
        </w:numPr>
        <w:pBdr>
          <w:top w:val="nil"/>
          <w:left w:val="nil"/>
          <w:bottom w:val="nil"/>
          <w:right w:val="nil"/>
          <w:between w:val="nil"/>
          <w:bar w:val="nil"/>
        </w:pBdr>
        <w:contextualSpacing w:val="0"/>
        <w:rPr>
          <w:rStyle w:val="Aucun"/>
          <w:b/>
          <w:bCs/>
          <w:lang w:val="en-US"/>
        </w:rPr>
      </w:pPr>
      <w:r>
        <w:rPr>
          <w:rStyle w:val="Aucun"/>
          <w:b/>
          <w:bCs/>
          <w:lang w:val="en-US"/>
        </w:rPr>
        <w:t xml:space="preserve">All patients with BE are registered prospectively in a database. </w:t>
      </w:r>
    </w:p>
    <w:p w14:paraId="473048E4" w14:textId="3E9D67E0" w:rsidR="00D32DB8" w:rsidRDefault="00D32DB8" w:rsidP="00D32DB8">
      <w:pPr>
        <w:ind w:left="360"/>
        <w:jc w:val="center"/>
        <w:rPr>
          <w:rStyle w:val="Aucun"/>
          <w:i/>
          <w:iCs/>
          <w:lang w:val="en-US"/>
        </w:rPr>
      </w:pPr>
      <w:r>
        <w:rPr>
          <w:rStyle w:val="Aucun"/>
          <w:i/>
          <w:iCs/>
          <w:lang w:val="en-US"/>
        </w:rPr>
        <w:br/>
        <w:t>partial agreement between merged guidelines</w:t>
      </w:r>
      <w:r>
        <w:rPr>
          <w:rStyle w:val="Aucun"/>
          <w:i/>
          <w:iCs/>
          <w:lang w:val="en-US"/>
        </w:rPr>
        <w:br/>
        <w:t>no new evidence available on this statement</w:t>
      </w:r>
      <w:r>
        <w:rPr>
          <w:rStyle w:val="Aucun"/>
          <w:i/>
          <w:iCs/>
          <w:lang w:val="en-US"/>
        </w:rPr>
        <w:br/>
        <w:t>consensus on current statement between working group members</w:t>
      </w:r>
    </w:p>
    <w:p w14:paraId="22692507" w14:textId="77777777" w:rsidR="00D32DB8" w:rsidRPr="00873309" w:rsidRDefault="00D32DB8" w:rsidP="00D32DB8">
      <w:pPr>
        <w:rPr>
          <w:lang w:val="en-GB"/>
        </w:rPr>
      </w:pPr>
      <w:r>
        <w:rPr>
          <w:rStyle w:val="Aucun"/>
          <w:b/>
          <w:bCs/>
          <w:lang w:val="en-US"/>
        </w:rPr>
        <w:br/>
      </w:r>
    </w:p>
    <w:p w14:paraId="36BE3AFC" w14:textId="77777777" w:rsidR="00D32DB8" w:rsidRPr="00873309" w:rsidRDefault="00D32DB8" w:rsidP="00D32DB8">
      <w:pPr>
        <w:rPr>
          <w:lang w:val="en-GB"/>
        </w:rPr>
      </w:pPr>
    </w:p>
    <w:p w14:paraId="737899A8" w14:textId="20993713" w:rsidR="00FB69C8" w:rsidRPr="00D32DB8" w:rsidRDefault="00FB69C8" w:rsidP="00D32DB8">
      <w:pPr>
        <w:rPr>
          <w:b/>
          <w:lang w:val="en-GB"/>
        </w:rPr>
      </w:pPr>
    </w:p>
    <w:sectPr w:rsidR="00FB69C8" w:rsidRPr="00D32DB8" w:rsidSect="002011F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altName w:val="Franklin Gothic Medium Cond"/>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54763F"/>
    <w:multiLevelType w:val="hybridMultilevel"/>
    <w:tmpl w:val="3B72149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58F1E75"/>
    <w:multiLevelType w:val="hybridMultilevel"/>
    <w:tmpl w:val="D57A4F2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2BF5071D"/>
    <w:multiLevelType w:val="hybridMultilevel"/>
    <w:tmpl w:val="15DCF45E"/>
    <w:styleLink w:val="Style1import"/>
    <w:lvl w:ilvl="0" w:tplc="8048CC36">
      <w:start w:val="1"/>
      <w:numFmt w:val="bullet"/>
      <w:lvlText w:val="-"/>
      <w:lvlJc w:val="left"/>
      <w:pPr>
        <w:ind w:left="720" w:hanging="360"/>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D952C61A">
      <w:start w:val="1"/>
      <w:numFmt w:val="bullet"/>
      <w:lvlText w:val="o"/>
      <w:lvlJc w:val="left"/>
      <w:pPr>
        <w:ind w:left="1440" w:hanging="360"/>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70F4CE1A">
      <w:start w:val="1"/>
      <w:numFmt w:val="bullet"/>
      <w:lvlText w:val="▪"/>
      <w:lvlJc w:val="left"/>
      <w:pPr>
        <w:ind w:left="2160" w:hanging="360"/>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47BEC478">
      <w:start w:val="1"/>
      <w:numFmt w:val="bullet"/>
      <w:lvlText w:val="•"/>
      <w:lvlJc w:val="left"/>
      <w:pPr>
        <w:ind w:left="2880" w:hanging="360"/>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DB609C82">
      <w:start w:val="1"/>
      <w:numFmt w:val="bullet"/>
      <w:lvlText w:val="o"/>
      <w:lvlJc w:val="left"/>
      <w:pPr>
        <w:ind w:left="3600" w:hanging="360"/>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D610E5F8">
      <w:start w:val="1"/>
      <w:numFmt w:val="bullet"/>
      <w:lvlText w:val="▪"/>
      <w:lvlJc w:val="left"/>
      <w:pPr>
        <w:ind w:left="4320" w:hanging="360"/>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D8945F66">
      <w:start w:val="1"/>
      <w:numFmt w:val="bullet"/>
      <w:lvlText w:val="•"/>
      <w:lvlJc w:val="left"/>
      <w:pPr>
        <w:ind w:left="5040" w:hanging="360"/>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3A8C685A">
      <w:start w:val="1"/>
      <w:numFmt w:val="bullet"/>
      <w:lvlText w:val="o"/>
      <w:lvlJc w:val="left"/>
      <w:pPr>
        <w:ind w:left="5760" w:hanging="360"/>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CA62AE08">
      <w:start w:val="1"/>
      <w:numFmt w:val="bullet"/>
      <w:lvlText w:val="▪"/>
      <w:lvlJc w:val="left"/>
      <w:pPr>
        <w:ind w:left="6480" w:hanging="360"/>
      </w:pPr>
      <w:rPr>
        <w:rFonts w:ascii="Trebuchet MS" w:eastAsia="Trebuchet MS" w:hAnsi="Trebuchet MS" w:cs="Trebuchet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 w15:restartNumberingAfterBreak="0">
    <w:nsid w:val="2EAF219B"/>
    <w:multiLevelType w:val="hybridMultilevel"/>
    <w:tmpl w:val="038C6A6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19151E8"/>
    <w:multiLevelType w:val="hybridMultilevel"/>
    <w:tmpl w:val="A9E670B8"/>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4E97415B"/>
    <w:multiLevelType w:val="hybridMultilevel"/>
    <w:tmpl w:val="FAC62972"/>
    <w:lvl w:ilvl="0" w:tplc="5F84A356">
      <w:start w:val="1"/>
      <w:numFmt w:val="bullet"/>
      <w:lvlText w:val="•"/>
      <w:lvlJc w:val="left"/>
      <w:pPr>
        <w:tabs>
          <w:tab w:val="num" w:pos="720"/>
        </w:tabs>
        <w:ind w:left="720" w:hanging="360"/>
      </w:pPr>
      <w:rPr>
        <w:rFonts w:ascii="Arial" w:hAnsi="Arial" w:hint="default"/>
      </w:rPr>
    </w:lvl>
    <w:lvl w:ilvl="1" w:tplc="B086A6B2" w:tentative="1">
      <w:start w:val="1"/>
      <w:numFmt w:val="bullet"/>
      <w:lvlText w:val="•"/>
      <w:lvlJc w:val="left"/>
      <w:pPr>
        <w:tabs>
          <w:tab w:val="num" w:pos="1440"/>
        </w:tabs>
        <w:ind w:left="1440" w:hanging="360"/>
      </w:pPr>
      <w:rPr>
        <w:rFonts w:ascii="Arial" w:hAnsi="Arial" w:hint="default"/>
      </w:rPr>
    </w:lvl>
    <w:lvl w:ilvl="2" w:tplc="8D5A23EE" w:tentative="1">
      <w:start w:val="1"/>
      <w:numFmt w:val="bullet"/>
      <w:lvlText w:val="•"/>
      <w:lvlJc w:val="left"/>
      <w:pPr>
        <w:tabs>
          <w:tab w:val="num" w:pos="2160"/>
        </w:tabs>
        <w:ind w:left="2160" w:hanging="360"/>
      </w:pPr>
      <w:rPr>
        <w:rFonts w:ascii="Arial" w:hAnsi="Arial" w:hint="default"/>
      </w:rPr>
    </w:lvl>
    <w:lvl w:ilvl="3" w:tplc="EA60159C" w:tentative="1">
      <w:start w:val="1"/>
      <w:numFmt w:val="bullet"/>
      <w:lvlText w:val="•"/>
      <w:lvlJc w:val="left"/>
      <w:pPr>
        <w:tabs>
          <w:tab w:val="num" w:pos="2880"/>
        </w:tabs>
        <w:ind w:left="2880" w:hanging="360"/>
      </w:pPr>
      <w:rPr>
        <w:rFonts w:ascii="Arial" w:hAnsi="Arial" w:hint="default"/>
      </w:rPr>
    </w:lvl>
    <w:lvl w:ilvl="4" w:tplc="6242E0D8" w:tentative="1">
      <w:start w:val="1"/>
      <w:numFmt w:val="bullet"/>
      <w:lvlText w:val="•"/>
      <w:lvlJc w:val="left"/>
      <w:pPr>
        <w:tabs>
          <w:tab w:val="num" w:pos="3600"/>
        </w:tabs>
        <w:ind w:left="3600" w:hanging="360"/>
      </w:pPr>
      <w:rPr>
        <w:rFonts w:ascii="Arial" w:hAnsi="Arial" w:hint="default"/>
      </w:rPr>
    </w:lvl>
    <w:lvl w:ilvl="5" w:tplc="72A20962" w:tentative="1">
      <w:start w:val="1"/>
      <w:numFmt w:val="bullet"/>
      <w:lvlText w:val="•"/>
      <w:lvlJc w:val="left"/>
      <w:pPr>
        <w:tabs>
          <w:tab w:val="num" w:pos="4320"/>
        </w:tabs>
        <w:ind w:left="4320" w:hanging="360"/>
      </w:pPr>
      <w:rPr>
        <w:rFonts w:ascii="Arial" w:hAnsi="Arial" w:hint="default"/>
      </w:rPr>
    </w:lvl>
    <w:lvl w:ilvl="6" w:tplc="71E844BC" w:tentative="1">
      <w:start w:val="1"/>
      <w:numFmt w:val="bullet"/>
      <w:lvlText w:val="•"/>
      <w:lvlJc w:val="left"/>
      <w:pPr>
        <w:tabs>
          <w:tab w:val="num" w:pos="5040"/>
        </w:tabs>
        <w:ind w:left="5040" w:hanging="360"/>
      </w:pPr>
      <w:rPr>
        <w:rFonts w:ascii="Arial" w:hAnsi="Arial" w:hint="default"/>
      </w:rPr>
    </w:lvl>
    <w:lvl w:ilvl="7" w:tplc="340ACFCC" w:tentative="1">
      <w:start w:val="1"/>
      <w:numFmt w:val="bullet"/>
      <w:lvlText w:val="•"/>
      <w:lvlJc w:val="left"/>
      <w:pPr>
        <w:tabs>
          <w:tab w:val="num" w:pos="5760"/>
        </w:tabs>
        <w:ind w:left="5760" w:hanging="360"/>
      </w:pPr>
      <w:rPr>
        <w:rFonts w:ascii="Arial" w:hAnsi="Arial" w:hint="default"/>
      </w:rPr>
    </w:lvl>
    <w:lvl w:ilvl="8" w:tplc="759A0270"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520251C8"/>
    <w:multiLevelType w:val="hybridMultilevel"/>
    <w:tmpl w:val="E800DB70"/>
    <w:lvl w:ilvl="0" w:tplc="61E4FF90">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73ED130F"/>
    <w:multiLevelType w:val="hybridMultilevel"/>
    <w:tmpl w:val="A642C06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7B623C66"/>
    <w:multiLevelType w:val="hybridMultilevel"/>
    <w:tmpl w:val="15DCF45E"/>
    <w:numStyleLink w:val="Style1import"/>
  </w:abstractNum>
  <w:num w:numId="1">
    <w:abstractNumId w:val="5"/>
  </w:num>
  <w:num w:numId="2">
    <w:abstractNumId w:val="4"/>
  </w:num>
  <w:num w:numId="3">
    <w:abstractNumId w:val="0"/>
  </w:num>
  <w:num w:numId="4">
    <w:abstractNumId w:val="6"/>
  </w:num>
  <w:num w:numId="5">
    <w:abstractNumId w:val="1"/>
  </w:num>
  <w:num w:numId="6">
    <w:abstractNumId w:val="3"/>
  </w:num>
  <w:num w:numId="7">
    <w:abstractNumId w:val="7"/>
  </w:num>
  <w:num w:numId="8">
    <w:abstractNumId w:val="2"/>
  </w:num>
  <w:num w:numId="9">
    <w:abstractNumId w:val="8"/>
  </w:num>
  <w:num w:numId="10">
    <w:abstractNumId w:val="8"/>
    <w:lvlOverride w:ilvl="0">
      <w:lvl w:ilvl="0" w:tplc="DB365ABE">
        <w:start w:val="1"/>
        <w:numFmt w:val="bullet"/>
        <w:lvlText w:val="-"/>
        <w:lvlJc w:val="left"/>
        <w:pPr>
          <w:ind w:left="709"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B010E68E">
        <w:start w:val="1"/>
        <w:numFmt w:val="bullet"/>
        <w:lvlText w:val="o"/>
        <w:lvlJc w:val="left"/>
        <w:pPr>
          <w:ind w:left="1429"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87BE02F8">
        <w:start w:val="1"/>
        <w:numFmt w:val="bullet"/>
        <w:lvlText w:val="▪"/>
        <w:lvlJc w:val="left"/>
        <w:pPr>
          <w:ind w:left="2149"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254E9EFA">
        <w:start w:val="1"/>
        <w:numFmt w:val="bullet"/>
        <w:lvlText w:val="•"/>
        <w:lvlJc w:val="left"/>
        <w:pPr>
          <w:ind w:left="2869"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0A61A7A">
        <w:start w:val="1"/>
        <w:numFmt w:val="bullet"/>
        <w:lvlText w:val="o"/>
        <w:lvlJc w:val="left"/>
        <w:pPr>
          <w:ind w:left="3589"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084E1D78">
        <w:start w:val="1"/>
        <w:numFmt w:val="bullet"/>
        <w:lvlText w:val="▪"/>
        <w:lvlJc w:val="left"/>
        <w:pPr>
          <w:ind w:left="4309"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DE8AEB1C">
        <w:start w:val="1"/>
        <w:numFmt w:val="bullet"/>
        <w:lvlText w:val="•"/>
        <w:lvlJc w:val="left"/>
        <w:pPr>
          <w:ind w:left="5029"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2C504BC6">
        <w:start w:val="1"/>
        <w:numFmt w:val="bullet"/>
        <w:lvlText w:val="o"/>
        <w:lvlJc w:val="left"/>
        <w:pPr>
          <w:ind w:left="5749"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7AF2185E">
        <w:start w:val="1"/>
        <w:numFmt w:val="bullet"/>
        <w:lvlText w:val="▪"/>
        <w:lvlJc w:val="left"/>
        <w:pPr>
          <w:ind w:left="6469"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423"/>
    <w:rsid w:val="0000333D"/>
    <w:rsid w:val="00047EED"/>
    <w:rsid w:val="000515B5"/>
    <w:rsid w:val="0005756B"/>
    <w:rsid w:val="000579EC"/>
    <w:rsid w:val="00060640"/>
    <w:rsid w:val="00064632"/>
    <w:rsid w:val="00092481"/>
    <w:rsid w:val="000B2A71"/>
    <w:rsid w:val="000C0A75"/>
    <w:rsid w:val="000D2307"/>
    <w:rsid w:val="000F0CED"/>
    <w:rsid w:val="00111B85"/>
    <w:rsid w:val="00126BF8"/>
    <w:rsid w:val="00132F1E"/>
    <w:rsid w:val="00140D69"/>
    <w:rsid w:val="00141762"/>
    <w:rsid w:val="00142FA1"/>
    <w:rsid w:val="00163804"/>
    <w:rsid w:val="00163CBA"/>
    <w:rsid w:val="00164717"/>
    <w:rsid w:val="00170EBB"/>
    <w:rsid w:val="00176CD5"/>
    <w:rsid w:val="00181EAB"/>
    <w:rsid w:val="00191B7E"/>
    <w:rsid w:val="001979CA"/>
    <w:rsid w:val="001A575E"/>
    <w:rsid w:val="001E02B8"/>
    <w:rsid w:val="002011F5"/>
    <w:rsid w:val="00206B43"/>
    <w:rsid w:val="002230B9"/>
    <w:rsid w:val="00261634"/>
    <w:rsid w:val="00262B0F"/>
    <w:rsid w:val="0028182E"/>
    <w:rsid w:val="002B1040"/>
    <w:rsid w:val="002C4262"/>
    <w:rsid w:val="002D6696"/>
    <w:rsid w:val="002E2B88"/>
    <w:rsid w:val="002E673F"/>
    <w:rsid w:val="002F4428"/>
    <w:rsid w:val="002F5209"/>
    <w:rsid w:val="00312E8E"/>
    <w:rsid w:val="0033064A"/>
    <w:rsid w:val="003345C9"/>
    <w:rsid w:val="0034546E"/>
    <w:rsid w:val="00347FE5"/>
    <w:rsid w:val="003665F0"/>
    <w:rsid w:val="003A565B"/>
    <w:rsid w:val="003D4E45"/>
    <w:rsid w:val="003F4A2B"/>
    <w:rsid w:val="00404FFE"/>
    <w:rsid w:val="004123F9"/>
    <w:rsid w:val="004268AB"/>
    <w:rsid w:val="00446546"/>
    <w:rsid w:val="00465AA0"/>
    <w:rsid w:val="004809BF"/>
    <w:rsid w:val="00482423"/>
    <w:rsid w:val="004A27D6"/>
    <w:rsid w:val="004C10C3"/>
    <w:rsid w:val="004C4949"/>
    <w:rsid w:val="004E2309"/>
    <w:rsid w:val="004F0D34"/>
    <w:rsid w:val="004F4AB6"/>
    <w:rsid w:val="005305D3"/>
    <w:rsid w:val="00547F9A"/>
    <w:rsid w:val="005727F5"/>
    <w:rsid w:val="005907A1"/>
    <w:rsid w:val="005A3704"/>
    <w:rsid w:val="005C3A48"/>
    <w:rsid w:val="005C5A9D"/>
    <w:rsid w:val="005C6F33"/>
    <w:rsid w:val="005D52C6"/>
    <w:rsid w:val="005E5088"/>
    <w:rsid w:val="006078FC"/>
    <w:rsid w:val="00610279"/>
    <w:rsid w:val="00631241"/>
    <w:rsid w:val="00635282"/>
    <w:rsid w:val="00635BD0"/>
    <w:rsid w:val="006718C5"/>
    <w:rsid w:val="006A2076"/>
    <w:rsid w:val="006B4AC4"/>
    <w:rsid w:val="006C11E0"/>
    <w:rsid w:val="006D6E2D"/>
    <w:rsid w:val="006F5EB5"/>
    <w:rsid w:val="007135B7"/>
    <w:rsid w:val="00722CA5"/>
    <w:rsid w:val="00723FBB"/>
    <w:rsid w:val="0074110E"/>
    <w:rsid w:val="007417AC"/>
    <w:rsid w:val="007572E9"/>
    <w:rsid w:val="00757F08"/>
    <w:rsid w:val="00761A44"/>
    <w:rsid w:val="00776D6C"/>
    <w:rsid w:val="00792C65"/>
    <w:rsid w:val="007F7E48"/>
    <w:rsid w:val="00810BD7"/>
    <w:rsid w:val="008204ED"/>
    <w:rsid w:val="00827022"/>
    <w:rsid w:val="00844840"/>
    <w:rsid w:val="00855C53"/>
    <w:rsid w:val="0086387F"/>
    <w:rsid w:val="00891E3D"/>
    <w:rsid w:val="00892B4A"/>
    <w:rsid w:val="008B5B44"/>
    <w:rsid w:val="008C40D2"/>
    <w:rsid w:val="008E3921"/>
    <w:rsid w:val="008F4904"/>
    <w:rsid w:val="00904060"/>
    <w:rsid w:val="00912BDD"/>
    <w:rsid w:val="0093177B"/>
    <w:rsid w:val="00932989"/>
    <w:rsid w:val="009579D6"/>
    <w:rsid w:val="009870D6"/>
    <w:rsid w:val="00993733"/>
    <w:rsid w:val="009A32CB"/>
    <w:rsid w:val="009B2605"/>
    <w:rsid w:val="009B4FED"/>
    <w:rsid w:val="009D7A78"/>
    <w:rsid w:val="009E14A4"/>
    <w:rsid w:val="009F314B"/>
    <w:rsid w:val="009F5791"/>
    <w:rsid w:val="00A0277D"/>
    <w:rsid w:val="00A14DAD"/>
    <w:rsid w:val="00A226B3"/>
    <w:rsid w:val="00A26488"/>
    <w:rsid w:val="00A2680E"/>
    <w:rsid w:val="00A539A7"/>
    <w:rsid w:val="00A5434F"/>
    <w:rsid w:val="00A61B7C"/>
    <w:rsid w:val="00A74028"/>
    <w:rsid w:val="00A84D18"/>
    <w:rsid w:val="00A84FBC"/>
    <w:rsid w:val="00A91EB2"/>
    <w:rsid w:val="00AB3FB3"/>
    <w:rsid w:val="00AD46B5"/>
    <w:rsid w:val="00AE2917"/>
    <w:rsid w:val="00AE3BB4"/>
    <w:rsid w:val="00AF2430"/>
    <w:rsid w:val="00AF5847"/>
    <w:rsid w:val="00B17AE8"/>
    <w:rsid w:val="00B51066"/>
    <w:rsid w:val="00B51A2F"/>
    <w:rsid w:val="00B56EFF"/>
    <w:rsid w:val="00B90CDB"/>
    <w:rsid w:val="00BB4205"/>
    <w:rsid w:val="00BC1586"/>
    <w:rsid w:val="00BD061A"/>
    <w:rsid w:val="00BD14E8"/>
    <w:rsid w:val="00BD79CD"/>
    <w:rsid w:val="00BF28A7"/>
    <w:rsid w:val="00C1270B"/>
    <w:rsid w:val="00C23CA7"/>
    <w:rsid w:val="00C27BCD"/>
    <w:rsid w:val="00CE59F4"/>
    <w:rsid w:val="00CF1EED"/>
    <w:rsid w:val="00D05F07"/>
    <w:rsid w:val="00D12C98"/>
    <w:rsid w:val="00D2037E"/>
    <w:rsid w:val="00D313B4"/>
    <w:rsid w:val="00D32DB8"/>
    <w:rsid w:val="00D35947"/>
    <w:rsid w:val="00D35C23"/>
    <w:rsid w:val="00D453F4"/>
    <w:rsid w:val="00D45B3E"/>
    <w:rsid w:val="00D4703D"/>
    <w:rsid w:val="00D60F6F"/>
    <w:rsid w:val="00D70FD0"/>
    <w:rsid w:val="00D77917"/>
    <w:rsid w:val="00D84219"/>
    <w:rsid w:val="00D856A3"/>
    <w:rsid w:val="00D9732B"/>
    <w:rsid w:val="00DB0AA4"/>
    <w:rsid w:val="00DD57C4"/>
    <w:rsid w:val="00DD5FA9"/>
    <w:rsid w:val="00DE1A2E"/>
    <w:rsid w:val="00DE48F7"/>
    <w:rsid w:val="00E048F9"/>
    <w:rsid w:val="00E26106"/>
    <w:rsid w:val="00E40FDC"/>
    <w:rsid w:val="00E4210A"/>
    <w:rsid w:val="00E44B9D"/>
    <w:rsid w:val="00E50465"/>
    <w:rsid w:val="00E77F9F"/>
    <w:rsid w:val="00E874C4"/>
    <w:rsid w:val="00E92C3B"/>
    <w:rsid w:val="00EB1973"/>
    <w:rsid w:val="00EE6A33"/>
    <w:rsid w:val="00EF251B"/>
    <w:rsid w:val="00F171E6"/>
    <w:rsid w:val="00F46402"/>
    <w:rsid w:val="00F51A6B"/>
    <w:rsid w:val="00F83BCB"/>
    <w:rsid w:val="00F85831"/>
    <w:rsid w:val="00F917D1"/>
    <w:rsid w:val="00FA5710"/>
    <w:rsid w:val="00FB4068"/>
    <w:rsid w:val="00FB69C8"/>
    <w:rsid w:val="00FC3BE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191E651"/>
  <w15:docId w15:val="{0F575DD6-C4A8-4D21-AB0D-E28A1B38B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206B43"/>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qFormat/>
    <w:rsid w:val="004C4949"/>
    <w:pPr>
      <w:ind w:left="720"/>
      <w:contextualSpacing/>
    </w:pPr>
  </w:style>
  <w:style w:type="character" w:styleId="Verwijzingopmerking">
    <w:name w:val="annotation reference"/>
    <w:basedOn w:val="Standaardalinea-lettertype"/>
    <w:uiPriority w:val="99"/>
    <w:semiHidden/>
    <w:unhideWhenUsed/>
    <w:rsid w:val="006B4AC4"/>
    <w:rPr>
      <w:sz w:val="18"/>
      <w:szCs w:val="18"/>
    </w:rPr>
  </w:style>
  <w:style w:type="paragraph" w:styleId="Tekstopmerking">
    <w:name w:val="annotation text"/>
    <w:basedOn w:val="Standaard"/>
    <w:link w:val="TekstopmerkingChar"/>
    <w:uiPriority w:val="99"/>
    <w:unhideWhenUsed/>
    <w:rsid w:val="006B4AC4"/>
    <w:pPr>
      <w:spacing w:line="240" w:lineRule="auto"/>
    </w:pPr>
    <w:rPr>
      <w:sz w:val="24"/>
      <w:szCs w:val="24"/>
    </w:rPr>
  </w:style>
  <w:style w:type="character" w:customStyle="1" w:styleId="TekstopmerkingChar">
    <w:name w:val="Tekst opmerking Char"/>
    <w:basedOn w:val="Standaardalinea-lettertype"/>
    <w:link w:val="Tekstopmerking"/>
    <w:uiPriority w:val="99"/>
    <w:rsid w:val="006B4AC4"/>
    <w:rPr>
      <w:sz w:val="24"/>
      <w:szCs w:val="24"/>
    </w:rPr>
  </w:style>
  <w:style w:type="paragraph" w:styleId="Onderwerpvanopmerking">
    <w:name w:val="annotation subject"/>
    <w:basedOn w:val="Tekstopmerking"/>
    <w:next w:val="Tekstopmerking"/>
    <w:link w:val="OnderwerpvanopmerkingChar"/>
    <w:uiPriority w:val="99"/>
    <w:semiHidden/>
    <w:unhideWhenUsed/>
    <w:rsid w:val="006B4AC4"/>
    <w:rPr>
      <w:b/>
      <w:bCs/>
      <w:sz w:val="20"/>
      <w:szCs w:val="20"/>
    </w:rPr>
  </w:style>
  <w:style w:type="character" w:customStyle="1" w:styleId="OnderwerpvanopmerkingChar">
    <w:name w:val="Onderwerp van opmerking Char"/>
    <w:basedOn w:val="TekstopmerkingChar"/>
    <w:link w:val="Onderwerpvanopmerking"/>
    <w:uiPriority w:val="99"/>
    <w:semiHidden/>
    <w:rsid w:val="006B4AC4"/>
    <w:rPr>
      <w:b/>
      <w:bCs/>
      <w:sz w:val="20"/>
      <w:szCs w:val="20"/>
    </w:rPr>
  </w:style>
  <w:style w:type="paragraph" w:styleId="Ballontekst">
    <w:name w:val="Balloon Text"/>
    <w:basedOn w:val="Standaard"/>
    <w:link w:val="BallontekstChar"/>
    <w:uiPriority w:val="99"/>
    <w:semiHidden/>
    <w:unhideWhenUsed/>
    <w:rsid w:val="006B4AC4"/>
    <w:pPr>
      <w:spacing w:after="0" w:line="240" w:lineRule="auto"/>
    </w:pPr>
    <w:rPr>
      <w:rFonts w:ascii="Lucida Grande" w:hAnsi="Lucida Grande"/>
      <w:sz w:val="18"/>
      <w:szCs w:val="18"/>
    </w:rPr>
  </w:style>
  <w:style w:type="character" w:customStyle="1" w:styleId="BallontekstChar">
    <w:name w:val="Ballontekst Char"/>
    <w:basedOn w:val="Standaardalinea-lettertype"/>
    <w:link w:val="Ballontekst"/>
    <w:uiPriority w:val="99"/>
    <w:semiHidden/>
    <w:rsid w:val="006B4AC4"/>
    <w:rPr>
      <w:rFonts w:ascii="Lucida Grande" w:hAnsi="Lucida Grande"/>
      <w:sz w:val="18"/>
      <w:szCs w:val="18"/>
    </w:rPr>
  </w:style>
  <w:style w:type="paragraph" w:styleId="Revisie">
    <w:name w:val="Revision"/>
    <w:hidden/>
    <w:uiPriority w:val="99"/>
    <w:semiHidden/>
    <w:rsid w:val="0033064A"/>
    <w:pPr>
      <w:spacing w:after="0" w:line="240" w:lineRule="auto"/>
    </w:pPr>
  </w:style>
  <w:style w:type="paragraph" w:styleId="Titel">
    <w:name w:val="Title"/>
    <w:basedOn w:val="Standaard"/>
    <w:next w:val="Standaard"/>
    <w:link w:val="TitelChar"/>
    <w:uiPriority w:val="10"/>
    <w:qFormat/>
    <w:rsid w:val="00E77F9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E77F9F"/>
    <w:rPr>
      <w:rFonts w:asciiTheme="majorHAnsi" w:eastAsiaTheme="majorEastAsia" w:hAnsiTheme="majorHAnsi" w:cstheme="majorBidi"/>
      <w:color w:val="17365D" w:themeColor="text2" w:themeShade="BF"/>
      <w:spacing w:val="5"/>
      <w:kern w:val="28"/>
      <w:sz w:val="52"/>
      <w:szCs w:val="52"/>
    </w:rPr>
  </w:style>
  <w:style w:type="paragraph" w:customStyle="1" w:styleId="Titel1">
    <w:name w:val="Titel1"/>
    <w:basedOn w:val="Standaard"/>
    <w:rsid w:val="002E2B88"/>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Aucun">
    <w:name w:val="Aucun"/>
    <w:rsid w:val="00D32DB8"/>
  </w:style>
  <w:style w:type="numbering" w:customStyle="1" w:styleId="Style1import">
    <w:name w:val="Style 1 importé"/>
    <w:rsid w:val="00D32DB8"/>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69291">
      <w:bodyDiv w:val="1"/>
      <w:marLeft w:val="0"/>
      <w:marRight w:val="0"/>
      <w:marTop w:val="0"/>
      <w:marBottom w:val="0"/>
      <w:divBdr>
        <w:top w:val="none" w:sz="0" w:space="0" w:color="auto"/>
        <w:left w:val="none" w:sz="0" w:space="0" w:color="auto"/>
        <w:bottom w:val="none" w:sz="0" w:space="0" w:color="auto"/>
        <w:right w:val="none" w:sz="0" w:space="0" w:color="auto"/>
      </w:divBdr>
    </w:div>
    <w:div w:id="130251574">
      <w:bodyDiv w:val="1"/>
      <w:marLeft w:val="0"/>
      <w:marRight w:val="0"/>
      <w:marTop w:val="0"/>
      <w:marBottom w:val="0"/>
      <w:divBdr>
        <w:top w:val="none" w:sz="0" w:space="0" w:color="auto"/>
        <w:left w:val="none" w:sz="0" w:space="0" w:color="auto"/>
        <w:bottom w:val="none" w:sz="0" w:space="0" w:color="auto"/>
        <w:right w:val="none" w:sz="0" w:space="0" w:color="auto"/>
      </w:divBdr>
    </w:div>
    <w:div w:id="132646025">
      <w:bodyDiv w:val="1"/>
      <w:marLeft w:val="0"/>
      <w:marRight w:val="0"/>
      <w:marTop w:val="0"/>
      <w:marBottom w:val="0"/>
      <w:divBdr>
        <w:top w:val="none" w:sz="0" w:space="0" w:color="auto"/>
        <w:left w:val="none" w:sz="0" w:space="0" w:color="auto"/>
        <w:bottom w:val="none" w:sz="0" w:space="0" w:color="auto"/>
        <w:right w:val="none" w:sz="0" w:space="0" w:color="auto"/>
      </w:divBdr>
    </w:div>
    <w:div w:id="324208231">
      <w:bodyDiv w:val="1"/>
      <w:marLeft w:val="0"/>
      <w:marRight w:val="0"/>
      <w:marTop w:val="0"/>
      <w:marBottom w:val="0"/>
      <w:divBdr>
        <w:top w:val="none" w:sz="0" w:space="0" w:color="auto"/>
        <w:left w:val="none" w:sz="0" w:space="0" w:color="auto"/>
        <w:bottom w:val="none" w:sz="0" w:space="0" w:color="auto"/>
        <w:right w:val="none" w:sz="0" w:space="0" w:color="auto"/>
      </w:divBdr>
    </w:div>
    <w:div w:id="642853148">
      <w:bodyDiv w:val="1"/>
      <w:marLeft w:val="0"/>
      <w:marRight w:val="0"/>
      <w:marTop w:val="0"/>
      <w:marBottom w:val="0"/>
      <w:divBdr>
        <w:top w:val="none" w:sz="0" w:space="0" w:color="auto"/>
        <w:left w:val="none" w:sz="0" w:space="0" w:color="auto"/>
        <w:bottom w:val="none" w:sz="0" w:space="0" w:color="auto"/>
        <w:right w:val="none" w:sz="0" w:space="0" w:color="auto"/>
      </w:divBdr>
    </w:div>
    <w:div w:id="1143037345">
      <w:bodyDiv w:val="1"/>
      <w:marLeft w:val="0"/>
      <w:marRight w:val="0"/>
      <w:marTop w:val="0"/>
      <w:marBottom w:val="0"/>
      <w:divBdr>
        <w:top w:val="none" w:sz="0" w:space="0" w:color="auto"/>
        <w:left w:val="none" w:sz="0" w:space="0" w:color="auto"/>
        <w:bottom w:val="none" w:sz="0" w:space="0" w:color="auto"/>
        <w:right w:val="none" w:sz="0" w:space="0" w:color="auto"/>
      </w:divBdr>
    </w:div>
    <w:div w:id="1805152643">
      <w:bodyDiv w:val="1"/>
      <w:marLeft w:val="0"/>
      <w:marRight w:val="0"/>
      <w:marTop w:val="0"/>
      <w:marBottom w:val="0"/>
      <w:divBdr>
        <w:top w:val="none" w:sz="0" w:space="0" w:color="auto"/>
        <w:left w:val="none" w:sz="0" w:space="0" w:color="auto"/>
        <w:bottom w:val="none" w:sz="0" w:space="0" w:color="auto"/>
        <w:right w:val="none" w:sz="0" w:space="0" w:color="auto"/>
      </w:divBdr>
      <w:divsChild>
        <w:div w:id="1076056059">
          <w:marLeft w:val="0"/>
          <w:marRight w:val="0"/>
          <w:marTop w:val="34"/>
          <w:marBottom w:val="34"/>
          <w:divBdr>
            <w:top w:val="none" w:sz="0" w:space="0" w:color="auto"/>
            <w:left w:val="none" w:sz="0" w:space="0" w:color="auto"/>
            <w:bottom w:val="none" w:sz="0" w:space="0" w:color="auto"/>
            <w:right w:val="none" w:sz="0" w:space="0" w:color="auto"/>
          </w:divBdr>
        </w:div>
      </w:divsChild>
    </w:div>
    <w:div w:id="1870794621">
      <w:bodyDiv w:val="1"/>
      <w:marLeft w:val="0"/>
      <w:marRight w:val="0"/>
      <w:marTop w:val="0"/>
      <w:marBottom w:val="0"/>
      <w:divBdr>
        <w:top w:val="none" w:sz="0" w:space="0" w:color="auto"/>
        <w:left w:val="none" w:sz="0" w:space="0" w:color="auto"/>
        <w:bottom w:val="none" w:sz="0" w:space="0" w:color="auto"/>
        <w:right w:val="none" w:sz="0" w:space="0" w:color="auto"/>
      </w:divBdr>
      <w:divsChild>
        <w:div w:id="1742634029">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EEC2E460-C578-4290-8119-5665BCEC1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1046</TotalTime>
  <Pages>12</Pages>
  <Words>5430</Words>
  <Characters>29867</Characters>
  <Application>Microsoft Office Word</Application>
  <DocSecurity>0</DocSecurity>
  <Lines>248</Lines>
  <Paragraphs>70</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BBR</Company>
  <LinksUpToDate>false</LinksUpToDate>
  <CharactersWithSpaces>35227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Weusten</dc:creator>
  <cp:lastModifiedBy>B.L.A.M. Weusten</cp:lastModifiedBy>
  <cp:revision>5</cp:revision>
  <dcterms:created xsi:type="dcterms:W3CDTF">2016-06-03T14:34:00Z</dcterms:created>
  <dcterms:modified xsi:type="dcterms:W3CDTF">2016-06-04T08:19:00Z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mail@basweusten.nl@www.mendeley.com</vt:lpwstr>
  </property>
  <property fmtid="{D5CDD505-2E9C-101B-9397-08002B2CF9AE}" pid="4" name="Mendeley Citation Style_1">
    <vt:lpwstr>http://www.zotero.org/styles/vancouver</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16th edition (author-date)</vt:lpwstr>
  </property>
  <property fmtid="{D5CDD505-2E9C-101B-9397-08002B2CF9AE}" pid="11" name="Mendeley Recent Style Id 3_1">
    <vt:lpwstr>http://www.zotero.org/styles/harvard1</vt:lpwstr>
  </property>
  <property fmtid="{D5CDD505-2E9C-101B-9397-08002B2CF9AE}" pid="12" name="Mendeley Recent Style Name 3_1">
    <vt:lpwstr>Harvard Reference format 1 (author-date)</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http://www.zotero.org/styles/modern-humanities-research-association</vt:lpwstr>
  </property>
  <property fmtid="{D5CDD505-2E9C-101B-9397-08002B2CF9AE}" pid="16" name="Mendeley Recent Style Name 5_1">
    <vt:lpwstr>Modern Humanities Research Association 3rd edition (note with bibliography)</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7th edition</vt:lpwstr>
  </property>
  <property fmtid="{D5CDD505-2E9C-101B-9397-08002B2CF9AE}" pid="19" name="Mendeley Recent Style Id 7_1">
    <vt:lpwstr>http://www.zotero.org/styles/national-library-of-medicine</vt:lpwstr>
  </property>
  <property fmtid="{D5CDD505-2E9C-101B-9397-08002B2CF9AE}" pid="20" name="Mendeley Recent Style Name 7_1">
    <vt:lpwstr>National Library of Medicine</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